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153A" w14:textId="77777777" w:rsidR="00231857" w:rsidRDefault="00343314">
      <w:pPr>
        <w:widowControl/>
        <w:rPr>
          <w:b/>
          <w:sz w:val="28"/>
          <w:szCs w:val="28"/>
        </w:rPr>
      </w:pPr>
      <w:r w:rsidRPr="00466515">
        <w:rPr>
          <w:noProof/>
          <w:lang w:val="en-AU" w:eastAsia="en-AU" w:bidi="ar-SA"/>
        </w:rPr>
        <w:drawing>
          <wp:inline distT="0" distB="0" distL="0" distR="0" wp14:anchorId="48FC4636" wp14:editId="111E5379">
            <wp:extent cx="3492500" cy="609600"/>
            <wp:effectExtent l="0" t="0" r="0" b="0"/>
            <wp:docPr id="1" name="Picture 2"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2500" cy="609600"/>
                    </a:xfrm>
                    <a:prstGeom prst="rect">
                      <a:avLst/>
                    </a:prstGeom>
                    <a:noFill/>
                    <a:ln>
                      <a:noFill/>
                    </a:ln>
                  </pic:spPr>
                </pic:pic>
              </a:graphicData>
            </a:graphic>
          </wp:inline>
        </w:drawing>
      </w:r>
    </w:p>
    <w:p w14:paraId="7175155A" w14:textId="77777777" w:rsidR="00231857" w:rsidRDefault="00231857">
      <w:pPr>
        <w:widowControl/>
        <w:rPr>
          <w:b/>
          <w:sz w:val="28"/>
          <w:szCs w:val="28"/>
        </w:rPr>
      </w:pPr>
    </w:p>
    <w:p w14:paraId="33C1223F" w14:textId="77777777" w:rsidR="00231857" w:rsidRDefault="00231857">
      <w:pPr>
        <w:widowControl/>
        <w:rPr>
          <w:b/>
          <w:sz w:val="28"/>
          <w:szCs w:val="28"/>
        </w:rPr>
      </w:pPr>
    </w:p>
    <w:p w14:paraId="134B8ACE" w14:textId="77777777" w:rsidR="009455A7" w:rsidRDefault="009455A7" w:rsidP="009455A7">
      <w:pPr>
        <w:pStyle w:val="FSTitle"/>
      </w:pPr>
      <w:bookmarkStart w:id="0" w:name="_Toc475953962"/>
      <w:r>
        <w:t>P</w:t>
      </w:r>
      <w:r w:rsidRPr="00DC286D">
        <w:t>erfluorinated chemicals</w:t>
      </w:r>
      <w:r w:rsidRPr="00DE1F4C">
        <w:t xml:space="preserve"> in food</w:t>
      </w:r>
      <w:bookmarkEnd w:id="0"/>
      <w:r w:rsidRPr="00DE1F4C">
        <w:t xml:space="preserve"> </w:t>
      </w:r>
    </w:p>
    <w:p w14:paraId="5418B1FD" w14:textId="77777777" w:rsidR="009455A7" w:rsidRDefault="009455A7" w:rsidP="00E40ED4">
      <w:pPr>
        <w:jc w:val="center"/>
        <w:rPr>
          <w:b/>
          <w:sz w:val="28"/>
          <w:szCs w:val="28"/>
        </w:rPr>
      </w:pPr>
    </w:p>
    <w:p w14:paraId="527116BE" w14:textId="77777777" w:rsidR="00562917" w:rsidRPr="00605B50" w:rsidRDefault="00562917" w:rsidP="009455A7">
      <w:pPr>
        <w:rPr>
          <w:b/>
          <w:sz w:val="28"/>
          <w:szCs w:val="28"/>
        </w:rPr>
      </w:pPr>
      <w:r w:rsidRPr="00605B50">
        <w:rPr>
          <w:b/>
          <w:sz w:val="28"/>
          <w:szCs w:val="28"/>
        </w:rPr>
        <w:t xml:space="preserve">Table of </w:t>
      </w:r>
      <w:r w:rsidR="00456B54" w:rsidRPr="00605B50">
        <w:rPr>
          <w:b/>
          <w:sz w:val="28"/>
          <w:szCs w:val="28"/>
        </w:rPr>
        <w:t>C</w:t>
      </w:r>
      <w:r w:rsidRPr="00605B50">
        <w:rPr>
          <w:b/>
          <w:sz w:val="28"/>
          <w:szCs w:val="28"/>
        </w:rPr>
        <w:t>ontents</w:t>
      </w:r>
    </w:p>
    <w:p w14:paraId="57825D13" w14:textId="77777777" w:rsidR="00562917" w:rsidRPr="00AE766D" w:rsidRDefault="00562917" w:rsidP="00051ED9">
      <w:pPr>
        <w:rPr>
          <w:rFonts w:cs="Arial"/>
        </w:rPr>
      </w:pPr>
    </w:p>
    <w:bookmarkStart w:id="1" w:name="_Toc286391001"/>
    <w:bookmarkStart w:id="2" w:name="_Toc300933414"/>
    <w:bookmarkStart w:id="3" w:name="_Toc267859686"/>
    <w:bookmarkStart w:id="4" w:name="_Toc11735627"/>
    <w:bookmarkStart w:id="5" w:name="_Toc29883110"/>
    <w:bookmarkStart w:id="6" w:name="_Toc41906797"/>
    <w:bookmarkStart w:id="7" w:name="_Toc41907544"/>
    <w:bookmarkStart w:id="8" w:name="_Toc120358575"/>
    <w:p w14:paraId="3F398AE1" w14:textId="77777777" w:rsidR="00B82200" w:rsidRPr="00466515" w:rsidRDefault="00401876">
      <w:pPr>
        <w:pStyle w:val="TOC1"/>
        <w:tabs>
          <w:tab w:val="right" w:leader="dot" w:pos="9060"/>
        </w:tabs>
        <w:rPr>
          <w:rFonts w:eastAsia="MS Mincho"/>
          <w:b w:val="0"/>
          <w:bCs w:val="0"/>
          <w:caps w:val="0"/>
          <w:noProof/>
          <w:sz w:val="22"/>
          <w:szCs w:val="22"/>
          <w:lang w:eastAsia="en-GB" w:bidi="ar-SA"/>
        </w:rPr>
      </w:pPr>
      <w:r w:rsidRPr="00401876">
        <w:rPr>
          <w:rFonts w:ascii="Arial" w:hAnsi="Arial" w:cs="Arial"/>
        </w:rPr>
        <w:fldChar w:fldCharType="begin"/>
      </w:r>
      <w:r w:rsidRPr="00401876">
        <w:rPr>
          <w:rFonts w:ascii="Arial" w:hAnsi="Arial" w:cs="Arial"/>
        </w:rPr>
        <w:instrText xml:space="preserve"> TOC \o "1-3" \h \z \u </w:instrText>
      </w:r>
      <w:r w:rsidRPr="00401876">
        <w:rPr>
          <w:rFonts w:ascii="Arial" w:hAnsi="Arial" w:cs="Arial"/>
        </w:rPr>
        <w:fldChar w:fldCharType="separate"/>
      </w:r>
      <w:hyperlink w:anchor="_Toc475953962" w:history="1">
        <w:r w:rsidR="00B82200" w:rsidRPr="00300B23">
          <w:rPr>
            <w:rStyle w:val="Hyperlink"/>
            <w:noProof/>
          </w:rPr>
          <w:t>Perfluorinated chemicals in food</w:t>
        </w:r>
        <w:r w:rsidR="00B82200">
          <w:rPr>
            <w:noProof/>
            <w:webHidden/>
          </w:rPr>
          <w:tab/>
        </w:r>
        <w:r w:rsidR="00B82200">
          <w:rPr>
            <w:noProof/>
            <w:webHidden/>
          </w:rPr>
          <w:fldChar w:fldCharType="begin"/>
        </w:r>
        <w:r w:rsidR="00B82200">
          <w:rPr>
            <w:noProof/>
            <w:webHidden/>
          </w:rPr>
          <w:instrText xml:space="preserve"> PAGEREF _Toc475953962 \h </w:instrText>
        </w:r>
        <w:r w:rsidR="00B82200">
          <w:rPr>
            <w:noProof/>
            <w:webHidden/>
          </w:rPr>
        </w:r>
        <w:r w:rsidR="00B82200">
          <w:rPr>
            <w:noProof/>
            <w:webHidden/>
          </w:rPr>
          <w:fldChar w:fldCharType="separate"/>
        </w:r>
        <w:r w:rsidR="00B47C9D">
          <w:rPr>
            <w:noProof/>
            <w:webHidden/>
          </w:rPr>
          <w:t>1</w:t>
        </w:r>
        <w:r w:rsidR="00B82200">
          <w:rPr>
            <w:noProof/>
            <w:webHidden/>
          </w:rPr>
          <w:fldChar w:fldCharType="end"/>
        </w:r>
      </w:hyperlink>
    </w:p>
    <w:p w14:paraId="1D919F93" w14:textId="77777777" w:rsidR="00B82200" w:rsidRPr="00466515" w:rsidRDefault="00000000">
      <w:pPr>
        <w:pStyle w:val="TOC2"/>
        <w:tabs>
          <w:tab w:val="right" w:leader="dot" w:pos="9060"/>
        </w:tabs>
        <w:rPr>
          <w:rFonts w:eastAsia="MS Mincho"/>
          <w:smallCaps w:val="0"/>
          <w:noProof/>
          <w:sz w:val="22"/>
          <w:szCs w:val="22"/>
          <w:lang w:eastAsia="en-GB" w:bidi="ar-SA"/>
        </w:rPr>
      </w:pPr>
      <w:hyperlink w:anchor="_Toc475953963" w:history="1">
        <w:r w:rsidR="00B82200" w:rsidRPr="00300B23">
          <w:rPr>
            <w:rStyle w:val="Hyperlink"/>
            <w:noProof/>
          </w:rPr>
          <w:t>Executive Summary</w:t>
        </w:r>
        <w:r w:rsidR="00B82200">
          <w:rPr>
            <w:noProof/>
            <w:webHidden/>
          </w:rPr>
          <w:tab/>
        </w:r>
        <w:r w:rsidR="00B82200">
          <w:rPr>
            <w:noProof/>
            <w:webHidden/>
          </w:rPr>
          <w:fldChar w:fldCharType="begin"/>
        </w:r>
        <w:r w:rsidR="00B82200">
          <w:rPr>
            <w:noProof/>
            <w:webHidden/>
          </w:rPr>
          <w:instrText xml:space="preserve"> PAGEREF _Toc475953963 \h </w:instrText>
        </w:r>
        <w:r w:rsidR="00B82200">
          <w:rPr>
            <w:noProof/>
            <w:webHidden/>
          </w:rPr>
        </w:r>
        <w:r w:rsidR="00B82200">
          <w:rPr>
            <w:noProof/>
            <w:webHidden/>
          </w:rPr>
          <w:fldChar w:fldCharType="separate"/>
        </w:r>
        <w:r w:rsidR="00B47C9D">
          <w:rPr>
            <w:noProof/>
            <w:webHidden/>
          </w:rPr>
          <w:t>2</w:t>
        </w:r>
        <w:r w:rsidR="00B82200">
          <w:rPr>
            <w:noProof/>
            <w:webHidden/>
          </w:rPr>
          <w:fldChar w:fldCharType="end"/>
        </w:r>
      </w:hyperlink>
    </w:p>
    <w:p w14:paraId="76A388F7" w14:textId="77777777" w:rsidR="00B82200" w:rsidRPr="00466515" w:rsidRDefault="00000000">
      <w:pPr>
        <w:pStyle w:val="TOC3"/>
        <w:tabs>
          <w:tab w:val="right" w:leader="dot" w:pos="9060"/>
        </w:tabs>
        <w:rPr>
          <w:rFonts w:eastAsia="MS Mincho"/>
          <w:i w:val="0"/>
          <w:iCs w:val="0"/>
          <w:noProof/>
          <w:sz w:val="22"/>
          <w:szCs w:val="22"/>
          <w:lang w:eastAsia="en-GB" w:bidi="ar-SA"/>
        </w:rPr>
      </w:pPr>
      <w:hyperlink w:anchor="_Toc475953964" w:history="1">
        <w:r w:rsidR="00B82200" w:rsidRPr="00300B23">
          <w:rPr>
            <w:rStyle w:val="Hyperlink"/>
            <w:rFonts w:cs="Arial"/>
            <w:noProof/>
          </w:rPr>
          <w:t>Recommended HBGVs</w:t>
        </w:r>
        <w:r w:rsidR="00B82200">
          <w:rPr>
            <w:noProof/>
            <w:webHidden/>
          </w:rPr>
          <w:tab/>
        </w:r>
        <w:r w:rsidR="00B82200">
          <w:rPr>
            <w:noProof/>
            <w:webHidden/>
          </w:rPr>
          <w:fldChar w:fldCharType="begin"/>
        </w:r>
        <w:r w:rsidR="00B82200">
          <w:rPr>
            <w:noProof/>
            <w:webHidden/>
          </w:rPr>
          <w:instrText xml:space="preserve"> PAGEREF _Toc475953964 \h </w:instrText>
        </w:r>
        <w:r w:rsidR="00B82200">
          <w:rPr>
            <w:noProof/>
            <w:webHidden/>
          </w:rPr>
        </w:r>
        <w:r w:rsidR="00B82200">
          <w:rPr>
            <w:noProof/>
            <w:webHidden/>
          </w:rPr>
          <w:fldChar w:fldCharType="separate"/>
        </w:r>
        <w:r w:rsidR="00B47C9D">
          <w:rPr>
            <w:noProof/>
            <w:webHidden/>
          </w:rPr>
          <w:t>2</w:t>
        </w:r>
        <w:r w:rsidR="00B82200">
          <w:rPr>
            <w:noProof/>
            <w:webHidden/>
          </w:rPr>
          <w:fldChar w:fldCharType="end"/>
        </w:r>
      </w:hyperlink>
    </w:p>
    <w:p w14:paraId="7ACA5F44" w14:textId="77777777" w:rsidR="00B82200" w:rsidRPr="00466515" w:rsidRDefault="00000000">
      <w:pPr>
        <w:pStyle w:val="TOC3"/>
        <w:tabs>
          <w:tab w:val="right" w:leader="dot" w:pos="9060"/>
        </w:tabs>
        <w:rPr>
          <w:rFonts w:eastAsia="MS Mincho"/>
          <w:i w:val="0"/>
          <w:iCs w:val="0"/>
          <w:noProof/>
          <w:sz w:val="22"/>
          <w:szCs w:val="22"/>
          <w:lang w:eastAsia="en-GB" w:bidi="ar-SA"/>
        </w:rPr>
      </w:pPr>
      <w:hyperlink w:anchor="_Toc475953965" w:history="1">
        <w:r w:rsidR="00B82200" w:rsidRPr="00300B23">
          <w:rPr>
            <w:rStyle w:val="Hyperlink"/>
            <w:noProof/>
          </w:rPr>
          <w:t>Dietary exposure calculations</w:t>
        </w:r>
        <w:r w:rsidR="00B82200">
          <w:rPr>
            <w:noProof/>
            <w:webHidden/>
          </w:rPr>
          <w:tab/>
        </w:r>
        <w:r w:rsidR="00B82200">
          <w:rPr>
            <w:noProof/>
            <w:webHidden/>
          </w:rPr>
          <w:fldChar w:fldCharType="begin"/>
        </w:r>
        <w:r w:rsidR="00B82200">
          <w:rPr>
            <w:noProof/>
            <w:webHidden/>
          </w:rPr>
          <w:instrText xml:space="preserve"> PAGEREF _Toc475953965 \h </w:instrText>
        </w:r>
        <w:r w:rsidR="00B82200">
          <w:rPr>
            <w:noProof/>
            <w:webHidden/>
          </w:rPr>
        </w:r>
        <w:r w:rsidR="00B82200">
          <w:rPr>
            <w:noProof/>
            <w:webHidden/>
          </w:rPr>
          <w:fldChar w:fldCharType="separate"/>
        </w:r>
        <w:r w:rsidR="00B47C9D">
          <w:rPr>
            <w:noProof/>
            <w:webHidden/>
          </w:rPr>
          <w:t>2</w:t>
        </w:r>
        <w:r w:rsidR="00B82200">
          <w:rPr>
            <w:noProof/>
            <w:webHidden/>
          </w:rPr>
          <w:fldChar w:fldCharType="end"/>
        </w:r>
      </w:hyperlink>
    </w:p>
    <w:p w14:paraId="40B5B781" w14:textId="77777777" w:rsidR="00B82200" w:rsidRPr="00466515" w:rsidRDefault="00000000">
      <w:pPr>
        <w:pStyle w:val="TOC3"/>
        <w:tabs>
          <w:tab w:val="right" w:leader="dot" w:pos="9060"/>
        </w:tabs>
        <w:rPr>
          <w:rFonts w:eastAsia="MS Mincho"/>
          <w:i w:val="0"/>
          <w:iCs w:val="0"/>
          <w:noProof/>
          <w:sz w:val="22"/>
          <w:szCs w:val="22"/>
          <w:lang w:eastAsia="en-GB" w:bidi="ar-SA"/>
        </w:rPr>
      </w:pPr>
      <w:hyperlink w:anchor="_Toc475953966" w:history="1">
        <w:r w:rsidR="00B82200" w:rsidRPr="00300B23">
          <w:rPr>
            <w:rStyle w:val="Hyperlink"/>
            <w:rFonts w:eastAsia="Calibri"/>
            <w:noProof/>
          </w:rPr>
          <w:t>Risk management</w:t>
        </w:r>
        <w:r w:rsidR="00B82200">
          <w:rPr>
            <w:noProof/>
            <w:webHidden/>
          </w:rPr>
          <w:tab/>
        </w:r>
        <w:r w:rsidR="00B82200">
          <w:rPr>
            <w:noProof/>
            <w:webHidden/>
          </w:rPr>
          <w:fldChar w:fldCharType="begin"/>
        </w:r>
        <w:r w:rsidR="00B82200">
          <w:rPr>
            <w:noProof/>
            <w:webHidden/>
          </w:rPr>
          <w:instrText xml:space="preserve"> PAGEREF _Toc475953966 \h </w:instrText>
        </w:r>
        <w:r w:rsidR="00B82200">
          <w:rPr>
            <w:noProof/>
            <w:webHidden/>
          </w:rPr>
        </w:r>
        <w:r w:rsidR="00B82200">
          <w:rPr>
            <w:noProof/>
            <w:webHidden/>
          </w:rPr>
          <w:fldChar w:fldCharType="separate"/>
        </w:r>
        <w:r w:rsidR="00B47C9D">
          <w:rPr>
            <w:noProof/>
            <w:webHidden/>
          </w:rPr>
          <w:t>4</w:t>
        </w:r>
        <w:r w:rsidR="00B82200">
          <w:rPr>
            <w:noProof/>
            <w:webHidden/>
          </w:rPr>
          <w:fldChar w:fldCharType="end"/>
        </w:r>
      </w:hyperlink>
    </w:p>
    <w:p w14:paraId="164D96D3" w14:textId="77777777" w:rsidR="00B82200" w:rsidRPr="00466515" w:rsidRDefault="00000000">
      <w:pPr>
        <w:pStyle w:val="TOC2"/>
        <w:tabs>
          <w:tab w:val="left" w:pos="660"/>
          <w:tab w:val="right" w:leader="dot" w:pos="9060"/>
        </w:tabs>
        <w:rPr>
          <w:rFonts w:eastAsia="MS Mincho"/>
          <w:smallCaps w:val="0"/>
          <w:noProof/>
          <w:sz w:val="22"/>
          <w:szCs w:val="22"/>
          <w:lang w:eastAsia="en-GB" w:bidi="ar-SA"/>
        </w:rPr>
      </w:pPr>
      <w:hyperlink w:anchor="_Toc475953969" w:history="1">
        <w:r w:rsidR="00B82200" w:rsidRPr="00300B23">
          <w:rPr>
            <w:rStyle w:val="Hyperlink"/>
            <w:noProof/>
          </w:rPr>
          <w:t>1</w:t>
        </w:r>
        <w:r w:rsidR="00B82200" w:rsidRPr="00466515">
          <w:rPr>
            <w:rFonts w:eastAsia="MS Mincho"/>
            <w:smallCaps w:val="0"/>
            <w:noProof/>
            <w:sz w:val="22"/>
            <w:szCs w:val="22"/>
            <w:lang w:eastAsia="en-GB" w:bidi="ar-SA"/>
          </w:rPr>
          <w:tab/>
        </w:r>
        <w:r w:rsidR="00B82200" w:rsidRPr="00300B23">
          <w:rPr>
            <w:rStyle w:val="Hyperlink"/>
            <w:noProof/>
          </w:rPr>
          <w:t>Introduction/background</w:t>
        </w:r>
        <w:r w:rsidR="00B82200">
          <w:rPr>
            <w:noProof/>
            <w:webHidden/>
          </w:rPr>
          <w:tab/>
        </w:r>
        <w:r w:rsidR="00B82200">
          <w:rPr>
            <w:noProof/>
            <w:webHidden/>
          </w:rPr>
          <w:fldChar w:fldCharType="begin"/>
        </w:r>
        <w:r w:rsidR="00B82200">
          <w:rPr>
            <w:noProof/>
            <w:webHidden/>
          </w:rPr>
          <w:instrText xml:space="preserve"> PAGEREF _Toc475953969 \h </w:instrText>
        </w:r>
        <w:r w:rsidR="00B82200">
          <w:rPr>
            <w:noProof/>
            <w:webHidden/>
          </w:rPr>
        </w:r>
        <w:r w:rsidR="00B82200">
          <w:rPr>
            <w:noProof/>
            <w:webHidden/>
          </w:rPr>
          <w:fldChar w:fldCharType="separate"/>
        </w:r>
        <w:r w:rsidR="00B47C9D">
          <w:rPr>
            <w:noProof/>
            <w:webHidden/>
          </w:rPr>
          <w:t>5</w:t>
        </w:r>
        <w:r w:rsidR="00B82200">
          <w:rPr>
            <w:noProof/>
            <w:webHidden/>
          </w:rPr>
          <w:fldChar w:fldCharType="end"/>
        </w:r>
      </w:hyperlink>
    </w:p>
    <w:p w14:paraId="399FD0A7" w14:textId="77777777" w:rsidR="00B82200" w:rsidRPr="00466515" w:rsidRDefault="00000000">
      <w:pPr>
        <w:pStyle w:val="TOC2"/>
        <w:tabs>
          <w:tab w:val="left" w:pos="660"/>
          <w:tab w:val="right" w:leader="dot" w:pos="9060"/>
        </w:tabs>
        <w:rPr>
          <w:rFonts w:eastAsia="MS Mincho"/>
          <w:smallCaps w:val="0"/>
          <w:noProof/>
          <w:sz w:val="22"/>
          <w:szCs w:val="22"/>
          <w:lang w:eastAsia="en-GB" w:bidi="ar-SA"/>
        </w:rPr>
      </w:pPr>
      <w:hyperlink w:anchor="_Toc475953970" w:history="1">
        <w:r w:rsidR="00B82200" w:rsidRPr="00300B23">
          <w:rPr>
            <w:rStyle w:val="Hyperlink"/>
            <w:noProof/>
          </w:rPr>
          <w:t>2</w:t>
        </w:r>
        <w:r w:rsidR="00B82200" w:rsidRPr="00466515">
          <w:rPr>
            <w:rFonts w:eastAsia="MS Mincho"/>
            <w:smallCaps w:val="0"/>
            <w:noProof/>
            <w:sz w:val="22"/>
            <w:szCs w:val="22"/>
            <w:lang w:eastAsia="en-GB" w:bidi="ar-SA"/>
          </w:rPr>
          <w:tab/>
        </w:r>
        <w:r w:rsidR="00B82200" w:rsidRPr="00300B23">
          <w:rPr>
            <w:rStyle w:val="Hyperlink"/>
            <w:noProof/>
          </w:rPr>
          <w:t>Previous investigations into PFAS contamination in food</w:t>
        </w:r>
        <w:r w:rsidR="00B82200">
          <w:rPr>
            <w:noProof/>
            <w:webHidden/>
          </w:rPr>
          <w:tab/>
        </w:r>
        <w:r w:rsidR="00B82200">
          <w:rPr>
            <w:noProof/>
            <w:webHidden/>
          </w:rPr>
          <w:fldChar w:fldCharType="begin"/>
        </w:r>
        <w:r w:rsidR="00B82200">
          <w:rPr>
            <w:noProof/>
            <w:webHidden/>
          </w:rPr>
          <w:instrText xml:space="preserve"> PAGEREF _Toc475953970 \h </w:instrText>
        </w:r>
        <w:r w:rsidR="00B82200">
          <w:rPr>
            <w:noProof/>
            <w:webHidden/>
          </w:rPr>
        </w:r>
        <w:r w:rsidR="00B82200">
          <w:rPr>
            <w:noProof/>
            <w:webHidden/>
          </w:rPr>
          <w:fldChar w:fldCharType="separate"/>
        </w:r>
        <w:r w:rsidR="00B47C9D">
          <w:rPr>
            <w:noProof/>
            <w:webHidden/>
          </w:rPr>
          <w:t>6</w:t>
        </w:r>
        <w:r w:rsidR="00B82200">
          <w:rPr>
            <w:noProof/>
            <w:webHidden/>
          </w:rPr>
          <w:fldChar w:fldCharType="end"/>
        </w:r>
      </w:hyperlink>
    </w:p>
    <w:p w14:paraId="431472C1" w14:textId="77777777" w:rsidR="00B82200" w:rsidRPr="00466515" w:rsidRDefault="00000000">
      <w:pPr>
        <w:pStyle w:val="TOC2"/>
        <w:tabs>
          <w:tab w:val="left" w:pos="660"/>
          <w:tab w:val="right" w:leader="dot" w:pos="9060"/>
        </w:tabs>
        <w:rPr>
          <w:rFonts w:eastAsia="MS Mincho"/>
          <w:smallCaps w:val="0"/>
          <w:noProof/>
          <w:sz w:val="22"/>
          <w:szCs w:val="22"/>
          <w:lang w:eastAsia="en-GB" w:bidi="ar-SA"/>
        </w:rPr>
      </w:pPr>
      <w:hyperlink w:anchor="_Toc475953971" w:history="1">
        <w:r w:rsidR="00B82200" w:rsidRPr="00300B23">
          <w:rPr>
            <w:rStyle w:val="Hyperlink"/>
            <w:rFonts w:eastAsia="Calibri"/>
            <w:noProof/>
          </w:rPr>
          <w:t>3</w:t>
        </w:r>
        <w:r w:rsidR="00B82200" w:rsidRPr="00466515">
          <w:rPr>
            <w:rFonts w:eastAsia="MS Mincho"/>
            <w:smallCaps w:val="0"/>
            <w:noProof/>
            <w:sz w:val="22"/>
            <w:szCs w:val="22"/>
            <w:lang w:eastAsia="en-GB" w:bidi="ar-SA"/>
          </w:rPr>
          <w:tab/>
        </w:r>
        <w:r w:rsidR="00B82200" w:rsidRPr="00300B23">
          <w:rPr>
            <w:rStyle w:val="Hyperlink"/>
            <w:rFonts w:eastAsia="Calibri"/>
            <w:noProof/>
          </w:rPr>
          <w:t>Potential public health risks</w:t>
        </w:r>
        <w:r w:rsidR="00B82200">
          <w:rPr>
            <w:noProof/>
            <w:webHidden/>
          </w:rPr>
          <w:tab/>
        </w:r>
        <w:r w:rsidR="00B82200">
          <w:rPr>
            <w:noProof/>
            <w:webHidden/>
          </w:rPr>
          <w:fldChar w:fldCharType="begin"/>
        </w:r>
        <w:r w:rsidR="00B82200">
          <w:rPr>
            <w:noProof/>
            <w:webHidden/>
          </w:rPr>
          <w:instrText xml:space="preserve"> PAGEREF _Toc475953971 \h </w:instrText>
        </w:r>
        <w:r w:rsidR="00B82200">
          <w:rPr>
            <w:noProof/>
            <w:webHidden/>
          </w:rPr>
        </w:r>
        <w:r w:rsidR="00B82200">
          <w:rPr>
            <w:noProof/>
            <w:webHidden/>
          </w:rPr>
          <w:fldChar w:fldCharType="separate"/>
        </w:r>
        <w:r w:rsidR="00B47C9D">
          <w:rPr>
            <w:noProof/>
            <w:webHidden/>
          </w:rPr>
          <w:t>6</w:t>
        </w:r>
        <w:r w:rsidR="00B82200">
          <w:rPr>
            <w:noProof/>
            <w:webHidden/>
          </w:rPr>
          <w:fldChar w:fldCharType="end"/>
        </w:r>
      </w:hyperlink>
    </w:p>
    <w:p w14:paraId="02833906" w14:textId="77777777" w:rsidR="00B82200" w:rsidRPr="00466515" w:rsidRDefault="00000000">
      <w:pPr>
        <w:pStyle w:val="TOC3"/>
        <w:tabs>
          <w:tab w:val="left" w:pos="1100"/>
          <w:tab w:val="right" w:leader="dot" w:pos="9060"/>
        </w:tabs>
        <w:rPr>
          <w:rFonts w:eastAsia="MS Mincho"/>
          <w:i w:val="0"/>
          <w:iCs w:val="0"/>
          <w:noProof/>
          <w:sz w:val="22"/>
          <w:szCs w:val="22"/>
          <w:lang w:eastAsia="en-GB" w:bidi="ar-SA"/>
        </w:rPr>
      </w:pPr>
      <w:hyperlink w:anchor="_Toc475953972" w:history="1">
        <w:r w:rsidR="00B82200" w:rsidRPr="00300B23">
          <w:rPr>
            <w:rStyle w:val="Hyperlink"/>
            <w:noProof/>
          </w:rPr>
          <w:t>3.1</w:t>
        </w:r>
        <w:r w:rsidR="00B82200" w:rsidRPr="00466515">
          <w:rPr>
            <w:rFonts w:eastAsia="MS Mincho"/>
            <w:i w:val="0"/>
            <w:iCs w:val="0"/>
            <w:noProof/>
            <w:sz w:val="22"/>
            <w:szCs w:val="22"/>
            <w:lang w:eastAsia="en-GB" w:bidi="ar-SA"/>
          </w:rPr>
          <w:tab/>
        </w:r>
        <w:r w:rsidR="00B82200" w:rsidRPr="00300B23">
          <w:rPr>
            <w:rStyle w:val="Hyperlink"/>
            <w:noProof/>
          </w:rPr>
          <w:t>Hazard identification and characterisation</w:t>
        </w:r>
        <w:r w:rsidR="00B82200">
          <w:rPr>
            <w:noProof/>
            <w:webHidden/>
          </w:rPr>
          <w:tab/>
        </w:r>
        <w:r w:rsidR="00B82200">
          <w:rPr>
            <w:noProof/>
            <w:webHidden/>
          </w:rPr>
          <w:fldChar w:fldCharType="begin"/>
        </w:r>
        <w:r w:rsidR="00B82200">
          <w:rPr>
            <w:noProof/>
            <w:webHidden/>
          </w:rPr>
          <w:instrText xml:space="preserve"> PAGEREF _Toc475953972 \h </w:instrText>
        </w:r>
        <w:r w:rsidR="00B82200">
          <w:rPr>
            <w:noProof/>
            <w:webHidden/>
          </w:rPr>
        </w:r>
        <w:r w:rsidR="00B82200">
          <w:rPr>
            <w:noProof/>
            <w:webHidden/>
          </w:rPr>
          <w:fldChar w:fldCharType="separate"/>
        </w:r>
        <w:r w:rsidR="00B47C9D">
          <w:rPr>
            <w:noProof/>
            <w:webHidden/>
          </w:rPr>
          <w:t>6</w:t>
        </w:r>
        <w:r w:rsidR="00B82200">
          <w:rPr>
            <w:noProof/>
            <w:webHidden/>
          </w:rPr>
          <w:fldChar w:fldCharType="end"/>
        </w:r>
      </w:hyperlink>
    </w:p>
    <w:p w14:paraId="7F2F45A9" w14:textId="77777777" w:rsidR="00B82200" w:rsidRPr="00466515" w:rsidRDefault="00000000">
      <w:pPr>
        <w:pStyle w:val="TOC3"/>
        <w:tabs>
          <w:tab w:val="left" w:pos="1100"/>
          <w:tab w:val="right" w:leader="dot" w:pos="9060"/>
        </w:tabs>
        <w:rPr>
          <w:rFonts w:eastAsia="MS Mincho"/>
          <w:i w:val="0"/>
          <w:iCs w:val="0"/>
          <w:noProof/>
          <w:sz w:val="22"/>
          <w:szCs w:val="22"/>
          <w:lang w:eastAsia="en-GB" w:bidi="ar-SA"/>
        </w:rPr>
      </w:pPr>
      <w:hyperlink w:anchor="_Toc475953973" w:history="1">
        <w:r w:rsidR="00B82200" w:rsidRPr="00300B23">
          <w:rPr>
            <w:rStyle w:val="Hyperlink"/>
            <w:noProof/>
          </w:rPr>
          <w:t>3.2</w:t>
        </w:r>
        <w:r w:rsidR="00B82200" w:rsidRPr="00466515">
          <w:rPr>
            <w:rFonts w:eastAsia="MS Mincho"/>
            <w:i w:val="0"/>
            <w:iCs w:val="0"/>
            <w:noProof/>
            <w:sz w:val="22"/>
            <w:szCs w:val="22"/>
            <w:lang w:eastAsia="en-GB" w:bidi="ar-SA"/>
          </w:rPr>
          <w:tab/>
        </w:r>
        <w:r w:rsidR="00B82200" w:rsidRPr="00300B23">
          <w:rPr>
            <w:rStyle w:val="Hyperlink"/>
            <w:noProof/>
          </w:rPr>
          <w:t>Dietary exposure calculations</w:t>
        </w:r>
        <w:r w:rsidR="00B82200">
          <w:rPr>
            <w:noProof/>
            <w:webHidden/>
          </w:rPr>
          <w:tab/>
        </w:r>
        <w:r w:rsidR="00B82200">
          <w:rPr>
            <w:noProof/>
            <w:webHidden/>
          </w:rPr>
          <w:fldChar w:fldCharType="begin"/>
        </w:r>
        <w:r w:rsidR="00B82200">
          <w:rPr>
            <w:noProof/>
            <w:webHidden/>
          </w:rPr>
          <w:instrText xml:space="preserve"> PAGEREF _Toc475953973 \h </w:instrText>
        </w:r>
        <w:r w:rsidR="00B82200">
          <w:rPr>
            <w:noProof/>
            <w:webHidden/>
          </w:rPr>
        </w:r>
        <w:r w:rsidR="00B82200">
          <w:rPr>
            <w:noProof/>
            <w:webHidden/>
          </w:rPr>
          <w:fldChar w:fldCharType="separate"/>
        </w:r>
        <w:r w:rsidR="00B47C9D">
          <w:rPr>
            <w:noProof/>
            <w:webHidden/>
          </w:rPr>
          <w:t>8</w:t>
        </w:r>
        <w:r w:rsidR="00B82200">
          <w:rPr>
            <w:noProof/>
            <w:webHidden/>
          </w:rPr>
          <w:fldChar w:fldCharType="end"/>
        </w:r>
      </w:hyperlink>
    </w:p>
    <w:p w14:paraId="53906439" w14:textId="77777777" w:rsidR="00B82200" w:rsidRPr="00466515" w:rsidRDefault="00000000">
      <w:pPr>
        <w:pStyle w:val="TOC2"/>
        <w:tabs>
          <w:tab w:val="left" w:pos="660"/>
          <w:tab w:val="right" w:leader="dot" w:pos="9060"/>
        </w:tabs>
        <w:rPr>
          <w:rFonts w:eastAsia="MS Mincho"/>
          <w:smallCaps w:val="0"/>
          <w:noProof/>
          <w:sz w:val="22"/>
          <w:szCs w:val="22"/>
          <w:lang w:eastAsia="en-GB" w:bidi="ar-SA"/>
        </w:rPr>
      </w:pPr>
      <w:hyperlink w:anchor="_Toc475953974" w:history="1">
        <w:r w:rsidR="00B82200" w:rsidRPr="00300B23">
          <w:rPr>
            <w:rStyle w:val="Hyperlink"/>
            <w:noProof/>
          </w:rPr>
          <w:t>4</w:t>
        </w:r>
        <w:r w:rsidR="00B82200" w:rsidRPr="00466515">
          <w:rPr>
            <w:rFonts w:eastAsia="MS Mincho"/>
            <w:smallCaps w:val="0"/>
            <w:noProof/>
            <w:sz w:val="22"/>
            <w:szCs w:val="22"/>
            <w:lang w:eastAsia="en-GB" w:bidi="ar-SA"/>
          </w:rPr>
          <w:tab/>
        </w:r>
        <w:r w:rsidR="00B82200" w:rsidRPr="00300B23">
          <w:rPr>
            <w:rStyle w:val="Hyperlink"/>
            <w:noProof/>
          </w:rPr>
          <w:t>Risk management</w:t>
        </w:r>
        <w:r w:rsidR="00B82200">
          <w:rPr>
            <w:noProof/>
            <w:webHidden/>
          </w:rPr>
          <w:tab/>
        </w:r>
        <w:r w:rsidR="00B82200">
          <w:rPr>
            <w:noProof/>
            <w:webHidden/>
          </w:rPr>
          <w:fldChar w:fldCharType="begin"/>
        </w:r>
        <w:r w:rsidR="00B82200">
          <w:rPr>
            <w:noProof/>
            <w:webHidden/>
          </w:rPr>
          <w:instrText xml:space="preserve"> PAGEREF _Toc475953974 \h </w:instrText>
        </w:r>
        <w:r w:rsidR="00B82200">
          <w:rPr>
            <w:noProof/>
            <w:webHidden/>
          </w:rPr>
        </w:r>
        <w:r w:rsidR="00B82200">
          <w:rPr>
            <w:noProof/>
            <w:webHidden/>
          </w:rPr>
          <w:fldChar w:fldCharType="separate"/>
        </w:r>
        <w:r w:rsidR="00B47C9D">
          <w:rPr>
            <w:noProof/>
            <w:webHidden/>
          </w:rPr>
          <w:t>11</w:t>
        </w:r>
        <w:r w:rsidR="00B82200">
          <w:rPr>
            <w:noProof/>
            <w:webHidden/>
          </w:rPr>
          <w:fldChar w:fldCharType="end"/>
        </w:r>
      </w:hyperlink>
    </w:p>
    <w:p w14:paraId="6561CAFA" w14:textId="77777777" w:rsidR="00B82200" w:rsidRPr="00466515" w:rsidRDefault="00000000">
      <w:pPr>
        <w:pStyle w:val="TOC3"/>
        <w:tabs>
          <w:tab w:val="left" w:pos="1100"/>
          <w:tab w:val="right" w:leader="dot" w:pos="9060"/>
        </w:tabs>
        <w:rPr>
          <w:rFonts w:eastAsia="MS Mincho"/>
          <w:i w:val="0"/>
          <w:iCs w:val="0"/>
          <w:noProof/>
          <w:sz w:val="22"/>
          <w:szCs w:val="22"/>
          <w:lang w:eastAsia="en-GB" w:bidi="ar-SA"/>
        </w:rPr>
      </w:pPr>
      <w:hyperlink w:anchor="_Toc475953975" w:history="1">
        <w:r w:rsidR="00B82200" w:rsidRPr="00300B23">
          <w:rPr>
            <w:rStyle w:val="Hyperlink"/>
            <w:noProof/>
          </w:rPr>
          <w:t>4.1</w:t>
        </w:r>
        <w:r w:rsidR="00B82200" w:rsidRPr="00466515">
          <w:rPr>
            <w:rFonts w:eastAsia="MS Mincho"/>
            <w:i w:val="0"/>
            <w:iCs w:val="0"/>
            <w:noProof/>
            <w:sz w:val="22"/>
            <w:szCs w:val="22"/>
            <w:lang w:eastAsia="en-GB" w:bidi="ar-SA"/>
          </w:rPr>
          <w:tab/>
        </w:r>
        <w:r w:rsidR="00B82200" w:rsidRPr="00300B23">
          <w:rPr>
            <w:rStyle w:val="Hyperlink"/>
            <w:noProof/>
          </w:rPr>
          <w:t>Interim at-site risk management measures for PFAS</w:t>
        </w:r>
        <w:r w:rsidR="00B82200">
          <w:rPr>
            <w:noProof/>
            <w:webHidden/>
          </w:rPr>
          <w:tab/>
        </w:r>
        <w:r w:rsidR="00B82200">
          <w:rPr>
            <w:noProof/>
            <w:webHidden/>
          </w:rPr>
          <w:fldChar w:fldCharType="begin"/>
        </w:r>
        <w:r w:rsidR="00B82200">
          <w:rPr>
            <w:noProof/>
            <w:webHidden/>
          </w:rPr>
          <w:instrText xml:space="preserve"> PAGEREF _Toc475953975 \h </w:instrText>
        </w:r>
        <w:r w:rsidR="00B82200">
          <w:rPr>
            <w:noProof/>
            <w:webHidden/>
          </w:rPr>
        </w:r>
        <w:r w:rsidR="00B82200">
          <w:rPr>
            <w:noProof/>
            <w:webHidden/>
          </w:rPr>
          <w:fldChar w:fldCharType="separate"/>
        </w:r>
        <w:r w:rsidR="00B47C9D">
          <w:rPr>
            <w:noProof/>
            <w:webHidden/>
          </w:rPr>
          <w:t>13</w:t>
        </w:r>
        <w:r w:rsidR="00B82200">
          <w:rPr>
            <w:noProof/>
            <w:webHidden/>
          </w:rPr>
          <w:fldChar w:fldCharType="end"/>
        </w:r>
      </w:hyperlink>
    </w:p>
    <w:p w14:paraId="73B4C4B7" w14:textId="77777777" w:rsidR="00B82200" w:rsidRPr="00466515" w:rsidRDefault="00000000">
      <w:pPr>
        <w:pStyle w:val="TOC3"/>
        <w:tabs>
          <w:tab w:val="left" w:pos="1100"/>
          <w:tab w:val="right" w:leader="dot" w:pos="9060"/>
        </w:tabs>
        <w:rPr>
          <w:rFonts w:eastAsia="MS Mincho"/>
          <w:i w:val="0"/>
          <w:iCs w:val="0"/>
          <w:noProof/>
          <w:sz w:val="22"/>
          <w:szCs w:val="22"/>
          <w:lang w:eastAsia="en-GB" w:bidi="ar-SA"/>
        </w:rPr>
      </w:pPr>
      <w:hyperlink w:anchor="_Toc475953976" w:history="1">
        <w:r w:rsidR="00B82200" w:rsidRPr="00300B23">
          <w:rPr>
            <w:rStyle w:val="Hyperlink"/>
            <w:noProof/>
          </w:rPr>
          <w:t>4.2</w:t>
        </w:r>
        <w:r w:rsidR="00B82200" w:rsidRPr="00466515">
          <w:rPr>
            <w:rFonts w:eastAsia="MS Mincho"/>
            <w:i w:val="0"/>
            <w:iCs w:val="0"/>
            <w:noProof/>
            <w:sz w:val="22"/>
            <w:szCs w:val="22"/>
            <w:lang w:eastAsia="en-GB" w:bidi="ar-SA"/>
          </w:rPr>
          <w:tab/>
        </w:r>
        <w:r w:rsidR="00B82200" w:rsidRPr="00300B23">
          <w:rPr>
            <w:rStyle w:val="Hyperlink"/>
            <w:noProof/>
          </w:rPr>
          <w:t>Potential risk management measures</w:t>
        </w:r>
        <w:r w:rsidR="00B82200">
          <w:rPr>
            <w:noProof/>
            <w:webHidden/>
          </w:rPr>
          <w:tab/>
        </w:r>
        <w:r w:rsidR="00B82200">
          <w:rPr>
            <w:noProof/>
            <w:webHidden/>
          </w:rPr>
          <w:fldChar w:fldCharType="begin"/>
        </w:r>
        <w:r w:rsidR="00B82200">
          <w:rPr>
            <w:noProof/>
            <w:webHidden/>
          </w:rPr>
          <w:instrText xml:space="preserve"> PAGEREF _Toc475953976 \h </w:instrText>
        </w:r>
        <w:r w:rsidR="00B82200">
          <w:rPr>
            <w:noProof/>
            <w:webHidden/>
          </w:rPr>
        </w:r>
        <w:r w:rsidR="00B82200">
          <w:rPr>
            <w:noProof/>
            <w:webHidden/>
          </w:rPr>
          <w:fldChar w:fldCharType="separate"/>
        </w:r>
        <w:r w:rsidR="00B47C9D">
          <w:rPr>
            <w:noProof/>
            <w:webHidden/>
          </w:rPr>
          <w:t>13</w:t>
        </w:r>
        <w:r w:rsidR="00B82200">
          <w:rPr>
            <w:noProof/>
            <w:webHidden/>
          </w:rPr>
          <w:fldChar w:fldCharType="end"/>
        </w:r>
      </w:hyperlink>
    </w:p>
    <w:p w14:paraId="78EB8FE5" w14:textId="77777777" w:rsidR="00B82200" w:rsidRPr="00466515" w:rsidRDefault="00000000">
      <w:pPr>
        <w:pStyle w:val="TOC3"/>
        <w:tabs>
          <w:tab w:val="left" w:pos="1100"/>
          <w:tab w:val="right" w:leader="dot" w:pos="9060"/>
        </w:tabs>
        <w:rPr>
          <w:rFonts w:eastAsia="MS Mincho"/>
          <w:i w:val="0"/>
          <w:iCs w:val="0"/>
          <w:noProof/>
          <w:sz w:val="22"/>
          <w:szCs w:val="22"/>
          <w:lang w:eastAsia="en-GB" w:bidi="ar-SA"/>
        </w:rPr>
      </w:pPr>
      <w:hyperlink w:anchor="_Toc475953977" w:history="1">
        <w:r w:rsidR="00B82200" w:rsidRPr="00300B23">
          <w:rPr>
            <w:rStyle w:val="Hyperlink"/>
            <w:noProof/>
          </w:rPr>
          <w:t>4.3</w:t>
        </w:r>
        <w:r w:rsidR="00B82200" w:rsidRPr="00466515">
          <w:rPr>
            <w:rFonts w:eastAsia="MS Mincho"/>
            <w:i w:val="0"/>
            <w:iCs w:val="0"/>
            <w:noProof/>
            <w:sz w:val="22"/>
            <w:szCs w:val="22"/>
            <w:lang w:eastAsia="en-GB" w:bidi="ar-SA"/>
          </w:rPr>
          <w:tab/>
        </w:r>
        <w:r w:rsidR="00B82200" w:rsidRPr="00300B23">
          <w:rPr>
            <w:rStyle w:val="Hyperlink"/>
            <w:noProof/>
          </w:rPr>
          <w:t>Other measures outside of FSANZ’s remit</w:t>
        </w:r>
        <w:r w:rsidR="00B82200">
          <w:rPr>
            <w:noProof/>
            <w:webHidden/>
          </w:rPr>
          <w:tab/>
        </w:r>
        <w:r w:rsidR="00B82200">
          <w:rPr>
            <w:noProof/>
            <w:webHidden/>
          </w:rPr>
          <w:fldChar w:fldCharType="begin"/>
        </w:r>
        <w:r w:rsidR="00B82200">
          <w:rPr>
            <w:noProof/>
            <w:webHidden/>
          </w:rPr>
          <w:instrText xml:space="preserve"> PAGEREF _Toc475953977 \h </w:instrText>
        </w:r>
        <w:r w:rsidR="00B82200">
          <w:rPr>
            <w:noProof/>
            <w:webHidden/>
          </w:rPr>
        </w:r>
        <w:r w:rsidR="00B82200">
          <w:rPr>
            <w:noProof/>
            <w:webHidden/>
          </w:rPr>
          <w:fldChar w:fldCharType="separate"/>
        </w:r>
        <w:r w:rsidR="00B47C9D">
          <w:rPr>
            <w:noProof/>
            <w:webHidden/>
          </w:rPr>
          <w:t>14</w:t>
        </w:r>
        <w:r w:rsidR="00B82200">
          <w:rPr>
            <w:noProof/>
            <w:webHidden/>
          </w:rPr>
          <w:fldChar w:fldCharType="end"/>
        </w:r>
      </w:hyperlink>
    </w:p>
    <w:p w14:paraId="7FFC4849" w14:textId="77777777" w:rsidR="00B82200" w:rsidRPr="00466515" w:rsidRDefault="00000000">
      <w:pPr>
        <w:pStyle w:val="TOC2"/>
        <w:tabs>
          <w:tab w:val="left" w:pos="660"/>
          <w:tab w:val="right" w:leader="dot" w:pos="9060"/>
        </w:tabs>
        <w:rPr>
          <w:rFonts w:eastAsia="MS Mincho"/>
          <w:smallCaps w:val="0"/>
          <w:noProof/>
          <w:sz w:val="22"/>
          <w:szCs w:val="22"/>
          <w:lang w:eastAsia="en-GB" w:bidi="ar-SA"/>
        </w:rPr>
      </w:pPr>
      <w:hyperlink w:anchor="_Toc475953978" w:history="1">
        <w:r w:rsidR="00B82200" w:rsidRPr="00300B23">
          <w:rPr>
            <w:rStyle w:val="Hyperlink"/>
            <w:noProof/>
          </w:rPr>
          <w:t>5.</w:t>
        </w:r>
        <w:r w:rsidR="00B82200" w:rsidRPr="00466515">
          <w:rPr>
            <w:rFonts w:eastAsia="MS Mincho"/>
            <w:smallCaps w:val="0"/>
            <w:noProof/>
            <w:sz w:val="22"/>
            <w:szCs w:val="22"/>
            <w:lang w:eastAsia="en-GB" w:bidi="ar-SA"/>
          </w:rPr>
          <w:tab/>
        </w:r>
        <w:r w:rsidR="00B82200" w:rsidRPr="00300B23">
          <w:rPr>
            <w:rStyle w:val="Hyperlink"/>
            <w:noProof/>
          </w:rPr>
          <w:t>Conclusions</w:t>
        </w:r>
        <w:r w:rsidR="00B82200">
          <w:rPr>
            <w:noProof/>
            <w:webHidden/>
          </w:rPr>
          <w:tab/>
        </w:r>
        <w:r w:rsidR="00B82200">
          <w:rPr>
            <w:noProof/>
            <w:webHidden/>
          </w:rPr>
          <w:fldChar w:fldCharType="begin"/>
        </w:r>
        <w:r w:rsidR="00B82200">
          <w:rPr>
            <w:noProof/>
            <w:webHidden/>
          </w:rPr>
          <w:instrText xml:space="preserve"> PAGEREF _Toc475953978 \h </w:instrText>
        </w:r>
        <w:r w:rsidR="00B82200">
          <w:rPr>
            <w:noProof/>
            <w:webHidden/>
          </w:rPr>
        </w:r>
        <w:r w:rsidR="00B82200">
          <w:rPr>
            <w:noProof/>
            <w:webHidden/>
          </w:rPr>
          <w:fldChar w:fldCharType="separate"/>
        </w:r>
        <w:r w:rsidR="00B47C9D">
          <w:rPr>
            <w:noProof/>
            <w:webHidden/>
          </w:rPr>
          <w:t>15</w:t>
        </w:r>
        <w:r w:rsidR="00B82200">
          <w:rPr>
            <w:noProof/>
            <w:webHidden/>
          </w:rPr>
          <w:fldChar w:fldCharType="end"/>
        </w:r>
      </w:hyperlink>
    </w:p>
    <w:p w14:paraId="0C6E21B7" w14:textId="77777777" w:rsidR="00B82200" w:rsidRPr="00466515" w:rsidRDefault="00000000">
      <w:pPr>
        <w:pStyle w:val="TOC2"/>
        <w:tabs>
          <w:tab w:val="left" w:pos="660"/>
          <w:tab w:val="right" w:leader="dot" w:pos="9060"/>
        </w:tabs>
        <w:rPr>
          <w:rFonts w:eastAsia="MS Mincho"/>
          <w:smallCaps w:val="0"/>
          <w:noProof/>
          <w:sz w:val="22"/>
          <w:szCs w:val="22"/>
          <w:lang w:eastAsia="en-GB" w:bidi="ar-SA"/>
        </w:rPr>
      </w:pPr>
      <w:hyperlink w:anchor="_Toc475953981" w:history="1">
        <w:r w:rsidR="00B82200" w:rsidRPr="00300B23">
          <w:rPr>
            <w:rStyle w:val="Hyperlink"/>
            <w:noProof/>
          </w:rPr>
          <w:t>6.</w:t>
        </w:r>
        <w:r w:rsidR="00B82200" w:rsidRPr="00466515">
          <w:rPr>
            <w:rFonts w:eastAsia="MS Mincho"/>
            <w:smallCaps w:val="0"/>
            <w:noProof/>
            <w:sz w:val="22"/>
            <w:szCs w:val="22"/>
            <w:lang w:eastAsia="en-GB" w:bidi="ar-SA"/>
          </w:rPr>
          <w:tab/>
        </w:r>
        <w:r w:rsidR="00B82200" w:rsidRPr="00300B23">
          <w:rPr>
            <w:rStyle w:val="Hyperlink"/>
            <w:noProof/>
          </w:rPr>
          <w:t>References</w:t>
        </w:r>
        <w:r w:rsidR="00B82200">
          <w:rPr>
            <w:noProof/>
            <w:webHidden/>
          </w:rPr>
          <w:tab/>
        </w:r>
        <w:r w:rsidR="00B82200">
          <w:rPr>
            <w:noProof/>
            <w:webHidden/>
          </w:rPr>
          <w:fldChar w:fldCharType="begin"/>
        </w:r>
        <w:r w:rsidR="00B82200">
          <w:rPr>
            <w:noProof/>
            <w:webHidden/>
          </w:rPr>
          <w:instrText xml:space="preserve"> PAGEREF _Toc475953981 \h </w:instrText>
        </w:r>
        <w:r w:rsidR="00B82200">
          <w:rPr>
            <w:noProof/>
            <w:webHidden/>
          </w:rPr>
        </w:r>
        <w:r w:rsidR="00B82200">
          <w:rPr>
            <w:noProof/>
            <w:webHidden/>
          </w:rPr>
          <w:fldChar w:fldCharType="separate"/>
        </w:r>
        <w:r w:rsidR="00B47C9D">
          <w:rPr>
            <w:noProof/>
            <w:webHidden/>
          </w:rPr>
          <w:t>16</w:t>
        </w:r>
        <w:r w:rsidR="00B82200">
          <w:rPr>
            <w:noProof/>
            <w:webHidden/>
          </w:rPr>
          <w:fldChar w:fldCharType="end"/>
        </w:r>
      </w:hyperlink>
    </w:p>
    <w:p w14:paraId="7810336E" w14:textId="77777777" w:rsidR="003A617F" w:rsidRPr="00401876" w:rsidRDefault="00401876" w:rsidP="00796E35">
      <w:pPr>
        <w:rPr>
          <w:rFonts w:cs="Arial"/>
          <w:sz w:val="20"/>
          <w:szCs w:val="20"/>
        </w:rPr>
      </w:pPr>
      <w:r w:rsidRPr="00401876">
        <w:rPr>
          <w:rFonts w:cs="Arial"/>
          <w:sz w:val="20"/>
          <w:szCs w:val="20"/>
        </w:rPr>
        <w:fldChar w:fldCharType="end"/>
      </w:r>
    </w:p>
    <w:p w14:paraId="20920DE1" w14:textId="77777777" w:rsidR="00CC0A18" w:rsidRDefault="00CC0A18" w:rsidP="00947CB0">
      <w:pPr>
        <w:widowControl/>
      </w:pPr>
      <w:r>
        <w:br w:type="page"/>
      </w:r>
    </w:p>
    <w:p w14:paraId="1E2B4197" w14:textId="77777777" w:rsidR="00620082" w:rsidRDefault="00620082" w:rsidP="005647D9">
      <w:pPr>
        <w:pStyle w:val="Heading2"/>
      </w:pPr>
      <w:bookmarkStart w:id="9" w:name="_Toc475953963"/>
      <w:bookmarkStart w:id="10" w:name="_Toc286391003"/>
      <w:bookmarkStart w:id="11" w:name="_Toc300933417"/>
      <w:bookmarkStart w:id="12" w:name="_Toc267859687"/>
      <w:bookmarkStart w:id="13" w:name="_Toc403377523"/>
      <w:bookmarkStart w:id="14" w:name="_Toc370380691"/>
      <w:bookmarkStart w:id="15" w:name="_Toc267859688"/>
      <w:bookmarkEnd w:id="1"/>
      <w:bookmarkEnd w:id="2"/>
      <w:bookmarkEnd w:id="3"/>
      <w:bookmarkEnd w:id="4"/>
      <w:bookmarkEnd w:id="5"/>
      <w:bookmarkEnd w:id="6"/>
      <w:bookmarkEnd w:id="7"/>
      <w:bookmarkEnd w:id="8"/>
      <w:r>
        <w:lastRenderedPageBreak/>
        <w:t>Executive Summary</w:t>
      </w:r>
      <w:bookmarkEnd w:id="9"/>
      <w:r>
        <w:t xml:space="preserve"> </w:t>
      </w:r>
    </w:p>
    <w:p w14:paraId="7C7FF0F4" w14:textId="77777777" w:rsidR="006D3DFE" w:rsidRDefault="00474C81" w:rsidP="006D3DFE">
      <w:pPr>
        <w:widowControl/>
        <w:spacing w:after="240"/>
        <w:rPr>
          <w:rFonts w:cs="Arial"/>
          <w:szCs w:val="22"/>
        </w:rPr>
      </w:pPr>
      <w:r w:rsidRPr="00474C81">
        <w:rPr>
          <w:rFonts w:cs="Arial"/>
          <w:szCs w:val="28"/>
        </w:rPr>
        <w:t>A number of locations within Australia have localised contamination with perfluorinated chemi</w:t>
      </w:r>
      <w:r w:rsidR="00762621">
        <w:rPr>
          <w:rFonts w:cs="Arial"/>
          <w:szCs w:val="28"/>
        </w:rPr>
        <w:t xml:space="preserve">cals </w:t>
      </w:r>
      <w:r w:rsidRPr="00474C81">
        <w:rPr>
          <w:rFonts w:cs="Arial"/>
          <w:szCs w:val="28"/>
        </w:rPr>
        <w:t xml:space="preserve">arising from </w:t>
      </w:r>
      <w:r w:rsidRPr="00474C81">
        <w:rPr>
          <w:szCs w:val="22"/>
        </w:rPr>
        <w:t xml:space="preserve">their use in firefighting foams. </w:t>
      </w:r>
      <w:r w:rsidR="00A036C8">
        <w:rPr>
          <w:szCs w:val="22"/>
        </w:rPr>
        <w:t xml:space="preserve">Three </w:t>
      </w:r>
      <w:r w:rsidR="00A036C8" w:rsidRPr="00474C81">
        <w:rPr>
          <w:rFonts w:cs="Arial"/>
          <w:szCs w:val="28"/>
        </w:rPr>
        <w:t xml:space="preserve">perfluorinated </w:t>
      </w:r>
      <w:r w:rsidR="00A036C8">
        <w:rPr>
          <w:szCs w:val="22"/>
        </w:rPr>
        <w:t>chemicals</w:t>
      </w:r>
      <w:r w:rsidR="00ED22A3">
        <w:rPr>
          <w:szCs w:val="22"/>
        </w:rPr>
        <w:t xml:space="preserve"> are the subject of this report;</w:t>
      </w:r>
      <w:r w:rsidR="00A036C8">
        <w:rPr>
          <w:szCs w:val="22"/>
        </w:rPr>
        <w:t xml:space="preserve"> </w:t>
      </w:r>
      <w:r w:rsidR="006806D8" w:rsidRPr="006806D8">
        <w:rPr>
          <w:szCs w:val="22"/>
        </w:rPr>
        <w:t>PFOS, PFOA and PFHxS</w:t>
      </w:r>
      <w:r w:rsidR="00ED22A3">
        <w:rPr>
          <w:szCs w:val="22"/>
        </w:rPr>
        <w:t>. They</w:t>
      </w:r>
      <w:r w:rsidR="006806D8" w:rsidRPr="006806D8">
        <w:rPr>
          <w:szCs w:val="22"/>
        </w:rPr>
        <w:t xml:space="preserve"> belong to a group of compounds collectively referred to as</w:t>
      </w:r>
      <w:r w:rsidR="006806D8">
        <w:rPr>
          <w:szCs w:val="22"/>
        </w:rPr>
        <w:t xml:space="preserve"> </w:t>
      </w:r>
      <w:r w:rsidR="006806D8" w:rsidRPr="006806D8">
        <w:rPr>
          <w:szCs w:val="22"/>
        </w:rPr>
        <w:t>per</w:t>
      </w:r>
      <w:r w:rsidR="00A036C8">
        <w:rPr>
          <w:szCs w:val="22"/>
        </w:rPr>
        <w:t>- and poly-</w:t>
      </w:r>
      <w:r w:rsidR="006806D8" w:rsidRPr="006806D8">
        <w:rPr>
          <w:szCs w:val="22"/>
        </w:rPr>
        <w:t>fluoroalkylated (PFAS) substances.</w:t>
      </w:r>
      <w:r w:rsidR="006D3DFE" w:rsidRPr="006D3DFE">
        <w:rPr>
          <w:rFonts w:cs="Arial"/>
          <w:szCs w:val="22"/>
        </w:rPr>
        <w:t xml:space="preserve"> </w:t>
      </w:r>
      <w:r w:rsidR="00BE598F">
        <w:rPr>
          <w:rFonts w:cs="Arial"/>
          <w:szCs w:val="22"/>
        </w:rPr>
        <w:t xml:space="preserve">For the purpose of this report PFAS refers to all three contaminants that FSANZ was asked to provide advice on under contract with </w:t>
      </w:r>
      <w:r w:rsidR="004F5407">
        <w:rPr>
          <w:rFonts w:cs="Arial"/>
          <w:szCs w:val="22"/>
        </w:rPr>
        <w:t xml:space="preserve">the Department of </w:t>
      </w:r>
      <w:r w:rsidR="00BE598F">
        <w:rPr>
          <w:rFonts w:cs="Arial"/>
          <w:szCs w:val="22"/>
        </w:rPr>
        <w:t xml:space="preserve">Health. </w:t>
      </w:r>
    </w:p>
    <w:p w14:paraId="534BBC32" w14:textId="77777777" w:rsidR="004A0987" w:rsidRDefault="009F492C" w:rsidP="006D3DFE">
      <w:pPr>
        <w:widowControl/>
        <w:spacing w:after="240"/>
        <w:rPr>
          <w:rFonts w:cs="Arial"/>
          <w:szCs w:val="22"/>
        </w:rPr>
      </w:pPr>
      <w:r w:rsidRPr="009A28C6">
        <w:rPr>
          <w:rFonts w:cs="Arial"/>
          <w:szCs w:val="22"/>
        </w:rPr>
        <w:t xml:space="preserve">These chemicals are environmentally persistent and </w:t>
      </w:r>
      <w:r w:rsidR="004A0987" w:rsidRPr="009A28C6">
        <w:rPr>
          <w:rFonts w:cs="Arial"/>
          <w:szCs w:val="22"/>
        </w:rPr>
        <w:t>in animal</w:t>
      </w:r>
      <w:r w:rsidR="00745434">
        <w:rPr>
          <w:rFonts w:cs="Arial"/>
          <w:szCs w:val="22"/>
        </w:rPr>
        <w:t>s</w:t>
      </w:r>
      <w:r w:rsidR="004A0987" w:rsidRPr="009A28C6">
        <w:rPr>
          <w:rFonts w:cs="Arial"/>
          <w:szCs w:val="22"/>
        </w:rPr>
        <w:t xml:space="preserve">, </w:t>
      </w:r>
      <w:r w:rsidRPr="009A28C6">
        <w:rPr>
          <w:rFonts w:cs="Arial"/>
          <w:szCs w:val="22"/>
        </w:rPr>
        <w:t xml:space="preserve">can cause </w:t>
      </w:r>
      <w:r w:rsidR="00E74C52">
        <w:rPr>
          <w:szCs w:val="22"/>
        </w:rPr>
        <w:t>l</w:t>
      </w:r>
      <w:r w:rsidR="004A0987" w:rsidRPr="009A28C6">
        <w:rPr>
          <w:szCs w:val="22"/>
        </w:rPr>
        <w:t>iver toxicity</w:t>
      </w:r>
      <w:r w:rsidR="00A5470E" w:rsidRPr="009A28C6">
        <w:rPr>
          <w:szCs w:val="22"/>
        </w:rPr>
        <w:t xml:space="preserve"> and </w:t>
      </w:r>
      <w:r w:rsidR="004A0987" w:rsidRPr="009A28C6">
        <w:rPr>
          <w:szCs w:val="22"/>
        </w:rPr>
        <w:t>tumours</w:t>
      </w:r>
      <w:r w:rsidR="00A5470E" w:rsidRPr="009A28C6">
        <w:rPr>
          <w:szCs w:val="22"/>
        </w:rPr>
        <w:t xml:space="preserve"> </w:t>
      </w:r>
      <w:r w:rsidR="009373B7" w:rsidRPr="009A28C6">
        <w:rPr>
          <w:szCs w:val="22"/>
        </w:rPr>
        <w:t>and reproductive</w:t>
      </w:r>
      <w:r w:rsidR="00E74C52">
        <w:rPr>
          <w:szCs w:val="22"/>
        </w:rPr>
        <w:t xml:space="preserve"> and developmental effects </w:t>
      </w:r>
      <w:r w:rsidR="004A0987" w:rsidRPr="009A28C6">
        <w:rPr>
          <w:szCs w:val="22"/>
        </w:rPr>
        <w:t>(PFOS and PFOA)</w:t>
      </w:r>
      <w:r w:rsidR="00745434">
        <w:rPr>
          <w:szCs w:val="22"/>
        </w:rPr>
        <w:t xml:space="preserve">. </w:t>
      </w:r>
      <w:r w:rsidR="004A0987" w:rsidRPr="004A0987">
        <w:rPr>
          <w:rFonts w:cs="Arial"/>
          <w:szCs w:val="22"/>
        </w:rPr>
        <w:t>Epidemiological studies have not provided convincing evidence of a correlation between PFOS and PFHxS and any cancer type in human beings. Although associations between PFOA and some human cancers have been suggested from some epidemiological studies, results have often been contradictory, and a causal relationship cannot be established with reasonable confidence</w:t>
      </w:r>
      <w:r w:rsidR="004F5407">
        <w:rPr>
          <w:rFonts w:cs="Arial"/>
          <w:szCs w:val="22"/>
        </w:rPr>
        <w:t>.</w:t>
      </w:r>
    </w:p>
    <w:p w14:paraId="1B7FB83C" w14:textId="77777777" w:rsidR="00347B27" w:rsidRPr="005647D9" w:rsidRDefault="008667DC" w:rsidP="00D13396">
      <w:pPr>
        <w:pStyle w:val="Heading3"/>
        <w:ind w:left="0" w:firstLine="0"/>
      </w:pPr>
      <w:bookmarkStart w:id="16" w:name="_Toc475953964"/>
      <w:r>
        <w:rPr>
          <w:rFonts w:cs="Arial"/>
          <w:szCs w:val="22"/>
        </w:rPr>
        <w:t>Recommended HBGVs</w:t>
      </w:r>
      <w:bookmarkEnd w:id="16"/>
    </w:p>
    <w:p w14:paraId="0DCBA91F" w14:textId="77777777" w:rsidR="009F492C" w:rsidRDefault="00DF1CC3" w:rsidP="00DF1CC3">
      <w:r>
        <w:t>FSANZ has completed its review and recommends tolerable daily intakes (TDIs) of 20 ng/kg bw/day for PFOS and 160 ng/kg bw/day for PFOA. These values are lower than the EFSA TDIs of 150 and 1,500 ng/kg bw/day, respectively</w:t>
      </w:r>
      <w:r w:rsidR="004437BD">
        <w:t>, adopted on an interim basis by enHealth</w:t>
      </w:r>
      <w:r w:rsidR="008667DC">
        <w:t>.</w:t>
      </w:r>
    </w:p>
    <w:p w14:paraId="5923BD23" w14:textId="77777777" w:rsidR="009F492C" w:rsidRDefault="009F492C" w:rsidP="00DF1CC3"/>
    <w:p w14:paraId="4B1BCE5E" w14:textId="77777777" w:rsidR="00DF1CC3" w:rsidRDefault="00DF1CC3" w:rsidP="00DF1CC3">
      <w:r>
        <w:t xml:space="preserve">There was insufficient information to establish a TDI for PFHxS. In the absence of a TDI, FSANZ agrees with enHealth that </w:t>
      </w:r>
      <w:r w:rsidR="004437BD">
        <w:t xml:space="preserve">using </w:t>
      </w:r>
      <w:r>
        <w:t xml:space="preserve">the TDI for PFOS is likely to be conservative and protective of public health. </w:t>
      </w:r>
      <w:r w:rsidR="004437BD">
        <w:t>Effectively, this means that PFHxS and PFOS should be summed for the purposes of a dietary exposure assessment and risk characterisation.</w:t>
      </w:r>
    </w:p>
    <w:p w14:paraId="04C8C026" w14:textId="77777777" w:rsidR="00474C81" w:rsidRPr="00474C81" w:rsidRDefault="00474C81" w:rsidP="003F146E">
      <w:pPr>
        <w:pStyle w:val="Heading3"/>
        <w:ind w:left="0" w:firstLine="0"/>
      </w:pPr>
      <w:bookmarkStart w:id="17" w:name="_Toc475953965"/>
      <w:r w:rsidRPr="00474C81">
        <w:t xml:space="preserve">Dietary exposure </w:t>
      </w:r>
      <w:r w:rsidR="00426E97">
        <w:t>calculations</w:t>
      </w:r>
      <w:bookmarkEnd w:id="17"/>
      <w:r w:rsidR="00426E97">
        <w:t xml:space="preserve"> </w:t>
      </w:r>
      <w:r w:rsidR="00426E97" w:rsidRPr="00474C81">
        <w:t xml:space="preserve"> </w:t>
      </w:r>
    </w:p>
    <w:p w14:paraId="248016AC" w14:textId="77777777" w:rsidR="00DB034D" w:rsidRDefault="00DB034D" w:rsidP="00DB034D">
      <w:pPr>
        <w:widowControl/>
        <w:spacing w:before="60" w:after="60"/>
        <w:rPr>
          <w:rFonts w:cs="Arial"/>
          <w:szCs w:val="22"/>
          <w:lang w:val="en-AU" w:bidi="ar-SA"/>
        </w:rPr>
      </w:pPr>
      <w:r w:rsidRPr="002C4648">
        <w:rPr>
          <w:rFonts w:cs="Arial"/>
          <w:szCs w:val="22"/>
          <w:lang w:val="en-AU" w:bidi="ar-SA"/>
        </w:rPr>
        <w:t xml:space="preserve">Only very limited data on the concentration of PFOS, PFOA and PFHxS in Australian foods were made available to FSANZ as inputs into dietary exposure calculations. </w:t>
      </w:r>
    </w:p>
    <w:p w14:paraId="60F2860C" w14:textId="77777777" w:rsidR="009373B7" w:rsidRDefault="009373B7" w:rsidP="00DB034D">
      <w:pPr>
        <w:widowControl/>
        <w:spacing w:before="60" w:after="60"/>
        <w:rPr>
          <w:rFonts w:cs="Arial"/>
          <w:szCs w:val="22"/>
          <w:lang w:val="en-AU" w:bidi="ar-SA"/>
        </w:rPr>
      </w:pPr>
    </w:p>
    <w:p w14:paraId="530D51BA" w14:textId="77777777" w:rsidR="00DB034D" w:rsidRDefault="00DB034D" w:rsidP="00DB034D">
      <w:pPr>
        <w:widowControl/>
        <w:spacing w:before="60" w:after="60"/>
        <w:rPr>
          <w:rFonts w:cs="Arial"/>
          <w:szCs w:val="22"/>
          <w:lang w:val="en-AU" w:bidi="ar-SA"/>
        </w:rPr>
      </w:pPr>
      <w:r w:rsidRPr="002C4648">
        <w:rPr>
          <w:rFonts w:cs="Arial"/>
          <w:szCs w:val="22"/>
          <w:lang w:val="en-AU" w:bidi="ar-SA"/>
        </w:rPr>
        <w:t xml:space="preserve">On the 8 August 2016, FSANZ undertook a data call seeking data on the occurrence of </w:t>
      </w:r>
      <w:r>
        <w:rPr>
          <w:rFonts w:cs="Arial"/>
          <w:szCs w:val="22"/>
          <w:lang w:val="en-AU" w:bidi="ar-SA"/>
        </w:rPr>
        <w:t>PFAS</w:t>
      </w:r>
      <w:r w:rsidRPr="002C4648">
        <w:rPr>
          <w:rFonts w:cs="Arial"/>
          <w:szCs w:val="22"/>
          <w:lang w:val="en-AU" w:bidi="ar-SA"/>
        </w:rPr>
        <w:t xml:space="preserve"> in food in Australia. FSANZ received 10 data sets in response with most data being environmental samples from contaminated sites. The majority of samples were seafood. All data received were included in a combined data set and, following data cleaning and transformation, used to create a final analytical data set for use in dietary exposure calculations. </w:t>
      </w:r>
    </w:p>
    <w:p w14:paraId="41051E78" w14:textId="77777777" w:rsidR="00B27D11" w:rsidRDefault="00B27D11" w:rsidP="00D44980">
      <w:pPr>
        <w:widowControl/>
        <w:spacing w:before="60" w:after="60"/>
      </w:pPr>
    </w:p>
    <w:p w14:paraId="7C6EA986" w14:textId="77777777" w:rsidR="00A57943" w:rsidRDefault="00D44980" w:rsidP="00D44980">
      <w:pPr>
        <w:widowControl/>
        <w:spacing w:before="60" w:after="60"/>
      </w:pPr>
      <w:r>
        <w:t>The lack of data on the levels of these chemicals in</w:t>
      </w:r>
      <w:r w:rsidRPr="00306D4A">
        <w:t xml:space="preserve"> the general food supply</w:t>
      </w:r>
      <w:r>
        <w:t xml:space="preserve"> meant</w:t>
      </w:r>
      <w:r w:rsidR="004F5407">
        <w:t xml:space="preserve"> that</w:t>
      </w:r>
      <w:r>
        <w:t xml:space="preserve"> it w</w:t>
      </w:r>
      <w:r w:rsidRPr="00306D4A">
        <w:t xml:space="preserve">as not possible to </w:t>
      </w:r>
      <w:r>
        <w:t>estimate</w:t>
      </w:r>
      <w:r w:rsidRPr="00306D4A">
        <w:t xml:space="preserve"> dietary exposure for the general Australian population</w:t>
      </w:r>
      <w:r w:rsidR="008F2766">
        <w:t xml:space="preserve"> at this time</w:t>
      </w:r>
      <w:r w:rsidRPr="00306D4A">
        <w:t>.</w:t>
      </w:r>
      <w:r>
        <w:t xml:space="preserve"> </w:t>
      </w:r>
    </w:p>
    <w:p w14:paraId="3C6A61E8" w14:textId="77777777" w:rsidR="00022886" w:rsidRDefault="00022886" w:rsidP="00D44980">
      <w:pPr>
        <w:widowControl/>
        <w:spacing w:before="60" w:after="60"/>
        <w:rPr>
          <w:rFonts w:cs="Arial"/>
          <w:szCs w:val="22"/>
          <w:lang w:val="en-AU" w:bidi="ar-SA"/>
        </w:rPr>
      </w:pPr>
    </w:p>
    <w:p w14:paraId="583ACE3B" w14:textId="77777777" w:rsidR="00D44980" w:rsidRDefault="00D44980" w:rsidP="00D44980">
      <w:pPr>
        <w:widowControl/>
        <w:spacing w:before="60" w:after="60"/>
        <w:rPr>
          <w:rFonts w:cs="Arial"/>
          <w:szCs w:val="22"/>
          <w:lang w:val="en-AU" w:bidi="ar-SA"/>
        </w:rPr>
      </w:pPr>
      <w:r>
        <w:rPr>
          <w:rFonts w:cs="Arial"/>
          <w:szCs w:val="22"/>
          <w:lang w:val="en-AU" w:bidi="ar-SA"/>
        </w:rPr>
        <w:t xml:space="preserve">The available data </w:t>
      </w:r>
      <w:r w:rsidRPr="00EE6A88">
        <w:rPr>
          <w:rFonts w:cs="Arial"/>
          <w:szCs w:val="22"/>
          <w:lang w:val="en-AU" w:bidi="ar-SA"/>
        </w:rPr>
        <w:t>from the 24th Australian Total Diet Study</w:t>
      </w:r>
      <w:r w:rsidR="008F2766">
        <w:rPr>
          <w:rFonts w:cs="Arial"/>
          <w:szCs w:val="22"/>
          <w:lang w:val="en-AU" w:bidi="ar-SA"/>
        </w:rPr>
        <w:t xml:space="preserve">, </w:t>
      </w:r>
      <w:r w:rsidR="008F2766">
        <w:rPr>
          <w:rFonts w:eastAsia="Calibri"/>
          <w:szCs w:val="22"/>
          <w:lang w:bidi="ar-SA"/>
        </w:rPr>
        <w:t xml:space="preserve">recent results on </w:t>
      </w:r>
      <w:r w:rsidR="008F2766" w:rsidRPr="00A75B6F">
        <w:rPr>
          <w:rFonts w:eastAsia="Calibri"/>
          <w:szCs w:val="22"/>
          <w:lang w:bidi="ar-SA"/>
        </w:rPr>
        <w:t>imported fish and prawn samples purcha</w:t>
      </w:r>
      <w:r w:rsidR="008F2766">
        <w:rPr>
          <w:rFonts w:eastAsia="Calibri"/>
          <w:szCs w:val="22"/>
          <w:lang w:bidi="ar-SA"/>
        </w:rPr>
        <w:t>sed from Sydney retail outlets</w:t>
      </w:r>
      <w:r w:rsidRPr="00EE6A88">
        <w:rPr>
          <w:rFonts w:cs="Arial"/>
          <w:szCs w:val="22"/>
          <w:lang w:val="en-AU" w:bidi="ar-SA"/>
        </w:rPr>
        <w:t xml:space="preserve"> and a </w:t>
      </w:r>
      <w:r>
        <w:rPr>
          <w:rFonts w:cs="Arial"/>
          <w:szCs w:val="22"/>
          <w:lang w:val="en-AU" w:bidi="ar-SA"/>
        </w:rPr>
        <w:t xml:space="preserve">comprehensive </w:t>
      </w:r>
      <w:r w:rsidRPr="00EE6A88">
        <w:rPr>
          <w:rFonts w:cs="Arial"/>
          <w:szCs w:val="22"/>
          <w:lang w:val="en-AU" w:bidi="ar-SA"/>
        </w:rPr>
        <w:t xml:space="preserve">review of the literature, </w:t>
      </w:r>
      <w:r>
        <w:rPr>
          <w:rFonts w:cs="Arial"/>
          <w:szCs w:val="22"/>
          <w:lang w:val="en-AU" w:bidi="ar-SA"/>
        </w:rPr>
        <w:t xml:space="preserve">suggests that </w:t>
      </w:r>
      <w:r w:rsidRPr="00EE6A88">
        <w:rPr>
          <w:rFonts w:cs="Arial"/>
          <w:szCs w:val="22"/>
          <w:lang w:val="en-AU" w:bidi="ar-SA"/>
        </w:rPr>
        <w:t>dietary exposure to PFOS, PFOA and PFHxS from the general food supply is likely to be low</w:t>
      </w:r>
      <w:r>
        <w:rPr>
          <w:rFonts w:cs="Arial"/>
          <w:szCs w:val="22"/>
          <w:lang w:val="en-AU" w:bidi="ar-SA"/>
        </w:rPr>
        <w:t xml:space="preserve"> as </w:t>
      </w:r>
      <w:r w:rsidR="002D6EF8">
        <w:rPr>
          <w:rFonts w:cs="Arial"/>
          <w:szCs w:val="22"/>
          <w:lang w:val="en-AU" w:bidi="ar-SA"/>
        </w:rPr>
        <w:t xml:space="preserve">the majority of samples in studies reported in Australia and elsewhere </w:t>
      </w:r>
      <w:r w:rsidR="002D6EF8">
        <w:t>did not detect these chemicals in testing</w:t>
      </w:r>
      <w:r w:rsidRPr="00EE6A88">
        <w:rPr>
          <w:rFonts w:cs="Arial"/>
          <w:szCs w:val="22"/>
          <w:lang w:val="en-AU" w:bidi="ar-SA"/>
        </w:rPr>
        <w:t xml:space="preserve">. </w:t>
      </w:r>
    </w:p>
    <w:p w14:paraId="63069C2D" w14:textId="77777777" w:rsidR="00D44980" w:rsidRPr="00D44980" w:rsidRDefault="00D44980" w:rsidP="009455A7">
      <w:pPr>
        <w:pStyle w:val="Heading4"/>
      </w:pPr>
      <w:r w:rsidRPr="00D44980">
        <w:t xml:space="preserve">Contaminated sites </w:t>
      </w:r>
    </w:p>
    <w:p w14:paraId="0FA25606" w14:textId="77777777" w:rsidR="00520E36" w:rsidRDefault="00520E36" w:rsidP="0041734E"/>
    <w:p w14:paraId="61CAD854" w14:textId="77777777" w:rsidR="0041734E" w:rsidRDefault="0041734E" w:rsidP="0041734E">
      <w:r>
        <w:t>FS</w:t>
      </w:r>
      <w:r w:rsidR="00CA26B3">
        <w:t xml:space="preserve">ANZ has </w:t>
      </w:r>
      <w:r w:rsidR="00175CBC">
        <w:t xml:space="preserve">estimated </w:t>
      </w:r>
      <w:r w:rsidR="00FF1C64">
        <w:t xml:space="preserve">dietary </w:t>
      </w:r>
      <w:r w:rsidR="00CA26B3">
        <w:t xml:space="preserve">exposure to PFOS, </w:t>
      </w:r>
      <w:r w:rsidRPr="00F140DE">
        <w:t>PFOA</w:t>
      </w:r>
      <w:r w:rsidR="00CA26B3">
        <w:t xml:space="preserve"> and PFHxS </w:t>
      </w:r>
      <w:r w:rsidR="00FF1C64">
        <w:t>from individual food groups sourced</w:t>
      </w:r>
      <w:r>
        <w:t xml:space="preserve"> in or near areas</w:t>
      </w:r>
      <w:r w:rsidRPr="00F140DE">
        <w:t xml:space="preserve"> </w:t>
      </w:r>
      <w:r>
        <w:t xml:space="preserve">contaminated with these </w:t>
      </w:r>
      <w:r w:rsidR="009B54A3">
        <w:t>chemicals</w:t>
      </w:r>
      <w:r>
        <w:t xml:space="preserve">. </w:t>
      </w:r>
    </w:p>
    <w:p w14:paraId="3DD9F88A" w14:textId="77777777" w:rsidR="0041734E" w:rsidRDefault="0041734E" w:rsidP="0041734E"/>
    <w:p w14:paraId="6E20A0CB" w14:textId="77777777" w:rsidR="0041734E" w:rsidRDefault="0041734E" w:rsidP="0041734E">
      <w:pPr>
        <w:widowControl/>
        <w:spacing w:before="60" w:after="60"/>
        <w:rPr>
          <w:rFonts w:cs="Arial"/>
          <w:szCs w:val="22"/>
          <w:lang w:val="en-AU" w:bidi="ar-SA"/>
        </w:rPr>
      </w:pPr>
      <w:r w:rsidRPr="00EE6A88">
        <w:rPr>
          <w:rFonts w:cs="Arial"/>
          <w:szCs w:val="22"/>
          <w:lang w:val="en-AU" w:bidi="ar-SA"/>
        </w:rPr>
        <w:t xml:space="preserve">To </w:t>
      </w:r>
      <w:r w:rsidR="004B62C7">
        <w:rPr>
          <w:rFonts w:cs="Arial"/>
          <w:szCs w:val="22"/>
          <w:lang w:val="en-AU" w:bidi="ar-SA"/>
        </w:rPr>
        <w:t>address</w:t>
      </w:r>
      <w:r w:rsidRPr="00EE6A88">
        <w:rPr>
          <w:rFonts w:cs="Arial"/>
          <w:szCs w:val="22"/>
          <w:lang w:val="en-AU" w:bidi="ar-SA"/>
        </w:rPr>
        <w:t xml:space="preserve"> the </w:t>
      </w:r>
      <w:r w:rsidR="008667DC">
        <w:rPr>
          <w:rFonts w:cs="Arial"/>
          <w:szCs w:val="22"/>
          <w:lang w:val="en-AU" w:bidi="ar-SA"/>
        </w:rPr>
        <w:t xml:space="preserve">uncertainty presented by </w:t>
      </w:r>
      <w:r w:rsidR="004B62C7">
        <w:rPr>
          <w:rFonts w:cs="Arial"/>
          <w:szCs w:val="22"/>
          <w:lang w:val="en-AU" w:bidi="ar-SA"/>
        </w:rPr>
        <w:t xml:space="preserve">poor </w:t>
      </w:r>
      <w:r w:rsidRPr="00EE6A88">
        <w:rPr>
          <w:rFonts w:cs="Arial"/>
          <w:szCs w:val="22"/>
          <w:lang w:val="en-AU" w:bidi="ar-SA"/>
        </w:rPr>
        <w:t xml:space="preserve">quality of the </w:t>
      </w:r>
      <w:r w:rsidR="004B62C7">
        <w:rPr>
          <w:rFonts w:cs="Arial"/>
          <w:szCs w:val="22"/>
          <w:lang w:val="en-AU" w:bidi="ar-SA"/>
        </w:rPr>
        <w:t>available</w:t>
      </w:r>
      <w:r w:rsidR="008667DC">
        <w:rPr>
          <w:rFonts w:cs="Arial"/>
          <w:szCs w:val="22"/>
          <w:lang w:val="en-AU" w:bidi="ar-SA"/>
        </w:rPr>
        <w:t xml:space="preserve"> data</w:t>
      </w:r>
      <w:r w:rsidRPr="00EE6A88">
        <w:rPr>
          <w:rFonts w:cs="Arial"/>
          <w:szCs w:val="22"/>
          <w:lang w:val="en-AU" w:bidi="ar-SA"/>
        </w:rPr>
        <w:t xml:space="preserve">, FSANZ </w:t>
      </w:r>
      <w:r w:rsidR="008667DC">
        <w:rPr>
          <w:rFonts w:cs="Arial"/>
          <w:szCs w:val="22"/>
          <w:lang w:val="en-AU" w:bidi="ar-SA"/>
        </w:rPr>
        <w:t xml:space="preserve">has </w:t>
      </w:r>
      <w:r w:rsidRPr="00EE6A88">
        <w:rPr>
          <w:rFonts w:cs="Arial"/>
          <w:szCs w:val="22"/>
          <w:lang w:val="en-AU" w:bidi="ar-SA"/>
        </w:rPr>
        <w:t xml:space="preserve">made </w:t>
      </w:r>
      <w:r w:rsidR="008667DC">
        <w:rPr>
          <w:rFonts w:cs="Arial"/>
          <w:szCs w:val="22"/>
          <w:lang w:val="en-AU" w:bidi="ar-SA"/>
        </w:rPr>
        <w:t xml:space="preserve">very conservative </w:t>
      </w:r>
      <w:r w:rsidRPr="00EE6A88">
        <w:rPr>
          <w:rFonts w:cs="Arial"/>
          <w:szCs w:val="22"/>
          <w:lang w:val="en-AU" w:bidi="ar-SA"/>
        </w:rPr>
        <w:t xml:space="preserve">assumptions </w:t>
      </w:r>
      <w:r w:rsidR="008667DC">
        <w:rPr>
          <w:rFonts w:cs="Arial"/>
          <w:szCs w:val="22"/>
          <w:lang w:val="en-AU" w:bidi="ar-SA"/>
        </w:rPr>
        <w:t xml:space="preserve">and therefore </w:t>
      </w:r>
      <w:r w:rsidR="004F5407">
        <w:rPr>
          <w:rFonts w:cs="Arial"/>
          <w:szCs w:val="22"/>
          <w:lang w:val="en-AU" w:bidi="ar-SA"/>
        </w:rPr>
        <w:t xml:space="preserve">the assessments are </w:t>
      </w:r>
      <w:r w:rsidRPr="00EE6A88">
        <w:rPr>
          <w:rFonts w:cs="Arial"/>
          <w:szCs w:val="22"/>
          <w:lang w:val="en-AU" w:bidi="ar-SA"/>
        </w:rPr>
        <w:t>highly</w:t>
      </w:r>
      <w:r w:rsidR="008667DC">
        <w:rPr>
          <w:rFonts w:cs="Arial"/>
          <w:szCs w:val="22"/>
          <w:lang w:val="en-AU" w:bidi="ar-SA"/>
        </w:rPr>
        <w:t>-</w:t>
      </w:r>
      <w:r w:rsidRPr="00EE6A88">
        <w:rPr>
          <w:rFonts w:cs="Arial"/>
          <w:szCs w:val="22"/>
          <w:lang w:val="en-AU" w:bidi="ar-SA"/>
        </w:rPr>
        <w:t>protective of consumers</w:t>
      </w:r>
      <w:r w:rsidR="008667DC">
        <w:rPr>
          <w:rFonts w:cs="Arial"/>
          <w:szCs w:val="22"/>
          <w:lang w:val="en-AU" w:bidi="ar-SA"/>
        </w:rPr>
        <w:t xml:space="preserve">.  For example, we </w:t>
      </w:r>
      <w:r w:rsidRPr="00EE6A88">
        <w:rPr>
          <w:rFonts w:cs="Arial"/>
          <w:szCs w:val="22"/>
          <w:lang w:val="en-AU" w:bidi="ar-SA"/>
        </w:rPr>
        <w:t>assign</w:t>
      </w:r>
      <w:r w:rsidR="008667DC">
        <w:rPr>
          <w:rFonts w:cs="Arial"/>
          <w:szCs w:val="22"/>
          <w:lang w:val="en-AU" w:bidi="ar-SA"/>
        </w:rPr>
        <w:t>ed</w:t>
      </w:r>
      <w:r w:rsidRPr="00EE6A88">
        <w:rPr>
          <w:rFonts w:cs="Arial"/>
          <w:szCs w:val="22"/>
          <w:lang w:val="en-AU" w:bidi="ar-SA"/>
        </w:rPr>
        <w:t xml:space="preserve"> </w:t>
      </w:r>
      <w:r w:rsidR="00D44980">
        <w:t>a</w:t>
      </w:r>
      <w:r w:rsidR="004F5407">
        <w:t xml:space="preserve"> nominal</w:t>
      </w:r>
      <w:r w:rsidR="00D44980">
        <w:t xml:space="preserve"> very low level of the chemicals to foods that had none detected </w:t>
      </w:r>
      <w:r w:rsidR="004F5407">
        <w:t xml:space="preserve">after </w:t>
      </w:r>
      <w:r w:rsidR="00D44980">
        <w:t>testing.</w:t>
      </w:r>
    </w:p>
    <w:p w14:paraId="74C583B4" w14:textId="77777777" w:rsidR="00520E36" w:rsidRDefault="00520E36" w:rsidP="002C4648">
      <w:pPr>
        <w:widowControl/>
        <w:spacing w:before="60" w:after="60"/>
        <w:rPr>
          <w:rFonts w:cs="Arial"/>
          <w:szCs w:val="22"/>
          <w:lang w:val="en-AU" w:bidi="ar-SA"/>
        </w:rPr>
      </w:pPr>
    </w:p>
    <w:p w14:paraId="585A8940" w14:textId="77777777" w:rsidR="000D11E8" w:rsidRDefault="00197CD8" w:rsidP="000D11E8">
      <w:pPr>
        <w:rPr>
          <w:rFonts w:cs="Arial"/>
          <w:szCs w:val="22"/>
          <w:lang w:val="en-AU" w:bidi="ar-SA"/>
        </w:rPr>
      </w:pPr>
      <w:r w:rsidRPr="00197CD8">
        <w:rPr>
          <w:rFonts w:cs="Arial"/>
          <w:szCs w:val="22"/>
          <w:lang w:val="en-AU" w:bidi="ar-SA"/>
        </w:rPr>
        <w:t xml:space="preserve">FSANZ used two different approaches to calculate </w:t>
      </w:r>
      <w:r w:rsidR="00D02B1F">
        <w:rPr>
          <w:rFonts w:cs="Arial"/>
          <w:szCs w:val="22"/>
          <w:lang w:val="en-AU" w:bidi="ar-SA"/>
        </w:rPr>
        <w:t xml:space="preserve">dietary </w:t>
      </w:r>
      <w:r w:rsidRPr="00197CD8">
        <w:rPr>
          <w:rFonts w:cs="Arial"/>
          <w:szCs w:val="22"/>
          <w:lang w:val="en-AU" w:bidi="ar-SA"/>
        </w:rPr>
        <w:t xml:space="preserve">exposure </w:t>
      </w:r>
      <w:r w:rsidR="000D11E8">
        <w:rPr>
          <w:rFonts w:cs="Arial"/>
          <w:szCs w:val="22"/>
          <w:lang w:val="en-AU" w:bidi="ar-SA"/>
        </w:rPr>
        <w:t xml:space="preserve">to PFOS, PFOA and PFHxS </w:t>
      </w:r>
      <w:r w:rsidRPr="00197CD8">
        <w:rPr>
          <w:rFonts w:cs="Arial"/>
          <w:szCs w:val="22"/>
          <w:lang w:val="en-AU" w:bidi="ar-SA"/>
        </w:rPr>
        <w:t xml:space="preserve">for people </w:t>
      </w:r>
      <w:r w:rsidR="00D14E12">
        <w:rPr>
          <w:rFonts w:cs="Arial"/>
          <w:szCs w:val="22"/>
          <w:lang w:val="en-AU" w:bidi="ar-SA"/>
        </w:rPr>
        <w:t>sourcing food from</w:t>
      </w:r>
      <w:r w:rsidRPr="00197CD8">
        <w:rPr>
          <w:rFonts w:cs="Arial"/>
          <w:szCs w:val="22"/>
          <w:lang w:val="en-AU" w:bidi="ar-SA"/>
        </w:rPr>
        <w:t xml:space="preserve"> or near contaminated areas. </w:t>
      </w:r>
    </w:p>
    <w:p w14:paraId="245035A4" w14:textId="77777777" w:rsidR="000D11E8" w:rsidRDefault="000D11E8" w:rsidP="000D11E8">
      <w:pPr>
        <w:rPr>
          <w:rFonts w:cs="Arial"/>
        </w:rPr>
      </w:pPr>
    </w:p>
    <w:p w14:paraId="3426A2CE" w14:textId="77777777" w:rsidR="00DD6141" w:rsidRPr="008667DC" w:rsidRDefault="00DD6141" w:rsidP="008667DC">
      <w:pPr>
        <w:pStyle w:val="ListParagraph"/>
        <w:widowControl/>
        <w:numPr>
          <w:ilvl w:val="0"/>
          <w:numId w:val="19"/>
        </w:numPr>
        <w:rPr>
          <w:rFonts w:cs="Arial"/>
          <w:i/>
        </w:rPr>
      </w:pPr>
      <w:r w:rsidRPr="008667DC">
        <w:rPr>
          <w:rFonts w:cs="Arial"/>
          <w:i/>
        </w:rPr>
        <w:t xml:space="preserve">Indicators of potential risk </w:t>
      </w:r>
    </w:p>
    <w:p w14:paraId="49408497" w14:textId="77777777" w:rsidR="00520E36" w:rsidRDefault="00520E36" w:rsidP="00DD6141">
      <w:pPr>
        <w:widowControl/>
        <w:rPr>
          <w:rFonts w:cs="Arial"/>
        </w:rPr>
      </w:pPr>
    </w:p>
    <w:p w14:paraId="4B2B60D5" w14:textId="77777777" w:rsidR="00D13396" w:rsidRDefault="000D11E8" w:rsidP="00520E36">
      <w:pPr>
        <w:widowControl/>
      </w:pPr>
      <w:r w:rsidRPr="00DD6141">
        <w:rPr>
          <w:rFonts w:cs="Arial"/>
        </w:rPr>
        <w:t xml:space="preserve">As an indicator of potential risk, </w:t>
      </w:r>
      <w:r>
        <w:t>FSANZ assessed how much of an individual food or food group sourced from contaminated sites that contain PFOS, PFOA and/or PFHxS may be consumed by the Australian population with</w:t>
      </w:r>
      <w:r w:rsidR="00D14E12">
        <w:t>out exceeding the relevant TDI, assuming background exposure from all other foods was zero.</w:t>
      </w:r>
    </w:p>
    <w:p w14:paraId="5A2EAC43" w14:textId="77777777" w:rsidR="00520E36" w:rsidRDefault="00520E36">
      <w:pPr>
        <w:widowControl/>
      </w:pPr>
    </w:p>
    <w:p w14:paraId="4B935ADC" w14:textId="77777777" w:rsidR="000D11E8" w:rsidRPr="00DD6141" w:rsidRDefault="000D11E8" w:rsidP="00520E36">
      <w:pPr>
        <w:widowControl/>
        <w:rPr>
          <w:rFonts w:cs="Arial"/>
        </w:rPr>
      </w:pPr>
      <w:r>
        <w:t xml:space="preserve">If a calculated amount </w:t>
      </w:r>
      <w:r w:rsidR="00D44980">
        <w:t xml:space="preserve">of food </w:t>
      </w:r>
      <w:r>
        <w:t xml:space="preserve">for a </w:t>
      </w:r>
      <w:r w:rsidRPr="00B72350">
        <w:t xml:space="preserve">specified </w:t>
      </w:r>
      <w:r>
        <w:t xml:space="preserve">chemical is less than </w:t>
      </w:r>
      <w:r w:rsidR="00D44980">
        <w:t xml:space="preserve">the amount </w:t>
      </w:r>
      <w:r>
        <w:t>people normally eat</w:t>
      </w:r>
      <w:r w:rsidR="008667DC">
        <w:t>,</w:t>
      </w:r>
      <w:r>
        <w:t xml:space="preserve"> then advice on consuming these foods may be required when they are sourced from or near contaminated sites</w:t>
      </w:r>
      <w:r w:rsidR="00520E36">
        <w:t xml:space="preserve"> </w:t>
      </w:r>
      <w:r w:rsidRPr="00DD6141">
        <w:rPr>
          <w:rFonts w:cs="Arial"/>
        </w:rPr>
        <w:t>(Refer to Supporting Document 2).</w:t>
      </w:r>
    </w:p>
    <w:p w14:paraId="6F117F90" w14:textId="77777777" w:rsidR="00520E36" w:rsidRDefault="00520E36" w:rsidP="000D11E8">
      <w:pPr>
        <w:pStyle w:val="ListParagraph"/>
        <w:widowControl/>
        <w:rPr>
          <w:rFonts w:cs="Arial"/>
        </w:rPr>
      </w:pPr>
    </w:p>
    <w:p w14:paraId="0D57A8C2" w14:textId="77777777" w:rsidR="001953E6" w:rsidRPr="00B81C81" w:rsidRDefault="0041734E" w:rsidP="00520E36">
      <w:pPr>
        <w:widowControl/>
        <w:rPr>
          <w:rFonts w:eastAsia="Calibri"/>
          <w:szCs w:val="22"/>
          <w:lang w:bidi="ar-SA"/>
        </w:rPr>
      </w:pPr>
      <w:r w:rsidRPr="00EE6A88">
        <w:rPr>
          <w:rFonts w:cs="Arial"/>
          <w:szCs w:val="22"/>
          <w:lang w:val="en-AU" w:bidi="ar-SA"/>
        </w:rPr>
        <w:t xml:space="preserve">For some foods, the amount of foods containing the </w:t>
      </w:r>
      <w:r w:rsidR="00D44980">
        <w:rPr>
          <w:rFonts w:cs="Arial"/>
          <w:szCs w:val="22"/>
          <w:lang w:val="en-AU" w:bidi="ar-SA"/>
        </w:rPr>
        <w:t>chemicals</w:t>
      </w:r>
      <w:r w:rsidR="00D44980" w:rsidRPr="00EE6A88">
        <w:rPr>
          <w:rFonts w:cs="Arial"/>
          <w:szCs w:val="22"/>
          <w:lang w:val="en-AU" w:bidi="ar-SA"/>
        </w:rPr>
        <w:t xml:space="preserve"> </w:t>
      </w:r>
      <w:r w:rsidRPr="00EE6A88">
        <w:rPr>
          <w:rFonts w:cs="Arial"/>
          <w:szCs w:val="22"/>
          <w:lang w:val="en-AU" w:bidi="ar-SA"/>
        </w:rPr>
        <w:t xml:space="preserve">at the reported concentrations </w:t>
      </w:r>
      <w:r w:rsidR="00C7340B">
        <w:rPr>
          <w:rFonts w:cs="Arial"/>
          <w:szCs w:val="22"/>
          <w:lang w:val="en-AU" w:bidi="ar-SA"/>
        </w:rPr>
        <w:t xml:space="preserve">for food sourced from or near contaminated sites </w:t>
      </w:r>
      <w:r w:rsidRPr="00EE6A88">
        <w:rPr>
          <w:rFonts w:cs="Arial"/>
          <w:szCs w:val="22"/>
          <w:lang w:val="en-AU" w:bidi="ar-SA"/>
        </w:rPr>
        <w:t xml:space="preserve">that a person can eat before reaching the </w:t>
      </w:r>
      <w:r w:rsidR="004B62C7">
        <w:rPr>
          <w:rFonts w:cs="Arial"/>
          <w:szCs w:val="22"/>
          <w:lang w:val="en-AU" w:bidi="ar-SA"/>
        </w:rPr>
        <w:t xml:space="preserve">relevant </w:t>
      </w:r>
      <w:r w:rsidRPr="00EE6A88">
        <w:rPr>
          <w:rFonts w:cs="Arial"/>
          <w:szCs w:val="22"/>
          <w:lang w:val="en-AU" w:bidi="ar-SA"/>
        </w:rPr>
        <w:t xml:space="preserve">TDI was lower than the amounts that the average Australian would typically consume. </w:t>
      </w:r>
    </w:p>
    <w:p w14:paraId="76F1CE40" w14:textId="77777777" w:rsidR="00520E36" w:rsidRDefault="00520E36" w:rsidP="0041734E">
      <w:pPr>
        <w:widowControl/>
        <w:spacing w:before="60" w:after="60"/>
        <w:rPr>
          <w:rFonts w:cs="Arial"/>
          <w:szCs w:val="22"/>
          <w:lang w:val="en-AU" w:bidi="ar-SA"/>
        </w:rPr>
      </w:pPr>
    </w:p>
    <w:p w14:paraId="35825ACC" w14:textId="77777777" w:rsidR="00197CD8" w:rsidRDefault="0041734E" w:rsidP="00520E36">
      <w:pPr>
        <w:widowControl/>
        <w:spacing w:before="60" w:after="60"/>
        <w:rPr>
          <w:rFonts w:cs="Arial"/>
          <w:szCs w:val="22"/>
          <w:lang w:val="en-AU" w:bidi="ar-SA"/>
        </w:rPr>
      </w:pPr>
      <w:r w:rsidRPr="00EE6A88">
        <w:rPr>
          <w:rFonts w:cs="Arial"/>
          <w:szCs w:val="22"/>
          <w:lang w:val="en-AU" w:bidi="ar-SA"/>
        </w:rPr>
        <w:t xml:space="preserve">For PFOS, this occurred with cattle meat, rabbit meat, milk and offal </w:t>
      </w:r>
      <w:r w:rsidR="002A68A0">
        <w:rPr>
          <w:rFonts w:cs="Arial"/>
          <w:szCs w:val="22"/>
          <w:lang w:val="en-AU" w:bidi="ar-SA"/>
        </w:rPr>
        <w:t xml:space="preserve">for average consumers </w:t>
      </w:r>
      <w:r w:rsidRPr="00EE6A88">
        <w:rPr>
          <w:rFonts w:cs="Arial"/>
          <w:szCs w:val="22"/>
          <w:lang w:val="en-AU" w:bidi="ar-SA"/>
        </w:rPr>
        <w:t>and for some vegetables</w:t>
      </w:r>
      <w:r w:rsidR="002A68A0">
        <w:rPr>
          <w:rFonts w:cs="Arial"/>
          <w:szCs w:val="22"/>
          <w:lang w:val="en-AU" w:bidi="ar-SA"/>
        </w:rPr>
        <w:t xml:space="preserve"> and fruit for high consumers</w:t>
      </w:r>
      <w:r w:rsidRPr="00EE6A88">
        <w:rPr>
          <w:rFonts w:cs="Arial"/>
          <w:szCs w:val="22"/>
          <w:lang w:val="en-AU" w:bidi="ar-SA"/>
        </w:rPr>
        <w:t xml:space="preserve">. However, FSANZ considered it extremely unlikely that a consumer would always source a specific food near a contaminated site. </w:t>
      </w:r>
      <w:r w:rsidR="0091513F">
        <w:rPr>
          <w:rFonts w:cs="Arial"/>
          <w:szCs w:val="22"/>
          <w:lang w:val="en-AU" w:bidi="ar-SA"/>
        </w:rPr>
        <w:t>For example, m</w:t>
      </w:r>
      <w:r w:rsidRPr="00EE6A88">
        <w:rPr>
          <w:rFonts w:cs="Arial"/>
          <w:szCs w:val="22"/>
          <w:lang w:val="en-AU" w:bidi="ar-SA"/>
        </w:rPr>
        <w:t>ilk does not normally come from one but from many animals</w:t>
      </w:r>
      <w:r w:rsidR="0091513F">
        <w:rPr>
          <w:rFonts w:cs="Arial"/>
          <w:szCs w:val="22"/>
          <w:lang w:val="en-AU" w:bidi="ar-SA"/>
        </w:rPr>
        <w:t xml:space="preserve"> and</w:t>
      </w:r>
      <w:r w:rsidRPr="00EE6A88">
        <w:rPr>
          <w:rFonts w:cs="Arial"/>
          <w:szCs w:val="22"/>
          <w:lang w:val="en-AU" w:bidi="ar-SA"/>
        </w:rPr>
        <w:t xml:space="preserve"> </w:t>
      </w:r>
      <w:r w:rsidR="0091513F">
        <w:rPr>
          <w:rFonts w:cs="Arial"/>
          <w:szCs w:val="22"/>
          <w:lang w:val="en-AU" w:bidi="ar-SA"/>
        </w:rPr>
        <w:t xml:space="preserve">is </w:t>
      </w:r>
      <w:r w:rsidRPr="00EE6A88">
        <w:rPr>
          <w:rFonts w:cs="Arial"/>
          <w:szCs w:val="22"/>
          <w:lang w:val="en-AU" w:bidi="ar-SA"/>
        </w:rPr>
        <w:t xml:space="preserve">mixed, homogenised and then distributed through retail outlets. </w:t>
      </w:r>
    </w:p>
    <w:p w14:paraId="64E20D2A" w14:textId="77777777" w:rsidR="008F2766" w:rsidRDefault="008F2766" w:rsidP="008667DC">
      <w:pPr>
        <w:widowControl/>
        <w:spacing w:before="60" w:after="60"/>
        <w:ind w:left="360"/>
        <w:rPr>
          <w:rFonts w:cs="Arial"/>
          <w:szCs w:val="22"/>
          <w:lang w:val="en-AU" w:bidi="ar-SA"/>
        </w:rPr>
      </w:pPr>
    </w:p>
    <w:p w14:paraId="4F1FE1EB" w14:textId="77777777" w:rsidR="000D11E8" w:rsidRDefault="008F2766" w:rsidP="0041734E">
      <w:pPr>
        <w:widowControl/>
        <w:spacing w:before="60" w:after="60"/>
      </w:pPr>
      <w:r>
        <w:t>PFOA has a higher TDI and the amount of food that a person could eat before reaching the TDI is much higher the amount people would normally eat.</w:t>
      </w:r>
    </w:p>
    <w:p w14:paraId="152AD029" w14:textId="77777777" w:rsidR="00A57943" w:rsidRDefault="00A57943" w:rsidP="0041734E">
      <w:pPr>
        <w:widowControl/>
        <w:spacing w:before="60" w:after="60"/>
        <w:rPr>
          <w:rFonts w:cs="Arial"/>
          <w:szCs w:val="22"/>
          <w:lang w:val="en-AU" w:bidi="ar-SA"/>
        </w:rPr>
      </w:pPr>
    </w:p>
    <w:p w14:paraId="26807BEE" w14:textId="77777777" w:rsidR="00DD6141" w:rsidRPr="008667DC" w:rsidRDefault="00DD6141" w:rsidP="008667DC">
      <w:pPr>
        <w:pStyle w:val="ListParagraph"/>
        <w:widowControl/>
        <w:numPr>
          <w:ilvl w:val="0"/>
          <w:numId w:val="19"/>
        </w:numPr>
        <w:spacing w:before="60" w:after="60"/>
        <w:rPr>
          <w:rFonts w:cs="Arial"/>
          <w:i/>
          <w:szCs w:val="22"/>
          <w:lang w:val="en-AU" w:bidi="ar-SA"/>
        </w:rPr>
      </w:pPr>
      <w:r w:rsidRPr="008667DC">
        <w:rPr>
          <w:rFonts w:cs="Arial"/>
          <w:i/>
          <w:szCs w:val="22"/>
          <w:lang w:val="en-AU" w:bidi="ar-SA"/>
        </w:rPr>
        <w:t xml:space="preserve">Trigger points for investigation </w:t>
      </w:r>
    </w:p>
    <w:p w14:paraId="2A1F146E" w14:textId="77777777" w:rsidR="00DD6141" w:rsidRDefault="008F2766" w:rsidP="00520E36">
      <w:pPr>
        <w:rPr>
          <w:rFonts w:cs="Arial"/>
          <w:szCs w:val="22"/>
          <w:lang w:val="en-AU" w:bidi="ar-SA"/>
        </w:rPr>
      </w:pPr>
      <w:r>
        <w:t>Information from the most recent nutrition survey</w:t>
      </w:r>
      <w:r w:rsidRPr="00C11B1D">
        <w:t xml:space="preserve"> </w:t>
      </w:r>
      <w:r>
        <w:t xml:space="preserve">was used </w:t>
      </w:r>
      <w:r w:rsidRPr="00C11B1D">
        <w:t xml:space="preserve">to determine </w:t>
      </w:r>
      <w:r>
        <w:t xml:space="preserve">what level of </w:t>
      </w:r>
      <w:r w:rsidRPr="00C11B1D">
        <w:t>PFOS</w:t>
      </w:r>
      <w:r>
        <w:t xml:space="preserve"> and </w:t>
      </w:r>
      <w:r w:rsidRPr="00C11B1D">
        <w:t>PFHxS combined and PFOA in individual food</w:t>
      </w:r>
      <w:r>
        <w:t>s</w:t>
      </w:r>
      <w:r w:rsidRPr="00C11B1D">
        <w:t xml:space="preserve"> </w:t>
      </w:r>
      <w:r>
        <w:t>would trigger further investigation by authorities.</w:t>
      </w:r>
      <w:r w:rsidR="00520E36">
        <w:rPr>
          <w:rFonts w:cs="Arial"/>
          <w:szCs w:val="22"/>
          <w:lang w:val="en-AU" w:bidi="ar-SA"/>
        </w:rPr>
        <w:t xml:space="preserve"> </w:t>
      </w:r>
      <w:r w:rsidR="00D44980">
        <w:t>Trigger points are the maximum concentration level of these chemicals</w:t>
      </w:r>
      <w:r w:rsidR="00D44980" w:rsidRPr="00D45325">
        <w:t xml:space="preserve"> that could be present in individual food</w:t>
      </w:r>
      <w:r w:rsidR="00D44980">
        <w:t>s</w:t>
      </w:r>
      <w:r w:rsidR="00D44980" w:rsidRPr="00D45325">
        <w:t xml:space="preserve"> or food groups </w:t>
      </w:r>
      <w:r w:rsidR="00D44980">
        <w:t>so even high consumers of these foods would not exceed the relevant TDI</w:t>
      </w:r>
      <w:r w:rsidR="00520E36">
        <w:t>.</w:t>
      </w:r>
      <w:r w:rsidR="00D44980">
        <w:t xml:space="preserve"> </w:t>
      </w:r>
      <w:r w:rsidR="00DD6141" w:rsidRPr="00DD6141">
        <w:rPr>
          <w:rFonts w:cs="Arial"/>
          <w:szCs w:val="22"/>
          <w:lang w:val="en-AU" w:bidi="ar-SA"/>
        </w:rPr>
        <w:t>Trigger points are independent of occurrence data. In the calculation of these trigger levels maximum concentration levels were selected to ensure all population groups in a range of consumption scenarios are protected</w:t>
      </w:r>
      <w:r>
        <w:rPr>
          <w:rFonts w:cs="Arial"/>
          <w:szCs w:val="22"/>
          <w:lang w:val="en-AU" w:bidi="ar-SA"/>
        </w:rPr>
        <w:t xml:space="preserve"> </w:t>
      </w:r>
      <w:r w:rsidRPr="00DD6141">
        <w:rPr>
          <w:rFonts w:cs="Arial"/>
          <w:szCs w:val="22"/>
          <w:lang w:val="en-AU" w:bidi="ar-SA"/>
        </w:rPr>
        <w:t>(</w:t>
      </w:r>
      <w:r>
        <w:rPr>
          <w:rFonts w:cs="Arial"/>
          <w:szCs w:val="22"/>
          <w:lang w:val="en-AU" w:bidi="ar-SA"/>
        </w:rPr>
        <w:t>r</w:t>
      </w:r>
      <w:r w:rsidRPr="00DD6141">
        <w:rPr>
          <w:rFonts w:cs="Arial"/>
          <w:szCs w:val="22"/>
          <w:lang w:val="en-AU" w:bidi="ar-SA"/>
        </w:rPr>
        <w:t>efer to Supporting Document 2)</w:t>
      </w:r>
      <w:r w:rsidR="00DD6141" w:rsidRPr="00DD6141">
        <w:rPr>
          <w:rFonts w:cs="Arial"/>
          <w:szCs w:val="22"/>
          <w:lang w:val="en-AU" w:bidi="ar-SA"/>
        </w:rPr>
        <w:t>.</w:t>
      </w:r>
    </w:p>
    <w:p w14:paraId="055F97EE" w14:textId="77777777" w:rsidR="0022233E" w:rsidRDefault="0022233E" w:rsidP="000D11E8">
      <w:pPr>
        <w:widowControl/>
        <w:rPr>
          <w:rFonts w:eastAsia="Calibri"/>
          <w:szCs w:val="22"/>
          <w:lang w:bidi="ar-SA"/>
        </w:rPr>
      </w:pPr>
    </w:p>
    <w:p w14:paraId="3F544261" w14:textId="77777777" w:rsidR="000D11E8" w:rsidRDefault="000D11E8" w:rsidP="00520E36">
      <w:pPr>
        <w:widowControl/>
        <w:rPr>
          <w:rFonts w:eastAsia="Calibri"/>
          <w:szCs w:val="22"/>
          <w:lang w:bidi="ar-SA"/>
        </w:rPr>
      </w:pPr>
      <w:r w:rsidRPr="008C61CD">
        <w:rPr>
          <w:rFonts w:eastAsia="Calibri"/>
          <w:szCs w:val="22"/>
          <w:lang w:bidi="ar-SA"/>
        </w:rPr>
        <w:t xml:space="preserve">Proposed </w:t>
      </w:r>
      <w:r w:rsidRPr="0046628B">
        <w:rPr>
          <w:rFonts w:eastAsia="Calibri"/>
          <w:szCs w:val="22"/>
          <w:lang w:bidi="ar-SA"/>
        </w:rPr>
        <w:t xml:space="preserve">trigger points for investigation </w:t>
      </w:r>
      <w:r w:rsidRPr="008C61CD">
        <w:rPr>
          <w:rFonts w:eastAsia="Calibri"/>
          <w:szCs w:val="22"/>
          <w:lang w:bidi="ar-SA"/>
        </w:rPr>
        <w:t xml:space="preserve">for PFOS and PFOS + PFHxS combined are lowest for milk (0.4 µg/kg). </w:t>
      </w:r>
      <w:r w:rsidRPr="0046628B">
        <w:rPr>
          <w:rFonts w:eastAsia="Calibri"/>
          <w:szCs w:val="22"/>
          <w:lang w:bidi="ar-SA"/>
        </w:rPr>
        <w:t xml:space="preserve">Trigger points for investigation </w:t>
      </w:r>
      <w:r w:rsidRPr="008C61CD">
        <w:rPr>
          <w:rFonts w:eastAsia="Calibri"/>
          <w:szCs w:val="22"/>
          <w:lang w:bidi="ar-SA"/>
        </w:rPr>
        <w:t>are lower for fruit and vegetables (0.6 and 1.1 µg/kg respectively) than for finfish (</w:t>
      </w:r>
      <w:r w:rsidR="00572A15">
        <w:rPr>
          <w:rFonts w:eastAsia="Calibri"/>
          <w:szCs w:val="22"/>
          <w:lang w:bidi="ar-SA"/>
        </w:rPr>
        <w:t>5.2</w:t>
      </w:r>
      <w:r w:rsidRPr="008C61CD">
        <w:rPr>
          <w:rFonts w:eastAsia="Calibri"/>
          <w:szCs w:val="22"/>
          <w:lang w:bidi="ar-SA"/>
        </w:rPr>
        <w:t xml:space="preserve"> µg/kg), mamm</w:t>
      </w:r>
      <w:r w:rsidR="0022233E">
        <w:rPr>
          <w:rFonts w:eastAsia="Calibri"/>
          <w:szCs w:val="22"/>
          <w:lang w:bidi="ar-SA"/>
        </w:rPr>
        <w:t xml:space="preserve">alian meat (3.5 µg/kg) and eggs </w:t>
      </w:r>
      <w:r w:rsidRPr="008C61CD">
        <w:rPr>
          <w:rFonts w:eastAsia="Calibri"/>
          <w:szCs w:val="22"/>
          <w:lang w:bidi="ar-SA"/>
        </w:rPr>
        <w:t>(11</w:t>
      </w:r>
      <w:r>
        <w:rPr>
          <w:rFonts w:eastAsia="Calibri"/>
          <w:szCs w:val="22"/>
          <w:lang w:bidi="ar-SA"/>
        </w:rPr>
        <w:t> </w:t>
      </w:r>
      <w:r w:rsidRPr="008C61CD">
        <w:rPr>
          <w:rFonts w:eastAsia="Calibri"/>
          <w:szCs w:val="22"/>
          <w:lang w:bidi="ar-SA"/>
        </w:rPr>
        <w:t xml:space="preserve">µg/kg). </w:t>
      </w:r>
    </w:p>
    <w:p w14:paraId="1E835091" w14:textId="77777777" w:rsidR="000C13BF" w:rsidRDefault="000C13BF" w:rsidP="000D11E8">
      <w:pPr>
        <w:widowControl/>
        <w:rPr>
          <w:rFonts w:eastAsia="Calibri"/>
          <w:szCs w:val="22"/>
          <w:lang w:bidi="ar-SA"/>
        </w:rPr>
      </w:pPr>
    </w:p>
    <w:p w14:paraId="2EB68F89" w14:textId="77777777" w:rsidR="000D11E8" w:rsidRDefault="000D11E8" w:rsidP="00520E36">
      <w:pPr>
        <w:widowControl/>
        <w:rPr>
          <w:rFonts w:eastAsia="Calibri"/>
          <w:szCs w:val="22"/>
          <w:lang w:bidi="ar-SA"/>
        </w:rPr>
      </w:pPr>
      <w:r w:rsidRPr="008C61CD">
        <w:rPr>
          <w:rFonts w:eastAsia="Calibri"/>
          <w:szCs w:val="22"/>
          <w:lang w:bidi="ar-SA"/>
        </w:rPr>
        <w:t xml:space="preserve">In most commodities, the proposed </w:t>
      </w:r>
      <w:r w:rsidRPr="0046628B">
        <w:rPr>
          <w:rFonts w:eastAsia="Calibri"/>
          <w:szCs w:val="22"/>
          <w:lang w:bidi="ar-SA"/>
        </w:rPr>
        <w:t>trigger points for investigation</w:t>
      </w:r>
      <w:r w:rsidRPr="008C61CD">
        <w:rPr>
          <w:rFonts w:eastAsia="Calibri"/>
          <w:szCs w:val="22"/>
          <w:lang w:bidi="ar-SA"/>
        </w:rPr>
        <w:t xml:space="preserve"> for PFOA levels are higher than those for PFOS</w:t>
      </w:r>
      <w:r w:rsidRPr="000D11E8">
        <w:rPr>
          <w:rFonts w:eastAsia="Calibri"/>
          <w:szCs w:val="22"/>
          <w:lang w:bidi="ar-SA"/>
        </w:rPr>
        <w:t xml:space="preserve"> </w:t>
      </w:r>
      <w:r>
        <w:rPr>
          <w:rFonts w:eastAsia="Calibri"/>
          <w:szCs w:val="22"/>
          <w:lang w:bidi="ar-SA"/>
        </w:rPr>
        <w:t>for the same food group</w:t>
      </w:r>
      <w:r w:rsidRPr="008C61CD">
        <w:rPr>
          <w:rFonts w:eastAsia="Calibri"/>
          <w:szCs w:val="22"/>
          <w:lang w:bidi="ar-SA"/>
        </w:rPr>
        <w:t xml:space="preserve">. Like PFOS, proposed </w:t>
      </w:r>
      <w:r w:rsidRPr="00155425">
        <w:rPr>
          <w:rFonts w:eastAsia="Calibri"/>
          <w:szCs w:val="22"/>
          <w:lang w:bidi="ar-SA"/>
        </w:rPr>
        <w:t xml:space="preserve">trigger points for </w:t>
      </w:r>
      <w:r w:rsidR="0022233E">
        <w:rPr>
          <w:rFonts w:eastAsia="Calibri"/>
          <w:szCs w:val="22"/>
          <w:lang w:bidi="ar-SA"/>
        </w:rPr>
        <w:t xml:space="preserve">PFOA </w:t>
      </w:r>
      <w:r w:rsidRPr="00155425">
        <w:rPr>
          <w:rFonts w:eastAsia="Calibri"/>
          <w:szCs w:val="22"/>
          <w:lang w:bidi="ar-SA"/>
        </w:rPr>
        <w:t xml:space="preserve">investigation </w:t>
      </w:r>
      <w:r>
        <w:rPr>
          <w:rFonts w:eastAsia="Calibri"/>
          <w:szCs w:val="22"/>
          <w:lang w:bidi="ar-SA"/>
        </w:rPr>
        <w:t>a</w:t>
      </w:r>
      <w:r w:rsidRPr="008C61CD">
        <w:rPr>
          <w:rFonts w:eastAsia="Calibri"/>
          <w:szCs w:val="22"/>
          <w:lang w:bidi="ar-SA"/>
        </w:rPr>
        <w:t xml:space="preserve">re lowest in </w:t>
      </w:r>
      <w:r w:rsidR="00145CE7">
        <w:rPr>
          <w:rFonts w:eastAsia="Calibri"/>
          <w:szCs w:val="22"/>
          <w:lang w:bidi="ar-SA"/>
        </w:rPr>
        <w:t>milk</w:t>
      </w:r>
      <w:r w:rsidRPr="008C61CD">
        <w:rPr>
          <w:rFonts w:eastAsia="Calibri"/>
          <w:szCs w:val="22"/>
          <w:lang w:bidi="ar-SA"/>
        </w:rPr>
        <w:t>, fruit and vegetables, finfish and meat.</w:t>
      </w:r>
    </w:p>
    <w:p w14:paraId="2CAD51D6" w14:textId="77777777" w:rsidR="00A57943" w:rsidRDefault="00A57943" w:rsidP="00A57943">
      <w:pPr>
        <w:widowControl/>
      </w:pPr>
    </w:p>
    <w:p w14:paraId="10295B22" w14:textId="77777777" w:rsidR="005D63F9" w:rsidRDefault="005D63F9" w:rsidP="00A57943">
      <w:pPr>
        <w:widowControl/>
        <w:rPr>
          <w:rFonts w:eastAsia="Calibri"/>
          <w:szCs w:val="22"/>
          <w:lang w:bidi="ar-SA"/>
        </w:rPr>
      </w:pPr>
      <w:r w:rsidRPr="00987A0E">
        <w:t xml:space="preserve">FSANZ </w:t>
      </w:r>
      <w:r>
        <w:t>proposed</w:t>
      </w:r>
      <w:r w:rsidRPr="00987A0E">
        <w:t xml:space="preserve"> </w:t>
      </w:r>
      <w:r w:rsidRPr="002B4F83">
        <w:t>trigger points for investigation</w:t>
      </w:r>
      <w:r>
        <w:t xml:space="preserve"> </w:t>
      </w:r>
      <w:r w:rsidRPr="00987A0E">
        <w:t xml:space="preserve">for PFOS + PFHxS </w:t>
      </w:r>
      <w:r>
        <w:t>combined</w:t>
      </w:r>
      <w:r w:rsidRPr="00987A0E">
        <w:t xml:space="preserve"> and PFOA </w:t>
      </w:r>
      <w:r>
        <w:rPr>
          <w:rFonts w:eastAsia="Calibri"/>
          <w:szCs w:val="22"/>
          <w:lang w:bidi="ar-SA"/>
        </w:rPr>
        <w:t xml:space="preserve">could be employed by state and territory food jurisdictions </w:t>
      </w:r>
      <w:r>
        <w:t xml:space="preserve">when undertaking </w:t>
      </w:r>
      <w:r>
        <w:rPr>
          <w:rFonts w:eastAsia="Calibri"/>
          <w:szCs w:val="22"/>
          <w:lang w:bidi="ar-SA"/>
        </w:rPr>
        <w:t>follow up analysis of PFAS in foods</w:t>
      </w:r>
      <w:r w:rsidDel="00C75A46">
        <w:t xml:space="preserve"> t</w:t>
      </w:r>
      <w:r>
        <w:t>o identify when levels in foods exceed these values and require more research</w:t>
      </w:r>
      <w:r w:rsidRPr="00B72350">
        <w:t>.</w:t>
      </w:r>
      <w:r>
        <w:rPr>
          <w:rFonts w:eastAsia="Calibri"/>
          <w:szCs w:val="22"/>
          <w:lang w:bidi="ar-SA"/>
        </w:rPr>
        <w:t xml:space="preserve"> </w:t>
      </w:r>
    </w:p>
    <w:p w14:paraId="1D99D968" w14:textId="77777777" w:rsidR="00474C81" w:rsidRPr="00474C81" w:rsidRDefault="00474C81" w:rsidP="003F146E">
      <w:pPr>
        <w:pStyle w:val="Heading3"/>
        <w:ind w:left="0" w:firstLine="0"/>
        <w:rPr>
          <w:rFonts w:eastAsia="Calibri"/>
        </w:rPr>
      </w:pPr>
      <w:bookmarkStart w:id="18" w:name="_Toc475953966"/>
      <w:r w:rsidRPr="00474C81">
        <w:rPr>
          <w:rFonts w:eastAsia="Calibri"/>
        </w:rPr>
        <w:t>Risk management</w:t>
      </w:r>
      <w:bookmarkEnd w:id="18"/>
      <w:r w:rsidRPr="00474C81">
        <w:rPr>
          <w:rFonts w:eastAsia="Calibri"/>
        </w:rPr>
        <w:t xml:space="preserve"> </w:t>
      </w:r>
    </w:p>
    <w:p w14:paraId="32362B25" w14:textId="77777777" w:rsidR="00936BAC" w:rsidRDefault="00936BAC" w:rsidP="00936BAC">
      <w:pPr>
        <w:contextualSpacing/>
        <w:rPr>
          <w:rFonts w:eastAsia="Calibri"/>
          <w:szCs w:val="22"/>
          <w:lang w:bidi="ar-SA"/>
        </w:rPr>
      </w:pPr>
      <w:r>
        <w:rPr>
          <w:rFonts w:eastAsia="Calibri"/>
          <w:szCs w:val="22"/>
          <w:lang w:bidi="ar-SA"/>
        </w:rPr>
        <w:t xml:space="preserve">There is no indication that there are public health and safety issues for consumers outside the contaminated sites. This is supported by </w:t>
      </w:r>
      <w:r w:rsidRPr="00C712C1">
        <w:rPr>
          <w:rFonts w:eastAsia="Calibri"/>
          <w:szCs w:val="22"/>
          <w:lang w:bidi="ar-SA"/>
        </w:rPr>
        <w:t>data</w:t>
      </w:r>
      <w:r w:rsidR="00520E36">
        <w:rPr>
          <w:rFonts w:eastAsia="Calibri"/>
          <w:szCs w:val="22"/>
          <w:lang w:bidi="ar-SA"/>
        </w:rPr>
        <w:t xml:space="preserve"> </w:t>
      </w:r>
      <w:r w:rsidRPr="00C712C1">
        <w:rPr>
          <w:rFonts w:eastAsia="Calibri"/>
          <w:szCs w:val="22"/>
          <w:lang w:bidi="ar-SA"/>
        </w:rPr>
        <w:t>from</w:t>
      </w:r>
      <w:r w:rsidR="0010230F">
        <w:rPr>
          <w:rFonts w:eastAsia="Calibri"/>
          <w:szCs w:val="22"/>
          <w:lang w:bidi="ar-SA"/>
        </w:rPr>
        <w:t>:</w:t>
      </w:r>
      <w:r w:rsidRPr="00C712C1">
        <w:rPr>
          <w:rFonts w:eastAsia="Calibri"/>
          <w:szCs w:val="22"/>
          <w:lang w:bidi="ar-SA"/>
        </w:rPr>
        <w:t xml:space="preserve"> the</w:t>
      </w:r>
      <w:r>
        <w:rPr>
          <w:rFonts w:eastAsia="Calibri"/>
          <w:szCs w:val="22"/>
          <w:lang w:bidi="ar-SA"/>
        </w:rPr>
        <w:t xml:space="preserve"> 24th</w:t>
      </w:r>
      <w:r w:rsidRPr="00C712C1">
        <w:rPr>
          <w:rFonts w:eastAsia="Calibri"/>
          <w:szCs w:val="22"/>
          <w:lang w:bidi="ar-SA"/>
        </w:rPr>
        <w:t xml:space="preserve"> </w:t>
      </w:r>
      <w:r>
        <w:rPr>
          <w:rFonts w:eastAsia="Calibri"/>
          <w:szCs w:val="22"/>
          <w:lang w:bidi="ar-SA"/>
        </w:rPr>
        <w:t>ATDS; recent results on PF</w:t>
      </w:r>
      <w:r w:rsidR="002E4560">
        <w:rPr>
          <w:rFonts w:eastAsia="Calibri"/>
          <w:szCs w:val="22"/>
          <w:lang w:bidi="ar-SA"/>
        </w:rPr>
        <w:t>A</w:t>
      </w:r>
      <w:r>
        <w:rPr>
          <w:rFonts w:eastAsia="Calibri"/>
          <w:szCs w:val="22"/>
          <w:lang w:bidi="ar-SA"/>
        </w:rPr>
        <w:t xml:space="preserve">S in </w:t>
      </w:r>
      <w:r w:rsidRPr="00A75B6F">
        <w:rPr>
          <w:rFonts w:eastAsia="Calibri"/>
          <w:szCs w:val="22"/>
          <w:lang w:bidi="ar-SA"/>
        </w:rPr>
        <w:t>imported fish and prawn samples purcha</w:t>
      </w:r>
      <w:r>
        <w:rPr>
          <w:rFonts w:eastAsia="Calibri"/>
          <w:szCs w:val="22"/>
          <w:lang w:bidi="ar-SA"/>
        </w:rPr>
        <w:t xml:space="preserve">sed from Sydney retail outlets; </w:t>
      </w:r>
      <w:r w:rsidRPr="00C712C1">
        <w:rPr>
          <w:rFonts w:eastAsia="Calibri"/>
          <w:szCs w:val="22"/>
          <w:lang w:bidi="ar-SA"/>
        </w:rPr>
        <w:t>and a review of the literature indicat</w:t>
      </w:r>
      <w:r>
        <w:rPr>
          <w:rFonts w:eastAsia="Calibri"/>
          <w:szCs w:val="22"/>
          <w:lang w:bidi="ar-SA"/>
        </w:rPr>
        <w:t>ing</w:t>
      </w:r>
      <w:r w:rsidRPr="00C712C1">
        <w:rPr>
          <w:rFonts w:eastAsia="Calibri"/>
          <w:szCs w:val="22"/>
          <w:lang w:bidi="ar-SA"/>
        </w:rPr>
        <w:t xml:space="preserve"> that dietary exposure from the general food supply is likely to be low.</w:t>
      </w:r>
    </w:p>
    <w:p w14:paraId="63220567" w14:textId="77777777" w:rsidR="00936BAC" w:rsidRDefault="00936BAC" w:rsidP="00936BAC">
      <w:pPr>
        <w:ind w:left="360"/>
        <w:contextualSpacing/>
        <w:rPr>
          <w:rFonts w:eastAsia="Calibri"/>
          <w:szCs w:val="22"/>
          <w:lang w:bidi="ar-SA"/>
        </w:rPr>
      </w:pPr>
    </w:p>
    <w:p w14:paraId="2B362DE4" w14:textId="77777777" w:rsidR="00520E36" w:rsidRDefault="00B73FAD" w:rsidP="00B73FAD">
      <w:pPr>
        <w:contextualSpacing/>
        <w:rPr>
          <w:lang w:val="en-AU" w:bidi="ar-SA"/>
        </w:rPr>
      </w:pPr>
      <w:r w:rsidRPr="00CC41A7">
        <w:rPr>
          <w:rFonts w:eastAsia="Calibri"/>
          <w:szCs w:val="22"/>
          <w:lang w:bidi="ar-SA"/>
        </w:rPr>
        <w:t xml:space="preserve">Current at-site risk management measures consist of precautionary advice for residents sourcing food and water from or near contaminated sites to moderate their consumption of bore water, home grown fruit and vegetables, </w:t>
      </w:r>
      <w:r w:rsidR="00F04244">
        <w:rPr>
          <w:rFonts w:eastAsia="Calibri"/>
          <w:szCs w:val="22"/>
          <w:lang w:bidi="ar-SA"/>
        </w:rPr>
        <w:t xml:space="preserve">fish, </w:t>
      </w:r>
      <w:r w:rsidRPr="00CC41A7">
        <w:rPr>
          <w:rFonts w:eastAsia="Calibri"/>
          <w:szCs w:val="22"/>
          <w:lang w:bidi="ar-SA"/>
        </w:rPr>
        <w:t xml:space="preserve">meat and poultry while further work and analysis is undertaken by </w:t>
      </w:r>
      <w:r w:rsidR="00D273D9">
        <w:rPr>
          <w:rFonts w:eastAsia="Calibri"/>
          <w:szCs w:val="22"/>
          <w:lang w:bidi="ar-SA"/>
        </w:rPr>
        <w:t xml:space="preserve">the Department of </w:t>
      </w:r>
      <w:r w:rsidRPr="00CC41A7">
        <w:rPr>
          <w:rFonts w:eastAsia="Calibri"/>
          <w:szCs w:val="22"/>
          <w:lang w:bidi="ar-SA"/>
        </w:rPr>
        <w:t>Defence</w:t>
      </w:r>
      <w:r w:rsidR="00D273D9">
        <w:rPr>
          <w:rFonts w:eastAsia="Calibri"/>
          <w:szCs w:val="22"/>
          <w:lang w:bidi="ar-SA"/>
        </w:rPr>
        <w:t xml:space="preserve"> (Defence)</w:t>
      </w:r>
      <w:r w:rsidRPr="00CC41A7">
        <w:rPr>
          <w:rFonts w:eastAsia="Calibri"/>
          <w:szCs w:val="22"/>
          <w:lang w:bidi="ar-SA"/>
        </w:rPr>
        <w:t xml:space="preserve">. This is against a background of a range of remediation measures being considered by Defence. </w:t>
      </w:r>
    </w:p>
    <w:p w14:paraId="588B45C4" w14:textId="77777777" w:rsidR="00520E36" w:rsidRDefault="00520E36" w:rsidP="00B73FAD">
      <w:pPr>
        <w:contextualSpacing/>
        <w:rPr>
          <w:rFonts w:eastAsia="Calibri"/>
          <w:szCs w:val="22"/>
          <w:lang w:bidi="ar-SA"/>
        </w:rPr>
      </w:pPr>
    </w:p>
    <w:p w14:paraId="7200440C" w14:textId="77777777" w:rsidR="00936BAC" w:rsidRDefault="00936BAC" w:rsidP="00520E36">
      <w:pPr>
        <w:contextualSpacing/>
        <w:rPr>
          <w:lang w:val="en-AU" w:bidi="ar-SA"/>
        </w:rPr>
      </w:pPr>
      <w:r>
        <w:rPr>
          <w:lang w:val="en-AU" w:bidi="ar-SA"/>
        </w:rPr>
        <w:t xml:space="preserve">FSANZ has considered </w:t>
      </w:r>
      <w:r w:rsidRPr="00620082">
        <w:rPr>
          <w:lang w:val="en-AU" w:bidi="ar-SA"/>
        </w:rPr>
        <w:t xml:space="preserve">whether additional </w:t>
      </w:r>
      <w:r>
        <w:rPr>
          <w:lang w:val="en-AU" w:bidi="ar-SA"/>
        </w:rPr>
        <w:t xml:space="preserve">and specific </w:t>
      </w:r>
      <w:r w:rsidRPr="00620082">
        <w:rPr>
          <w:lang w:val="en-AU" w:bidi="ar-SA"/>
        </w:rPr>
        <w:t xml:space="preserve">risk mitigation measures </w:t>
      </w:r>
      <w:r>
        <w:rPr>
          <w:lang w:val="en-AU" w:bidi="ar-SA"/>
        </w:rPr>
        <w:t xml:space="preserve">targeted at foods </w:t>
      </w:r>
      <w:r w:rsidR="00471CC6">
        <w:rPr>
          <w:lang w:val="en-AU" w:bidi="ar-SA"/>
        </w:rPr>
        <w:t>sourced from or near</w:t>
      </w:r>
      <w:r>
        <w:rPr>
          <w:lang w:val="en-AU" w:bidi="ar-SA"/>
        </w:rPr>
        <w:t xml:space="preserve"> contaminated sites </w:t>
      </w:r>
      <w:r w:rsidRPr="00620082">
        <w:rPr>
          <w:lang w:val="en-AU" w:bidi="ar-SA"/>
        </w:rPr>
        <w:t>are likely to enhance the safety o</w:t>
      </w:r>
      <w:r>
        <w:rPr>
          <w:lang w:val="en-AU" w:bidi="ar-SA"/>
        </w:rPr>
        <w:t xml:space="preserve">f the </w:t>
      </w:r>
      <w:r w:rsidRPr="00620082">
        <w:rPr>
          <w:lang w:val="en-AU" w:bidi="ar-SA"/>
        </w:rPr>
        <w:t xml:space="preserve">current measures in </w:t>
      </w:r>
      <w:r w:rsidR="00AA52EA">
        <w:rPr>
          <w:lang w:val="en-AU" w:bidi="ar-SA"/>
        </w:rPr>
        <w:t xml:space="preserve">place. </w:t>
      </w:r>
    </w:p>
    <w:p w14:paraId="0F3F6404" w14:textId="77777777" w:rsidR="00520E36" w:rsidRDefault="00520E36" w:rsidP="00936BAC">
      <w:pPr>
        <w:widowControl/>
        <w:contextualSpacing/>
        <w:rPr>
          <w:rFonts w:eastAsia="Calibri"/>
          <w:szCs w:val="22"/>
          <w:lang w:bidi="ar-SA"/>
        </w:rPr>
      </w:pPr>
    </w:p>
    <w:p w14:paraId="0DECB769" w14:textId="77777777" w:rsidR="00936BAC" w:rsidRPr="00083CD5" w:rsidRDefault="00936BAC" w:rsidP="00936BAC">
      <w:pPr>
        <w:widowControl/>
        <w:contextualSpacing/>
        <w:rPr>
          <w:rFonts w:eastAsia="Calibri"/>
          <w:szCs w:val="22"/>
          <w:lang w:bidi="ar-SA"/>
        </w:rPr>
      </w:pPr>
      <w:r>
        <w:rPr>
          <w:rFonts w:eastAsia="Calibri"/>
          <w:szCs w:val="22"/>
          <w:lang w:bidi="ar-SA"/>
        </w:rPr>
        <w:t>FSANZ concludes the following:</w:t>
      </w:r>
    </w:p>
    <w:p w14:paraId="4D44F556" w14:textId="77777777" w:rsidR="003311BD" w:rsidRPr="00CC41A7" w:rsidRDefault="003311BD" w:rsidP="00B73FAD">
      <w:pPr>
        <w:contextualSpacing/>
        <w:rPr>
          <w:rFonts w:eastAsia="Calibri"/>
          <w:szCs w:val="22"/>
          <w:lang w:bidi="ar-SA"/>
        </w:rPr>
      </w:pPr>
    </w:p>
    <w:p w14:paraId="6984B4F0" w14:textId="77777777" w:rsidR="0005289E" w:rsidRDefault="0005289E" w:rsidP="00D6052B">
      <w:pPr>
        <w:numPr>
          <w:ilvl w:val="0"/>
          <w:numId w:val="10"/>
        </w:numPr>
        <w:contextualSpacing/>
        <w:rPr>
          <w:rFonts w:eastAsia="Calibri"/>
          <w:szCs w:val="22"/>
          <w:lang w:bidi="ar-SA"/>
        </w:rPr>
      </w:pPr>
      <w:r w:rsidRPr="0005289E">
        <w:rPr>
          <w:rFonts w:eastAsia="Calibri"/>
          <w:szCs w:val="22"/>
          <w:lang w:bidi="ar-SA"/>
        </w:rPr>
        <w:t>There are no specific regulatory limits for PFAS in food in place in Australia or any other country.</w:t>
      </w:r>
      <w:r w:rsidRPr="00474C81">
        <w:rPr>
          <w:rFonts w:eastAsia="Calibri"/>
          <w:szCs w:val="22"/>
          <w:lang w:bidi="ar-SA"/>
        </w:rPr>
        <w:t xml:space="preserve"> </w:t>
      </w:r>
    </w:p>
    <w:p w14:paraId="231E4D15" w14:textId="77777777" w:rsidR="0005289E" w:rsidRPr="0005289E" w:rsidRDefault="0005289E" w:rsidP="0005289E">
      <w:pPr>
        <w:ind w:left="720"/>
        <w:contextualSpacing/>
        <w:rPr>
          <w:rFonts w:eastAsia="Calibri"/>
          <w:szCs w:val="22"/>
          <w:lang w:bidi="ar-SA"/>
        </w:rPr>
      </w:pPr>
    </w:p>
    <w:p w14:paraId="5C7FD5B3" w14:textId="77777777" w:rsidR="0005289E" w:rsidRDefault="0005289E" w:rsidP="00D6052B">
      <w:pPr>
        <w:widowControl/>
        <w:numPr>
          <w:ilvl w:val="0"/>
          <w:numId w:val="10"/>
        </w:numPr>
        <w:contextualSpacing/>
        <w:rPr>
          <w:rFonts w:eastAsia="Calibri"/>
          <w:szCs w:val="22"/>
          <w:lang w:bidi="ar-SA"/>
        </w:rPr>
      </w:pPr>
      <w:r w:rsidRPr="00A3186F">
        <w:rPr>
          <w:rFonts w:eastAsia="Calibri"/>
          <w:szCs w:val="22"/>
          <w:lang w:bidi="ar-SA"/>
        </w:rPr>
        <w:t xml:space="preserve">FSANZ is unable to consider maximum limits (MLs) for </w:t>
      </w:r>
      <w:r>
        <w:rPr>
          <w:rFonts w:eastAsia="Calibri"/>
          <w:szCs w:val="22"/>
          <w:lang w:bidi="ar-SA"/>
        </w:rPr>
        <w:t>PF</w:t>
      </w:r>
      <w:r w:rsidR="002E4560">
        <w:rPr>
          <w:rFonts w:eastAsia="Calibri"/>
          <w:szCs w:val="22"/>
          <w:lang w:bidi="ar-SA"/>
        </w:rPr>
        <w:t>A</w:t>
      </w:r>
      <w:r>
        <w:rPr>
          <w:rFonts w:eastAsia="Calibri"/>
          <w:szCs w:val="22"/>
          <w:lang w:bidi="ar-SA"/>
        </w:rPr>
        <w:t>S</w:t>
      </w:r>
      <w:r w:rsidRPr="00A3186F">
        <w:rPr>
          <w:rFonts w:eastAsia="Calibri"/>
          <w:szCs w:val="22"/>
          <w:lang w:bidi="ar-SA"/>
        </w:rPr>
        <w:t xml:space="preserve"> in various food commodities </w:t>
      </w:r>
      <w:r w:rsidR="000D11E8">
        <w:rPr>
          <w:rFonts w:eastAsia="Calibri"/>
          <w:szCs w:val="22"/>
          <w:lang w:bidi="ar-SA"/>
        </w:rPr>
        <w:t xml:space="preserve">at this point in time </w:t>
      </w:r>
      <w:r>
        <w:rPr>
          <w:rFonts w:eastAsia="Calibri"/>
          <w:szCs w:val="22"/>
          <w:lang w:bidi="ar-SA"/>
        </w:rPr>
        <w:t xml:space="preserve">due to </w:t>
      </w:r>
      <w:r w:rsidR="00BE0018">
        <w:rPr>
          <w:rFonts w:eastAsia="Calibri"/>
          <w:szCs w:val="22"/>
          <w:lang w:bidi="ar-SA"/>
        </w:rPr>
        <w:t xml:space="preserve">a </w:t>
      </w:r>
      <w:r>
        <w:rPr>
          <w:rFonts w:eastAsia="Calibri"/>
          <w:szCs w:val="22"/>
          <w:lang w:bidi="ar-SA"/>
        </w:rPr>
        <w:t>lack of information on levels found in the general food supply.</w:t>
      </w:r>
    </w:p>
    <w:p w14:paraId="2F362146" w14:textId="77777777" w:rsidR="0005289E" w:rsidRPr="00A3186F" w:rsidRDefault="0005289E" w:rsidP="0005289E">
      <w:pPr>
        <w:widowControl/>
        <w:contextualSpacing/>
        <w:rPr>
          <w:rFonts w:eastAsia="Calibri"/>
          <w:szCs w:val="22"/>
          <w:lang w:bidi="ar-SA"/>
        </w:rPr>
      </w:pPr>
    </w:p>
    <w:p w14:paraId="4AA74DD3" w14:textId="77777777" w:rsidR="00CC41A7" w:rsidRDefault="00BE0018" w:rsidP="00D6052B">
      <w:pPr>
        <w:numPr>
          <w:ilvl w:val="0"/>
          <w:numId w:val="10"/>
        </w:numPr>
        <w:contextualSpacing/>
        <w:rPr>
          <w:rFonts w:eastAsia="Calibri"/>
          <w:szCs w:val="22"/>
          <w:lang w:bidi="ar-SA"/>
        </w:rPr>
      </w:pPr>
      <w:r>
        <w:rPr>
          <w:rFonts w:eastAsia="Calibri"/>
          <w:szCs w:val="22"/>
          <w:lang w:bidi="ar-SA"/>
        </w:rPr>
        <w:t>A</w:t>
      </w:r>
      <w:r w:rsidR="0005289E" w:rsidRPr="00474C81">
        <w:rPr>
          <w:rFonts w:eastAsia="Calibri"/>
          <w:szCs w:val="22"/>
          <w:lang w:bidi="ar-SA"/>
        </w:rPr>
        <w:t xml:space="preserve"> range of non-regulatory option</w:t>
      </w:r>
      <w:r w:rsidR="0005289E">
        <w:rPr>
          <w:rFonts w:eastAsia="Calibri"/>
          <w:szCs w:val="22"/>
          <w:lang w:bidi="ar-SA"/>
        </w:rPr>
        <w:t xml:space="preserve">s are available which could be used </w:t>
      </w:r>
      <w:r w:rsidR="0005289E" w:rsidRPr="00474C81">
        <w:rPr>
          <w:rFonts w:eastAsia="Calibri"/>
          <w:szCs w:val="22"/>
          <w:lang w:bidi="ar-SA"/>
        </w:rPr>
        <w:t xml:space="preserve">in parallel with </w:t>
      </w:r>
      <w:r w:rsidR="0005289E">
        <w:rPr>
          <w:rFonts w:eastAsia="Calibri"/>
          <w:szCs w:val="22"/>
          <w:lang w:bidi="ar-SA"/>
        </w:rPr>
        <w:t xml:space="preserve">existing </w:t>
      </w:r>
      <w:r w:rsidR="0005289E" w:rsidRPr="00474C81">
        <w:rPr>
          <w:rFonts w:eastAsia="Calibri"/>
          <w:szCs w:val="22"/>
          <w:lang w:bidi="ar-SA"/>
        </w:rPr>
        <w:t xml:space="preserve">at-site risk management </w:t>
      </w:r>
      <w:r w:rsidR="0005289E">
        <w:rPr>
          <w:rFonts w:eastAsia="Calibri"/>
          <w:szCs w:val="22"/>
          <w:lang w:bidi="ar-SA"/>
        </w:rPr>
        <w:t xml:space="preserve">measures </w:t>
      </w:r>
      <w:r w:rsidR="0005289E" w:rsidRPr="00474C81">
        <w:rPr>
          <w:rFonts w:eastAsia="Calibri"/>
          <w:szCs w:val="22"/>
          <w:lang w:bidi="ar-SA"/>
        </w:rPr>
        <w:t>by other Commonwealth and state and territory jurisdictions to manage and potentially red</w:t>
      </w:r>
      <w:r w:rsidR="00CC41A7">
        <w:rPr>
          <w:rFonts w:eastAsia="Calibri"/>
          <w:szCs w:val="22"/>
          <w:lang w:bidi="ar-SA"/>
        </w:rPr>
        <w:t>uce dietary exposure from PFAS.</w:t>
      </w:r>
    </w:p>
    <w:p w14:paraId="0F6177DD" w14:textId="77777777" w:rsidR="00471CC6" w:rsidRDefault="00471CC6" w:rsidP="00CC41A7">
      <w:pPr>
        <w:ind w:left="720"/>
        <w:contextualSpacing/>
        <w:rPr>
          <w:rFonts w:eastAsia="Calibri"/>
          <w:szCs w:val="22"/>
          <w:lang w:bidi="ar-SA"/>
        </w:rPr>
      </w:pPr>
    </w:p>
    <w:p w14:paraId="29401574" w14:textId="77777777" w:rsidR="00471CC6" w:rsidRDefault="0005289E" w:rsidP="004E4AE4">
      <w:pPr>
        <w:numPr>
          <w:ilvl w:val="0"/>
          <w:numId w:val="10"/>
        </w:numPr>
        <w:contextualSpacing/>
        <w:rPr>
          <w:rFonts w:eastAsia="Calibri"/>
          <w:szCs w:val="22"/>
          <w:lang w:bidi="ar-SA"/>
        </w:rPr>
      </w:pPr>
      <w:r>
        <w:rPr>
          <w:rFonts w:eastAsia="Calibri"/>
          <w:szCs w:val="22"/>
          <w:lang w:bidi="ar-SA"/>
        </w:rPr>
        <w:t>Although not site</w:t>
      </w:r>
      <w:r w:rsidR="002E4560">
        <w:rPr>
          <w:rFonts w:eastAsia="Calibri"/>
          <w:szCs w:val="22"/>
          <w:lang w:bidi="ar-SA"/>
        </w:rPr>
        <w:t>-</w:t>
      </w:r>
      <w:r>
        <w:rPr>
          <w:rFonts w:eastAsia="Calibri"/>
          <w:szCs w:val="22"/>
          <w:lang w:bidi="ar-SA"/>
        </w:rPr>
        <w:t>specific, informa</w:t>
      </w:r>
      <w:r w:rsidR="00471CC6">
        <w:rPr>
          <w:rFonts w:eastAsia="Calibri"/>
          <w:szCs w:val="22"/>
          <w:lang w:bidi="ar-SA"/>
        </w:rPr>
        <w:t>tion</w:t>
      </w:r>
      <w:r>
        <w:rPr>
          <w:rFonts w:eastAsia="Calibri"/>
          <w:szCs w:val="22"/>
          <w:lang w:bidi="ar-SA"/>
        </w:rPr>
        <w:t xml:space="preserve"> </w:t>
      </w:r>
      <w:r w:rsidR="00471CC6">
        <w:rPr>
          <w:rFonts w:eastAsia="Calibri"/>
          <w:szCs w:val="22"/>
          <w:lang w:bidi="ar-SA"/>
        </w:rPr>
        <w:t xml:space="preserve">from the dietary exposure </w:t>
      </w:r>
      <w:r>
        <w:rPr>
          <w:rFonts w:eastAsia="Calibri"/>
          <w:szCs w:val="22"/>
          <w:lang w:bidi="ar-SA"/>
        </w:rPr>
        <w:t>calculations for people consuming food sourced from or near contaminated sites (presented in Supporting Document 2)</w:t>
      </w:r>
      <w:r w:rsidR="00471CC6">
        <w:rPr>
          <w:rFonts w:eastAsia="Calibri"/>
          <w:szCs w:val="22"/>
          <w:lang w:bidi="ar-SA"/>
        </w:rPr>
        <w:t xml:space="preserve"> co</w:t>
      </w:r>
      <w:r>
        <w:rPr>
          <w:rFonts w:eastAsia="Calibri"/>
          <w:szCs w:val="22"/>
          <w:lang w:bidi="ar-SA"/>
        </w:rPr>
        <w:t>uld b</w:t>
      </w:r>
      <w:r w:rsidR="00471CC6">
        <w:rPr>
          <w:rFonts w:eastAsia="Calibri"/>
          <w:szCs w:val="22"/>
          <w:lang w:bidi="ar-SA"/>
        </w:rPr>
        <w:t>e</w:t>
      </w:r>
      <w:r>
        <w:rPr>
          <w:rFonts w:eastAsia="Calibri"/>
          <w:szCs w:val="22"/>
          <w:lang w:bidi="ar-SA"/>
        </w:rPr>
        <w:t xml:space="preserve"> </w:t>
      </w:r>
      <w:r w:rsidR="00471CC6">
        <w:rPr>
          <w:rFonts w:eastAsia="Calibri"/>
          <w:szCs w:val="22"/>
          <w:lang w:bidi="ar-SA"/>
        </w:rPr>
        <w:t>used b</w:t>
      </w:r>
      <w:r>
        <w:rPr>
          <w:rFonts w:eastAsia="Calibri"/>
          <w:szCs w:val="22"/>
          <w:lang w:bidi="ar-SA"/>
        </w:rPr>
        <w:t>y</w:t>
      </w:r>
      <w:r w:rsidR="00471CC6">
        <w:rPr>
          <w:rFonts w:eastAsia="Calibri"/>
          <w:szCs w:val="22"/>
          <w:lang w:bidi="ar-SA"/>
        </w:rPr>
        <w:t xml:space="preserve"> Defence, public health </w:t>
      </w:r>
      <w:r>
        <w:rPr>
          <w:rFonts w:eastAsia="Calibri"/>
          <w:szCs w:val="22"/>
          <w:lang w:bidi="ar-SA"/>
        </w:rPr>
        <w:t>or</w:t>
      </w:r>
      <w:r w:rsidR="00471CC6">
        <w:rPr>
          <w:rFonts w:eastAsia="Calibri"/>
          <w:szCs w:val="22"/>
          <w:lang w:bidi="ar-SA"/>
        </w:rPr>
        <w:t xml:space="preserve"> fo</w:t>
      </w:r>
      <w:r>
        <w:rPr>
          <w:rFonts w:eastAsia="Calibri"/>
          <w:szCs w:val="22"/>
          <w:lang w:bidi="ar-SA"/>
        </w:rPr>
        <w:t>od regulatory</w:t>
      </w:r>
      <w:r w:rsidR="00471CC6">
        <w:rPr>
          <w:rFonts w:eastAsia="Calibri"/>
          <w:szCs w:val="22"/>
          <w:lang w:bidi="ar-SA"/>
        </w:rPr>
        <w:t xml:space="preserve"> official</w:t>
      </w:r>
      <w:r>
        <w:rPr>
          <w:rFonts w:eastAsia="Calibri"/>
          <w:szCs w:val="22"/>
          <w:lang w:bidi="ar-SA"/>
        </w:rPr>
        <w:t>s to update fo</w:t>
      </w:r>
      <w:r w:rsidR="00471CC6">
        <w:rPr>
          <w:rFonts w:eastAsia="Calibri"/>
          <w:szCs w:val="22"/>
          <w:lang w:bidi="ar-SA"/>
        </w:rPr>
        <w:t xml:space="preserve">od </w:t>
      </w:r>
      <w:r>
        <w:rPr>
          <w:rFonts w:eastAsia="Calibri"/>
          <w:szCs w:val="22"/>
          <w:lang w:bidi="ar-SA"/>
        </w:rPr>
        <w:t>advisories.</w:t>
      </w:r>
      <w:r w:rsidR="004E4AE4" w:rsidRPr="004E4AE4">
        <w:t xml:space="preserve"> </w:t>
      </w:r>
      <w:r w:rsidR="00212F1C">
        <w:rPr>
          <w:rFonts w:eastAsia="Calibri"/>
          <w:szCs w:val="22"/>
          <w:lang w:bidi="ar-SA"/>
        </w:rPr>
        <w:t>As the</w:t>
      </w:r>
      <w:r w:rsidR="00AA52EA">
        <w:rPr>
          <w:rFonts w:eastAsia="Calibri"/>
          <w:szCs w:val="22"/>
          <w:lang w:bidi="ar-SA"/>
        </w:rPr>
        <w:t xml:space="preserve"> </w:t>
      </w:r>
      <w:r w:rsidR="004E4AE4" w:rsidRPr="004E4AE4">
        <w:rPr>
          <w:rFonts w:eastAsia="Calibri"/>
          <w:szCs w:val="22"/>
          <w:lang w:bidi="ar-SA"/>
        </w:rPr>
        <w:t>TDIs</w:t>
      </w:r>
      <w:r w:rsidR="007C6912">
        <w:rPr>
          <w:rFonts w:eastAsia="Calibri"/>
          <w:szCs w:val="22"/>
          <w:lang w:bidi="ar-SA"/>
        </w:rPr>
        <w:t xml:space="preserve"> </w:t>
      </w:r>
      <w:r w:rsidR="00212F1C">
        <w:rPr>
          <w:rFonts w:eastAsia="Calibri"/>
          <w:szCs w:val="22"/>
          <w:lang w:bidi="ar-SA"/>
        </w:rPr>
        <w:t xml:space="preserve">derived </w:t>
      </w:r>
      <w:r w:rsidR="007C6912">
        <w:rPr>
          <w:rFonts w:eastAsia="Calibri"/>
          <w:szCs w:val="22"/>
          <w:lang w:bidi="ar-SA"/>
        </w:rPr>
        <w:t xml:space="preserve">by FSANZ are lower than those </w:t>
      </w:r>
      <w:r w:rsidR="00212F1C">
        <w:rPr>
          <w:rFonts w:eastAsia="Calibri"/>
          <w:szCs w:val="22"/>
          <w:lang w:bidi="ar-SA"/>
        </w:rPr>
        <w:t>previously</w:t>
      </w:r>
      <w:r w:rsidR="007C6912">
        <w:rPr>
          <w:rFonts w:eastAsia="Calibri"/>
          <w:szCs w:val="22"/>
          <w:lang w:bidi="ar-SA"/>
        </w:rPr>
        <w:t xml:space="preserve"> established by EFSA</w:t>
      </w:r>
      <w:r w:rsidR="00B47D73">
        <w:rPr>
          <w:rFonts w:eastAsia="Calibri"/>
          <w:szCs w:val="22"/>
          <w:lang w:bidi="ar-SA"/>
        </w:rPr>
        <w:t>;</w:t>
      </w:r>
      <w:r w:rsidR="00520E36">
        <w:rPr>
          <w:rFonts w:eastAsia="Calibri"/>
          <w:szCs w:val="22"/>
          <w:lang w:bidi="ar-SA"/>
        </w:rPr>
        <w:t xml:space="preserve"> </w:t>
      </w:r>
      <w:r w:rsidR="004E4AE4" w:rsidRPr="004E4AE4">
        <w:rPr>
          <w:rFonts w:eastAsia="Calibri"/>
          <w:szCs w:val="22"/>
          <w:lang w:bidi="ar-SA"/>
        </w:rPr>
        <w:t xml:space="preserve">Defence, public health </w:t>
      </w:r>
      <w:r w:rsidR="00212F1C">
        <w:rPr>
          <w:rFonts w:eastAsia="Calibri"/>
          <w:szCs w:val="22"/>
          <w:lang w:bidi="ar-SA"/>
        </w:rPr>
        <w:t>and</w:t>
      </w:r>
      <w:r w:rsidR="004E4AE4" w:rsidRPr="004E4AE4">
        <w:rPr>
          <w:rFonts w:eastAsia="Calibri"/>
          <w:szCs w:val="22"/>
          <w:lang w:bidi="ar-SA"/>
        </w:rPr>
        <w:t xml:space="preserve"> food regulatory officials </w:t>
      </w:r>
      <w:r w:rsidR="007C6912">
        <w:rPr>
          <w:rFonts w:eastAsia="Calibri"/>
          <w:szCs w:val="22"/>
          <w:lang w:bidi="ar-SA"/>
        </w:rPr>
        <w:t>may</w:t>
      </w:r>
      <w:r w:rsidR="004E4AE4" w:rsidRPr="004E4AE4">
        <w:rPr>
          <w:rFonts w:eastAsia="Calibri"/>
          <w:szCs w:val="22"/>
          <w:lang w:bidi="ar-SA"/>
        </w:rPr>
        <w:t xml:space="preserve"> revise their current advice to residents in Williamtown and Oakey.</w:t>
      </w:r>
    </w:p>
    <w:p w14:paraId="1A83D783" w14:textId="77777777" w:rsidR="0005289E" w:rsidRDefault="0005289E" w:rsidP="00CC41A7">
      <w:pPr>
        <w:pStyle w:val="ListParagraph"/>
        <w:rPr>
          <w:rFonts w:eastAsia="Calibri"/>
          <w:szCs w:val="22"/>
          <w:lang w:bidi="ar-SA"/>
        </w:rPr>
      </w:pPr>
    </w:p>
    <w:p w14:paraId="4EEF844C" w14:textId="77777777" w:rsidR="0005289E" w:rsidRPr="00474C81" w:rsidRDefault="0005289E" w:rsidP="00D6052B">
      <w:pPr>
        <w:numPr>
          <w:ilvl w:val="0"/>
          <w:numId w:val="10"/>
        </w:numPr>
        <w:contextualSpacing/>
        <w:rPr>
          <w:rFonts w:eastAsia="Calibri"/>
          <w:szCs w:val="22"/>
          <w:lang w:bidi="ar-SA"/>
        </w:rPr>
      </w:pPr>
      <w:r>
        <w:rPr>
          <w:rFonts w:eastAsia="Calibri"/>
          <w:szCs w:val="22"/>
          <w:lang w:bidi="ar-SA"/>
        </w:rPr>
        <w:t>Trigger points</w:t>
      </w:r>
      <w:r w:rsidR="000D11E8">
        <w:rPr>
          <w:rFonts w:eastAsia="Calibri"/>
          <w:szCs w:val="22"/>
          <w:lang w:bidi="ar-SA"/>
        </w:rPr>
        <w:t xml:space="preserve"> </w:t>
      </w:r>
      <w:r>
        <w:rPr>
          <w:rFonts w:eastAsia="Calibri"/>
          <w:szCs w:val="22"/>
          <w:lang w:bidi="ar-SA"/>
        </w:rPr>
        <w:t xml:space="preserve">of </w:t>
      </w:r>
      <w:r w:rsidR="0068371D">
        <w:rPr>
          <w:rFonts w:eastAsia="Calibri"/>
          <w:szCs w:val="22"/>
          <w:lang w:bidi="ar-SA"/>
        </w:rPr>
        <w:t>investigation could</w:t>
      </w:r>
      <w:r>
        <w:rPr>
          <w:rFonts w:eastAsia="Calibri"/>
          <w:szCs w:val="22"/>
          <w:lang w:bidi="ar-SA"/>
        </w:rPr>
        <w:t xml:space="preserve"> be employed </w:t>
      </w:r>
      <w:r w:rsidR="00C75A46">
        <w:rPr>
          <w:rFonts w:eastAsia="Calibri"/>
          <w:szCs w:val="22"/>
          <w:lang w:bidi="ar-SA"/>
        </w:rPr>
        <w:t xml:space="preserve">by state and territory food jurisdictions </w:t>
      </w:r>
      <w:r w:rsidR="00C75A46">
        <w:t xml:space="preserve">when undertaking </w:t>
      </w:r>
      <w:r w:rsidR="00C75A46">
        <w:rPr>
          <w:rFonts w:eastAsia="Calibri"/>
          <w:szCs w:val="22"/>
          <w:lang w:bidi="ar-SA"/>
        </w:rPr>
        <w:t>follow up analysis of PFAS in foods</w:t>
      </w:r>
      <w:r w:rsidR="00C75A46" w:rsidDel="00C75A46">
        <w:t xml:space="preserve"> </w:t>
      </w:r>
      <w:r w:rsidR="000D11E8" w:rsidDel="00C75A46">
        <w:t>t</w:t>
      </w:r>
      <w:r w:rsidR="000D11E8">
        <w:t>o identify when levels in analysed foods exceed these values and require more research</w:t>
      </w:r>
      <w:r w:rsidR="000D11E8" w:rsidRPr="00B72350">
        <w:t>.</w:t>
      </w:r>
      <w:r w:rsidR="000D11E8">
        <w:rPr>
          <w:rFonts w:eastAsia="Calibri"/>
          <w:szCs w:val="22"/>
          <w:lang w:bidi="ar-SA"/>
        </w:rPr>
        <w:t xml:space="preserve"> </w:t>
      </w:r>
    </w:p>
    <w:p w14:paraId="55B32AEE" w14:textId="77777777" w:rsidR="00022886" w:rsidRDefault="00022886" w:rsidP="001671AA">
      <w:pPr>
        <w:rPr>
          <w:rFonts w:eastAsia="Calibri"/>
          <w:szCs w:val="22"/>
          <w:lang w:bidi="ar-SA"/>
        </w:rPr>
      </w:pPr>
    </w:p>
    <w:p w14:paraId="5582C5B3" w14:textId="77777777" w:rsidR="008C74BE" w:rsidRDefault="001671AA" w:rsidP="001671AA">
      <w:pPr>
        <w:rPr>
          <w:rFonts w:eastAsia="Calibri"/>
          <w:szCs w:val="22"/>
          <w:lang w:bidi="ar-SA"/>
        </w:rPr>
      </w:pPr>
      <w:r w:rsidRPr="001671AA">
        <w:rPr>
          <w:rFonts w:eastAsia="Calibri"/>
          <w:szCs w:val="22"/>
          <w:lang w:bidi="ar-SA"/>
        </w:rPr>
        <w:t xml:space="preserve">FSANZ has made </w:t>
      </w:r>
      <w:r w:rsidR="002A2AEB">
        <w:rPr>
          <w:rFonts w:eastAsia="Calibri"/>
          <w:szCs w:val="22"/>
          <w:lang w:bidi="ar-SA"/>
        </w:rPr>
        <w:t>two</w:t>
      </w:r>
      <w:r w:rsidR="002A2AEB" w:rsidRPr="001671AA">
        <w:rPr>
          <w:rFonts w:eastAsia="Calibri"/>
          <w:szCs w:val="22"/>
          <w:lang w:bidi="ar-SA"/>
        </w:rPr>
        <w:t xml:space="preserve"> </w:t>
      </w:r>
      <w:r w:rsidRPr="001671AA">
        <w:rPr>
          <w:rFonts w:eastAsia="Calibri"/>
          <w:szCs w:val="22"/>
          <w:lang w:bidi="ar-SA"/>
        </w:rPr>
        <w:t>recommendations for further research on PFAS for consideration.</w:t>
      </w:r>
    </w:p>
    <w:bookmarkEnd w:id="10"/>
    <w:bookmarkEnd w:id="11"/>
    <w:bookmarkEnd w:id="12"/>
    <w:bookmarkEnd w:id="13"/>
    <w:p w14:paraId="14E74AAF" w14:textId="77777777" w:rsidR="007E5866" w:rsidRDefault="007E5866">
      <w:pPr>
        <w:widowControl/>
        <w:rPr>
          <w:rFonts w:cs="Arial"/>
          <w:b/>
          <w:bCs/>
          <w:sz w:val="28"/>
          <w:szCs w:val="22"/>
          <w:lang w:bidi="ar-SA"/>
        </w:rPr>
      </w:pPr>
      <w:r>
        <w:br w:type="page"/>
      </w:r>
    </w:p>
    <w:p w14:paraId="0828C936" w14:textId="77777777" w:rsidR="004E2D19" w:rsidRPr="00CC22CD" w:rsidRDefault="00DE1F4C" w:rsidP="00DE1F4C">
      <w:pPr>
        <w:pStyle w:val="Heading2"/>
        <w:rPr>
          <w:color w:val="FF0000"/>
        </w:rPr>
      </w:pPr>
      <w:bookmarkStart w:id="19" w:name="_Toc475953969"/>
      <w:r>
        <w:lastRenderedPageBreak/>
        <w:t>1</w:t>
      </w:r>
      <w:r>
        <w:tab/>
      </w:r>
      <w:r w:rsidR="002F4A38">
        <w:t>Introduction/background</w:t>
      </w:r>
      <w:bookmarkEnd w:id="19"/>
    </w:p>
    <w:bookmarkEnd w:id="14"/>
    <w:bookmarkEnd w:id="15"/>
    <w:p w14:paraId="1FBBC17C" w14:textId="77777777" w:rsidR="00B11C2D" w:rsidRDefault="00B11C2D" w:rsidP="00B11C2D">
      <w:pPr>
        <w:widowControl/>
        <w:spacing w:after="240"/>
        <w:rPr>
          <w:szCs w:val="22"/>
        </w:rPr>
      </w:pPr>
      <w:r w:rsidRPr="00474C81">
        <w:rPr>
          <w:rFonts w:cs="Arial"/>
          <w:szCs w:val="28"/>
        </w:rPr>
        <w:t>A number of locations in Australia have localised contamination with perfluorinated chemi</w:t>
      </w:r>
      <w:r w:rsidR="00762621">
        <w:rPr>
          <w:rFonts w:cs="Arial"/>
          <w:szCs w:val="28"/>
        </w:rPr>
        <w:t xml:space="preserve">cals </w:t>
      </w:r>
      <w:r w:rsidRPr="00474C81">
        <w:rPr>
          <w:rFonts w:cs="Arial"/>
          <w:szCs w:val="28"/>
        </w:rPr>
        <w:t xml:space="preserve">arising from </w:t>
      </w:r>
      <w:r w:rsidRPr="00474C81">
        <w:rPr>
          <w:szCs w:val="22"/>
        </w:rPr>
        <w:t xml:space="preserve">their use in firefighting foams. </w:t>
      </w:r>
    </w:p>
    <w:p w14:paraId="00FA739D" w14:textId="77777777" w:rsidR="00846042" w:rsidRDefault="00F15A32" w:rsidP="00F15A32">
      <w:pPr>
        <w:widowControl/>
        <w:spacing w:after="240"/>
        <w:rPr>
          <w:rFonts w:cs="Arial"/>
          <w:szCs w:val="22"/>
        </w:rPr>
      </w:pPr>
      <w:r w:rsidRPr="006806D8">
        <w:rPr>
          <w:szCs w:val="22"/>
        </w:rPr>
        <w:t>Perfluorooctane sulfonate (PFOS), perfluorooctanoic acid (PFOA) and perfluorohexane sulfonate (PFHxS) belong to a group of compounds collectively referred to as</w:t>
      </w:r>
      <w:r>
        <w:rPr>
          <w:szCs w:val="22"/>
        </w:rPr>
        <w:t xml:space="preserve"> </w:t>
      </w:r>
      <w:r w:rsidRPr="006806D8">
        <w:rPr>
          <w:szCs w:val="22"/>
        </w:rPr>
        <w:t>per</w:t>
      </w:r>
      <w:r w:rsidR="00C2103B">
        <w:rPr>
          <w:szCs w:val="22"/>
        </w:rPr>
        <w:t>- and poly-</w:t>
      </w:r>
      <w:r w:rsidRPr="006806D8">
        <w:rPr>
          <w:szCs w:val="22"/>
        </w:rPr>
        <w:t>fluoroalkylated (PFAS) substances.</w:t>
      </w:r>
      <w:r>
        <w:rPr>
          <w:rFonts w:cs="Arial"/>
          <w:szCs w:val="22"/>
        </w:rPr>
        <w:t xml:space="preserve"> </w:t>
      </w:r>
    </w:p>
    <w:p w14:paraId="2331FF0A" w14:textId="77777777" w:rsidR="00A300D4" w:rsidRPr="001C27AB" w:rsidRDefault="00A300D4" w:rsidP="00A300D4">
      <w:pPr>
        <w:spacing w:after="120"/>
        <w:rPr>
          <w:szCs w:val="22"/>
        </w:rPr>
      </w:pPr>
      <w:r>
        <w:rPr>
          <w:szCs w:val="22"/>
        </w:rPr>
        <w:t>PFAS</w:t>
      </w:r>
      <w:r w:rsidRPr="001C27AB">
        <w:rPr>
          <w:szCs w:val="22"/>
        </w:rPr>
        <w:t xml:space="preserve"> are of concern because they do not break down in the environment and so can persist for a long time. There is presently no consistent evidence that exposure to </w:t>
      </w:r>
      <w:r w:rsidRPr="00474C81">
        <w:rPr>
          <w:rFonts w:cs="Arial"/>
          <w:szCs w:val="28"/>
        </w:rPr>
        <w:t>perfluorinated chemicals</w:t>
      </w:r>
      <w:r w:rsidRPr="001C27AB">
        <w:rPr>
          <w:szCs w:val="22"/>
        </w:rPr>
        <w:t xml:space="preserve"> causes adverse health effects in humans. However, given their persistence, bioaccumulation and toxicity to some animals, the potential for adverse human health effects cannot be excluded. </w:t>
      </w:r>
    </w:p>
    <w:p w14:paraId="5011F488" w14:textId="77777777" w:rsidR="00A300D4" w:rsidRPr="001C27AB" w:rsidRDefault="00A300D4" w:rsidP="00A300D4">
      <w:pPr>
        <w:spacing w:after="120"/>
        <w:rPr>
          <w:szCs w:val="22"/>
        </w:rPr>
      </w:pPr>
      <w:r w:rsidRPr="001C27AB">
        <w:rPr>
          <w:szCs w:val="22"/>
        </w:rPr>
        <w:t xml:space="preserve">Many countries have phased out, or are in the process of phasing out the use of PFOS and PFOA due to concerns about their persistence, bioaccumulation and toxicity. </w:t>
      </w:r>
    </w:p>
    <w:p w14:paraId="5BDED8D6" w14:textId="77777777" w:rsidR="00832B6E" w:rsidRDefault="00605610" w:rsidP="00492A9A">
      <w:pPr>
        <w:rPr>
          <w:rFonts w:cs="Arial"/>
          <w:szCs w:val="22"/>
        </w:rPr>
      </w:pPr>
      <w:r w:rsidRPr="00474C81">
        <w:rPr>
          <w:rFonts w:cs="Arial"/>
          <w:szCs w:val="22"/>
        </w:rPr>
        <w:t>In June 2016, the Environmental Health Standing Committee (enHealth), which is a subcommittee of the Australian Health Protection Principal Committee, adopted the 2008 European Food Safety Authority (EFSA) human health referenc</w:t>
      </w:r>
      <w:r>
        <w:rPr>
          <w:rFonts w:cs="Arial"/>
          <w:szCs w:val="22"/>
        </w:rPr>
        <w:t xml:space="preserve">e values for two PFAS chemicals, </w:t>
      </w:r>
      <w:r>
        <w:t xml:space="preserve">PFOS and PFOA </w:t>
      </w:r>
      <w:r w:rsidR="00D14E12">
        <w:rPr>
          <w:rFonts w:cs="Arial"/>
          <w:szCs w:val="22"/>
        </w:rPr>
        <w:t>and set interim HBGVs</w:t>
      </w:r>
      <w:r>
        <w:rPr>
          <w:rFonts w:cs="Arial"/>
          <w:szCs w:val="22"/>
        </w:rPr>
        <w:t xml:space="preserve">. </w:t>
      </w:r>
    </w:p>
    <w:p w14:paraId="0F318095" w14:textId="77777777" w:rsidR="00832B6E" w:rsidRDefault="00832B6E" w:rsidP="00492A9A">
      <w:pPr>
        <w:rPr>
          <w:rFonts w:cs="Arial"/>
          <w:szCs w:val="22"/>
        </w:rPr>
      </w:pPr>
    </w:p>
    <w:p w14:paraId="791E8AC0" w14:textId="77777777" w:rsidR="00492A9A" w:rsidRDefault="00492A9A" w:rsidP="00492A9A">
      <w:pPr>
        <w:rPr>
          <w:rFonts w:cs="Arial"/>
          <w:szCs w:val="22"/>
        </w:rPr>
      </w:pPr>
      <w:r w:rsidRPr="00634C98">
        <w:rPr>
          <w:rFonts w:cs="Arial"/>
          <w:szCs w:val="22"/>
        </w:rPr>
        <w:t xml:space="preserve">In contrast to PFOA and PFOS, </w:t>
      </w:r>
      <w:r>
        <w:rPr>
          <w:rFonts w:cs="Arial"/>
          <w:szCs w:val="22"/>
        </w:rPr>
        <w:t xml:space="preserve">a </w:t>
      </w:r>
      <w:r w:rsidRPr="00634C98">
        <w:rPr>
          <w:rFonts w:cs="Arial"/>
          <w:szCs w:val="22"/>
        </w:rPr>
        <w:t>HBGV for PFHxS ha</w:t>
      </w:r>
      <w:r>
        <w:rPr>
          <w:rFonts w:cs="Arial"/>
          <w:szCs w:val="22"/>
        </w:rPr>
        <w:t>s</w:t>
      </w:r>
      <w:r w:rsidRPr="00634C98">
        <w:rPr>
          <w:rFonts w:cs="Arial"/>
          <w:szCs w:val="22"/>
        </w:rPr>
        <w:t xml:space="preserve"> not generally been established by international regulatory agencies. This is likely to be due to a lack of sufficient toxicological information to conduct an assessment. Nevertheless, PFHxS has, on occasion, been </w:t>
      </w:r>
      <w:r>
        <w:rPr>
          <w:rFonts w:cs="Arial"/>
          <w:szCs w:val="22"/>
        </w:rPr>
        <w:t>included</w:t>
      </w:r>
      <w:r w:rsidRPr="00634C98">
        <w:rPr>
          <w:rFonts w:cs="Arial"/>
          <w:szCs w:val="22"/>
        </w:rPr>
        <w:t xml:space="preserve"> as a part of consideration of other perflourinated compounds. </w:t>
      </w:r>
    </w:p>
    <w:p w14:paraId="23BDD18D" w14:textId="77777777" w:rsidR="00605610" w:rsidRPr="00474C81" w:rsidRDefault="00605610" w:rsidP="00605610">
      <w:pPr>
        <w:widowControl/>
        <w:spacing w:after="120"/>
        <w:rPr>
          <w:rFonts w:cs="Arial"/>
          <w:szCs w:val="22"/>
        </w:rPr>
      </w:pPr>
    </w:p>
    <w:p w14:paraId="441CD3FB" w14:textId="77777777" w:rsidR="00A52F4B" w:rsidRDefault="00A52F4B" w:rsidP="00A52F4B">
      <w:pPr>
        <w:rPr>
          <w:color w:val="000000"/>
        </w:rPr>
      </w:pPr>
      <w:r w:rsidRPr="00E42A89">
        <w:rPr>
          <w:color w:val="000000"/>
        </w:rPr>
        <w:t xml:space="preserve">On 8 August 2016 </w:t>
      </w:r>
      <w:r w:rsidR="00B3357E">
        <w:rPr>
          <w:color w:val="000000"/>
        </w:rPr>
        <w:t xml:space="preserve">the Australian Department of </w:t>
      </w:r>
      <w:r>
        <w:rPr>
          <w:color w:val="000000"/>
        </w:rPr>
        <w:t xml:space="preserve">Defence </w:t>
      </w:r>
      <w:r w:rsidR="00B3357E">
        <w:rPr>
          <w:color w:val="000000"/>
        </w:rPr>
        <w:t xml:space="preserve">(Defence) </w:t>
      </w:r>
      <w:r w:rsidRPr="00E42A89">
        <w:rPr>
          <w:color w:val="000000"/>
        </w:rPr>
        <w:t xml:space="preserve">released its </w:t>
      </w:r>
      <w:hyperlink r:id="rId15" w:history="1">
        <w:r w:rsidRPr="00E42A89">
          <w:rPr>
            <w:rStyle w:val="Hyperlink"/>
            <w:rFonts w:cs="Arial"/>
            <w:szCs w:val="22"/>
          </w:rPr>
          <w:t>Human Health Risk Assessment (HHRA)</w:t>
        </w:r>
        <w:r w:rsidR="00343314" w:rsidRPr="00466515">
          <w:rPr>
            <w:noProof/>
            <w:color w:val="004274"/>
            <w:lang w:val="en-AU" w:eastAsia="en-AU" w:bidi="ar-SA"/>
          </w:rPr>
          <w:drawing>
            <wp:inline distT="0" distB="0" distL="0" distR="0" wp14:anchorId="5374F1DE" wp14:editId="486FB23B">
              <wp:extent cx="114300" cy="114300"/>
              <wp:effectExtent l="0" t="0" r="0" b="0"/>
              <wp:docPr id="2" name="Picture 1" descr="external lin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E42A89">
        <w:rPr>
          <w:color w:val="000000"/>
        </w:rPr>
        <w:t xml:space="preserve"> examining possible</w:t>
      </w:r>
      <w:r w:rsidR="00402729">
        <w:rPr>
          <w:color w:val="000000"/>
        </w:rPr>
        <w:t xml:space="preserve"> pathways for human exposure </w:t>
      </w:r>
      <w:r w:rsidR="006A7440">
        <w:rPr>
          <w:color w:val="000000"/>
        </w:rPr>
        <w:t>to</w:t>
      </w:r>
      <w:r w:rsidR="00F92AC7">
        <w:rPr>
          <w:color w:val="000000"/>
        </w:rPr>
        <w:t xml:space="preserve"> PFAS </w:t>
      </w:r>
      <w:r w:rsidR="006A7440" w:rsidRPr="00474C81">
        <w:rPr>
          <w:rFonts w:cs="Arial"/>
          <w:szCs w:val="28"/>
        </w:rPr>
        <w:t>chemicals</w:t>
      </w:r>
      <w:r w:rsidR="006A7440" w:rsidRPr="00E42A89">
        <w:rPr>
          <w:color w:val="000000"/>
        </w:rPr>
        <w:t xml:space="preserve"> </w:t>
      </w:r>
      <w:r w:rsidRPr="00E42A89">
        <w:rPr>
          <w:color w:val="000000"/>
        </w:rPr>
        <w:t xml:space="preserve">arising from contamination at the Williamtown RAAF Base. Defence has also released an </w:t>
      </w:r>
      <w:hyperlink r:id="rId17" w:history="1">
        <w:r w:rsidRPr="00E42A89">
          <w:rPr>
            <w:rStyle w:val="Hyperlink"/>
            <w:rFonts w:cs="Arial"/>
            <w:szCs w:val="22"/>
          </w:rPr>
          <w:t>Environmental Site Assessment</w:t>
        </w:r>
        <w:r w:rsidR="00343314" w:rsidRPr="00466515">
          <w:rPr>
            <w:noProof/>
            <w:color w:val="004274"/>
            <w:lang w:val="en-AU" w:eastAsia="en-AU" w:bidi="ar-SA"/>
          </w:rPr>
          <w:drawing>
            <wp:inline distT="0" distB="0" distL="0" distR="0" wp14:anchorId="00156072" wp14:editId="4F21B52D">
              <wp:extent cx="114300" cy="114300"/>
              <wp:effectExtent l="0" t="0" r="0" b="0"/>
              <wp:docPr id="3" name="Picture 3" descr="external lin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E42A89">
        <w:rPr>
          <w:color w:val="000000"/>
        </w:rPr>
        <w:t xml:space="preserve"> which includes modelling to predict the movement of the PFAS chemicals</w:t>
      </w:r>
      <w:r>
        <w:rPr>
          <w:color w:val="000000"/>
        </w:rPr>
        <w:t xml:space="preserve"> in the environment</w:t>
      </w:r>
      <w:r w:rsidRPr="00E42A89">
        <w:rPr>
          <w:color w:val="000000"/>
        </w:rPr>
        <w:t>. </w:t>
      </w:r>
    </w:p>
    <w:p w14:paraId="20FD2225" w14:textId="77777777" w:rsidR="00A52F4B" w:rsidRDefault="00A52F4B" w:rsidP="00A52F4B">
      <w:pPr>
        <w:rPr>
          <w:color w:val="000000"/>
        </w:rPr>
      </w:pPr>
    </w:p>
    <w:p w14:paraId="2A13B6BE" w14:textId="77777777" w:rsidR="006D6534" w:rsidRDefault="00A52F4B" w:rsidP="006D6534">
      <w:pPr>
        <w:widowControl/>
        <w:spacing w:after="120"/>
      </w:pPr>
      <w:r>
        <w:rPr>
          <w:rFonts w:cs="Arial"/>
          <w:lang w:val="en-US" w:eastAsia="en-GB"/>
        </w:rPr>
        <w:t>On 2 September 2016 Defence released its</w:t>
      </w:r>
      <w:r w:rsidRPr="00325125">
        <w:rPr>
          <w:rFonts w:cs="Arial"/>
          <w:lang w:val="en-US" w:eastAsia="en-GB"/>
        </w:rPr>
        <w:t xml:space="preserve"> Human Health Risk Assessment</w:t>
      </w:r>
      <w:r>
        <w:rPr>
          <w:rFonts w:cs="Arial"/>
          <w:lang w:val="en-US" w:eastAsia="en-GB"/>
        </w:rPr>
        <w:t xml:space="preserve"> on Oakey, Queensland</w:t>
      </w:r>
      <w:r w:rsidR="00757F2D">
        <w:rPr>
          <w:rFonts w:cs="Arial"/>
          <w:lang w:val="en-US" w:eastAsia="en-GB"/>
        </w:rPr>
        <w:t xml:space="preserve">. See: </w:t>
      </w:r>
      <w:hyperlink r:id="rId18" w:history="1">
        <w:r w:rsidR="00757F2D" w:rsidRPr="00757F2D">
          <w:rPr>
            <w:rStyle w:val="Hyperlink"/>
            <w:lang w:val="en"/>
          </w:rPr>
          <w:t>Army Aviation Centre Oakey PFAS Investigation</w:t>
        </w:r>
        <w:r w:rsidR="006D6534" w:rsidRPr="00757F2D">
          <w:rPr>
            <w:rStyle w:val="Hyperlink"/>
          </w:rPr>
          <w:t xml:space="preserve"> </w:t>
        </w:r>
        <w:r w:rsidR="00757F2D" w:rsidRPr="00757F2D">
          <w:rPr>
            <w:rStyle w:val="Hyperlink"/>
          </w:rPr>
          <w:t>doc.</w:t>
        </w:r>
      </w:hyperlink>
    </w:p>
    <w:p w14:paraId="51564D92" w14:textId="77777777" w:rsidR="00605610" w:rsidRDefault="00E20565" w:rsidP="00605610">
      <w:r>
        <w:t>On 9 September 2016, a</w:t>
      </w:r>
      <w:r w:rsidR="00A300D4">
        <w:t xml:space="preserve">n independent review of the enHealth decision, conducted by Adjunct Professor Andrew Bartholomaeus, supported the decision by Australian authorities to use European HBGVs for PFOS and PFOA as an interim approach to investigating </w:t>
      </w:r>
      <w:r w:rsidR="00B11470">
        <w:br/>
      </w:r>
      <w:r w:rsidR="00A300D4">
        <w:t xml:space="preserve">site-specific human health risk assessments in Australia pending a formal more extensive review of the HBGVs by FSANZ. </w:t>
      </w:r>
    </w:p>
    <w:p w14:paraId="76EABCDE" w14:textId="77777777" w:rsidR="009455A7" w:rsidRDefault="009455A7" w:rsidP="00605610"/>
    <w:p w14:paraId="265C80E5" w14:textId="77777777" w:rsidR="009455A7" w:rsidRDefault="009455A7" w:rsidP="009455A7">
      <w:pPr>
        <w:rPr>
          <w:lang w:val="en-US" w:eastAsia="en-GB" w:bidi="ar-SA"/>
        </w:rPr>
      </w:pPr>
      <w:r>
        <w:rPr>
          <w:lang w:val="en-US" w:eastAsia="en-GB" w:bidi="ar-SA"/>
        </w:rPr>
        <w:t>In June 2016, the Department of Health commissioned FSANZ to:</w:t>
      </w:r>
    </w:p>
    <w:p w14:paraId="45C98890" w14:textId="77777777" w:rsidR="009455A7" w:rsidRDefault="009455A7" w:rsidP="009455A7">
      <w:pPr>
        <w:rPr>
          <w:sz w:val="26"/>
          <w:szCs w:val="26"/>
          <w:lang w:val="en-US" w:eastAsia="en-GB" w:bidi="ar-SA"/>
        </w:rPr>
      </w:pPr>
    </w:p>
    <w:p w14:paraId="5F88DF11" w14:textId="77777777" w:rsidR="009455A7" w:rsidRDefault="009455A7" w:rsidP="009455A7">
      <w:pPr>
        <w:pStyle w:val="FSBullet1"/>
        <w:rPr>
          <w:sz w:val="26"/>
          <w:szCs w:val="26"/>
          <w:lang w:val="en-US" w:eastAsia="en-GB"/>
        </w:rPr>
      </w:pPr>
      <w:r>
        <w:rPr>
          <w:lang w:val="en-US" w:eastAsia="en-GB"/>
        </w:rPr>
        <w:t xml:space="preserve">Develop final HBGV for PFOS, PFOA and PFHxS, which </w:t>
      </w:r>
      <w:r w:rsidR="00D14E12">
        <w:rPr>
          <w:lang w:val="en-US" w:eastAsia="en-GB"/>
        </w:rPr>
        <w:t>belong to a group of compounds</w:t>
      </w:r>
      <w:r>
        <w:rPr>
          <w:lang w:val="en-US" w:eastAsia="en-GB"/>
        </w:rPr>
        <w:t xml:space="preserve"> collectively known as PFAS</w:t>
      </w:r>
      <w:r w:rsidR="0018091D">
        <w:rPr>
          <w:lang w:val="en-US" w:eastAsia="en-GB"/>
        </w:rPr>
        <w:t>.</w:t>
      </w:r>
    </w:p>
    <w:p w14:paraId="20E27874" w14:textId="77777777" w:rsidR="009455A7" w:rsidRDefault="009455A7" w:rsidP="009455A7">
      <w:pPr>
        <w:pStyle w:val="FSBullet1"/>
        <w:rPr>
          <w:szCs w:val="22"/>
        </w:rPr>
      </w:pPr>
      <w:r>
        <w:rPr>
          <w:lang w:val="en-US" w:eastAsia="en-GB"/>
        </w:rPr>
        <w:t>Make an assessment as to whether a food regulatory measure should be further considered as the most appropriate risk management response and conduct a dietary exposure assessment.</w:t>
      </w:r>
    </w:p>
    <w:p w14:paraId="2B33B57C" w14:textId="77777777" w:rsidR="00634C98" w:rsidRPr="00244FC9" w:rsidRDefault="00634C98" w:rsidP="00244FC9">
      <w:pPr>
        <w:widowControl/>
        <w:shd w:val="clear" w:color="auto" w:fill="FFFFFF"/>
        <w:spacing w:after="120"/>
        <w:rPr>
          <w:rFonts w:cs="Arial"/>
          <w:szCs w:val="22"/>
          <w:lang w:val="en-AU"/>
        </w:rPr>
      </w:pPr>
    </w:p>
    <w:p w14:paraId="79C62A7D" w14:textId="77777777" w:rsidR="003521C0" w:rsidRPr="00CC22CD" w:rsidRDefault="0000463F" w:rsidP="00DE0B36">
      <w:pPr>
        <w:pStyle w:val="Heading2"/>
      </w:pPr>
      <w:bookmarkStart w:id="20" w:name="_Toc403377530"/>
      <w:bookmarkStart w:id="21" w:name="_Toc475953970"/>
      <w:r>
        <w:lastRenderedPageBreak/>
        <w:t>2</w:t>
      </w:r>
      <w:r w:rsidR="00DE0B36">
        <w:tab/>
      </w:r>
      <w:r w:rsidR="00CF4C6F">
        <w:t>Previous i</w:t>
      </w:r>
      <w:r w:rsidR="00456847" w:rsidRPr="00CC22CD">
        <w:t>nvestigation</w:t>
      </w:r>
      <w:bookmarkEnd w:id="20"/>
      <w:r w:rsidR="00DA2268" w:rsidRPr="00CC22CD">
        <w:t>s</w:t>
      </w:r>
      <w:r w:rsidR="00456847" w:rsidRPr="00CC22CD">
        <w:t xml:space="preserve"> </w:t>
      </w:r>
      <w:r w:rsidR="00DA2268" w:rsidRPr="00CC22CD">
        <w:t>into PFAS contaminatio</w:t>
      </w:r>
      <w:r w:rsidR="00C8784E" w:rsidRPr="00CC22CD">
        <w:t>n</w:t>
      </w:r>
      <w:r w:rsidR="009A33DC">
        <w:t xml:space="preserve"> in food</w:t>
      </w:r>
      <w:bookmarkEnd w:id="21"/>
    </w:p>
    <w:p w14:paraId="4258F273" w14:textId="77777777" w:rsidR="000B1E35" w:rsidRPr="00474C81" w:rsidRDefault="000B1E35" w:rsidP="000B1E35">
      <w:pPr>
        <w:widowControl/>
        <w:spacing w:after="240"/>
        <w:rPr>
          <w:rFonts w:cs="Arial"/>
          <w:szCs w:val="28"/>
        </w:rPr>
      </w:pPr>
      <w:r>
        <w:rPr>
          <w:rFonts w:cs="Arial"/>
          <w:szCs w:val="28"/>
        </w:rPr>
        <w:t xml:space="preserve">The </w:t>
      </w:r>
      <w:hyperlink r:id="rId19" w:history="1">
        <w:r w:rsidRPr="00007F20">
          <w:rPr>
            <w:rStyle w:val="Hyperlink"/>
            <w:rFonts w:cs="Arial"/>
            <w:szCs w:val="28"/>
          </w:rPr>
          <w:t>24th Au</w:t>
        </w:r>
        <w:r w:rsidR="00C05135" w:rsidRPr="00007F20">
          <w:rPr>
            <w:rStyle w:val="Hyperlink"/>
            <w:rFonts w:cs="Arial"/>
            <w:szCs w:val="28"/>
          </w:rPr>
          <w:t xml:space="preserve">stralian Total Diet Study </w:t>
        </w:r>
        <w:r w:rsidR="00876C13" w:rsidRPr="00007F20">
          <w:rPr>
            <w:rStyle w:val="Hyperlink"/>
            <w:rFonts w:cs="Arial"/>
            <w:szCs w:val="28"/>
          </w:rPr>
          <w:t>(ATDS)</w:t>
        </w:r>
      </w:hyperlink>
      <w:r w:rsidR="00876C13">
        <w:rPr>
          <w:rFonts w:cs="Arial"/>
          <w:szCs w:val="28"/>
        </w:rPr>
        <w:t xml:space="preserve"> </w:t>
      </w:r>
      <w:r>
        <w:rPr>
          <w:rFonts w:cs="Arial"/>
          <w:szCs w:val="28"/>
        </w:rPr>
        <w:t>w</w:t>
      </w:r>
      <w:r w:rsidRPr="00474C81">
        <w:rPr>
          <w:rFonts w:cs="Arial"/>
          <w:szCs w:val="28"/>
        </w:rPr>
        <w:t xml:space="preserve">hich analysed </w:t>
      </w:r>
      <w:r w:rsidR="00CF4C6F">
        <w:rPr>
          <w:rFonts w:cs="Arial"/>
          <w:szCs w:val="28"/>
        </w:rPr>
        <w:t>PFOS and PFOA</w:t>
      </w:r>
      <w:r w:rsidR="00CF4C6F" w:rsidRPr="00474C81">
        <w:rPr>
          <w:rFonts w:cs="Arial"/>
          <w:szCs w:val="28"/>
        </w:rPr>
        <w:t xml:space="preserve"> </w:t>
      </w:r>
      <w:r w:rsidRPr="00474C81">
        <w:rPr>
          <w:rFonts w:cs="Arial"/>
          <w:szCs w:val="28"/>
        </w:rPr>
        <w:t xml:space="preserve">in a range of foods in the general food supply in Australia </w:t>
      </w:r>
      <w:r>
        <w:rPr>
          <w:rFonts w:cs="Arial"/>
          <w:szCs w:val="28"/>
        </w:rPr>
        <w:t>identified</w:t>
      </w:r>
      <w:r w:rsidRPr="00474C81">
        <w:rPr>
          <w:rFonts w:cs="Arial"/>
          <w:szCs w:val="28"/>
        </w:rPr>
        <w:t xml:space="preserve"> no </w:t>
      </w:r>
      <w:r>
        <w:rPr>
          <w:rFonts w:cs="Arial"/>
          <w:szCs w:val="28"/>
        </w:rPr>
        <w:t xml:space="preserve">public health and safety concerns. </w:t>
      </w:r>
    </w:p>
    <w:p w14:paraId="6959F520" w14:textId="77777777" w:rsidR="00A300D4" w:rsidRDefault="00A300D4" w:rsidP="00A300D4">
      <w:pPr>
        <w:shd w:val="clear" w:color="auto" w:fill="FFFFFF"/>
        <w:spacing w:before="100" w:beforeAutospacing="1" w:after="100" w:afterAutospacing="1"/>
        <w:rPr>
          <w:rFonts w:cs="Arial"/>
          <w:lang w:val="en-US" w:eastAsia="en-GB"/>
        </w:rPr>
      </w:pPr>
      <w:r w:rsidRPr="004D4184">
        <w:rPr>
          <w:rFonts w:cs="Arial"/>
          <w:lang w:val="en-US" w:eastAsia="en-GB"/>
        </w:rPr>
        <w:t xml:space="preserve">In 2015, the NSW </w:t>
      </w:r>
      <w:r w:rsidR="007A6BD1">
        <w:rPr>
          <w:rFonts w:cs="Arial"/>
          <w:lang w:val="en-US" w:eastAsia="en-GB"/>
        </w:rPr>
        <w:t xml:space="preserve">Food Authority </w:t>
      </w:r>
      <w:r w:rsidRPr="004D4184">
        <w:rPr>
          <w:rFonts w:cs="Arial"/>
          <w:lang w:val="en-US" w:eastAsia="en-GB"/>
        </w:rPr>
        <w:t xml:space="preserve">asked FSANZ to provide advice on the TDI for PFOS established by the European Food Safety Authority (EFSA) in 2008, and on safe </w:t>
      </w:r>
      <w:r w:rsidR="00CF4C6F">
        <w:rPr>
          <w:rFonts w:cs="Arial"/>
          <w:lang w:val="en-US" w:eastAsia="en-GB"/>
        </w:rPr>
        <w:t xml:space="preserve">levels </w:t>
      </w:r>
      <w:r>
        <w:rPr>
          <w:rFonts w:cs="Arial"/>
          <w:lang w:val="en-US" w:eastAsia="en-GB"/>
        </w:rPr>
        <w:t xml:space="preserve">of PFOS in seafood. </w:t>
      </w:r>
      <w:r w:rsidRPr="004D4184">
        <w:rPr>
          <w:rFonts w:cs="Arial"/>
          <w:lang w:val="en-US" w:eastAsia="en-GB"/>
        </w:rPr>
        <w:t>The reques</w:t>
      </w:r>
      <w:r>
        <w:rPr>
          <w:rFonts w:cs="Arial"/>
          <w:lang w:val="en-US" w:eastAsia="en-GB"/>
        </w:rPr>
        <w:t xml:space="preserve">t was made in relation to areas </w:t>
      </w:r>
      <w:r w:rsidRPr="004D4184">
        <w:rPr>
          <w:rFonts w:cs="Arial"/>
          <w:lang w:val="en-US" w:eastAsia="en-GB"/>
        </w:rPr>
        <w:t>of lo</w:t>
      </w:r>
      <w:r>
        <w:rPr>
          <w:rFonts w:cs="Arial"/>
          <w:lang w:val="en-US" w:eastAsia="en-GB"/>
        </w:rPr>
        <w:t xml:space="preserve">calised contamination in NSW. </w:t>
      </w:r>
      <w:r w:rsidRPr="004D4184">
        <w:rPr>
          <w:rFonts w:cs="Arial"/>
          <w:lang w:val="en-US" w:eastAsia="en-GB"/>
        </w:rPr>
        <w:t>Based on a comparison of potential estimated dietary exposure to PFOS from consuming oysters sourced from the area of interest in NSW with the EFSA TDI, FSANZ’s preliminary conclusion was that there was low health risk concern for the general population.</w:t>
      </w:r>
    </w:p>
    <w:p w14:paraId="3B1DB42D" w14:textId="77777777" w:rsidR="004F352B" w:rsidRDefault="00A300D4" w:rsidP="005647D9">
      <w:pPr>
        <w:shd w:val="clear" w:color="auto" w:fill="FFFFFF"/>
        <w:spacing w:before="100" w:beforeAutospacing="1" w:after="100" w:afterAutospacing="1"/>
      </w:pPr>
      <w:r w:rsidRPr="004D4184">
        <w:rPr>
          <w:rFonts w:cs="Arial"/>
          <w:lang w:val="en-US" w:eastAsia="en-GB"/>
        </w:rPr>
        <w:t>For people who may consume large amounts of other seafood from the areas of interest</w:t>
      </w:r>
      <w:r w:rsidR="00DC5331">
        <w:rPr>
          <w:rFonts w:cs="Arial"/>
          <w:lang w:val="en-US" w:eastAsia="en-GB"/>
        </w:rPr>
        <w:t xml:space="preserve"> in NSW</w:t>
      </w:r>
      <w:r w:rsidRPr="004D4184">
        <w:rPr>
          <w:rFonts w:cs="Arial"/>
          <w:lang w:val="en-US" w:eastAsia="en-GB"/>
        </w:rPr>
        <w:t xml:space="preserve">, FSANZ found there </w:t>
      </w:r>
      <w:r w:rsidR="00CF4C6F">
        <w:rPr>
          <w:rFonts w:cs="Arial"/>
          <w:lang w:val="en-US" w:eastAsia="en-GB"/>
        </w:rPr>
        <w:t>was</w:t>
      </w:r>
      <w:r w:rsidR="00CF4C6F" w:rsidRPr="004D4184">
        <w:rPr>
          <w:rFonts w:cs="Arial"/>
          <w:lang w:val="en-US" w:eastAsia="en-GB"/>
        </w:rPr>
        <w:t xml:space="preserve"> </w:t>
      </w:r>
      <w:r w:rsidRPr="004D4184">
        <w:rPr>
          <w:rFonts w:cs="Arial"/>
          <w:lang w:val="en-US" w:eastAsia="en-GB"/>
        </w:rPr>
        <w:t xml:space="preserve">a potential to exceed the EFSA </w:t>
      </w:r>
      <w:r>
        <w:rPr>
          <w:rFonts w:cs="Arial"/>
          <w:lang w:val="en-US" w:eastAsia="en-GB"/>
        </w:rPr>
        <w:t>HBGV</w:t>
      </w:r>
      <w:r w:rsidRPr="004D4184">
        <w:rPr>
          <w:rFonts w:cs="Arial"/>
          <w:lang w:val="en-US" w:eastAsia="en-GB"/>
        </w:rPr>
        <w:t xml:space="preserve"> for PFOS for some species of fish or crustacea. </w:t>
      </w:r>
      <w:r w:rsidR="00325125" w:rsidRPr="004D4184">
        <w:rPr>
          <w:rFonts w:cs="Arial"/>
          <w:lang w:val="en-US" w:eastAsia="en-GB"/>
        </w:rPr>
        <w:t xml:space="preserve">However, this is not likely to be the case for the general population. </w:t>
      </w:r>
      <w:r w:rsidR="00CF4C6F">
        <w:rPr>
          <w:rFonts w:cs="Arial"/>
          <w:lang w:val="en-US" w:eastAsia="en-GB"/>
        </w:rPr>
        <w:t xml:space="preserve">The </w:t>
      </w:r>
      <w:r w:rsidR="00DC5331">
        <w:rPr>
          <w:rFonts w:cs="Arial"/>
          <w:lang w:val="en-US" w:eastAsia="en-GB"/>
        </w:rPr>
        <w:t>preliminary assessment</w:t>
      </w:r>
      <w:r w:rsidR="00CF4C6F">
        <w:rPr>
          <w:rFonts w:cs="Arial"/>
          <w:lang w:val="en-US" w:eastAsia="en-GB"/>
        </w:rPr>
        <w:t xml:space="preserve"> indicated f</w:t>
      </w:r>
      <w:r w:rsidR="00325125" w:rsidRPr="004D4184">
        <w:rPr>
          <w:rFonts w:cs="Arial"/>
          <w:lang w:val="en-US" w:eastAsia="en-GB"/>
        </w:rPr>
        <w:t>urther research is required on levels of PFOS, PFOA and PFHxS in seafood and other commodities in the</w:t>
      </w:r>
      <w:r w:rsidR="0063738A">
        <w:rPr>
          <w:rFonts w:cs="Arial"/>
          <w:lang w:val="en-US" w:eastAsia="en-GB"/>
        </w:rPr>
        <w:t xml:space="preserve"> general</w:t>
      </w:r>
      <w:r w:rsidR="00325125" w:rsidRPr="004D4184">
        <w:rPr>
          <w:rFonts w:cs="Arial"/>
          <w:lang w:val="en-US" w:eastAsia="en-GB"/>
        </w:rPr>
        <w:t xml:space="preserve"> food supply</w:t>
      </w:r>
      <w:r w:rsidR="00627754">
        <w:rPr>
          <w:rFonts w:cs="Arial"/>
          <w:lang w:val="en-US" w:eastAsia="en-GB"/>
        </w:rPr>
        <w:t xml:space="preserve"> </w:t>
      </w:r>
      <w:r w:rsidR="00372B69">
        <w:rPr>
          <w:rFonts w:cs="Arial"/>
          <w:lang w:val="en-US" w:eastAsia="en-GB"/>
        </w:rPr>
        <w:t>(</w:t>
      </w:r>
      <w:hyperlink r:id="rId20" w:history="1">
        <w:r w:rsidR="004F352B" w:rsidRPr="004F352B">
          <w:rPr>
            <w:rStyle w:val="Hyperlink"/>
            <w:rFonts w:cs="Arial"/>
            <w:lang w:val="en-US" w:eastAsia="en-GB"/>
          </w:rPr>
          <w:t>NSW EPA report</w:t>
        </w:r>
      </w:hyperlink>
      <w:r w:rsidR="00372B69">
        <w:rPr>
          <w:rStyle w:val="Hyperlink"/>
          <w:rFonts w:cs="Arial"/>
          <w:lang w:val="en-US" w:eastAsia="en-GB"/>
        </w:rPr>
        <w:t>)</w:t>
      </w:r>
      <w:r w:rsidR="004F352B">
        <w:rPr>
          <w:rFonts w:cs="Arial"/>
          <w:lang w:val="en-US" w:eastAsia="en-GB"/>
        </w:rPr>
        <w:t xml:space="preserve">. </w:t>
      </w:r>
    </w:p>
    <w:p w14:paraId="7D95FD3B" w14:textId="77777777" w:rsidR="00DC7257" w:rsidRDefault="00882380" w:rsidP="005647D9">
      <w:pPr>
        <w:shd w:val="clear" w:color="auto" w:fill="FFFFFF"/>
        <w:spacing w:before="100" w:beforeAutospacing="1" w:after="100" w:afterAutospacing="1"/>
      </w:pPr>
      <w:r>
        <w:t>On 27 November 2015 the Department</w:t>
      </w:r>
      <w:r w:rsidRPr="00CE2F96">
        <w:t xml:space="preserve"> of Agriculture and Water Resources </w:t>
      </w:r>
      <w:r>
        <w:t xml:space="preserve">requested advice from FSANZ regarding levels of PFOS in animal derived foods that could be used for risk management purposes. </w:t>
      </w:r>
    </w:p>
    <w:p w14:paraId="7E20CD4C" w14:textId="77777777" w:rsidR="00334C54" w:rsidRPr="00334C54" w:rsidRDefault="00882380" w:rsidP="00084120">
      <w:r>
        <w:t xml:space="preserve">On 8 June 2016, FSANZ responded with advice on </w:t>
      </w:r>
      <w:r w:rsidR="00982CD2">
        <w:t xml:space="preserve">PFOS </w:t>
      </w:r>
      <w:r w:rsidRPr="00466515">
        <w:rPr>
          <w:rFonts w:eastAsia="Calibri"/>
          <w:szCs w:val="22"/>
        </w:rPr>
        <w:t>guideline levels</w:t>
      </w:r>
      <w:r w:rsidR="000E57C9" w:rsidRPr="00466515">
        <w:rPr>
          <w:rStyle w:val="FootnoteReference"/>
          <w:rFonts w:eastAsia="Calibri"/>
          <w:szCs w:val="22"/>
        </w:rPr>
        <w:footnoteReference w:id="2"/>
      </w:r>
      <w:r w:rsidRPr="00466515">
        <w:rPr>
          <w:rFonts w:eastAsia="Calibri"/>
          <w:szCs w:val="22"/>
          <w:lang w:eastAsia="en-AU"/>
        </w:rPr>
        <w:t xml:space="preserve"> for a range of food</w:t>
      </w:r>
      <w:r w:rsidR="000B1E35" w:rsidRPr="00466515">
        <w:rPr>
          <w:rFonts w:eastAsia="Calibri"/>
          <w:szCs w:val="22"/>
          <w:lang w:eastAsia="en-AU"/>
        </w:rPr>
        <w:t xml:space="preserve"> commodities. </w:t>
      </w:r>
      <w:r w:rsidRPr="00466515">
        <w:rPr>
          <w:rFonts w:eastAsia="Calibri"/>
          <w:szCs w:val="22"/>
          <w:lang w:eastAsia="en-AU"/>
        </w:rPr>
        <w:t xml:space="preserve">Consumption of foods with concentrations of PFOS above the guideline levels for each food category over a long period of time could potentially result in an exceedance of the TDI derived by EFSA. A full dietary exposure assessment based on PFOS occurrence data was not undertaken in order to provide this advice. Rather, </w:t>
      </w:r>
      <w:r w:rsidR="001765C5">
        <w:rPr>
          <w:rFonts w:eastAsia="Calibri"/>
          <w:szCs w:val="22"/>
          <w:lang w:bidi="ar-SA"/>
        </w:rPr>
        <w:t>guideline level</w:t>
      </w:r>
      <w:r w:rsidR="00982CD2">
        <w:rPr>
          <w:rFonts w:eastAsia="Calibri"/>
          <w:szCs w:val="22"/>
          <w:lang w:bidi="ar-SA"/>
        </w:rPr>
        <w:t>s</w:t>
      </w:r>
      <w:r w:rsidR="00334C54" w:rsidRPr="0016471A">
        <w:rPr>
          <w:rFonts w:eastAsia="Calibri"/>
          <w:szCs w:val="22"/>
          <w:lang w:bidi="ar-SA"/>
        </w:rPr>
        <w:t xml:space="preserve"> for investigation </w:t>
      </w:r>
      <w:r>
        <w:rPr>
          <w:rFonts w:cs="Arial"/>
        </w:rPr>
        <w:t xml:space="preserve">of PFOS in animal commodities were derived by calculating the maximum allowable </w:t>
      </w:r>
      <w:r>
        <w:t>concentration of PFOS</w:t>
      </w:r>
      <w:r w:rsidRPr="008A77CA">
        <w:t xml:space="preserve"> </w:t>
      </w:r>
      <w:r>
        <w:t>in each food category before the TDI was exceeded</w:t>
      </w:r>
      <w:r>
        <w:rPr>
          <w:rFonts w:cs="Arial"/>
        </w:rPr>
        <w:t xml:space="preserve"> </w:t>
      </w:r>
      <w:r>
        <w:t>for high consumers of those commodities, assuming no exposure from other foods.</w:t>
      </w:r>
    </w:p>
    <w:p w14:paraId="4B70C908" w14:textId="77777777" w:rsidR="00A51C17" w:rsidRPr="00E55527" w:rsidRDefault="009B060B" w:rsidP="00DE0B36">
      <w:pPr>
        <w:pStyle w:val="Heading2"/>
        <w:rPr>
          <w:rFonts w:eastAsia="Calibri"/>
        </w:rPr>
      </w:pPr>
      <w:bookmarkStart w:id="22" w:name="_Toc403377541"/>
      <w:bookmarkStart w:id="23" w:name="_Toc475953971"/>
      <w:bookmarkStart w:id="24" w:name="_Toc267859693"/>
      <w:r>
        <w:rPr>
          <w:rFonts w:eastAsia="Calibri"/>
        </w:rPr>
        <w:t>3</w:t>
      </w:r>
      <w:r w:rsidR="00DE0B36">
        <w:rPr>
          <w:rFonts w:eastAsia="Calibri"/>
        </w:rPr>
        <w:tab/>
      </w:r>
      <w:r w:rsidR="00C438F6" w:rsidRPr="00E55527">
        <w:rPr>
          <w:rFonts w:eastAsia="Calibri"/>
        </w:rPr>
        <w:t xml:space="preserve">Potential public </w:t>
      </w:r>
      <w:r w:rsidR="00A51C17" w:rsidRPr="00E55527">
        <w:rPr>
          <w:rFonts w:eastAsia="Calibri"/>
        </w:rPr>
        <w:t>health risks</w:t>
      </w:r>
      <w:bookmarkEnd w:id="22"/>
      <w:bookmarkEnd w:id="23"/>
      <w:r w:rsidR="00A51C17" w:rsidRPr="00E55527">
        <w:rPr>
          <w:rFonts w:eastAsia="Calibri"/>
        </w:rPr>
        <w:t xml:space="preserve"> </w:t>
      </w:r>
    </w:p>
    <w:p w14:paraId="40DD0B74" w14:textId="77777777" w:rsidR="00022886" w:rsidRDefault="0099471F" w:rsidP="006626B3">
      <w:pPr>
        <w:widowControl/>
        <w:autoSpaceDE w:val="0"/>
        <w:autoSpaceDN w:val="0"/>
        <w:adjustRightInd w:val="0"/>
        <w:rPr>
          <w:rFonts w:cs="Arial"/>
          <w:b/>
          <w:bCs/>
          <w:i/>
          <w:iCs/>
          <w:szCs w:val="22"/>
          <w:lang w:eastAsia="en-GB" w:bidi="ar-SA"/>
        </w:rPr>
      </w:pPr>
      <w:r>
        <w:rPr>
          <w:rFonts w:cs="Arial"/>
          <w:szCs w:val="22"/>
          <w:lang w:eastAsia="en-GB" w:bidi="ar-SA"/>
        </w:rPr>
        <w:t xml:space="preserve">Whether PFOS, </w:t>
      </w:r>
      <w:r w:rsidRPr="008C72B8">
        <w:rPr>
          <w:rFonts w:cs="Arial"/>
          <w:szCs w:val="22"/>
          <w:lang w:eastAsia="en-GB" w:bidi="ar-SA"/>
        </w:rPr>
        <w:t xml:space="preserve">PFOA </w:t>
      </w:r>
      <w:r>
        <w:rPr>
          <w:rFonts w:cs="Arial"/>
          <w:szCs w:val="22"/>
          <w:lang w:eastAsia="en-GB" w:bidi="ar-SA"/>
        </w:rPr>
        <w:t xml:space="preserve">or PFHxS </w:t>
      </w:r>
      <w:r w:rsidRPr="008C72B8">
        <w:rPr>
          <w:rFonts w:cs="Arial"/>
          <w:szCs w:val="22"/>
          <w:lang w:eastAsia="en-GB" w:bidi="ar-SA"/>
        </w:rPr>
        <w:t>cause adverse health effects in humans is</w:t>
      </w:r>
      <w:r>
        <w:rPr>
          <w:rFonts w:cs="Arial"/>
          <w:szCs w:val="22"/>
          <w:lang w:eastAsia="en-GB" w:bidi="ar-SA"/>
        </w:rPr>
        <w:t xml:space="preserve"> currently unknown. Overall, at </w:t>
      </w:r>
      <w:r w:rsidRPr="008C72B8">
        <w:rPr>
          <w:rFonts w:cs="Arial"/>
          <w:szCs w:val="22"/>
          <w:lang w:eastAsia="en-GB" w:bidi="ar-SA"/>
        </w:rPr>
        <w:t xml:space="preserve">this time, studies do not clearly establish a causal relationship between </w:t>
      </w:r>
      <w:r>
        <w:rPr>
          <w:rFonts w:cs="Arial"/>
          <w:szCs w:val="22"/>
          <w:lang w:eastAsia="en-GB" w:bidi="ar-SA"/>
        </w:rPr>
        <w:t xml:space="preserve">PFAS </w:t>
      </w:r>
      <w:r w:rsidRPr="008C72B8">
        <w:rPr>
          <w:rFonts w:cs="Arial"/>
          <w:szCs w:val="22"/>
          <w:lang w:eastAsia="en-GB" w:bidi="ar-SA"/>
        </w:rPr>
        <w:t>exposure and adverse</w:t>
      </w:r>
      <w:r>
        <w:rPr>
          <w:rFonts w:cs="Arial"/>
          <w:szCs w:val="22"/>
          <w:lang w:eastAsia="en-GB" w:bidi="ar-SA"/>
        </w:rPr>
        <w:t xml:space="preserve"> </w:t>
      </w:r>
      <w:r w:rsidRPr="008C72B8">
        <w:rPr>
          <w:rFonts w:cs="Arial"/>
          <w:szCs w:val="22"/>
          <w:lang w:eastAsia="en-GB" w:bidi="ar-SA"/>
        </w:rPr>
        <w:t xml:space="preserve">health effects in humans, even where there has been occupational exposure </w:t>
      </w:r>
      <w:r>
        <w:rPr>
          <w:rFonts w:cs="Arial"/>
          <w:szCs w:val="22"/>
          <w:lang w:eastAsia="en-GB" w:bidi="ar-SA"/>
        </w:rPr>
        <w:t xml:space="preserve">at </w:t>
      </w:r>
      <w:r w:rsidR="00022E5F">
        <w:rPr>
          <w:rFonts w:cs="Arial"/>
          <w:szCs w:val="22"/>
          <w:lang w:eastAsia="en-GB" w:bidi="ar-SA"/>
        </w:rPr>
        <w:t>levels</w:t>
      </w:r>
      <w:r>
        <w:rPr>
          <w:rFonts w:cs="Arial"/>
          <w:szCs w:val="22"/>
          <w:lang w:eastAsia="en-GB" w:bidi="ar-SA"/>
        </w:rPr>
        <w:t xml:space="preserve"> which are</w:t>
      </w:r>
      <w:r w:rsidRPr="008C72B8">
        <w:rPr>
          <w:rFonts w:cs="Arial"/>
          <w:szCs w:val="22"/>
          <w:lang w:eastAsia="en-GB" w:bidi="ar-SA"/>
        </w:rPr>
        <w:t xml:space="preserve"> orders of magnitude</w:t>
      </w:r>
      <w:r>
        <w:rPr>
          <w:rFonts w:cs="Arial"/>
          <w:szCs w:val="22"/>
          <w:lang w:eastAsia="en-GB" w:bidi="ar-SA"/>
        </w:rPr>
        <w:t xml:space="preserve"> </w:t>
      </w:r>
      <w:r w:rsidRPr="008C72B8">
        <w:rPr>
          <w:rFonts w:cs="Arial"/>
          <w:szCs w:val="22"/>
          <w:lang w:eastAsia="en-GB" w:bidi="ar-SA"/>
        </w:rPr>
        <w:t>higher than the general population</w:t>
      </w:r>
      <w:r>
        <w:rPr>
          <w:rFonts w:cs="Arial"/>
          <w:szCs w:val="22"/>
          <w:lang w:eastAsia="en-GB" w:bidi="ar-SA"/>
        </w:rPr>
        <w:t xml:space="preserve"> (Priestly, 2015)</w:t>
      </w:r>
      <w:r w:rsidRPr="008C72B8">
        <w:rPr>
          <w:rFonts w:cs="Arial"/>
          <w:b/>
          <w:bCs/>
          <w:i/>
          <w:iCs/>
          <w:szCs w:val="22"/>
          <w:lang w:eastAsia="en-GB" w:bidi="ar-SA"/>
        </w:rPr>
        <w:t>.</w:t>
      </w:r>
      <w:bookmarkEnd w:id="24"/>
    </w:p>
    <w:p w14:paraId="7B0D28EB" w14:textId="77777777" w:rsidR="009919AE" w:rsidRPr="009919AE" w:rsidRDefault="006626B3" w:rsidP="006626B3">
      <w:pPr>
        <w:pStyle w:val="Heading3"/>
      </w:pPr>
      <w:bookmarkStart w:id="25" w:name="_Toc475953972"/>
      <w:r>
        <w:t>3.1</w:t>
      </w:r>
      <w:r>
        <w:tab/>
      </w:r>
      <w:r w:rsidR="009919AE" w:rsidRPr="009919AE">
        <w:t>Hazard identification and characterisation</w:t>
      </w:r>
      <w:bookmarkEnd w:id="25"/>
      <w:r w:rsidR="009919AE" w:rsidRPr="009919AE">
        <w:t xml:space="preserve"> </w:t>
      </w:r>
    </w:p>
    <w:p w14:paraId="42E7C006" w14:textId="77777777" w:rsidR="00980A4B" w:rsidRDefault="00980A4B" w:rsidP="006626B3">
      <w:r w:rsidRPr="001620AB">
        <w:t>To m</w:t>
      </w:r>
      <w:r>
        <w:t>eet the obj</w:t>
      </w:r>
      <w:r w:rsidR="00AD5C5E">
        <w:t xml:space="preserve">ectives of the hazard identification and </w:t>
      </w:r>
      <w:r w:rsidR="00DD5495">
        <w:t>characterisation</w:t>
      </w:r>
      <w:r w:rsidRPr="001620AB">
        <w:t>, the fo</w:t>
      </w:r>
      <w:r w:rsidR="00AD5C5E">
        <w:t xml:space="preserve">llowing key questions were </w:t>
      </w:r>
      <w:r w:rsidRPr="001620AB">
        <w:t>posed:</w:t>
      </w:r>
    </w:p>
    <w:p w14:paraId="4FBE7B5F" w14:textId="77777777" w:rsidR="00627754" w:rsidRPr="006626B3" w:rsidRDefault="00627754" w:rsidP="006626B3"/>
    <w:p w14:paraId="598FD981" w14:textId="77777777" w:rsidR="00980A4B" w:rsidRPr="00980A4B" w:rsidRDefault="00980A4B" w:rsidP="00980A4B">
      <w:pPr>
        <w:pStyle w:val="AARBullet"/>
        <w:rPr>
          <w:sz w:val="22"/>
          <w:szCs w:val="22"/>
        </w:rPr>
      </w:pPr>
      <w:r w:rsidRPr="00980A4B">
        <w:rPr>
          <w:sz w:val="22"/>
          <w:szCs w:val="22"/>
        </w:rPr>
        <w:t xml:space="preserve">Are there sufficient data available to allow </w:t>
      </w:r>
      <w:r w:rsidR="00E66A37" w:rsidRPr="00980A4B">
        <w:rPr>
          <w:sz w:val="22"/>
          <w:szCs w:val="22"/>
        </w:rPr>
        <w:t xml:space="preserve">Health Based Guidance Values </w:t>
      </w:r>
      <w:r w:rsidR="00E66A37">
        <w:rPr>
          <w:sz w:val="22"/>
          <w:szCs w:val="22"/>
        </w:rPr>
        <w:t>(</w:t>
      </w:r>
      <w:r w:rsidRPr="00980A4B">
        <w:rPr>
          <w:sz w:val="22"/>
          <w:szCs w:val="22"/>
        </w:rPr>
        <w:t>HBGVs</w:t>
      </w:r>
      <w:r w:rsidR="00E66A37">
        <w:rPr>
          <w:sz w:val="22"/>
          <w:szCs w:val="22"/>
        </w:rPr>
        <w:t>)</w:t>
      </w:r>
      <w:r w:rsidRPr="00980A4B">
        <w:rPr>
          <w:sz w:val="22"/>
          <w:szCs w:val="22"/>
        </w:rPr>
        <w:t xml:space="preserve"> to be established?</w:t>
      </w:r>
    </w:p>
    <w:p w14:paraId="7E981C93" w14:textId="77777777" w:rsidR="00980A4B" w:rsidRPr="00980A4B" w:rsidRDefault="00980A4B" w:rsidP="00980A4B">
      <w:pPr>
        <w:pStyle w:val="AARBullet"/>
        <w:rPr>
          <w:sz w:val="22"/>
          <w:szCs w:val="22"/>
        </w:rPr>
      </w:pPr>
      <w:r w:rsidRPr="00980A4B">
        <w:rPr>
          <w:sz w:val="22"/>
          <w:szCs w:val="22"/>
        </w:rPr>
        <w:t xml:space="preserve">What are the most appropriate HBGV </w:t>
      </w:r>
      <w:r w:rsidR="008E35E3">
        <w:rPr>
          <w:sz w:val="22"/>
          <w:szCs w:val="22"/>
        </w:rPr>
        <w:t xml:space="preserve">that </w:t>
      </w:r>
      <w:r w:rsidRPr="00980A4B">
        <w:rPr>
          <w:sz w:val="22"/>
          <w:szCs w:val="22"/>
        </w:rPr>
        <w:t>should be applied to PFOS</w:t>
      </w:r>
      <w:r w:rsidR="001B3632">
        <w:rPr>
          <w:sz w:val="22"/>
          <w:szCs w:val="22"/>
        </w:rPr>
        <w:t>,</w:t>
      </w:r>
      <w:r w:rsidRPr="00980A4B">
        <w:rPr>
          <w:sz w:val="22"/>
          <w:szCs w:val="22"/>
        </w:rPr>
        <w:t xml:space="preserve"> PFOA and PFHxS</w:t>
      </w:r>
      <w:r w:rsidR="008E35E3">
        <w:rPr>
          <w:sz w:val="22"/>
          <w:szCs w:val="22"/>
        </w:rPr>
        <w:t>?</w:t>
      </w:r>
    </w:p>
    <w:p w14:paraId="2C8D3721" w14:textId="77777777" w:rsidR="00980A4B" w:rsidRPr="00980A4B" w:rsidRDefault="00980A4B" w:rsidP="00980A4B">
      <w:pPr>
        <w:pStyle w:val="AARBullet"/>
        <w:rPr>
          <w:sz w:val="22"/>
          <w:szCs w:val="22"/>
        </w:rPr>
      </w:pPr>
      <w:r w:rsidRPr="00980A4B">
        <w:rPr>
          <w:sz w:val="22"/>
          <w:szCs w:val="22"/>
        </w:rPr>
        <w:t xml:space="preserve">Can a group HBGV be established? </w:t>
      </w:r>
    </w:p>
    <w:p w14:paraId="4088AD0D" w14:textId="77777777" w:rsidR="00627754" w:rsidRDefault="00627754" w:rsidP="00D5240F">
      <w:pPr>
        <w:rPr>
          <w:i/>
        </w:rPr>
      </w:pPr>
    </w:p>
    <w:p w14:paraId="5663B12D" w14:textId="77777777" w:rsidR="004C09D0" w:rsidRPr="009C5A05" w:rsidRDefault="004C09D0" w:rsidP="00D5240F">
      <w:pPr>
        <w:rPr>
          <w:i/>
        </w:rPr>
      </w:pPr>
      <w:r w:rsidRPr="009C5A05">
        <w:rPr>
          <w:i/>
        </w:rPr>
        <w:t xml:space="preserve">Data for setting HBGVs </w:t>
      </w:r>
    </w:p>
    <w:p w14:paraId="4990E2F0" w14:textId="77777777" w:rsidR="004C09D0" w:rsidRDefault="004C09D0" w:rsidP="00D5240F"/>
    <w:p w14:paraId="565EF7FD" w14:textId="77777777" w:rsidR="00D5240F" w:rsidRDefault="00D5240F" w:rsidP="00D5240F">
      <w:r>
        <w:t xml:space="preserve">FSANZ considered a number of comprehensive international assessments on the health effects of PFAS. These assessments established TDIs ranging from </w:t>
      </w:r>
      <w:r w:rsidRPr="00F63791">
        <w:t>20–300 ng/kg bw/day for PFOS and 20–1,500 ng/kg bw/day for PFOA</w:t>
      </w:r>
      <w:r>
        <w:t xml:space="preserve">. TDIs for PFHxS have generally not been established due to a lack of data. </w:t>
      </w:r>
    </w:p>
    <w:p w14:paraId="145C86D8" w14:textId="77777777" w:rsidR="00D5240F" w:rsidRDefault="00D5240F" w:rsidP="00D5240F"/>
    <w:p w14:paraId="3CADCF75" w14:textId="77777777" w:rsidR="00D5240F" w:rsidRDefault="00AB0FA0" w:rsidP="00D5240F">
      <w:r>
        <w:t xml:space="preserve">FSANZ has also had regard to the </w:t>
      </w:r>
      <w:r w:rsidRPr="00734102">
        <w:t>June 2016</w:t>
      </w:r>
      <w:r w:rsidRPr="00337DDD">
        <w:rPr>
          <w:i/>
        </w:rPr>
        <w:t xml:space="preserve"> </w:t>
      </w:r>
      <w:hyperlink r:id="rId21" w:history="1">
        <w:r w:rsidRPr="008E35E3">
          <w:rPr>
            <w:rStyle w:val="Hyperlink"/>
            <w:i/>
          </w:rPr>
          <w:t>enHealth Statement: Interim national guidance on human health reference values for per- and poly-fluoroalkyl substances for use in site investigations in Australia</w:t>
        </w:r>
      </w:hyperlink>
      <w:r>
        <w:rPr>
          <w:i/>
        </w:rPr>
        <w:t xml:space="preserve">, </w:t>
      </w:r>
      <w:r>
        <w:t xml:space="preserve">and the August 2016 </w:t>
      </w:r>
      <w:hyperlink r:id="rId22" w:history="1">
        <w:r w:rsidRPr="008E35E3">
          <w:rPr>
            <w:rStyle w:val="Hyperlink"/>
          </w:rPr>
          <w:t xml:space="preserve">independent </w:t>
        </w:r>
        <w:r w:rsidRPr="008E35E3">
          <w:rPr>
            <w:rStyle w:val="Hyperlink"/>
            <w:i/>
          </w:rPr>
          <w:t>Procedural Review of Health Reference Values Established by enHealth for PFAS</w:t>
        </w:r>
      </w:hyperlink>
      <w:r>
        <w:t>.</w:t>
      </w:r>
    </w:p>
    <w:p w14:paraId="72FC7DD0" w14:textId="77777777" w:rsidR="00AB0FA0" w:rsidRDefault="00AB0FA0" w:rsidP="00D5240F"/>
    <w:p w14:paraId="5B738B3F" w14:textId="77777777" w:rsidR="0035438B" w:rsidRDefault="00D5240F" w:rsidP="00D5240F">
      <w:r>
        <w:t xml:space="preserve">Most international agencies have concluded that there is no clear evidence of any adverse health effects of PFAS in humans, including in highly exposed occupational populations. </w:t>
      </w:r>
    </w:p>
    <w:p w14:paraId="7AB1E54C" w14:textId="77777777" w:rsidR="0035438B" w:rsidRDefault="0035438B" w:rsidP="00D5240F"/>
    <w:p w14:paraId="15B686A7" w14:textId="77777777" w:rsidR="00D5240F" w:rsidRDefault="00D5240F" w:rsidP="00D5240F">
      <w:r>
        <w:t xml:space="preserve">However, the United States Environmental Protection Agency (US EPA) has noted that there appears to be an association between increased serum cholesterol and decreased body weight at birth. </w:t>
      </w:r>
      <w:r w:rsidRPr="00121028">
        <w:t xml:space="preserve">FSANZ has reviewed </w:t>
      </w:r>
      <w:r>
        <w:t xml:space="preserve">the </w:t>
      </w:r>
      <w:r w:rsidRPr="00121028">
        <w:t xml:space="preserve">available human epidemiological information and concluded that while there is evidence of </w:t>
      </w:r>
      <w:r>
        <w:t xml:space="preserve">this </w:t>
      </w:r>
      <w:r w:rsidRPr="00121028">
        <w:t>association</w:t>
      </w:r>
      <w:r>
        <w:t>,</w:t>
      </w:r>
      <w:r w:rsidRPr="00121028">
        <w:t xml:space="preserve"> it is not possible to determine whether PFAS causes the changes, or </w:t>
      </w:r>
      <w:r>
        <w:t xml:space="preserve">whether </w:t>
      </w:r>
      <w:r w:rsidRPr="00121028">
        <w:t>other factors are involved.</w:t>
      </w:r>
    </w:p>
    <w:p w14:paraId="165879D4" w14:textId="77777777" w:rsidR="00D5240F" w:rsidRDefault="00D5240F" w:rsidP="00D5240F"/>
    <w:p w14:paraId="5B468697" w14:textId="77777777" w:rsidR="00D5240F" w:rsidRDefault="00D5240F" w:rsidP="00D5240F">
      <w:r w:rsidRPr="00665F25">
        <w:t>A literature review commissioned by FSANZ concluded that there are both positive and negative studies showing associations for increasing PFOS and PFOA concentrations to compromise antibody production in humans. However, to date there is no convincing evidence for increased incidence of infective disease associated with PFOS or PFOA effects on human immune function.</w:t>
      </w:r>
    </w:p>
    <w:p w14:paraId="3BA6411F" w14:textId="77777777" w:rsidR="00D5240F" w:rsidRDefault="00D5240F" w:rsidP="00D5240F"/>
    <w:p w14:paraId="741D1C2C" w14:textId="77777777" w:rsidR="00D13396" w:rsidRDefault="00D1002A" w:rsidP="00D5240F">
      <w:pPr>
        <w:rPr>
          <w:color w:val="000000"/>
          <w:szCs w:val="22"/>
        </w:rPr>
      </w:pPr>
      <w:r>
        <w:rPr>
          <w:color w:val="000000"/>
          <w:szCs w:val="22"/>
        </w:rPr>
        <w:t>E</w:t>
      </w:r>
      <w:r w:rsidRPr="00FF1EAC">
        <w:rPr>
          <w:color w:val="000000"/>
          <w:szCs w:val="22"/>
        </w:rPr>
        <w:t xml:space="preserve">pidemiological studies </w:t>
      </w:r>
      <w:r>
        <w:rPr>
          <w:color w:val="000000"/>
          <w:szCs w:val="22"/>
        </w:rPr>
        <w:t xml:space="preserve">have not </w:t>
      </w:r>
      <w:r w:rsidRPr="00FF1EAC">
        <w:rPr>
          <w:color w:val="000000"/>
          <w:szCs w:val="22"/>
        </w:rPr>
        <w:t>provided convincing evidence of a correlation between PFOS</w:t>
      </w:r>
      <w:r>
        <w:rPr>
          <w:color w:val="000000"/>
          <w:szCs w:val="22"/>
        </w:rPr>
        <w:t xml:space="preserve"> and PFHxS</w:t>
      </w:r>
      <w:r w:rsidRPr="00FF1EAC">
        <w:rPr>
          <w:color w:val="000000"/>
          <w:szCs w:val="22"/>
        </w:rPr>
        <w:t xml:space="preserve"> and any cancer type</w:t>
      </w:r>
      <w:r>
        <w:rPr>
          <w:color w:val="000000"/>
          <w:szCs w:val="22"/>
        </w:rPr>
        <w:t xml:space="preserve"> in human beings</w:t>
      </w:r>
      <w:r w:rsidRPr="00FF1EAC">
        <w:rPr>
          <w:color w:val="000000"/>
          <w:szCs w:val="22"/>
        </w:rPr>
        <w:t>.</w:t>
      </w:r>
    </w:p>
    <w:p w14:paraId="1BCEC2FE" w14:textId="77777777" w:rsidR="00022886" w:rsidRDefault="00022886" w:rsidP="00D5240F"/>
    <w:p w14:paraId="661B3940" w14:textId="77777777" w:rsidR="00D1002A" w:rsidRPr="00D1002A" w:rsidRDefault="00D1002A" w:rsidP="00D5240F">
      <w:pPr>
        <w:rPr>
          <w:color w:val="000000"/>
          <w:szCs w:val="22"/>
        </w:rPr>
      </w:pPr>
      <w:r w:rsidRPr="004748DD">
        <w:t xml:space="preserve">Although associations between PFOA and some human cancers have been suggested </w:t>
      </w:r>
      <w:r>
        <w:t>from some</w:t>
      </w:r>
      <w:r w:rsidRPr="004748DD">
        <w:t xml:space="preserve"> epidemiological studies,</w:t>
      </w:r>
      <w:r>
        <w:t xml:space="preserve"> results have often been contradictory, and a causal relationship cannot be established with reasonable confidence.</w:t>
      </w:r>
      <w:r w:rsidRPr="004748DD">
        <w:t xml:space="preserve"> </w:t>
      </w:r>
    </w:p>
    <w:p w14:paraId="3D70482F" w14:textId="77777777" w:rsidR="00D1002A" w:rsidRDefault="00D1002A" w:rsidP="00D5240F"/>
    <w:p w14:paraId="178DF730" w14:textId="77777777" w:rsidR="00D5240F" w:rsidRDefault="00D5240F" w:rsidP="00D5240F">
      <w:r>
        <w:t xml:space="preserve">FSANZ concluded that </w:t>
      </w:r>
      <w:r w:rsidRPr="00121028">
        <w:t xml:space="preserve">available human epidemiology data are not suitable to support the derivation of </w:t>
      </w:r>
      <w:r>
        <w:t>TDI</w:t>
      </w:r>
      <w:r w:rsidR="00284FF0">
        <w:t>s</w:t>
      </w:r>
      <w:r w:rsidRPr="00121028">
        <w:t xml:space="preserve"> for PFOS or PFOA.</w:t>
      </w:r>
      <w:r>
        <w:t xml:space="preserve"> This is consistent with the findings of other regulatory agencies. Therefore, FSANZ has recommended TDIs based on extensive toxicological databases in laboratory animals. </w:t>
      </w:r>
    </w:p>
    <w:p w14:paraId="3C50A42F" w14:textId="77777777" w:rsidR="00D5240F" w:rsidRDefault="00D5240F" w:rsidP="00D5240F"/>
    <w:p w14:paraId="7CB77E4E" w14:textId="77777777" w:rsidR="00022886" w:rsidRDefault="00022886">
      <w:pPr>
        <w:widowControl/>
        <w:rPr>
          <w:i/>
        </w:rPr>
      </w:pPr>
      <w:r>
        <w:rPr>
          <w:i/>
        </w:rPr>
        <w:br w:type="page"/>
      </w:r>
    </w:p>
    <w:p w14:paraId="2675715F" w14:textId="77777777" w:rsidR="004C09D0" w:rsidRPr="009C5A05" w:rsidRDefault="004C09D0" w:rsidP="005647D9">
      <w:pPr>
        <w:rPr>
          <w:i/>
        </w:rPr>
      </w:pPr>
      <w:r w:rsidRPr="009C5A05">
        <w:rPr>
          <w:i/>
        </w:rPr>
        <w:lastRenderedPageBreak/>
        <w:t xml:space="preserve">TDIs for </w:t>
      </w:r>
      <w:r w:rsidR="00162548">
        <w:rPr>
          <w:i/>
        </w:rPr>
        <w:t>PFOS and PFOA</w:t>
      </w:r>
      <w:r w:rsidR="00162548" w:rsidRPr="009C5A05">
        <w:rPr>
          <w:i/>
        </w:rPr>
        <w:t xml:space="preserve"> </w:t>
      </w:r>
    </w:p>
    <w:p w14:paraId="028B06E2" w14:textId="77777777" w:rsidR="004C09D0" w:rsidRDefault="004C09D0" w:rsidP="005647D9"/>
    <w:p w14:paraId="2A93B683" w14:textId="77777777" w:rsidR="00B6393C" w:rsidRDefault="00D5240F" w:rsidP="005647D9">
      <w:r>
        <w:t xml:space="preserve">For PFOS, the TDI is </w:t>
      </w:r>
      <w:r w:rsidRPr="00736768">
        <w:t>20 ng/kg bw/day</w:t>
      </w:r>
      <w:r w:rsidR="008E35E3">
        <w:t xml:space="preserve"> based on</w:t>
      </w:r>
      <w:r w:rsidRPr="00736768">
        <w:t xml:space="preserve"> decreased parental and offspring body</w:t>
      </w:r>
      <w:r>
        <w:t xml:space="preserve"> weight gain</w:t>
      </w:r>
      <w:r w:rsidRPr="00736768">
        <w:t xml:space="preserve"> in a reproductive toxicity study in rats.</w:t>
      </w:r>
      <w:r w:rsidRPr="00933B02">
        <w:t xml:space="preserve"> </w:t>
      </w:r>
      <w:r w:rsidRPr="0079662F">
        <w:t xml:space="preserve">Pharmacokinetic modelling was applied to the serum concentrations at the no observed adverse effect level </w:t>
      </w:r>
      <w:r>
        <w:t>(</w:t>
      </w:r>
      <w:r w:rsidRPr="0079662F">
        <w:t>NOAEL</w:t>
      </w:r>
      <w:r>
        <w:t>)</w:t>
      </w:r>
      <w:r w:rsidRPr="0079662F">
        <w:t xml:space="preserve"> to calculate the human equivalent dose </w:t>
      </w:r>
      <w:r>
        <w:t>(</w:t>
      </w:r>
      <w:r w:rsidRPr="0079662F">
        <w:t>HED</w:t>
      </w:r>
      <w:r>
        <w:t xml:space="preserve">). </w:t>
      </w:r>
      <w:r w:rsidRPr="00933B02">
        <w:t>An uncertainty factor of 30 was applied to the HED, which comprised a factor of 3 to account for inter-species differences in toxicodynamics and a factor of 10 for intra-species differences in the human population.</w:t>
      </w:r>
    </w:p>
    <w:p w14:paraId="7FCD9216" w14:textId="77777777" w:rsidR="00D5240F" w:rsidRDefault="00D5240F" w:rsidP="00D5240F">
      <w:pPr>
        <w:pStyle w:val="ListParagraph"/>
      </w:pPr>
    </w:p>
    <w:p w14:paraId="0C6A4650" w14:textId="77777777" w:rsidR="00D5240F" w:rsidRDefault="00D5240F" w:rsidP="005647D9">
      <w:r>
        <w:t xml:space="preserve">For PFOA, </w:t>
      </w:r>
      <w:r w:rsidRPr="00933B02">
        <w:t xml:space="preserve">FSANZ has recommended a TDI of 160 ng/kg bw/day </w:t>
      </w:r>
      <w:r w:rsidR="008E35E3">
        <w:t>based on</w:t>
      </w:r>
      <w:r w:rsidRPr="00933B02">
        <w:t xml:space="preserve"> a NOAEL for fetal toxicity in a developmental and reproductive study in mice. Pharmacokinetic modelling was applied to the serum concentrations at the NOAEL to calculate the HED. An uncertainty factor of 30 was applied to the HED, which comprised a factor of 3 to account for </w:t>
      </w:r>
      <w:r w:rsidR="008E35E3">
        <w:br/>
      </w:r>
      <w:r w:rsidRPr="00933B02">
        <w:t>inter-species differences in toxicodynamics and a factor of 10 for intra-species differences in the human population.</w:t>
      </w:r>
    </w:p>
    <w:p w14:paraId="64182953" w14:textId="77777777" w:rsidR="00A300D4" w:rsidRDefault="00A300D4" w:rsidP="00A300D4"/>
    <w:p w14:paraId="0DF6532F" w14:textId="77777777" w:rsidR="00A300D4" w:rsidRDefault="00A300D4" w:rsidP="00A300D4">
      <w:r w:rsidRPr="00736768">
        <w:t xml:space="preserve">There was </w:t>
      </w:r>
      <w:r>
        <w:t xml:space="preserve">not enough </w:t>
      </w:r>
      <w:r w:rsidRPr="00736768">
        <w:t>toxicological and epidemiological information to justify establishing a TDI for PFHxS. In the absence of a TDI, it is reasonable to conclude that the enHealth 2016 approach of using the TDI for PFOS is likely to be conservative and</w:t>
      </w:r>
      <w:r>
        <w:t xml:space="preserve"> (as an interim measure) will protect </w:t>
      </w:r>
      <w:r w:rsidRPr="00736768">
        <w:t>public healt</w:t>
      </w:r>
      <w:r>
        <w:t>h</w:t>
      </w:r>
      <w:r w:rsidRPr="00736768">
        <w:t xml:space="preserve">. Effectively, this means that PFHxS and PFOS </w:t>
      </w:r>
      <w:r>
        <w:t xml:space="preserve">exposure </w:t>
      </w:r>
      <w:r w:rsidRPr="00736768">
        <w:t xml:space="preserve">should be summed for the purposes of </w:t>
      </w:r>
      <w:r>
        <w:t xml:space="preserve">risk assessment. </w:t>
      </w:r>
    </w:p>
    <w:p w14:paraId="3DE1F97B" w14:textId="77777777" w:rsidR="00A300D4" w:rsidRDefault="00A300D4" w:rsidP="00A300D4"/>
    <w:p w14:paraId="212CC17F" w14:textId="77777777" w:rsidR="00A300D4" w:rsidRPr="006626B3" w:rsidRDefault="00A300D4" w:rsidP="00A300D4">
      <w:r w:rsidRPr="00255D6D">
        <w:t xml:space="preserve">For </w:t>
      </w:r>
      <w:r w:rsidR="00162548" w:rsidRPr="00255D6D">
        <w:t xml:space="preserve">the </w:t>
      </w:r>
      <w:r w:rsidRPr="00255D6D">
        <w:t>full report see Supporting Document 1.</w:t>
      </w:r>
      <w:r>
        <w:t xml:space="preserve"> </w:t>
      </w:r>
    </w:p>
    <w:p w14:paraId="4D07E87F" w14:textId="77777777" w:rsidR="00597915" w:rsidRPr="00105282" w:rsidRDefault="009919AE" w:rsidP="00D6052B">
      <w:pPr>
        <w:pStyle w:val="Heading3"/>
        <w:numPr>
          <w:ilvl w:val="1"/>
          <w:numId w:val="17"/>
        </w:numPr>
      </w:pPr>
      <w:bookmarkStart w:id="26" w:name="_Toc475953973"/>
      <w:r w:rsidRPr="009919AE">
        <w:t xml:space="preserve">Dietary exposure </w:t>
      </w:r>
      <w:r w:rsidR="00982CD2">
        <w:t>calculations</w:t>
      </w:r>
      <w:bookmarkEnd w:id="26"/>
      <w:r w:rsidR="00982CD2" w:rsidRPr="009919AE">
        <w:t xml:space="preserve"> </w:t>
      </w:r>
    </w:p>
    <w:p w14:paraId="436F354A" w14:textId="77777777" w:rsidR="008E35E3" w:rsidRDefault="006A3340" w:rsidP="00BF581F">
      <w:r>
        <w:t>T</w:t>
      </w:r>
      <w:r w:rsidR="008E35E3">
        <w:t xml:space="preserve">he </w:t>
      </w:r>
      <w:r w:rsidR="009D4A5D">
        <w:t xml:space="preserve">preliminary </w:t>
      </w:r>
      <w:r w:rsidR="008E35E3">
        <w:t xml:space="preserve">dietary exposure </w:t>
      </w:r>
      <w:r w:rsidR="008E35E3" w:rsidRPr="001620AB">
        <w:t>assessment</w:t>
      </w:r>
      <w:r w:rsidR="008E35E3">
        <w:t xml:space="preserve"> (DEA)</w:t>
      </w:r>
      <w:r w:rsidR="008E35E3" w:rsidRPr="001620AB">
        <w:t xml:space="preserve"> </w:t>
      </w:r>
      <w:r>
        <w:t xml:space="preserve">sought to address the following </w:t>
      </w:r>
      <w:r w:rsidR="008E35E3" w:rsidRPr="001620AB">
        <w:t>key questions</w:t>
      </w:r>
      <w:r>
        <w:t>:</w:t>
      </w:r>
    </w:p>
    <w:p w14:paraId="1C5C39F7" w14:textId="77777777" w:rsidR="008E35E3" w:rsidRDefault="008E35E3" w:rsidP="00BF581F"/>
    <w:p w14:paraId="192889A8" w14:textId="77777777" w:rsidR="008E35E3" w:rsidRPr="005647D9" w:rsidRDefault="00980A4B" w:rsidP="005647D9">
      <w:pPr>
        <w:pStyle w:val="AARBullet"/>
        <w:rPr>
          <w:szCs w:val="22"/>
        </w:rPr>
      </w:pPr>
      <w:r w:rsidRPr="005647D9">
        <w:rPr>
          <w:sz w:val="22"/>
          <w:szCs w:val="22"/>
        </w:rPr>
        <w:t xml:space="preserve">Based on the </w:t>
      </w:r>
      <w:r w:rsidR="007778AF" w:rsidRPr="005647D9">
        <w:rPr>
          <w:sz w:val="22"/>
          <w:szCs w:val="22"/>
        </w:rPr>
        <w:t xml:space="preserve">HBGVs established </w:t>
      </w:r>
      <w:r w:rsidRPr="005647D9">
        <w:rPr>
          <w:sz w:val="22"/>
          <w:szCs w:val="22"/>
        </w:rPr>
        <w:t>and information on current levels of the chemicals in food</w:t>
      </w:r>
      <w:r w:rsidR="00284FF0">
        <w:rPr>
          <w:sz w:val="22"/>
          <w:szCs w:val="22"/>
        </w:rPr>
        <w:t xml:space="preserve"> – both</w:t>
      </w:r>
      <w:r w:rsidRPr="005647D9">
        <w:rPr>
          <w:sz w:val="22"/>
          <w:szCs w:val="22"/>
        </w:rPr>
        <w:t xml:space="preserve"> representative of the general food supply and in areas with </w:t>
      </w:r>
      <w:r w:rsidR="00284FF0" w:rsidRPr="005647D9">
        <w:rPr>
          <w:sz w:val="22"/>
          <w:szCs w:val="22"/>
        </w:rPr>
        <w:t>contamination</w:t>
      </w:r>
      <w:r w:rsidR="00284FF0">
        <w:rPr>
          <w:sz w:val="22"/>
          <w:szCs w:val="22"/>
        </w:rPr>
        <w:t>,</w:t>
      </w:r>
      <w:r w:rsidRPr="005647D9">
        <w:rPr>
          <w:sz w:val="22"/>
          <w:szCs w:val="22"/>
        </w:rPr>
        <w:t xml:space="preserve"> what is the potential exposure to those chemicals? </w:t>
      </w:r>
    </w:p>
    <w:p w14:paraId="4335AC1A" w14:textId="77777777" w:rsidR="005F1CE3" w:rsidRDefault="00AF3F64" w:rsidP="005647D9">
      <w:pPr>
        <w:pStyle w:val="AARBullet"/>
        <w:rPr>
          <w:szCs w:val="22"/>
        </w:rPr>
      </w:pPr>
      <w:r w:rsidRPr="005647D9">
        <w:rPr>
          <w:sz w:val="22"/>
          <w:szCs w:val="22"/>
        </w:rPr>
        <w:t>What does this exposure represent compared to the agreed HBGV?</w:t>
      </w:r>
    </w:p>
    <w:p w14:paraId="7D183284" w14:textId="77777777" w:rsidR="005F1CE3" w:rsidRDefault="005F1CE3" w:rsidP="005647D9">
      <w:pPr>
        <w:pStyle w:val="AARBullet"/>
        <w:rPr>
          <w:sz w:val="22"/>
          <w:szCs w:val="22"/>
        </w:rPr>
      </w:pPr>
      <w:r w:rsidRPr="005647D9">
        <w:rPr>
          <w:sz w:val="22"/>
          <w:szCs w:val="22"/>
        </w:rPr>
        <w:t xml:space="preserve">In the absence of suitable occurrence data, what would be the </w:t>
      </w:r>
      <w:r w:rsidR="009D4A5D">
        <w:rPr>
          <w:sz w:val="22"/>
          <w:szCs w:val="22"/>
        </w:rPr>
        <w:t xml:space="preserve">trigger levels </w:t>
      </w:r>
      <w:r w:rsidR="00733C49">
        <w:rPr>
          <w:sz w:val="22"/>
          <w:szCs w:val="22"/>
        </w:rPr>
        <w:t xml:space="preserve">for investigation </w:t>
      </w:r>
      <w:r w:rsidRPr="005647D9">
        <w:rPr>
          <w:sz w:val="22"/>
          <w:szCs w:val="22"/>
        </w:rPr>
        <w:t xml:space="preserve">for individual commodities for the three contaminants? </w:t>
      </w:r>
    </w:p>
    <w:p w14:paraId="2456E053" w14:textId="77777777" w:rsidR="005F1CE3" w:rsidRDefault="009D4A5D" w:rsidP="005647D9">
      <w:pPr>
        <w:pStyle w:val="AARBullet"/>
        <w:rPr>
          <w:sz w:val="22"/>
          <w:szCs w:val="22"/>
        </w:rPr>
      </w:pPr>
      <w:r>
        <w:rPr>
          <w:sz w:val="22"/>
          <w:szCs w:val="22"/>
        </w:rPr>
        <w:t xml:space="preserve">What are the </w:t>
      </w:r>
      <w:r w:rsidR="00720369" w:rsidRPr="00720369">
        <w:rPr>
          <w:sz w:val="22"/>
          <w:szCs w:val="22"/>
        </w:rPr>
        <w:t xml:space="preserve">limitations </w:t>
      </w:r>
      <w:r>
        <w:rPr>
          <w:sz w:val="22"/>
          <w:szCs w:val="22"/>
        </w:rPr>
        <w:t>of</w:t>
      </w:r>
      <w:r w:rsidRPr="00720369">
        <w:rPr>
          <w:sz w:val="22"/>
          <w:szCs w:val="22"/>
        </w:rPr>
        <w:t xml:space="preserve"> </w:t>
      </w:r>
      <w:r w:rsidR="00720369" w:rsidRPr="00720369">
        <w:rPr>
          <w:sz w:val="22"/>
          <w:szCs w:val="22"/>
        </w:rPr>
        <w:t>the</w:t>
      </w:r>
      <w:r>
        <w:rPr>
          <w:sz w:val="22"/>
          <w:szCs w:val="22"/>
        </w:rPr>
        <w:t xml:space="preserve"> preliminary</w:t>
      </w:r>
      <w:r w:rsidR="00720369" w:rsidRPr="00720369">
        <w:rPr>
          <w:sz w:val="22"/>
          <w:szCs w:val="22"/>
        </w:rPr>
        <w:t xml:space="preserve"> dietary exposure assessment? </w:t>
      </w:r>
    </w:p>
    <w:p w14:paraId="33E8990F" w14:textId="77777777" w:rsidR="004C09D0" w:rsidRPr="005647D9" w:rsidRDefault="004C09D0" w:rsidP="005647D9">
      <w:pPr>
        <w:pStyle w:val="AARBullet"/>
        <w:rPr>
          <w:sz w:val="22"/>
          <w:szCs w:val="22"/>
        </w:rPr>
      </w:pPr>
      <w:r w:rsidRPr="004C09D0">
        <w:rPr>
          <w:sz w:val="22"/>
          <w:szCs w:val="22"/>
        </w:rPr>
        <w:t>Are there any other contributors to exposure other than diet?</w:t>
      </w:r>
    </w:p>
    <w:p w14:paraId="7D44A42B" w14:textId="77777777" w:rsidR="000C614F" w:rsidRPr="00284FF0" w:rsidRDefault="000C614F" w:rsidP="00D6052B">
      <w:pPr>
        <w:pStyle w:val="Heading4"/>
        <w:numPr>
          <w:ilvl w:val="2"/>
          <w:numId w:val="12"/>
        </w:numPr>
        <w:rPr>
          <w:rFonts w:eastAsia="Calibri"/>
        </w:rPr>
      </w:pPr>
      <w:r w:rsidRPr="00284FF0">
        <w:rPr>
          <w:rFonts w:eastAsia="Calibri"/>
        </w:rPr>
        <w:t>PFAS analytical data received</w:t>
      </w:r>
    </w:p>
    <w:p w14:paraId="4D5B1003" w14:textId="77777777" w:rsidR="007E3026" w:rsidRDefault="000C614F" w:rsidP="000C614F">
      <w:r w:rsidRPr="006916F3">
        <w:t xml:space="preserve">FSANZ received </w:t>
      </w:r>
      <w:r w:rsidR="00BD305A">
        <w:t xml:space="preserve">10 </w:t>
      </w:r>
      <w:r>
        <w:t xml:space="preserve">datasets in response to its data call for analytical data (refer to SD 2), the majority of which related to foods sourced from or near contaminated sites. Based on these limited occurrence data for contaminated sites, mean upper bound PFOS concentrations were highest for rabbit meat, finfish livers, cattle meat and mammalian offal. PFOA concentrations were below reporting limits for most samples. </w:t>
      </w:r>
    </w:p>
    <w:p w14:paraId="39822FD0" w14:textId="77777777" w:rsidR="00255D6D" w:rsidRDefault="00255D6D" w:rsidP="000C614F"/>
    <w:p w14:paraId="5271078B" w14:textId="77777777" w:rsidR="000C614F" w:rsidRDefault="000C614F" w:rsidP="000C614F">
      <w:r>
        <w:t xml:space="preserve">Mean upper bound analytical results for foods with PFOA detections were highest for molluscs and freshwater fish. There was less data available on PFHxS analyses than for PFOS or PFOA analyses. Mean upper bound PFHxS concentrations were highest for cattle meat, rabbit meat and eggs. </w:t>
      </w:r>
    </w:p>
    <w:p w14:paraId="553B3630" w14:textId="77777777" w:rsidR="004C09D0" w:rsidRPr="009C5A05" w:rsidRDefault="004C09D0" w:rsidP="00D6052B">
      <w:pPr>
        <w:pStyle w:val="Heading4"/>
        <w:numPr>
          <w:ilvl w:val="2"/>
          <w:numId w:val="12"/>
        </w:numPr>
        <w:rPr>
          <w:rFonts w:eastAsia="Calibri"/>
          <w:i w:val="0"/>
        </w:rPr>
      </w:pPr>
      <w:r w:rsidRPr="006A3107">
        <w:rPr>
          <w:rFonts w:eastAsia="Calibri"/>
        </w:rPr>
        <w:lastRenderedPageBreak/>
        <w:t xml:space="preserve">Dietary exposure </w:t>
      </w:r>
      <w:r w:rsidR="009D4A5D">
        <w:rPr>
          <w:rFonts w:eastAsia="Calibri"/>
          <w:i w:val="0"/>
        </w:rPr>
        <w:t>for the general population</w:t>
      </w:r>
    </w:p>
    <w:p w14:paraId="5B9AAF58" w14:textId="77777777" w:rsidR="005547D1" w:rsidRDefault="00CF2EC0" w:rsidP="00CF2EC0">
      <w:pPr>
        <w:rPr>
          <w:rFonts w:eastAsia="Calibri"/>
          <w:szCs w:val="22"/>
          <w:lang w:bidi="ar-SA"/>
        </w:rPr>
      </w:pPr>
      <w:r w:rsidRPr="00BF581F">
        <w:rPr>
          <w:rFonts w:eastAsia="Calibri"/>
          <w:szCs w:val="22"/>
          <w:lang w:bidi="ar-SA"/>
        </w:rPr>
        <w:t xml:space="preserve">There was insufficient information to estimate total dietary exposure to </w:t>
      </w:r>
      <w:r w:rsidR="005A08EB">
        <w:rPr>
          <w:rFonts w:eastAsia="Calibri"/>
          <w:szCs w:val="22"/>
          <w:lang w:bidi="ar-SA"/>
        </w:rPr>
        <w:t>PFOS, PFOA and PFHxS</w:t>
      </w:r>
      <w:r w:rsidR="005A08EB" w:rsidRPr="00BF581F">
        <w:rPr>
          <w:rFonts w:eastAsia="Calibri"/>
          <w:szCs w:val="22"/>
          <w:lang w:bidi="ar-SA"/>
        </w:rPr>
        <w:t xml:space="preserve"> </w:t>
      </w:r>
      <w:r w:rsidRPr="00BF581F">
        <w:rPr>
          <w:rFonts w:eastAsia="Calibri"/>
          <w:szCs w:val="22"/>
          <w:lang w:bidi="ar-SA"/>
        </w:rPr>
        <w:t xml:space="preserve">for the general population as the majority of the </w:t>
      </w:r>
      <w:r w:rsidR="000C614F">
        <w:rPr>
          <w:rFonts w:eastAsia="Calibri"/>
          <w:szCs w:val="22"/>
          <w:lang w:bidi="ar-SA"/>
        </w:rPr>
        <w:t xml:space="preserve">submitted </w:t>
      </w:r>
      <w:r w:rsidRPr="00BF581F">
        <w:rPr>
          <w:rFonts w:eastAsia="Calibri"/>
          <w:szCs w:val="22"/>
          <w:lang w:bidi="ar-SA"/>
        </w:rPr>
        <w:t xml:space="preserve">data on the amount of </w:t>
      </w:r>
      <w:r w:rsidR="005A08EB">
        <w:rPr>
          <w:rFonts w:eastAsia="Calibri"/>
          <w:szCs w:val="22"/>
          <w:lang w:bidi="ar-SA"/>
        </w:rPr>
        <w:t>th</w:t>
      </w:r>
      <w:r w:rsidR="007E3026">
        <w:rPr>
          <w:rFonts w:eastAsia="Calibri"/>
          <w:szCs w:val="22"/>
          <w:lang w:bidi="ar-SA"/>
        </w:rPr>
        <w:t>e</w:t>
      </w:r>
      <w:r w:rsidR="005A08EB">
        <w:rPr>
          <w:rFonts w:eastAsia="Calibri"/>
          <w:szCs w:val="22"/>
          <w:lang w:bidi="ar-SA"/>
        </w:rPr>
        <w:t>se chemicals</w:t>
      </w:r>
      <w:r w:rsidR="005A08EB" w:rsidRPr="00BF581F">
        <w:rPr>
          <w:rFonts w:eastAsia="Calibri"/>
          <w:szCs w:val="22"/>
          <w:lang w:bidi="ar-SA"/>
        </w:rPr>
        <w:t xml:space="preserve"> </w:t>
      </w:r>
      <w:r w:rsidRPr="00BF581F">
        <w:rPr>
          <w:rFonts w:eastAsia="Calibri"/>
          <w:szCs w:val="22"/>
          <w:lang w:bidi="ar-SA"/>
        </w:rPr>
        <w:t>in food and wate</w:t>
      </w:r>
      <w:r w:rsidR="00255D6D">
        <w:rPr>
          <w:rFonts w:eastAsia="Calibri"/>
          <w:szCs w:val="22"/>
          <w:lang w:bidi="ar-SA"/>
        </w:rPr>
        <w:t>r were from contaminated sites</w:t>
      </w:r>
      <w:r w:rsidRPr="00BF581F">
        <w:rPr>
          <w:rFonts w:eastAsia="Calibri"/>
          <w:szCs w:val="22"/>
          <w:lang w:bidi="ar-SA"/>
        </w:rPr>
        <w:t xml:space="preserve">. </w:t>
      </w:r>
    </w:p>
    <w:p w14:paraId="5845AFFD" w14:textId="77777777" w:rsidR="005547D1" w:rsidRPr="00BF581F" w:rsidRDefault="005547D1" w:rsidP="00CF2EC0">
      <w:pPr>
        <w:rPr>
          <w:rFonts w:eastAsia="Calibri"/>
          <w:szCs w:val="22"/>
          <w:lang w:bidi="ar-SA"/>
        </w:rPr>
      </w:pPr>
    </w:p>
    <w:p w14:paraId="047D61C5" w14:textId="77777777" w:rsidR="00597915" w:rsidRPr="00F34D1A" w:rsidRDefault="003642F8" w:rsidP="006A3107">
      <w:pPr>
        <w:rPr>
          <w:rFonts w:eastAsia="Calibri"/>
          <w:szCs w:val="22"/>
          <w:lang w:bidi="ar-SA"/>
        </w:rPr>
      </w:pPr>
      <w:r w:rsidRPr="003642F8">
        <w:rPr>
          <w:rFonts w:eastAsia="Calibri"/>
          <w:szCs w:val="22"/>
          <w:lang w:bidi="ar-SA"/>
        </w:rPr>
        <w:t>However, the limited data available from the 24</w:t>
      </w:r>
      <w:r w:rsidR="00876C13" w:rsidRPr="00876C13">
        <w:rPr>
          <w:rFonts w:eastAsia="Calibri"/>
          <w:szCs w:val="22"/>
          <w:vertAlign w:val="superscript"/>
          <w:lang w:bidi="ar-SA"/>
        </w:rPr>
        <w:t>th</w:t>
      </w:r>
      <w:r w:rsidR="00876C13">
        <w:rPr>
          <w:rFonts w:eastAsia="Calibri"/>
          <w:szCs w:val="22"/>
          <w:lang w:bidi="ar-SA"/>
        </w:rPr>
        <w:t xml:space="preserve"> </w:t>
      </w:r>
      <w:r w:rsidR="000C614F">
        <w:rPr>
          <w:rFonts w:eastAsia="Calibri"/>
          <w:szCs w:val="22"/>
          <w:lang w:bidi="ar-SA"/>
        </w:rPr>
        <w:t>Australian Total Diet Study (</w:t>
      </w:r>
      <w:r w:rsidR="00876C13">
        <w:rPr>
          <w:rFonts w:eastAsia="Calibri"/>
          <w:szCs w:val="22"/>
          <w:lang w:bidi="ar-SA"/>
        </w:rPr>
        <w:t>ATDS</w:t>
      </w:r>
      <w:r w:rsidR="000C614F">
        <w:rPr>
          <w:rFonts w:eastAsia="Calibri"/>
          <w:szCs w:val="22"/>
          <w:lang w:bidi="ar-SA"/>
        </w:rPr>
        <w:t>)</w:t>
      </w:r>
      <w:r w:rsidR="00876C13">
        <w:rPr>
          <w:rFonts w:eastAsia="Calibri"/>
          <w:szCs w:val="22"/>
          <w:lang w:bidi="ar-SA"/>
        </w:rPr>
        <w:t xml:space="preserve"> </w:t>
      </w:r>
      <w:r w:rsidRPr="003642F8">
        <w:rPr>
          <w:rFonts w:eastAsia="Calibri"/>
          <w:szCs w:val="22"/>
          <w:lang w:bidi="ar-SA"/>
        </w:rPr>
        <w:t xml:space="preserve">and a review of the literature indicate that dietary exposure from the general food supply is likely to be low. </w:t>
      </w:r>
      <w:r w:rsidR="007E3026">
        <w:rPr>
          <w:rFonts w:eastAsia="Calibri"/>
          <w:szCs w:val="22"/>
          <w:lang w:bidi="ar-SA"/>
        </w:rPr>
        <w:t>In addition, f</w:t>
      </w:r>
      <w:r w:rsidRPr="003642F8">
        <w:rPr>
          <w:rFonts w:eastAsia="Calibri"/>
          <w:szCs w:val="22"/>
          <w:lang w:bidi="ar-SA"/>
        </w:rPr>
        <w:t>ollowing the publication of the 24th ATDS the NSW F</w:t>
      </w:r>
      <w:r w:rsidR="00255D6D">
        <w:rPr>
          <w:rFonts w:eastAsia="Calibri"/>
          <w:szCs w:val="22"/>
          <w:lang w:bidi="ar-SA"/>
        </w:rPr>
        <w:t xml:space="preserve">ood </w:t>
      </w:r>
      <w:r w:rsidRPr="003642F8">
        <w:rPr>
          <w:rFonts w:eastAsia="Calibri"/>
          <w:szCs w:val="22"/>
          <w:lang w:bidi="ar-SA"/>
        </w:rPr>
        <w:t>A</w:t>
      </w:r>
      <w:r w:rsidR="00255D6D">
        <w:rPr>
          <w:rFonts w:eastAsia="Calibri"/>
          <w:szCs w:val="22"/>
          <w:lang w:bidi="ar-SA"/>
        </w:rPr>
        <w:t>uthority</w:t>
      </w:r>
      <w:r w:rsidRPr="003642F8">
        <w:rPr>
          <w:rFonts w:eastAsia="Calibri"/>
          <w:szCs w:val="22"/>
          <w:lang w:bidi="ar-SA"/>
        </w:rPr>
        <w:t xml:space="preserve"> undertook further research on PFOS, PFOA and PFHxS in fish in February 2016, analysing imported fish and prawn samples purchased from Sydney retail outlets. Results were consistent with the ATDS and no further dietary exposure assessment was undertaken.</w:t>
      </w:r>
    </w:p>
    <w:p w14:paraId="591C6269" w14:textId="77777777" w:rsidR="008203B5" w:rsidRDefault="008203B5" w:rsidP="00D6052B">
      <w:pPr>
        <w:pStyle w:val="Heading4"/>
        <w:numPr>
          <w:ilvl w:val="2"/>
          <w:numId w:val="12"/>
        </w:numPr>
        <w:rPr>
          <w:lang w:eastAsia="en-AU"/>
        </w:rPr>
      </w:pPr>
      <w:r>
        <w:rPr>
          <w:lang w:eastAsia="en-AU"/>
        </w:rPr>
        <w:t>Preliminary dietary exposure to foods sourced from contaminated sites</w:t>
      </w:r>
    </w:p>
    <w:p w14:paraId="30F8378D" w14:textId="77777777" w:rsidR="008203B5" w:rsidRDefault="000C614F" w:rsidP="00861674">
      <w:r>
        <w:t xml:space="preserve">As </w:t>
      </w:r>
      <w:r w:rsidRPr="00347535">
        <w:t>it is unknown how much food and water consumed by populations living near contaminated sites is sourced locally</w:t>
      </w:r>
      <w:r>
        <w:t xml:space="preserve"> it was not possible to estimate total dietary exposure for this specific subgroup. Rather, t</w:t>
      </w:r>
      <w:r w:rsidR="008203B5">
        <w:rPr>
          <w:lang w:eastAsia="en-AU"/>
        </w:rPr>
        <w:t xml:space="preserve">he preliminary dietary exposure assessment investigated </w:t>
      </w:r>
      <w:r w:rsidR="008203B5">
        <w:t>how much of an individual food or food group sourced from contaminated sites that contain PFOS, PFOA and/or PFHxS may be consumed by the Australian population wit</w:t>
      </w:r>
      <w:r w:rsidR="00D14E12">
        <w:t>hout exceeding the relevant TDI, assuming background exposure to all other foods was zero.</w:t>
      </w:r>
      <w:r w:rsidR="008203B5" w:rsidRPr="008203B5">
        <w:t xml:space="preserve"> </w:t>
      </w:r>
      <w:r w:rsidR="008203B5">
        <w:t xml:space="preserve">If a calculated amount for a </w:t>
      </w:r>
      <w:r w:rsidR="008203B5" w:rsidRPr="00B72350">
        <w:t xml:space="preserve">specified </w:t>
      </w:r>
      <w:r w:rsidR="008203B5">
        <w:t xml:space="preserve">chemical/ </w:t>
      </w:r>
      <w:r w:rsidR="008203B5" w:rsidRPr="00B72350">
        <w:t>food group</w:t>
      </w:r>
      <w:r w:rsidR="008203B5">
        <w:t>(s) combination is less than people normally eat then public advice on consuming these foods may be required when they are sourced from or near contaminated sites.</w:t>
      </w:r>
    </w:p>
    <w:p w14:paraId="3D77FB28" w14:textId="77777777" w:rsidR="006C6B06" w:rsidRDefault="006C6B06" w:rsidP="00861674">
      <w:pPr>
        <w:rPr>
          <w:lang w:eastAsia="en-AU"/>
        </w:rPr>
      </w:pPr>
    </w:p>
    <w:p w14:paraId="3EEB0CB1" w14:textId="77777777" w:rsidR="0080229E" w:rsidRDefault="006C6B06" w:rsidP="006C6B06">
      <w:r>
        <w:t>For PFOA the amount of each 'contaminated site' food that could be consumed before the relevant TDI was exceeded was much greater than amounts usually eaten by high consumers even assuming upper bound median concentrations of PFOA. Usual food consumption patterns were as reported in the 2011-1</w:t>
      </w:r>
      <w:r w:rsidR="0039043D">
        <w:t>2 National Nutrition and Physical Activity</w:t>
      </w:r>
      <w:r>
        <w:t xml:space="preserve"> Survey</w:t>
      </w:r>
      <w:r w:rsidR="0039043D">
        <w:t xml:space="preserve"> (NNPAS) component of the 2011-1</w:t>
      </w:r>
      <w:r>
        <w:t xml:space="preserve">3 Australian Health Survey. </w:t>
      </w:r>
    </w:p>
    <w:p w14:paraId="5A52B000" w14:textId="77777777" w:rsidR="0080229E" w:rsidRDefault="0080229E" w:rsidP="006C6B06"/>
    <w:p w14:paraId="3136D7B4" w14:textId="77777777" w:rsidR="006C6B06" w:rsidRDefault="006C6B06" w:rsidP="006C6B06">
      <w:r>
        <w:t>PFOS has a lower TDI than PFOA so the outcome of these calculations was different. For PFOS</w:t>
      </w:r>
      <w:r w:rsidRPr="005D3216">
        <w:t xml:space="preserve"> </w:t>
      </w:r>
      <w:r>
        <w:t>and PFOS + PFHxS combined for the food groups assessed, the amount of foods containing PFOS or PFOS + PFHxS combined at reported levels from contaminated sites that may be consumed without exceeding</w:t>
      </w:r>
      <w:r w:rsidRPr="00466515">
        <w:rPr>
          <w:color w:val="000000"/>
        </w:rPr>
        <w:t xml:space="preserve"> </w:t>
      </w:r>
      <w:r>
        <w:t xml:space="preserve">the relevant TDI was lower than the </w:t>
      </w:r>
      <w:r w:rsidRPr="001A0516">
        <w:t>usual amounts of food</w:t>
      </w:r>
      <w:r>
        <w:t xml:space="preserve"> consumed</w:t>
      </w:r>
      <w:r w:rsidRPr="001A0516">
        <w:t>.</w:t>
      </w:r>
      <w:r>
        <w:t xml:space="preserve"> For PFOS this occurred for the whole population with cattle meat, rabbit meat, milk and offal assuming low, middle and upper bound median concentrations. For children aged 2-6 years this applied to cattle meat and milk assuming low, middle and upper bound median concentrations and in addition, at the upper bound median concentration for some vegetables. Occasional exceedances of the TDI from consumption of a specific food on one day or over a short period are not of public health concern. </w:t>
      </w:r>
    </w:p>
    <w:p w14:paraId="1FFDD6DB" w14:textId="77777777" w:rsidR="006C6B06" w:rsidRDefault="006C6B06" w:rsidP="006C6B06"/>
    <w:p w14:paraId="68284774" w14:textId="77777777" w:rsidR="004C09D0" w:rsidRDefault="006C6B06" w:rsidP="00861674">
      <w:r>
        <w:t>I</w:t>
      </w:r>
      <w:r w:rsidRPr="005246CB">
        <w:t>t is considered extremely unlikely that food consumption of a specific food group</w:t>
      </w:r>
      <w:r w:rsidR="005A08EB">
        <w:t>, for example meat,</w:t>
      </w:r>
      <w:r w:rsidRPr="005246CB">
        <w:t xml:space="preserve"> over a period would all be from food sourced locally from a contaminated site. This is particularly true for milk and milk products because milk doesn’t normally come from one animal but is collected from many animals and several sources, mixed and homogenised and then distributed through retail outlets.</w:t>
      </w:r>
    </w:p>
    <w:p w14:paraId="6C4A1A4F" w14:textId="77777777" w:rsidR="00720369" w:rsidRPr="009C5A05" w:rsidRDefault="00720369" w:rsidP="00D6052B">
      <w:pPr>
        <w:pStyle w:val="Heading4"/>
        <w:numPr>
          <w:ilvl w:val="2"/>
          <w:numId w:val="12"/>
        </w:numPr>
        <w:rPr>
          <w:rFonts w:eastAsia="Calibri"/>
          <w:i w:val="0"/>
        </w:rPr>
      </w:pPr>
      <w:r w:rsidRPr="006A3107">
        <w:rPr>
          <w:rFonts w:eastAsia="Calibri"/>
        </w:rPr>
        <w:t xml:space="preserve">Trigger points for investigation </w:t>
      </w:r>
    </w:p>
    <w:p w14:paraId="71E03B7D" w14:textId="77777777" w:rsidR="006D1F87" w:rsidRDefault="0039043D" w:rsidP="0039043D">
      <w:pPr>
        <w:pStyle w:val="AARBullet"/>
        <w:numPr>
          <w:ilvl w:val="0"/>
          <w:numId w:val="0"/>
        </w:numPr>
        <w:rPr>
          <w:sz w:val="22"/>
        </w:rPr>
      </w:pPr>
      <w:r w:rsidRPr="0039043D">
        <w:rPr>
          <w:sz w:val="22"/>
          <w:szCs w:val="22"/>
        </w:rPr>
        <w:t>T</w:t>
      </w:r>
      <w:r w:rsidR="006C6B06" w:rsidRPr="0039043D">
        <w:rPr>
          <w:sz w:val="22"/>
          <w:szCs w:val="22"/>
        </w:rPr>
        <w:t>rigger</w:t>
      </w:r>
      <w:r w:rsidR="006C6B06" w:rsidRPr="0039043D">
        <w:rPr>
          <w:sz w:val="22"/>
        </w:rPr>
        <w:t xml:space="preserve"> points for investigation </w:t>
      </w:r>
      <w:r w:rsidRPr="0039043D">
        <w:rPr>
          <w:sz w:val="22"/>
          <w:szCs w:val="22"/>
        </w:rPr>
        <w:t>were</w:t>
      </w:r>
      <w:r w:rsidR="006C6B06" w:rsidRPr="0039043D">
        <w:rPr>
          <w:sz w:val="22"/>
        </w:rPr>
        <w:t xml:space="preserve"> derived for each food or food group assessed for PFOS + PFHxS combined and PFOA. </w:t>
      </w:r>
      <w:r w:rsidR="006B3C3B" w:rsidRPr="006916F3">
        <w:rPr>
          <w:sz w:val="22"/>
        </w:rPr>
        <w:t>Trigger points are the maximum concentration level of these chemicals that could be present in individual</w:t>
      </w:r>
      <w:r w:rsidR="006B3C3B" w:rsidRPr="00657103">
        <w:rPr>
          <w:sz w:val="22"/>
        </w:rPr>
        <w:t xml:space="preserve"> foods or food groups so even high consumers of these foods would not have dietary exposures exceeding the relevant TDI. </w:t>
      </w:r>
    </w:p>
    <w:p w14:paraId="42570EBD" w14:textId="77777777" w:rsidR="006C6B06" w:rsidRPr="0039043D" w:rsidRDefault="006C6B06" w:rsidP="0039043D">
      <w:pPr>
        <w:pStyle w:val="AARBullet"/>
        <w:numPr>
          <w:ilvl w:val="0"/>
          <w:numId w:val="0"/>
        </w:numPr>
        <w:rPr>
          <w:rFonts w:eastAsia="Calibri"/>
          <w:sz w:val="22"/>
        </w:rPr>
      </w:pPr>
      <w:r w:rsidRPr="0039043D">
        <w:rPr>
          <w:sz w:val="22"/>
        </w:rPr>
        <w:lastRenderedPageBreak/>
        <w:t xml:space="preserve">Public health and/or food regulatory </w:t>
      </w:r>
      <w:r w:rsidR="0039043D" w:rsidRPr="0039043D">
        <w:rPr>
          <w:sz w:val="22"/>
          <w:szCs w:val="22"/>
        </w:rPr>
        <w:t>officials</w:t>
      </w:r>
      <w:r w:rsidRPr="0039043D">
        <w:rPr>
          <w:sz w:val="22"/>
        </w:rPr>
        <w:t xml:space="preserve"> may use the trigger points for investigation of specified chemicals to identify when levels in analysed foods exceed these values and require more research.</w:t>
      </w:r>
    </w:p>
    <w:p w14:paraId="20DD4AE5" w14:textId="77777777" w:rsidR="006B3C3B" w:rsidRPr="005246CB" w:rsidRDefault="006C58BA" w:rsidP="006B3C3B">
      <w:r w:rsidRPr="005246CB">
        <w:t xml:space="preserve">Proposed trigger points for investigation for PFOS + PFHxS combined are </w:t>
      </w:r>
      <w:r w:rsidR="006B3C3B" w:rsidRPr="005246CB">
        <w:t>lower</w:t>
      </w:r>
      <w:r w:rsidRPr="005246CB">
        <w:t xml:space="preserve"> for </w:t>
      </w:r>
      <w:r>
        <w:t>milk (</w:t>
      </w:r>
      <w:r>
        <w:rPr>
          <w:lang w:eastAsia="en-AU"/>
        </w:rPr>
        <w:t>0.4</w:t>
      </w:r>
      <w:r w:rsidRPr="00C66D88">
        <w:rPr>
          <w:lang w:eastAsia="en-AU"/>
        </w:rPr>
        <w:t xml:space="preserve"> </w:t>
      </w:r>
      <w:r w:rsidRPr="00F365FE">
        <w:rPr>
          <w:lang w:eastAsia="en-AU"/>
        </w:rPr>
        <w:t>µg/kg</w:t>
      </w:r>
      <w:r w:rsidR="006B3C3B">
        <w:rPr>
          <w:lang w:eastAsia="en-AU"/>
        </w:rPr>
        <w:t>),</w:t>
      </w:r>
      <w:r>
        <w:rPr>
          <w:lang w:eastAsia="en-AU"/>
        </w:rPr>
        <w:t xml:space="preserve"> </w:t>
      </w:r>
      <w:r w:rsidRPr="005246CB">
        <w:t>fruit and vegetables (0.6 and 1.1 µg/kg respectively) than for finfish (</w:t>
      </w:r>
      <w:r w:rsidR="00572A15">
        <w:t xml:space="preserve">5.2 </w:t>
      </w:r>
      <w:r w:rsidRPr="005246CB">
        <w:t>µg/kg), mammalian meat (3.5 µg/kg) and eggs (11</w:t>
      </w:r>
      <w:r w:rsidR="006B3C3B" w:rsidRPr="005246CB">
        <w:t xml:space="preserve"> µg/kg). Proposed trigger points for investigation for PFOS + PFHxS </w:t>
      </w:r>
      <w:r w:rsidR="006B3C3B">
        <w:t xml:space="preserve">combined </w:t>
      </w:r>
      <w:r w:rsidR="006B3C3B" w:rsidRPr="005246CB">
        <w:t>for other seafood, honey and offal are substantially higher than those proposed for other commodities</w:t>
      </w:r>
      <w:r w:rsidR="006B3C3B">
        <w:t>.</w:t>
      </w:r>
    </w:p>
    <w:p w14:paraId="648EEBAF" w14:textId="77777777" w:rsidR="004C2AB4" w:rsidRPr="00FB4945" w:rsidRDefault="006B3C3B" w:rsidP="006C58BA">
      <w:pPr>
        <w:pStyle w:val="AARBullet"/>
        <w:numPr>
          <w:ilvl w:val="0"/>
          <w:numId w:val="0"/>
        </w:numPr>
        <w:rPr>
          <w:sz w:val="22"/>
        </w:rPr>
      </w:pPr>
      <w:r w:rsidRPr="006916F3">
        <w:rPr>
          <w:sz w:val="22"/>
        </w:rPr>
        <w:t>In most commodities, the proposed trigge</w:t>
      </w:r>
      <w:r w:rsidRPr="006B3C3B">
        <w:rPr>
          <w:sz w:val="22"/>
        </w:rPr>
        <w:t>r points for investigation for PFOA are an order of magnitude higher than those for PFOS. Like PFOS, proposed trigger points for investigation are lowest in fruit and vegetables, finfish and meat.</w:t>
      </w:r>
      <w:r>
        <w:rPr>
          <w:sz w:val="22"/>
        </w:rPr>
        <w:t xml:space="preserve"> Trigger points for PFOS + PFHxS combined and for PFOA for all food groups </w:t>
      </w:r>
      <w:r w:rsidR="004C2AB4">
        <w:rPr>
          <w:sz w:val="22"/>
        </w:rPr>
        <w:t>for which FSANZ received occurrence data</w:t>
      </w:r>
      <w:r>
        <w:rPr>
          <w:sz w:val="22"/>
        </w:rPr>
        <w:t xml:space="preserve"> are set out in </w:t>
      </w:r>
      <w:r w:rsidR="00FB4945" w:rsidRPr="00FB4945">
        <w:rPr>
          <w:sz w:val="22"/>
        </w:rPr>
        <w:t>Table 1</w:t>
      </w:r>
      <w:r w:rsidRPr="00FB4945">
        <w:rPr>
          <w:sz w:val="22"/>
        </w:rPr>
        <w:t>.</w:t>
      </w:r>
    </w:p>
    <w:p w14:paraId="59F49720" w14:textId="77777777" w:rsidR="004C2AB4" w:rsidRDefault="004C2AB4" w:rsidP="004C2AB4">
      <w:pPr>
        <w:pStyle w:val="FSTableColumnRowheading"/>
        <w:keepNext/>
        <w:ind w:left="0" w:firstLine="0"/>
        <w:contextualSpacing/>
        <w:rPr>
          <w:lang w:eastAsia="en-AU"/>
        </w:rPr>
      </w:pPr>
      <w:bookmarkStart w:id="27" w:name="_Ref473894951"/>
      <w:bookmarkStart w:id="28" w:name="_Toc474153718"/>
      <w:bookmarkStart w:id="29" w:name="_Toc474158910"/>
      <w:bookmarkStart w:id="30" w:name="_Toc474847870"/>
      <w:bookmarkStart w:id="31" w:name="_Toc474852110"/>
      <w:r>
        <w:rPr>
          <w:lang w:eastAsia="en-AU"/>
        </w:rPr>
        <w:t xml:space="preserve">Proposed </w:t>
      </w:r>
      <w:r>
        <w:t>trigger points for investigation</w:t>
      </w:r>
      <w:bookmarkEnd w:id="27"/>
      <w:bookmarkEnd w:id="28"/>
      <w:bookmarkEnd w:id="29"/>
      <w:bookmarkEnd w:id="30"/>
      <w:bookmarkEnd w:id="31"/>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487"/>
        <w:gridCol w:w="1538"/>
        <w:gridCol w:w="1820"/>
        <w:gridCol w:w="913"/>
        <w:gridCol w:w="3292"/>
      </w:tblGrid>
      <w:tr w:rsidR="004C2AB4" w:rsidRPr="005811F5" w14:paraId="6A7D8908" w14:textId="77777777" w:rsidTr="00466515">
        <w:trPr>
          <w:trHeight w:val="144"/>
          <w:tblHeader/>
        </w:trPr>
        <w:tc>
          <w:tcPr>
            <w:tcW w:w="0" w:type="auto"/>
            <w:vMerge w:val="restart"/>
            <w:shd w:val="clear" w:color="auto" w:fill="4F81BD"/>
            <w:vAlign w:val="center"/>
          </w:tcPr>
          <w:p w14:paraId="17569ED0" w14:textId="77777777" w:rsidR="004C2AB4" w:rsidRPr="00466515" w:rsidRDefault="004C2AB4" w:rsidP="00466515">
            <w:pPr>
              <w:keepNext/>
              <w:contextualSpacing/>
              <w:jc w:val="center"/>
              <w:rPr>
                <w:rFonts w:eastAsia="Calibri" w:cs="Arial"/>
                <w:b/>
                <w:bCs/>
                <w:color w:val="FFFFFF"/>
                <w:sz w:val="18"/>
                <w:lang w:val="en-AU" w:eastAsia="en-AU"/>
              </w:rPr>
            </w:pPr>
            <w:r w:rsidRPr="00466515">
              <w:rPr>
                <w:rFonts w:eastAsia="Calibri" w:cs="Arial"/>
                <w:b/>
                <w:bCs/>
                <w:color w:val="FFFFFF"/>
                <w:sz w:val="18"/>
                <w:lang w:val="en-AU" w:eastAsia="en-AU"/>
              </w:rPr>
              <w:t>Food</w:t>
            </w:r>
          </w:p>
        </w:tc>
        <w:tc>
          <w:tcPr>
            <w:tcW w:w="0" w:type="auto"/>
            <w:vMerge w:val="restart"/>
            <w:shd w:val="clear" w:color="auto" w:fill="4F81BD"/>
            <w:vAlign w:val="center"/>
          </w:tcPr>
          <w:p w14:paraId="71175286" w14:textId="77777777" w:rsidR="004C2AB4" w:rsidRPr="00466515" w:rsidRDefault="004C2AB4" w:rsidP="00466515">
            <w:pPr>
              <w:keepNext/>
              <w:contextualSpacing/>
              <w:jc w:val="center"/>
              <w:rPr>
                <w:rFonts w:eastAsia="Calibri" w:cs="Arial"/>
                <w:b/>
                <w:bCs/>
                <w:color w:val="FFFFFF"/>
                <w:sz w:val="18"/>
                <w:lang w:val="en-AU" w:eastAsia="en-AU"/>
              </w:rPr>
            </w:pPr>
            <w:r w:rsidRPr="00466515">
              <w:rPr>
                <w:rFonts w:eastAsia="Calibri" w:cs="Arial"/>
                <w:b/>
                <w:bCs/>
                <w:color w:val="FFFFFF"/>
                <w:sz w:val="18"/>
                <w:lang w:val="en-AU" w:eastAsia="en-AU"/>
              </w:rPr>
              <w:t>Food classification</w:t>
            </w:r>
          </w:p>
        </w:tc>
        <w:tc>
          <w:tcPr>
            <w:tcW w:w="0" w:type="auto"/>
            <w:gridSpan w:val="2"/>
            <w:shd w:val="clear" w:color="auto" w:fill="4F81BD"/>
            <w:vAlign w:val="center"/>
          </w:tcPr>
          <w:p w14:paraId="26C5CB07" w14:textId="77777777" w:rsidR="004C2AB4" w:rsidRPr="00466515" w:rsidRDefault="004C2AB4" w:rsidP="00466515">
            <w:pPr>
              <w:keepNext/>
              <w:contextualSpacing/>
              <w:jc w:val="center"/>
              <w:rPr>
                <w:rFonts w:eastAsia="Calibri" w:cs="Arial"/>
                <w:b/>
                <w:bCs/>
                <w:color w:val="FFFFFF"/>
                <w:sz w:val="18"/>
                <w:lang w:val="en-AU" w:eastAsia="en-AU"/>
              </w:rPr>
            </w:pPr>
            <w:r w:rsidRPr="00466515">
              <w:rPr>
                <w:rFonts w:eastAsia="Calibri" w:cs="Arial"/>
                <w:b/>
                <w:bCs/>
                <w:color w:val="FFFFFF"/>
                <w:sz w:val="18"/>
                <w:lang w:val="en-AU" w:eastAsia="en-AU"/>
              </w:rPr>
              <w:t xml:space="preserve">Proposed </w:t>
            </w:r>
            <w:r w:rsidRPr="00466515">
              <w:rPr>
                <w:rFonts w:eastAsia="Calibri" w:cs="Arial"/>
                <w:b/>
                <w:bCs/>
                <w:color w:val="FFFFFF"/>
                <w:sz w:val="18"/>
                <w:szCs w:val="18"/>
                <w:lang w:val="en-AU"/>
              </w:rPr>
              <w:t>trigger points for investigation</w:t>
            </w:r>
            <w:r w:rsidRPr="00466515" w:rsidDel="00F9633E">
              <w:rPr>
                <w:rFonts w:eastAsia="Calibri" w:cs="Arial"/>
                <w:b/>
                <w:bCs/>
                <w:color w:val="FFFFFF"/>
                <w:sz w:val="18"/>
                <w:szCs w:val="18"/>
                <w:lang w:val="en-AU" w:eastAsia="en-AU"/>
              </w:rPr>
              <w:t xml:space="preserve"> </w:t>
            </w:r>
            <w:r w:rsidRPr="00466515">
              <w:rPr>
                <w:rFonts w:eastAsia="Calibri" w:cs="Arial"/>
                <w:b/>
                <w:bCs/>
                <w:color w:val="FFFFFF"/>
                <w:sz w:val="18"/>
                <w:lang w:val="en-AU" w:eastAsia="en-AU"/>
              </w:rPr>
              <w:t>(µg/kg)</w:t>
            </w:r>
          </w:p>
        </w:tc>
        <w:tc>
          <w:tcPr>
            <w:tcW w:w="0" w:type="auto"/>
            <w:vMerge w:val="restart"/>
            <w:shd w:val="clear" w:color="auto" w:fill="4F81BD"/>
            <w:vAlign w:val="center"/>
          </w:tcPr>
          <w:p w14:paraId="0D0A9833" w14:textId="77777777" w:rsidR="004C2AB4" w:rsidRPr="00466515" w:rsidRDefault="004C2AB4" w:rsidP="00466515">
            <w:pPr>
              <w:keepNext/>
              <w:contextualSpacing/>
              <w:jc w:val="center"/>
              <w:rPr>
                <w:rFonts w:eastAsia="Calibri" w:cs="Arial"/>
                <w:b/>
                <w:bCs/>
                <w:color w:val="FFFFFF"/>
                <w:sz w:val="18"/>
                <w:lang w:val="en-AU" w:eastAsia="en-AU"/>
              </w:rPr>
            </w:pPr>
            <w:r w:rsidRPr="00466515">
              <w:rPr>
                <w:rFonts w:eastAsia="Calibri" w:cs="Arial"/>
                <w:b/>
                <w:bCs/>
                <w:color w:val="FFFFFF"/>
                <w:sz w:val="18"/>
                <w:lang w:val="en-AU" w:eastAsia="en-AU"/>
              </w:rPr>
              <w:t>Derivation</w:t>
            </w:r>
          </w:p>
        </w:tc>
      </w:tr>
      <w:tr w:rsidR="004C2AB4" w:rsidRPr="005811F5" w14:paraId="3A7B7AA4" w14:textId="77777777" w:rsidTr="00466515">
        <w:trPr>
          <w:trHeight w:val="144"/>
          <w:tblHeader/>
        </w:trPr>
        <w:tc>
          <w:tcPr>
            <w:tcW w:w="0" w:type="auto"/>
            <w:vMerge/>
            <w:shd w:val="clear" w:color="auto" w:fill="4F81BD"/>
            <w:vAlign w:val="center"/>
          </w:tcPr>
          <w:p w14:paraId="6CFEF40F" w14:textId="77777777" w:rsidR="004C2AB4" w:rsidRPr="00466515" w:rsidRDefault="004C2AB4" w:rsidP="00466515">
            <w:pPr>
              <w:keepNext/>
              <w:contextualSpacing/>
              <w:jc w:val="center"/>
              <w:rPr>
                <w:rFonts w:eastAsia="Calibri" w:cs="Arial"/>
                <w:b/>
                <w:bCs/>
                <w:color w:val="FFFFFF"/>
                <w:sz w:val="18"/>
                <w:lang w:val="en-AU" w:eastAsia="en-AU"/>
              </w:rPr>
            </w:pPr>
          </w:p>
        </w:tc>
        <w:tc>
          <w:tcPr>
            <w:tcW w:w="0" w:type="auto"/>
            <w:vMerge/>
            <w:shd w:val="clear" w:color="auto" w:fill="4F81BD"/>
            <w:vAlign w:val="center"/>
          </w:tcPr>
          <w:p w14:paraId="0BE5E2D5" w14:textId="77777777" w:rsidR="004C2AB4" w:rsidRPr="00466515" w:rsidRDefault="004C2AB4" w:rsidP="00466515">
            <w:pPr>
              <w:keepNext/>
              <w:contextualSpacing/>
              <w:jc w:val="center"/>
              <w:rPr>
                <w:rFonts w:eastAsia="Calibri" w:cs="Arial"/>
                <w:b/>
                <w:bCs/>
                <w:color w:val="FFFFFF"/>
                <w:sz w:val="18"/>
                <w:lang w:val="en-AU" w:eastAsia="en-AU"/>
              </w:rPr>
            </w:pPr>
          </w:p>
        </w:tc>
        <w:tc>
          <w:tcPr>
            <w:tcW w:w="0" w:type="auto"/>
            <w:shd w:val="clear" w:color="auto" w:fill="4F81BD"/>
            <w:vAlign w:val="center"/>
          </w:tcPr>
          <w:p w14:paraId="0D3BB0C4" w14:textId="77777777" w:rsidR="004C2AB4" w:rsidRPr="00466515" w:rsidRDefault="004C2AB4" w:rsidP="00466515">
            <w:pPr>
              <w:keepNext/>
              <w:contextualSpacing/>
              <w:jc w:val="center"/>
              <w:rPr>
                <w:rFonts w:eastAsia="Calibri" w:cs="Arial"/>
                <w:b/>
                <w:bCs/>
                <w:color w:val="FFFFFF"/>
                <w:sz w:val="18"/>
                <w:lang w:val="en-AU" w:eastAsia="en-AU"/>
              </w:rPr>
            </w:pPr>
            <w:r w:rsidRPr="00466515">
              <w:rPr>
                <w:rFonts w:eastAsia="Calibri" w:cs="Arial"/>
                <w:b/>
                <w:bCs/>
                <w:color w:val="FFFFFF"/>
                <w:sz w:val="18"/>
                <w:lang w:val="en-AU" w:eastAsia="en-AU"/>
              </w:rPr>
              <w:t>PFOS, PFOS+</w:t>
            </w:r>
          </w:p>
          <w:p w14:paraId="45F90933" w14:textId="77777777" w:rsidR="004C2AB4" w:rsidRPr="00466515" w:rsidRDefault="004C2AB4" w:rsidP="00466515">
            <w:pPr>
              <w:keepNext/>
              <w:contextualSpacing/>
              <w:jc w:val="center"/>
              <w:rPr>
                <w:rFonts w:eastAsia="Calibri" w:cs="Arial"/>
                <w:b/>
                <w:bCs/>
                <w:color w:val="FFFFFF"/>
                <w:sz w:val="18"/>
                <w:lang w:val="en-AU" w:eastAsia="en-AU"/>
              </w:rPr>
            </w:pPr>
            <w:r w:rsidRPr="00466515">
              <w:rPr>
                <w:rFonts w:eastAsia="Calibri" w:cs="Arial"/>
                <w:b/>
                <w:bCs/>
                <w:color w:val="FFFFFF"/>
                <w:sz w:val="18"/>
                <w:lang w:val="en-AU" w:eastAsia="en-AU"/>
              </w:rPr>
              <w:t>PFHxS combined</w:t>
            </w:r>
          </w:p>
        </w:tc>
        <w:tc>
          <w:tcPr>
            <w:tcW w:w="0" w:type="auto"/>
            <w:shd w:val="clear" w:color="auto" w:fill="4F81BD"/>
            <w:vAlign w:val="center"/>
          </w:tcPr>
          <w:p w14:paraId="7DE2B3A1" w14:textId="77777777" w:rsidR="004C2AB4" w:rsidRPr="00466515" w:rsidRDefault="004C2AB4" w:rsidP="00466515">
            <w:pPr>
              <w:keepNext/>
              <w:contextualSpacing/>
              <w:jc w:val="center"/>
              <w:rPr>
                <w:rFonts w:eastAsia="Calibri" w:cs="Arial"/>
                <w:b/>
                <w:bCs/>
                <w:color w:val="FFFFFF"/>
                <w:sz w:val="18"/>
                <w:lang w:val="en-AU" w:eastAsia="en-AU"/>
              </w:rPr>
            </w:pPr>
            <w:r w:rsidRPr="00466515">
              <w:rPr>
                <w:rFonts w:eastAsia="Calibri" w:cs="Arial"/>
                <w:b/>
                <w:bCs/>
                <w:color w:val="FFFFFF"/>
                <w:sz w:val="18"/>
                <w:lang w:val="en-AU" w:eastAsia="en-AU"/>
              </w:rPr>
              <w:t>PFOA</w:t>
            </w:r>
          </w:p>
        </w:tc>
        <w:tc>
          <w:tcPr>
            <w:tcW w:w="0" w:type="auto"/>
            <w:vMerge/>
            <w:shd w:val="clear" w:color="auto" w:fill="4F81BD"/>
            <w:vAlign w:val="center"/>
          </w:tcPr>
          <w:p w14:paraId="7D1219FA" w14:textId="77777777" w:rsidR="004C2AB4" w:rsidRPr="00466515" w:rsidRDefault="004C2AB4" w:rsidP="00466515">
            <w:pPr>
              <w:keepNext/>
              <w:contextualSpacing/>
              <w:jc w:val="center"/>
              <w:rPr>
                <w:rFonts w:eastAsia="Calibri" w:cs="Arial"/>
                <w:b/>
                <w:bCs/>
                <w:color w:val="FFFFFF"/>
                <w:sz w:val="18"/>
                <w:lang w:val="en-AU" w:eastAsia="en-AU"/>
              </w:rPr>
            </w:pPr>
          </w:p>
        </w:tc>
      </w:tr>
      <w:tr w:rsidR="004C2AB4" w:rsidRPr="005811F5" w14:paraId="085EB3E8" w14:textId="77777777" w:rsidTr="00466515">
        <w:trPr>
          <w:trHeight w:val="144"/>
        </w:trPr>
        <w:tc>
          <w:tcPr>
            <w:tcW w:w="0" w:type="auto"/>
            <w:vMerge w:val="restart"/>
            <w:tcBorders>
              <w:top w:val="single" w:sz="8" w:space="0" w:color="4F81BD"/>
              <w:left w:val="single" w:sz="8" w:space="0" w:color="4F81BD"/>
              <w:bottom w:val="single" w:sz="8" w:space="0" w:color="4F81BD"/>
            </w:tcBorders>
            <w:shd w:val="clear" w:color="auto" w:fill="auto"/>
            <w:vAlign w:val="center"/>
          </w:tcPr>
          <w:p w14:paraId="2E1CB1EE" w14:textId="77777777" w:rsidR="004C2AB4" w:rsidRPr="00466515" w:rsidRDefault="004C2AB4" w:rsidP="00466515">
            <w:pPr>
              <w:keepNext/>
              <w:contextualSpacing/>
              <w:rPr>
                <w:rFonts w:eastAsia="Calibri" w:cs="Arial"/>
                <w:b/>
                <w:bCs/>
                <w:sz w:val="18"/>
                <w:lang w:val="en-AU" w:eastAsia="en-AU"/>
              </w:rPr>
            </w:pPr>
            <w:r w:rsidRPr="00466515">
              <w:rPr>
                <w:rFonts w:eastAsia="Calibri" w:cs="Arial"/>
                <w:b/>
                <w:bCs/>
                <w:sz w:val="18"/>
                <w:lang w:val="en-AU" w:eastAsia="en-AU"/>
              </w:rPr>
              <w:t>Fish and Seafood</w:t>
            </w:r>
          </w:p>
        </w:tc>
        <w:tc>
          <w:tcPr>
            <w:tcW w:w="0" w:type="auto"/>
            <w:tcBorders>
              <w:top w:val="single" w:sz="8" w:space="0" w:color="4F81BD"/>
              <w:bottom w:val="single" w:sz="8" w:space="0" w:color="4F81BD"/>
            </w:tcBorders>
            <w:shd w:val="clear" w:color="auto" w:fill="auto"/>
            <w:vAlign w:val="center"/>
          </w:tcPr>
          <w:p w14:paraId="1DE2D4D3"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Crustaceans</w:t>
            </w:r>
            <w:r w:rsidRPr="00466515">
              <w:rPr>
                <w:rFonts w:eastAsia="Calibri" w:cs="Arial"/>
                <w:sz w:val="18"/>
                <w:vertAlign w:val="superscript"/>
                <w:lang w:val="en-AU" w:eastAsia="en-AU"/>
              </w:rPr>
              <w:t>#</w:t>
            </w:r>
          </w:p>
        </w:tc>
        <w:tc>
          <w:tcPr>
            <w:tcW w:w="0" w:type="auto"/>
            <w:tcBorders>
              <w:top w:val="single" w:sz="8" w:space="0" w:color="4F81BD"/>
              <w:bottom w:val="single" w:sz="8" w:space="0" w:color="4F81BD"/>
            </w:tcBorders>
            <w:shd w:val="clear" w:color="auto" w:fill="auto"/>
            <w:vAlign w:val="center"/>
          </w:tcPr>
          <w:p w14:paraId="220B6291"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65</w:t>
            </w:r>
          </w:p>
        </w:tc>
        <w:tc>
          <w:tcPr>
            <w:tcW w:w="0" w:type="auto"/>
            <w:tcBorders>
              <w:top w:val="single" w:sz="8" w:space="0" w:color="4F81BD"/>
              <w:bottom w:val="single" w:sz="8" w:space="0" w:color="4F81BD"/>
            </w:tcBorders>
            <w:shd w:val="clear" w:color="auto" w:fill="auto"/>
            <w:vAlign w:val="center"/>
          </w:tcPr>
          <w:p w14:paraId="29D12C32"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520</w:t>
            </w:r>
          </w:p>
        </w:tc>
        <w:tc>
          <w:tcPr>
            <w:tcW w:w="0" w:type="auto"/>
            <w:tcBorders>
              <w:top w:val="single" w:sz="8" w:space="0" w:color="4F81BD"/>
              <w:bottom w:val="single" w:sz="8" w:space="0" w:color="4F81BD"/>
              <w:right w:val="single" w:sz="8" w:space="0" w:color="4F81BD"/>
            </w:tcBorders>
            <w:shd w:val="clear" w:color="auto" w:fill="auto"/>
            <w:vAlign w:val="center"/>
          </w:tcPr>
          <w:p w14:paraId="589933A2"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Children 2-6 years, median consumption</w:t>
            </w:r>
          </w:p>
        </w:tc>
      </w:tr>
      <w:tr w:rsidR="004C2AB4" w:rsidRPr="005811F5" w14:paraId="6E7C91B4" w14:textId="77777777" w:rsidTr="00466515">
        <w:trPr>
          <w:trHeight w:val="144"/>
        </w:trPr>
        <w:tc>
          <w:tcPr>
            <w:tcW w:w="0" w:type="auto"/>
            <w:vMerge/>
            <w:shd w:val="clear" w:color="auto" w:fill="auto"/>
            <w:vAlign w:val="center"/>
          </w:tcPr>
          <w:p w14:paraId="34288DE5" w14:textId="77777777" w:rsidR="004C2AB4" w:rsidRPr="00466515" w:rsidRDefault="004C2AB4" w:rsidP="00466515">
            <w:pPr>
              <w:keepNext/>
              <w:contextualSpacing/>
              <w:rPr>
                <w:rFonts w:eastAsia="Calibri" w:cs="Arial"/>
                <w:b/>
                <w:bCs/>
                <w:sz w:val="18"/>
                <w:lang w:val="en-AU" w:eastAsia="en-AU"/>
              </w:rPr>
            </w:pPr>
          </w:p>
        </w:tc>
        <w:tc>
          <w:tcPr>
            <w:tcW w:w="0" w:type="auto"/>
            <w:shd w:val="clear" w:color="auto" w:fill="auto"/>
            <w:vAlign w:val="center"/>
          </w:tcPr>
          <w:p w14:paraId="12D85007"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Finfish (all)</w:t>
            </w:r>
          </w:p>
        </w:tc>
        <w:tc>
          <w:tcPr>
            <w:tcW w:w="0" w:type="auto"/>
            <w:shd w:val="clear" w:color="auto" w:fill="auto"/>
            <w:vAlign w:val="center"/>
          </w:tcPr>
          <w:p w14:paraId="0F82DB1D" w14:textId="77777777" w:rsidR="004C2AB4" w:rsidRPr="00466515" w:rsidRDefault="00572A15" w:rsidP="00466515">
            <w:pPr>
              <w:keepNext/>
              <w:contextualSpacing/>
              <w:jc w:val="center"/>
              <w:rPr>
                <w:rFonts w:eastAsia="Calibri" w:cs="Arial"/>
                <w:sz w:val="18"/>
                <w:lang w:val="en-AU" w:eastAsia="en-AU"/>
              </w:rPr>
            </w:pPr>
            <w:r w:rsidRPr="00466515">
              <w:rPr>
                <w:rFonts w:eastAsia="Calibri" w:cs="Arial"/>
                <w:sz w:val="18"/>
                <w:lang w:val="en-AU" w:eastAsia="en-AU"/>
              </w:rPr>
              <w:t>5.2</w:t>
            </w:r>
          </w:p>
        </w:tc>
        <w:tc>
          <w:tcPr>
            <w:tcW w:w="0" w:type="auto"/>
            <w:shd w:val="clear" w:color="auto" w:fill="auto"/>
            <w:vAlign w:val="center"/>
          </w:tcPr>
          <w:p w14:paraId="2A1C8E5A" w14:textId="77777777" w:rsidR="004C2AB4" w:rsidRPr="00466515" w:rsidRDefault="00572A15" w:rsidP="00466515">
            <w:pPr>
              <w:keepNext/>
              <w:contextualSpacing/>
              <w:jc w:val="center"/>
              <w:rPr>
                <w:rFonts w:eastAsia="Calibri" w:cs="Arial"/>
                <w:sz w:val="18"/>
                <w:lang w:val="en-AU" w:eastAsia="en-AU"/>
              </w:rPr>
            </w:pPr>
            <w:r w:rsidRPr="00466515">
              <w:rPr>
                <w:rFonts w:eastAsia="Calibri" w:cs="Arial"/>
                <w:sz w:val="18"/>
                <w:lang w:val="en-AU" w:eastAsia="en-AU"/>
              </w:rPr>
              <w:t>41</w:t>
            </w:r>
          </w:p>
        </w:tc>
        <w:tc>
          <w:tcPr>
            <w:tcW w:w="0" w:type="auto"/>
            <w:shd w:val="clear" w:color="auto" w:fill="auto"/>
            <w:vAlign w:val="center"/>
          </w:tcPr>
          <w:p w14:paraId="248DC99F"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Children 2-6 years, P90 consumption</w:t>
            </w:r>
          </w:p>
        </w:tc>
      </w:tr>
      <w:tr w:rsidR="004C2AB4" w:rsidRPr="005811F5" w14:paraId="3F2AECD9" w14:textId="77777777" w:rsidTr="00466515">
        <w:trPr>
          <w:trHeight w:val="144"/>
        </w:trPr>
        <w:tc>
          <w:tcPr>
            <w:tcW w:w="0" w:type="auto"/>
            <w:vMerge/>
            <w:tcBorders>
              <w:top w:val="single" w:sz="8" w:space="0" w:color="4F81BD"/>
              <w:left w:val="single" w:sz="8" w:space="0" w:color="4F81BD"/>
              <w:bottom w:val="single" w:sz="8" w:space="0" w:color="4F81BD"/>
            </w:tcBorders>
            <w:shd w:val="clear" w:color="auto" w:fill="auto"/>
            <w:vAlign w:val="center"/>
          </w:tcPr>
          <w:p w14:paraId="3BEEA864" w14:textId="77777777" w:rsidR="004C2AB4" w:rsidRPr="00466515" w:rsidRDefault="004C2AB4" w:rsidP="00466515">
            <w:pPr>
              <w:keepNext/>
              <w:contextualSpacing/>
              <w:rPr>
                <w:rFonts w:eastAsia="Calibri" w:cs="Arial"/>
                <w:b/>
                <w:bCs/>
                <w:sz w:val="18"/>
                <w:lang w:val="en-AU" w:eastAsia="en-AU"/>
              </w:rPr>
            </w:pPr>
          </w:p>
        </w:tc>
        <w:tc>
          <w:tcPr>
            <w:tcW w:w="0" w:type="auto"/>
            <w:tcBorders>
              <w:top w:val="single" w:sz="8" w:space="0" w:color="4F81BD"/>
              <w:bottom w:val="single" w:sz="8" w:space="0" w:color="4F81BD"/>
            </w:tcBorders>
            <w:shd w:val="clear" w:color="auto" w:fill="auto"/>
            <w:vAlign w:val="center"/>
          </w:tcPr>
          <w:p w14:paraId="4DBEE3DC"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Fish liver</w:t>
            </w:r>
            <w:r w:rsidRPr="00466515">
              <w:rPr>
                <w:rFonts w:eastAsia="Calibri" w:cs="Arial"/>
                <w:sz w:val="18"/>
                <w:vertAlign w:val="superscript"/>
                <w:lang w:val="en-AU" w:eastAsia="en-AU"/>
              </w:rPr>
              <w:t>#</w:t>
            </w:r>
          </w:p>
        </w:tc>
        <w:tc>
          <w:tcPr>
            <w:tcW w:w="0" w:type="auto"/>
            <w:tcBorders>
              <w:top w:val="single" w:sz="8" w:space="0" w:color="4F81BD"/>
              <w:bottom w:val="single" w:sz="8" w:space="0" w:color="4F81BD"/>
            </w:tcBorders>
            <w:shd w:val="clear" w:color="auto" w:fill="auto"/>
            <w:vAlign w:val="center"/>
          </w:tcPr>
          <w:p w14:paraId="2F385F77" w14:textId="77777777" w:rsidR="004C2AB4" w:rsidRPr="00466515" w:rsidRDefault="004C2AB4" w:rsidP="00466515">
            <w:pPr>
              <w:keepNext/>
              <w:contextualSpacing/>
              <w:jc w:val="center"/>
              <w:rPr>
                <w:rFonts w:eastAsia="Calibri" w:cs="Arial"/>
                <w:sz w:val="18"/>
                <w:highlight w:val="yellow"/>
                <w:lang w:val="en-AU" w:eastAsia="en-AU"/>
              </w:rPr>
            </w:pPr>
            <w:r w:rsidRPr="00466515">
              <w:rPr>
                <w:rFonts w:eastAsia="Calibri" w:cs="Arial"/>
                <w:sz w:val="18"/>
                <w:lang w:val="en-AU" w:eastAsia="en-AU"/>
              </w:rPr>
              <w:t>280</w:t>
            </w:r>
          </w:p>
        </w:tc>
        <w:tc>
          <w:tcPr>
            <w:tcW w:w="0" w:type="auto"/>
            <w:tcBorders>
              <w:top w:val="single" w:sz="8" w:space="0" w:color="4F81BD"/>
              <w:bottom w:val="single" w:sz="8" w:space="0" w:color="4F81BD"/>
            </w:tcBorders>
            <w:shd w:val="clear" w:color="auto" w:fill="auto"/>
            <w:vAlign w:val="center"/>
          </w:tcPr>
          <w:p w14:paraId="20B32B54" w14:textId="77777777" w:rsidR="004C2AB4" w:rsidRPr="00466515" w:rsidRDefault="004C2AB4" w:rsidP="00466515">
            <w:pPr>
              <w:keepNext/>
              <w:contextualSpacing/>
              <w:jc w:val="center"/>
              <w:rPr>
                <w:rFonts w:eastAsia="Calibri" w:cs="Arial"/>
                <w:sz w:val="18"/>
                <w:highlight w:val="yellow"/>
                <w:lang w:val="en-AU" w:eastAsia="en-AU"/>
              </w:rPr>
            </w:pPr>
            <w:r w:rsidRPr="00466515">
              <w:rPr>
                <w:rFonts w:eastAsia="Calibri" w:cs="Arial"/>
                <w:sz w:val="18"/>
                <w:lang w:val="en-AU" w:eastAsia="en-AU"/>
              </w:rPr>
              <w:t>2240</w:t>
            </w:r>
          </w:p>
        </w:tc>
        <w:tc>
          <w:tcPr>
            <w:tcW w:w="0" w:type="auto"/>
            <w:tcBorders>
              <w:top w:val="single" w:sz="8" w:space="0" w:color="4F81BD"/>
              <w:bottom w:val="single" w:sz="8" w:space="0" w:color="4F81BD"/>
              <w:right w:val="single" w:sz="8" w:space="0" w:color="4F81BD"/>
            </w:tcBorders>
            <w:shd w:val="clear" w:color="auto" w:fill="auto"/>
            <w:vAlign w:val="center"/>
          </w:tcPr>
          <w:p w14:paraId="1491F9DA"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Population 2+ years, median consumption assumed to be 5 g (weight of one liver)*</w:t>
            </w:r>
          </w:p>
        </w:tc>
      </w:tr>
      <w:tr w:rsidR="004C2AB4" w:rsidRPr="005811F5" w14:paraId="39E1F825" w14:textId="77777777" w:rsidTr="00466515">
        <w:trPr>
          <w:trHeight w:val="144"/>
        </w:trPr>
        <w:tc>
          <w:tcPr>
            <w:tcW w:w="0" w:type="auto"/>
            <w:vMerge w:val="restart"/>
            <w:shd w:val="clear" w:color="auto" w:fill="auto"/>
            <w:vAlign w:val="center"/>
          </w:tcPr>
          <w:p w14:paraId="6CCD13B3" w14:textId="77777777" w:rsidR="004C2AB4" w:rsidRPr="00466515" w:rsidRDefault="004C2AB4" w:rsidP="00466515">
            <w:pPr>
              <w:keepNext/>
              <w:contextualSpacing/>
              <w:rPr>
                <w:rFonts w:eastAsia="Calibri" w:cs="Arial"/>
                <w:b/>
                <w:bCs/>
                <w:sz w:val="18"/>
                <w:lang w:val="en-AU" w:eastAsia="en-AU"/>
              </w:rPr>
            </w:pPr>
            <w:r w:rsidRPr="00466515">
              <w:rPr>
                <w:rFonts w:eastAsia="Calibri" w:cs="Arial"/>
                <w:b/>
                <w:bCs/>
                <w:sz w:val="18"/>
                <w:lang w:val="en-AU" w:eastAsia="en-AU"/>
              </w:rPr>
              <w:t>Animal Products</w:t>
            </w:r>
          </w:p>
        </w:tc>
        <w:tc>
          <w:tcPr>
            <w:tcW w:w="0" w:type="auto"/>
            <w:shd w:val="clear" w:color="auto" w:fill="auto"/>
            <w:vAlign w:val="center"/>
          </w:tcPr>
          <w:p w14:paraId="1279B630"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Meat mammalian</w:t>
            </w:r>
          </w:p>
        </w:tc>
        <w:tc>
          <w:tcPr>
            <w:tcW w:w="0" w:type="auto"/>
            <w:shd w:val="clear" w:color="auto" w:fill="auto"/>
            <w:vAlign w:val="center"/>
          </w:tcPr>
          <w:p w14:paraId="624F022A"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3.5</w:t>
            </w:r>
          </w:p>
        </w:tc>
        <w:tc>
          <w:tcPr>
            <w:tcW w:w="0" w:type="auto"/>
            <w:shd w:val="clear" w:color="auto" w:fill="auto"/>
            <w:vAlign w:val="center"/>
          </w:tcPr>
          <w:p w14:paraId="0C12DDFA"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28</w:t>
            </w:r>
          </w:p>
        </w:tc>
        <w:tc>
          <w:tcPr>
            <w:tcW w:w="0" w:type="auto"/>
            <w:shd w:val="clear" w:color="auto" w:fill="auto"/>
            <w:vAlign w:val="center"/>
          </w:tcPr>
          <w:p w14:paraId="4ADA75B2"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Children 2-6 years, P90 consumption</w:t>
            </w:r>
          </w:p>
        </w:tc>
      </w:tr>
      <w:tr w:rsidR="004C2AB4" w:rsidRPr="005811F5" w14:paraId="09AC1E13" w14:textId="77777777" w:rsidTr="00466515">
        <w:trPr>
          <w:trHeight w:val="144"/>
        </w:trPr>
        <w:tc>
          <w:tcPr>
            <w:tcW w:w="0" w:type="auto"/>
            <w:vMerge/>
            <w:tcBorders>
              <w:top w:val="single" w:sz="8" w:space="0" w:color="4F81BD"/>
              <w:left w:val="single" w:sz="8" w:space="0" w:color="4F81BD"/>
              <w:bottom w:val="single" w:sz="8" w:space="0" w:color="4F81BD"/>
            </w:tcBorders>
            <w:shd w:val="clear" w:color="auto" w:fill="auto"/>
            <w:vAlign w:val="center"/>
          </w:tcPr>
          <w:p w14:paraId="2CF96C0C" w14:textId="77777777" w:rsidR="004C2AB4" w:rsidRPr="00466515" w:rsidRDefault="004C2AB4" w:rsidP="00466515">
            <w:pPr>
              <w:keepNext/>
              <w:contextualSpacing/>
              <w:rPr>
                <w:rFonts w:eastAsia="Calibri" w:cs="Arial"/>
                <w:b/>
                <w:bCs/>
                <w:sz w:val="18"/>
                <w:lang w:val="en-AU" w:eastAsia="en-AU"/>
              </w:rPr>
            </w:pPr>
          </w:p>
        </w:tc>
        <w:tc>
          <w:tcPr>
            <w:tcW w:w="0" w:type="auto"/>
            <w:tcBorders>
              <w:top w:val="single" w:sz="8" w:space="0" w:color="4F81BD"/>
              <w:bottom w:val="single" w:sz="8" w:space="0" w:color="4F81BD"/>
            </w:tcBorders>
            <w:shd w:val="clear" w:color="auto" w:fill="auto"/>
            <w:vAlign w:val="center"/>
          </w:tcPr>
          <w:p w14:paraId="77B2E292"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Milk</w:t>
            </w:r>
          </w:p>
        </w:tc>
        <w:tc>
          <w:tcPr>
            <w:tcW w:w="0" w:type="auto"/>
            <w:tcBorders>
              <w:top w:val="single" w:sz="8" w:space="0" w:color="4F81BD"/>
              <w:bottom w:val="single" w:sz="8" w:space="0" w:color="4F81BD"/>
            </w:tcBorders>
            <w:shd w:val="clear" w:color="auto" w:fill="auto"/>
            <w:vAlign w:val="center"/>
          </w:tcPr>
          <w:p w14:paraId="24AAEF8E"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0.4 or LOD if higher</w:t>
            </w:r>
          </w:p>
        </w:tc>
        <w:tc>
          <w:tcPr>
            <w:tcW w:w="0" w:type="auto"/>
            <w:tcBorders>
              <w:top w:val="single" w:sz="8" w:space="0" w:color="4F81BD"/>
              <w:bottom w:val="single" w:sz="8" w:space="0" w:color="4F81BD"/>
            </w:tcBorders>
            <w:shd w:val="clear" w:color="auto" w:fill="auto"/>
            <w:vAlign w:val="center"/>
          </w:tcPr>
          <w:p w14:paraId="4CB4DF72"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2.8</w:t>
            </w:r>
          </w:p>
        </w:tc>
        <w:tc>
          <w:tcPr>
            <w:tcW w:w="0" w:type="auto"/>
            <w:tcBorders>
              <w:top w:val="single" w:sz="8" w:space="0" w:color="4F81BD"/>
              <w:bottom w:val="single" w:sz="8" w:space="0" w:color="4F81BD"/>
              <w:right w:val="single" w:sz="8" w:space="0" w:color="4F81BD"/>
            </w:tcBorders>
            <w:shd w:val="clear" w:color="auto" w:fill="auto"/>
            <w:vAlign w:val="center"/>
          </w:tcPr>
          <w:p w14:paraId="51ECEF7B"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Children 2-6 years, P90 consumption</w:t>
            </w:r>
          </w:p>
        </w:tc>
      </w:tr>
      <w:tr w:rsidR="004C2AB4" w:rsidRPr="005811F5" w14:paraId="615E1D95" w14:textId="77777777" w:rsidTr="00466515">
        <w:trPr>
          <w:trHeight w:val="144"/>
        </w:trPr>
        <w:tc>
          <w:tcPr>
            <w:tcW w:w="0" w:type="auto"/>
            <w:vMerge/>
            <w:shd w:val="clear" w:color="auto" w:fill="auto"/>
            <w:vAlign w:val="center"/>
          </w:tcPr>
          <w:p w14:paraId="2B0A70F5" w14:textId="77777777" w:rsidR="004C2AB4" w:rsidRPr="00466515" w:rsidRDefault="004C2AB4" w:rsidP="00466515">
            <w:pPr>
              <w:keepNext/>
              <w:contextualSpacing/>
              <w:rPr>
                <w:rFonts w:eastAsia="Calibri" w:cs="Arial"/>
                <w:b/>
                <w:bCs/>
                <w:sz w:val="18"/>
                <w:lang w:val="en-AU" w:eastAsia="en-AU"/>
              </w:rPr>
            </w:pPr>
          </w:p>
        </w:tc>
        <w:tc>
          <w:tcPr>
            <w:tcW w:w="0" w:type="auto"/>
            <w:shd w:val="clear" w:color="auto" w:fill="auto"/>
            <w:vAlign w:val="center"/>
          </w:tcPr>
          <w:p w14:paraId="4A9C275E"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Honey</w:t>
            </w:r>
          </w:p>
        </w:tc>
        <w:tc>
          <w:tcPr>
            <w:tcW w:w="0" w:type="auto"/>
            <w:shd w:val="clear" w:color="auto" w:fill="auto"/>
            <w:vAlign w:val="center"/>
          </w:tcPr>
          <w:p w14:paraId="639F1C1C"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33</w:t>
            </w:r>
          </w:p>
        </w:tc>
        <w:tc>
          <w:tcPr>
            <w:tcW w:w="0" w:type="auto"/>
            <w:shd w:val="clear" w:color="auto" w:fill="auto"/>
            <w:vAlign w:val="center"/>
          </w:tcPr>
          <w:p w14:paraId="6A064BA4"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264</w:t>
            </w:r>
          </w:p>
        </w:tc>
        <w:tc>
          <w:tcPr>
            <w:tcW w:w="0" w:type="auto"/>
            <w:shd w:val="clear" w:color="auto" w:fill="auto"/>
            <w:vAlign w:val="center"/>
          </w:tcPr>
          <w:p w14:paraId="0E90BAE2"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Children 2-6 years, P90 consumption</w:t>
            </w:r>
          </w:p>
        </w:tc>
      </w:tr>
      <w:tr w:rsidR="004C2AB4" w:rsidRPr="005811F5" w14:paraId="23A1058C" w14:textId="77777777" w:rsidTr="00466515">
        <w:trPr>
          <w:trHeight w:val="144"/>
        </w:trPr>
        <w:tc>
          <w:tcPr>
            <w:tcW w:w="0" w:type="auto"/>
            <w:vMerge/>
            <w:tcBorders>
              <w:top w:val="single" w:sz="8" w:space="0" w:color="4F81BD"/>
              <w:left w:val="single" w:sz="8" w:space="0" w:color="4F81BD"/>
              <w:bottom w:val="single" w:sz="8" w:space="0" w:color="4F81BD"/>
            </w:tcBorders>
            <w:shd w:val="clear" w:color="auto" w:fill="auto"/>
            <w:vAlign w:val="center"/>
          </w:tcPr>
          <w:p w14:paraId="72A1C0C8" w14:textId="77777777" w:rsidR="004C2AB4" w:rsidRPr="00466515" w:rsidRDefault="004C2AB4" w:rsidP="00466515">
            <w:pPr>
              <w:keepNext/>
              <w:contextualSpacing/>
              <w:rPr>
                <w:rFonts w:eastAsia="Calibri" w:cs="Arial"/>
                <w:b/>
                <w:bCs/>
                <w:sz w:val="18"/>
                <w:lang w:val="en-AU" w:eastAsia="en-AU"/>
              </w:rPr>
            </w:pPr>
          </w:p>
        </w:tc>
        <w:tc>
          <w:tcPr>
            <w:tcW w:w="0" w:type="auto"/>
            <w:tcBorders>
              <w:top w:val="single" w:sz="8" w:space="0" w:color="4F81BD"/>
              <w:bottom w:val="single" w:sz="8" w:space="0" w:color="4F81BD"/>
            </w:tcBorders>
            <w:shd w:val="clear" w:color="auto" w:fill="auto"/>
            <w:vAlign w:val="center"/>
          </w:tcPr>
          <w:p w14:paraId="426DA8D3"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Offal mammalian</w:t>
            </w:r>
            <w:r w:rsidRPr="00466515">
              <w:rPr>
                <w:rFonts w:eastAsia="Calibri" w:cs="Arial"/>
                <w:sz w:val="18"/>
                <w:vertAlign w:val="superscript"/>
                <w:lang w:val="en-AU" w:eastAsia="en-AU"/>
              </w:rPr>
              <w:t>#</w:t>
            </w:r>
          </w:p>
        </w:tc>
        <w:tc>
          <w:tcPr>
            <w:tcW w:w="0" w:type="auto"/>
            <w:tcBorders>
              <w:top w:val="single" w:sz="8" w:space="0" w:color="4F81BD"/>
              <w:bottom w:val="single" w:sz="8" w:space="0" w:color="4F81BD"/>
            </w:tcBorders>
            <w:shd w:val="clear" w:color="auto" w:fill="auto"/>
            <w:vAlign w:val="center"/>
          </w:tcPr>
          <w:p w14:paraId="03F27D59"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96</w:t>
            </w:r>
          </w:p>
        </w:tc>
        <w:tc>
          <w:tcPr>
            <w:tcW w:w="0" w:type="auto"/>
            <w:tcBorders>
              <w:top w:val="single" w:sz="8" w:space="0" w:color="4F81BD"/>
              <w:bottom w:val="single" w:sz="8" w:space="0" w:color="4F81BD"/>
            </w:tcBorders>
            <w:shd w:val="clear" w:color="auto" w:fill="auto"/>
            <w:vAlign w:val="center"/>
          </w:tcPr>
          <w:p w14:paraId="08BF78E1"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765</w:t>
            </w:r>
          </w:p>
        </w:tc>
        <w:tc>
          <w:tcPr>
            <w:tcW w:w="0" w:type="auto"/>
            <w:tcBorders>
              <w:top w:val="single" w:sz="8" w:space="0" w:color="4F81BD"/>
              <w:bottom w:val="single" w:sz="8" w:space="0" w:color="4F81BD"/>
              <w:right w:val="single" w:sz="8" w:space="0" w:color="4F81BD"/>
            </w:tcBorders>
            <w:shd w:val="clear" w:color="auto" w:fill="auto"/>
            <w:vAlign w:val="center"/>
          </w:tcPr>
          <w:p w14:paraId="348D1666"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Population 2+ years, median consumption</w:t>
            </w:r>
          </w:p>
        </w:tc>
      </w:tr>
      <w:tr w:rsidR="004C2AB4" w:rsidRPr="005811F5" w14:paraId="27AC563C" w14:textId="77777777" w:rsidTr="00466515">
        <w:trPr>
          <w:trHeight w:val="144"/>
        </w:trPr>
        <w:tc>
          <w:tcPr>
            <w:tcW w:w="0" w:type="auto"/>
            <w:vMerge/>
            <w:shd w:val="clear" w:color="auto" w:fill="auto"/>
            <w:vAlign w:val="center"/>
          </w:tcPr>
          <w:p w14:paraId="735E9210" w14:textId="77777777" w:rsidR="004C2AB4" w:rsidRPr="00466515" w:rsidRDefault="004C2AB4" w:rsidP="00466515">
            <w:pPr>
              <w:keepNext/>
              <w:contextualSpacing/>
              <w:rPr>
                <w:rFonts w:eastAsia="Calibri" w:cs="Arial"/>
                <w:b/>
                <w:bCs/>
                <w:sz w:val="18"/>
                <w:lang w:val="en-AU" w:eastAsia="en-AU"/>
              </w:rPr>
            </w:pPr>
          </w:p>
        </w:tc>
        <w:tc>
          <w:tcPr>
            <w:tcW w:w="0" w:type="auto"/>
            <w:shd w:val="clear" w:color="auto" w:fill="auto"/>
            <w:vAlign w:val="center"/>
          </w:tcPr>
          <w:p w14:paraId="0E167796"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eastAsia="en-AU"/>
              </w:rPr>
              <w:t>Poultry eggs</w:t>
            </w:r>
          </w:p>
        </w:tc>
        <w:tc>
          <w:tcPr>
            <w:tcW w:w="0" w:type="auto"/>
            <w:shd w:val="clear" w:color="auto" w:fill="auto"/>
            <w:vAlign w:val="center"/>
          </w:tcPr>
          <w:p w14:paraId="0EF66E11"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11</w:t>
            </w:r>
          </w:p>
        </w:tc>
        <w:tc>
          <w:tcPr>
            <w:tcW w:w="0" w:type="auto"/>
            <w:shd w:val="clear" w:color="auto" w:fill="auto"/>
            <w:vAlign w:val="center"/>
          </w:tcPr>
          <w:p w14:paraId="1EE93AF9"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85</w:t>
            </w:r>
          </w:p>
        </w:tc>
        <w:tc>
          <w:tcPr>
            <w:tcW w:w="0" w:type="auto"/>
            <w:shd w:val="clear" w:color="auto" w:fill="auto"/>
            <w:vAlign w:val="center"/>
          </w:tcPr>
          <w:p w14:paraId="74883028"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eastAsia="en-AU"/>
              </w:rPr>
              <w:t>Children 2-6 years, P90 consumption</w:t>
            </w:r>
          </w:p>
        </w:tc>
      </w:tr>
      <w:tr w:rsidR="004C2AB4" w:rsidRPr="005811F5" w14:paraId="45CD2619" w14:textId="77777777" w:rsidTr="00466515">
        <w:trPr>
          <w:trHeight w:val="144"/>
        </w:trPr>
        <w:tc>
          <w:tcPr>
            <w:tcW w:w="0" w:type="auto"/>
            <w:vMerge w:val="restart"/>
            <w:tcBorders>
              <w:top w:val="single" w:sz="8" w:space="0" w:color="4F81BD"/>
              <w:left w:val="single" w:sz="8" w:space="0" w:color="4F81BD"/>
              <w:bottom w:val="single" w:sz="8" w:space="0" w:color="4F81BD"/>
            </w:tcBorders>
            <w:shd w:val="clear" w:color="auto" w:fill="auto"/>
            <w:vAlign w:val="center"/>
          </w:tcPr>
          <w:p w14:paraId="1974FE43" w14:textId="77777777" w:rsidR="004C2AB4" w:rsidRPr="00466515" w:rsidRDefault="004C2AB4" w:rsidP="00466515">
            <w:pPr>
              <w:keepNext/>
              <w:contextualSpacing/>
              <w:rPr>
                <w:rFonts w:eastAsia="Calibri" w:cs="Arial"/>
                <w:b/>
                <w:bCs/>
                <w:sz w:val="18"/>
                <w:lang w:val="en-AU" w:eastAsia="en-AU"/>
              </w:rPr>
            </w:pPr>
            <w:r w:rsidRPr="00466515">
              <w:rPr>
                <w:rFonts w:eastAsia="Calibri" w:cs="Arial"/>
                <w:b/>
                <w:bCs/>
                <w:sz w:val="18"/>
                <w:lang w:val="en-AU" w:eastAsia="en-AU"/>
              </w:rPr>
              <w:t xml:space="preserve">Fruits and vegetables </w:t>
            </w:r>
          </w:p>
        </w:tc>
        <w:tc>
          <w:tcPr>
            <w:tcW w:w="0" w:type="auto"/>
            <w:tcBorders>
              <w:top w:val="single" w:sz="8" w:space="0" w:color="4F81BD"/>
              <w:bottom w:val="single" w:sz="8" w:space="0" w:color="4F81BD"/>
            </w:tcBorders>
            <w:shd w:val="clear" w:color="auto" w:fill="auto"/>
            <w:vAlign w:val="center"/>
          </w:tcPr>
          <w:p w14:paraId="384B083D" w14:textId="77777777" w:rsidR="004C2AB4" w:rsidRPr="00466515" w:rsidRDefault="004C2AB4" w:rsidP="00466515">
            <w:pPr>
              <w:keepNext/>
              <w:contextualSpacing/>
              <w:rPr>
                <w:rFonts w:eastAsia="Calibri" w:cs="Arial"/>
                <w:sz w:val="18"/>
                <w:lang w:val="en-AU" w:eastAsia="en-AU"/>
              </w:rPr>
            </w:pPr>
            <w:r w:rsidRPr="00466515">
              <w:rPr>
                <w:rFonts w:eastAsia="Calibri" w:cs="Arial"/>
                <w:sz w:val="18"/>
                <w:lang w:val="en-AU"/>
              </w:rPr>
              <w:t>Fruit (all)</w:t>
            </w:r>
          </w:p>
        </w:tc>
        <w:tc>
          <w:tcPr>
            <w:tcW w:w="0" w:type="auto"/>
            <w:tcBorders>
              <w:top w:val="single" w:sz="8" w:space="0" w:color="4F81BD"/>
              <w:bottom w:val="single" w:sz="8" w:space="0" w:color="4F81BD"/>
            </w:tcBorders>
            <w:shd w:val="clear" w:color="auto" w:fill="auto"/>
            <w:vAlign w:val="center"/>
          </w:tcPr>
          <w:p w14:paraId="3187D2F8"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rPr>
              <w:t>0.6 or LOD if higher</w:t>
            </w:r>
          </w:p>
        </w:tc>
        <w:tc>
          <w:tcPr>
            <w:tcW w:w="0" w:type="auto"/>
            <w:tcBorders>
              <w:top w:val="single" w:sz="8" w:space="0" w:color="4F81BD"/>
              <w:bottom w:val="single" w:sz="8" w:space="0" w:color="4F81BD"/>
            </w:tcBorders>
            <w:shd w:val="clear" w:color="auto" w:fill="auto"/>
            <w:vAlign w:val="center"/>
          </w:tcPr>
          <w:p w14:paraId="42B54085"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5.1</w:t>
            </w:r>
          </w:p>
        </w:tc>
        <w:tc>
          <w:tcPr>
            <w:tcW w:w="0" w:type="auto"/>
            <w:tcBorders>
              <w:top w:val="single" w:sz="8" w:space="0" w:color="4F81BD"/>
              <w:bottom w:val="single" w:sz="8" w:space="0" w:color="4F81BD"/>
              <w:right w:val="single" w:sz="8" w:space="0" w:color="4F81BD"/>
            </w:tcBorders>
            <w:shd w:val="clear" w:color="auto" w:fill="auto"/>
            <w:vAlign w:val="center"/>
          </w:tcPr>
          <w:p w14:paraId="3E7912A5" w14:textId="77777777" w:rsidR="004C2AB4" w:rsidRPr="00466515" w:rsidRDefault="004C2AB4" w:rsidP="00466515">
            <w:pPr>
              <w:keepNext/>
              <w:contextualSpacing/>
              <w:rPr>
                <w:rFonts w:eastAsia="Calibri" w:cs="Arial"/>
                <w:sz w:val="18"/>
                <w:szCs w:val="18"/>
                <w:lang w:val="en-AU" w:eastAsia="en-AU"/>
              </w:rPr>
            </w:pPr>
            <w:r w:rsidRPr="00466515">
              <w:rPr>
                <w:rFonts w:eastAsia="Calibri" w:cs="Arial"/>
                <w:sz w:val="18"/>
                <w:szCs w:val="18"/>
                <w:lang w:val="en-AU"/>
              </w:rPr>
              <w:t>Children 2-6 years, P90 consumption</w:t>
            </w:r>
          </w:p>
        </w:tc>
      </w:tr>
      <w:tr w:rsidR="004C2AB4" w:rsidRPr="005811F5" w14:paraId="5BF4C1EC" w14:textId="77777777" w:rsidTr="00466515">
        <w:trPr>
          <w:trHeight w:val="144"/>
        </w:trPr>
        <w:tc>
          <w:tcPr>
            <w:tcW w:w="0" w:type="auto"/>
            <w:vMerge/>
            <w:shd w:val="clear" w:color="auto" w:fill="auto"/>
            <w:vAlign w:val="center"/>
          </w:tcPr>
          <w:p w14:paraId="6A3B64F8" w14:textId="77777777" w:rsidR="004C2AB4" w:rsidRPr="00466515" w:rsidRDefault="004C2AB4" w:rsidP="00466515">
            <w:pPr>
              <w:keepNext/>
              <w:contextualSpacing/>
              <w:rPr>
                <w:rFonts w:eastAsia="Calibri" w:cs="Arial"/>
                <w:b/>
                <w:bCs/>
                <w:sz w:val="18"/>
                <w:lang w:val="en-AU" w:eastAsia="en-AU"/>
              </w:rPr>
            </w:pPr>
          </w:p>
        </w:tc>
        <w:tc>
          <w:tcPr>
            <w:tcW w:w="0" w:type="auto"/>
            <w:shd w:val="clear" w:color="auto" w:fill="auto"/>
            <w:vAlign w:val="center"/>
          </w:tcPr>
          <w:p w14:paraId="039D80C6" w14:textId="77777777" w:rsidR="004C2AB4" w:rsidRPr="00466515" w:rsidRDefault="004C2AB4" w:rsidP="00466515">
            <w:pPr>
              <w:keepNext/>
              <w:contextualSpacing/>
              <w:rPr>
                <w:rFonts w:eastAsia="Calibri" w:cs="Arial"/>
                <w:sz w:val="18"/>
                <w:lang w:val="en-AU"/>
              </w:rPr>
            </w:pPr>
            <w:r w:rsidRPr="00466515">
              <w:rPr>
                <w:rFonts w:eastAsia="Calibri" w:cs="Arial"/>
                <w:sz w:val="18"/>
                <w:lang w:val="en-AU" w:eastAsia="en-AU"/>
              </w:rPr>
              <w:t>Vegetables (all)</w:t>
            </w:r>
          </w:p>
        </w:tc>
        <w:tc>
          <w:tcPr>
            <w:tcW w:w="0" w:type="auto"/>
            <w:shd w:val="clear" w:color="auto" w:fill="auto"/>
            <w:vAlign w:val="center"/>
          </w:tcPr>
          <w:p w14:paraId="4C61D703" w14:textId="77777777" w:rsidR="004C2AB4" w:rsidRPr="00466515" w:rsidRDefault="004C2AB4" w:rsidP="00466515">
            <w:pPr>
              <w:keepNext/>
              <w:contextualSpacing/>
              <w:jc w:val="center"/>
              <w:rPr>
                <w:rFonts w:eastAsia="Calibri" w:cs="Arial"/>
                <w:sz w:val="18"/>
                <w:lang w:val="en-AU"/>
              </w:rPr>
            </w:pPr>
            <w:r w:rsidRPr="00466515">
              <w:rPr>
                <w:rFonts w:eastAsia="Calibri" w:cs="Arial"/>
                <w:sz w:val="18"/>
                <w:lang w:val="en-AU" w:eastAsia="en-AU"/>
              </w:rPr>
              <w:t>1.1 or LOD if higher</w:t>
            </w:r>
          </w:p>
        </w:tc>
        <w:tc>
          <w:tcPr>
            <w:tcW w:w="0" w:type="auto"/>
            <w:shd w:val="clear" w:color="auto" w:fill="auto"/>
            <w:vAlign w:val="center"/>
          </w:tcPr>
          <w:p w14:paraId="608278F0" w14:textId="77777777" w:rsidR="004C2AB4" w:rsidRPr="00466515" w:rsidRDefault="004C2AB4" w:rsidP="00466515">
            <w:pPr>
              <w:keepNext/>
              <w:contextualSpacing/>
              <w:jc w:val="center"/>
              <w:rPr>
                <w:rFonts w:eastAsia="Calibri" w:cs="Arial"/>
                <w:sz w:val="18"/>
                <w:lang w:val="en-AU" w:eastAsia="en-AU"/>
              </w:rPr>
            </w:pPr>
            <w:r w:rsidRPr="00466515">
              <w:rPr>
                <w:rFonts w:eastAsia="Calibri" w:cs="Arial"/>
                <w:sz w:val="18"/>
                <w:lang w:val="en-AU" w:eastAsia="en-AU"/>
              </w:rPr>
              <w:t>8.8</w:t>
            </w:r>
          </w:p>
        </w:tc>
        <w:tc>
          <w:tcPr>
            <w:tcW w:w="0" w:type="auto"/>
            <w:shd w:val="clear" w:color="auto" w:fill="auto"/>
            <w:vAlign w:val="center"/>
          </w:tcPr>
          <w:p w14:paraId="086669C8" w14:textId="77777777" w:rsidR="004C2AB4" w:rsidRPr="00466515" w:rsidRDefault="004C2AB4" w:rsidP="00466515">
            <w:pPr>
              <w:keepNext/>
              <w:contextualSpacing/>
              <w:rPr>
                <w:rFonts w:eastAsia="Calibri" w:cs="Arial"/>
                <w:sz w:val="18"/>
                <w:szCs w:val="18"/>
                <w:lang w:val="en-AU"/>
              </w:rPr>
            </w:pPr>
            <w:r w:rsidRPr="00466515">
              <w:rPr>
                <w:rFonts w:eastAsia="Calibri" w:cs="Arial"/>
                <w:sz w:val="18"/>
                <w:szCs w:val="18"/>
                <w:lang w:val="en-AU" w:eastAsia="en-AU"/>
              </w:rPr>
              <w:t>Children 2-6 years, P90 consumption</w:t>
            </w:r>
          </w:p>
        </w:tc>
      </w:tr>
    </w:tbl>
    <w:p w14:paraId="57C05147" w14:textId="77777777" w:rsidR="009455A7" w:rsidRDefault="004C2AB4" w:rsidP="004C2AB4">
      <w:pPr>
        <w:pStyle w:val="TableFoot"/>
      </w:pPr>
      <w:r w:rsidRPr="00C25E2C">
        <w:t>#occasionally consumed food,</w:t>
      </w:r>
      <w:r w:rsidR="009455A7">
        <w:t xml:space="preserve"> trigger points for investigation for crustaceans applied to molluscs due to the small number of consumers of molluscs</w:t>
      </w:r>
      <w:r w:rsidRPr="00C25E2C">
        <w:t xml:space="preserve"> </w:t>
      </w:r>
    </w:p>
    <w:p w14:paraId="07FAE2C5" w14:textId="77777777" w:rsidR="004C2AB4" w:rsidRPr="00C25E2C" w:rsidRDefault="004C2AB4" w:rsidP="004C2AB4">
      <w:pPr>
        <w:pStyle w:val="TableFoot"/>
        <w:rPr>
          <w:rStyle w:val="Hyperlink"/>
        </w:rPr>
      </w:pPr>
      <w:r w:rsidRPr="00C25E2C">
        <w:t xml:space="preserve">* no food consumption data available, source: </w:t>
      </w:r>
      <w:hyperlink r:id="rId23" w:history="1">
        <w:r w:rsidRPr="00007F20">
          <w:rPr>
            <w:rStyle w:val="Hyperlink"/>
          </w:rPr>
          <w:t>FSANZ report on Edith River</w:t>
        </w:r>
      </w:hyperlink>
      <w:r w:rsidRPr="00C25E2C">
        <w:t xml:space="preserve">, Northern Territory 2013, </w:t>
      </w:r>
    </w:p>
    <w:p w14:paraId="3EDA481A" w14:textId="77777777" w:rsidR="003642F8" w:rsidRPr="00BE1C48" w:rsidRDefault="0080229E" w:rsidP="00D6052B">
      <w:pPr>
        <w:pStyle w:val="Heading4"/>
        <w:numPr>
          <w:ilvl w:val="2"/>
          <w:numId w:val="12"/>
        </w:numPr>
      </w:pPr>
      <w:r w:rsidRPr="006A3107">
        <w:t xml:space="preserve">Preliminary </w:t>
      </w:r>
      <w:r w:rsidRPr="00BE1C48">
        <w:t>d</w:t>
      </w:r>
      <w:r w:rsidR="003C775B" w:rsidRPr="00BE1C48">
        <w:t>ietary exposure assessment limitations</w:t>
      </w:r>
    </w:p>
    <w:p w14:paraId="570CF18C" w14:textId="77777777" w:rsidR="004C2AB4" w:rsidRDefault="004C2AB4" w:rsidP="004C2AB4">
      <w:pPr>
        <w:keepNext/>
        <w:rPr>
          <w:rFonts w:cs="Arial"/>
        </w:rPr>
      </w:pPr>
      <w:r w:rsidRPr="0097663C">
        <w:rPr>
          <w:rFonts w:cs="Arial"/>
        </w:rPr>
        <w:t>FSANZ aims to make as realistic an estimate of dietary exposure as possible. However, where significant uncertainties in the data exist, conservative (or ‘worst-case’) assumptions are</w:t>
      </w:r>
      <w:r>
        <w:rPr>
          <w:rFonts w:cs="Arial"/>
        </w:rPr>
        <w:t xml:space="preserve"> generally used to ensure that</w:t>
      </w:r>
      <w:r w:rsidRPr="0097663C">
        <w:rPr>
          <w:rFonts w:cs="Arial"/>
        </w:rPr>
        <w:t xml:space="preserve"> exposure</w:t>
      </w:r>
      <w:r>
        <w:rPr>
          <w:rFonts w:cs="Arial"/>
        </w:rPr>
        <w:t xml:space="preserve"> estimates are protective of consumers</w:t>
      </w:r>
      <w:r w:rsidRPr="0097663C">
        <w:rPr>
          <w:rFonts w:cs="Arial"/>
        </w:rPr>
        <w:t xml:space="preserve">. </w:t>
      </w:r>
    </w:p>
    <w:p w14:paraId="269B7B7A" w14:textId="77777777" w:rsidR="004C2AB4" w:rsidRDefault="004C2AB4" w:rsidP="00AD4028">
      <w:pPr>
        <w:rPr>
          <w:rFonts w:cs="Arial"/>
        </w:rPr>
      </w:pPr>
    </w:p>
    <w:p w14:paraId="35DCB536" w14:textId="77777777" w:rsidR="00AD4028" w:rsidRDefault="00AD4028" w:rsidP="00AD4028">
      <w:pPr>
        <w:rPr>
          <w:lang w:eastAsia="en-AU"/>
        </w:rPr>
      </w:pPr>
      <w:r w:rsidRPr="009527FF">
        <w:rPr>
          <w:lang w:eastAsia="en-AU"/>
        </w:rPr>
        <w:t xml:space="preserve">It is </w:t>
      </w:r>
      <w:r>
        <w:rPr>
          <w:lang w:eastAsia="en-AU"/>
        </w:rPr>
        <w:t xml:space="preserve">highly </w:t>
      </w:r>
      <w:r w:rsidRPr="009527FF">
        <w:rPr>
          <w:lang w:eastAsia="en-AU"/>
        </w:rPr>
        <w:t xml:space="preserve">uncertain whether the occurrence data </w:t>
      </w:r>
      <w:r w:rsidRPr="0001223D">
        <w:rPr>
          <w:lang w:eastAsia="en-AU"/>
        </w:rPr>
        <w:t>made available to FSANZ in</w:t>
      </w:r>
      <w:r>
        <w:rPr>
          <w:lang w:eastAsia="en-AU"/>
        </w:rPr>
        <w:t xml:space="preserve"> response to its call for data</w:t>
      </w:r>
      <w:r w:rsidRPr="009527FF">
        <w:rPr>
          <w:lang w:eastAsia="en-AU"/>
        </w:rPr>
        <w:t xml:space="preserve"> are representative of the contamination of </w:t>
      </w:r>
      <w:r>
        <w:rPr>
          <w:lang w:eastAsia="en-AU"/>
        </w:rPr>
        <w:t xml:space="preserve">food with </w:t>
      </w:r>
      <w:r w:rsidRPr="0001223D">
        <w:rPr>
          <w:lang w:eastAsia="en-AU"/>
        </w:rPr>
        <w:t>PFOS, PFOA and PFHxS</w:t>
      </w:r>
      <w:r w:rsidRPr="009527FF">
        <w:rPr>
          <w:lang w:eastAsia="en-AU"/>
        </w:rPr>
        <w:t xml:space="preserve">. The data points were from </w:t>
      </w:r>
      <w:r>
        <w:rPr>
          <w:lang w:eastAsia="en-AU"/>
        </w:rPr>
        <w:t>a variety of food</w:t>
      </w:r>
      <w:r w:rsidR="00367A5E">
        <w:rPr>
          <w:lang w:eastAsia="en-AU"/>
        </w:rPr>
        <w:t>s</w:t>
      </w:r>
      <w:r>
        <w:rPr>
          <w:lang w:eastAsia="en-AU"/>
        </w:rPr>
        <w:t xml:space="preserve"> source</w:t>
      </w:r>
      <w:r w:rsidR="00367A5E">
        <w:rPr>
          <w:lang w:eastAsia="en-AU"/>
        </w:rPr>
        <w:t>d</w:t>
      </w:r>
      <w:r>
        <w:rPr>
          <w:lang w:eastAsia="en-AU"/>
        </w:rPr>
        <w:t xml:space="preserve"> </w:t>
      </w:r>
      <w:r w:rsidR="00367A5E">
        <w:rPr>
          <w:lang w:eastAsia="en-AU"/>
        </w:rPr>
        <w:t xml:space="preserve">from </w:t>
      </w:r>
      <w:r>
        <w:rPr>
          <w:lang w:eastAsia="en-AU"/>
        </w:rPr>
        <w:t>contaminated sites or areas in close proximity to such sites and provide t</w:t>
      </w:r>
      <w:r w:rsidRPr="0001223D">
        <w:rPr>
          <w:lang w:eastAsia="en-AU"/>
        </w:rPr>
        <w:t xml:space="preserve">he most significant limitation in this assessment </w:t>
      </w:r>
      <w:r>
        <w:rPr>
          <w:lang w:eastAsia="en-AU"/>
        </w:rPr>
        <w:t>because there is</w:t>
      </w:r>
      <w:r w:rsidRPr="0001223D">
        <w:rPr>
          <w:lang w:eastAsia="en-AU"/>
        </w:rPr>
        <w:t xml:space="preserve"> very limited data on occurrence of </w:t>
      </w:r>
      <w:r>
        <w:rPr>
          <w:lang w:eastAsia="en-AU"/>
        </w:rPr>
        <w:t xml:space="preserve">PFOS, PFOA </w:t>
      </w:r>
      <w:r w:rsidR="00367A5E">
        <w:rPr>
          <w:lang w:eastAsia="en-AU"/>
        </w:rPr>
        <w:t>and</w:t>
      </w:r>
      <w:r>
        <w:rPr>
          <w:lang w:eastAsia="en-AU"/>
        </w:rPr>
        <w:t xml:space="preserve"> PFH</w:t>
      </w:r>
      <w:r w:rsidR="00367A5E">
        <w:rPr>
          <w:lang w:eastAsia="en-AU"/>
        </w:rPr>
        <w:t>x</w:t>
      </w:r>
      <w:r>
        <w:rPr>
          <w:lang w:eastAsia="en-AU"/>
        </w:rPr>
        <w:t>S</w:t>
      </w:r>
      <w:r w:rsidRPr="0001223D">
        <w:rPr>
          <w:lang w:eastAsia="en-AU"/>
        </w:rPr>
        <w:t xml:space="preserve"> in Australian foods</w:t>
      </w:r>
      <w:r w:rsidR="00367A5E">
        <w:rPr>
          <w:lang w:eastAsia="en-AU"/>
        </w:rPr>
        <w:t xml:space="preserve"> </w:t>
      </w:r>
      <w:r w:rsidR="00DA20EF">
        <w:rPr>
          <w:lang w:eastAsia="en-AU"/>
        </w:rPr>
        <w:t xml:space="preserve">generally </w:t>
      </w:r>
      <w:r w:rsidR="00367A5E">
        <w:rPr>
          <w:lang w:eastAsia="en-AU"/>
        </w:rPr>
        <w:t>for sale</w:t>
      </w:r>
      <w:r>
        <w:rPr>
          <w:lang w:eastAsia="en-AU"/>
        </w:rPr>
        <w:t xml:space="preserve">. </w:t>
      </w:r>
    </w:p>
    <w:p w14:paraId="6F20B3CD" w14:textId="77777777" w:rsidR="00AD4028" w:rsidRDefault="00AD4028" w:rsidP="00AD4028">
      <w:pPr>
        <w:rPr>
          <w:lang w:eastAsia="en-AU"/>
        </w:rPr>
      </w:pPr>
    </w:p>
    <w:p w14:paraId="549EC1D9" w14:textId="77777777" w:rsidR="00AD4028" w:rsidRDefault="00AD4028" w:rsidP="00AD4028">
      <w:pPr>
        <w:rPr>
          <w:lang w:eastAsia="en-AU"/>
        </w:rPr>
      </w:pPr>
      <w:r>
        <w:rPr>
          <w:lang w:eastAsia="en-AU"/>
        </w:rPr>
        <w:t>A number of limitations in the occurrence data are described below:</w:t>
      </w:r>
    </w:p>
    <w:p w14:paraId="697F7DC4" w14:textId="77777777" w:rsidR="00E44D59" w:rsidRDefault="00E44D59" w:rsidP="00AD4028">
      <w:pPr>
        <w:rPr>
          <w:lang w:eastAsia="en-AU"/>
        </w:rPr>
      </w:pPr>
    </w:p>
    <w:p w14:paraId="5B08C389" w14:textId="77777777" w:rsidR="00AD4028" w:rsidRDefault="00DA20EF" w:rsidP="00D6052B">
      <w:pPr>
        <w:pStyle w:val="FSBullet1"/>
        <w:numPr>
          <w:ilvl w:val="0"/>
          <w:numId w:val="14"/>
        </w:numPr>
        <w:spacing w:after="120" w:line="276" w:lineRule="auto"/>
        <w:ind w:left="567" w:hanging="567"/>
        <w:rPr>
          <w:lang w:eastAsia="en-AU"/>
        </w:rPr>
      </w:pPr>
      <w:r>
        <w:rPr>
          <w:lang w:eastAsia="en-AU"/>
        </w:rPr>
        <w:t>T</w:t>
      </w:r>
      <w:r w:rsidR="00AD4028">
        <w:rPr>
          <w:lang w:eastAsia="en-AU"/>
        </w:rPr>
        <w:t>here is a very high number of records where concentration data has not been detected</w:t>
      </w:r>
      <w:r>
        <w:rPr>
          <w:lang w:eastAsia="en-AU"/>
        </w:rPr>
        <w:t>;</w:t>
      </w:r>
      <w:r w:rsidR="00AD4028">
        <w:rPr>
          <w:lang w:eastAsia="en-AU"/>
        </w:rPr>
        <w:t xml:space="preserve"> in the case of PFOA and PFHxS this is the majority of records, consequently all calculations are highly sensitive to limits of determination (LOD)</w:t>
      </w:r>
      <w:r w:rsidR="006D1F87">
        <w:rPr>
          <w:lang w:eastAsia="en-AU"/>
        </w:rPr>
        <w:t>.</w:t>
      </w:r>
    </w:p>
    <w:p w14:paraId="7A4237DB" w14:textId="77777777" w:rsidR="00AD4028" w:rsidRDefault="00DA20EF" w:rsidP="00D6052B">
      <w:pPr>
        <w:pStyle w:val="FSBullet1"/>
        <w:numPr>
          <w:ilvl w:val="0"/>
          <w:numId w:val="14"/>
        </w:numPr>
        <w:spacing w:after="120" w:line="276" w:lineRule="auto"/>
        <w:ind w:left="567" w:hanging="567"/>
        <w:rPr>
          <w:lang w:eastAsia="en-AU"/>
        </w:rPr>
      </w:pPr>
      <w:r>
        <w:rPr>
          <w:lang w:eastAsia="en-AU"/>
        </w:rPr>
        <w:lastRenderedPageBreak/>
        <w:t>M</w:t>
      </w:r>
      <w:r w:rsidR="00AD4028">
        <w:rPr>
          <w:lang w:eastAsia="en-AU"/>
        </w:rPr>
        <w:t>ost data are based on environmental sampling and do not necessarily reflect food as sold to the public (e.g. raw milk)</w:t>
      </w:r>
      <w:r w:rsidR="006D1F87">
        <w:rPr>
          <w:lang w:eastAsia="en-AU"/>
        </w:rPr>
        <w:t>.</w:t>
      </w:r>
    </w:p>
    <w:p w14:paraId="5965CBA3" w14:textId="77777777" w:rsidR="00AD4028" w:rsidRDefault="00DA20EF" w:rsidP="00D6052B">
      <w:pPr>
        <w:pStyle w:val="FSBullet1"/>
        <w:numPr>
          <w:ilvl w:val="0"/>
          <w:numId w:val="14"/>
        </w:numPr>
        <w:spacing w:after="120" w:line="276" w:lineRule="auto"/>
        <w:ind w:left="567" w:hanging="567"/>
        <w:rPr>
          <w:lang w:eastAsia="en-AU"/>
        </w:rPr>
      </w:pPr>
      <w:r>
        <w:rPr>
          <w:lang w:eastAsia="en-AU"/>
        </w:rPr>
        <w:t>S</w:t>
      </w:r>
      <w:r w:rsidR="00AD4028">
        <w:rPr>
          <w:lang w:eastAsia="en-AU"/>
        </w:rPr>
        <w:t>ampling was targeted (in proximity to contaminated sites) rather than randomised and is unlikely to be representative of the food supply, therefore results are likely to overestimate potential dietary exposure</w:t>
      </w:r>
      <w:r w:rsidR="006D1F87">
        <w:rPr>
          <w:lang w:eastAsia="en-AU"/>
        </w:rPr>
        <w:t>.</w:t>
      </w:r>
    </w:p>
    <w:p w14:paraId="31420874" w14:textId="77777777" w:rsidR="00AD4028" w:rsidRDefault="00DA20EF" w:rsidP="00D6052B">
      <w:pPr>
        <w:pStyle w:val="FSBullet1"/>
        <w:numPr>
          <w:ilvl w:val="0"/>
          <w:numId w:val="14"/>
        </w:numPr>
        <w:spacing w:after="120" w:line="276" w:lineRule="auto"/>
        <w:ind w:left="567" w:hanging="567"/>
        <w:rPr>
          <w:lang w:eastAsia="en-AU"/>
        </w:rPr>
      </w:pPr>
      <w:r>
        <w:rPr>
          <w:lang w:eastAsia="en-AU"/>
        </w:rPr>
        <w:t>M</w:t>
      </w:r>
      <w:r w:rsidR="00AD4028">
        <w:rPr>
          <w:lang w:eastAsia="en-AU"/>
        </w:rPr>
        <w:t>ost animal data used to estimate occurrence in meat and offal were estimated from blood serum measurements using a conversion factor</w:t>
      </w:r>
      <w:r w:rsidR="006D1F87">
        <w:rPr>
          <w:lang w:eastAsia="en-AU"/>
        </w:rPr>
        <w:t>.</w:t>
      </w:r>
    </w:p>
    <w:p w14:paraId="4D4B149E" w14:textId="77777777" w:rsidR="00AD4028" w:rsidRDefault="00DA20EF" w:rsidP="00D6052B">
      <w:pPr>
        <w:pStyle w:val="FSBullet1"/>
        <w:numPr>
          <w:ilvl w:val="0"/>
          <w:numId w:val="14"/>
        </w:numPr>
        <w:spacing w:after="120" w:line="276" w:lineRule="auto"/>
        <w:ind w:left="567" w:hanging="567"/>
        <w:rPr>
          <w:lang w:eastAsia="en-AU"/>
        </w:rPr>
      </w:pPr>
      <w:r>
        <w:rPr>
          <w:lang w:eastAsia="en-AU"/>
        </w:rPr>
        <w:t>T</w:t>
      </w:r>
      <w:r w:rsidR="00AD4028">
        <w:rPr>
          <w:lang w:eastAsia="en-AU"/>
        </w:rPr>
        <w:t>here are major gaps in the data including for offal, poultry meat, cereal grains, oils and fats. Not all of these foods could be matched to a raw commodity classification where occurrence data were available, hence concentration levels were assumed to be zero</w:t>
      </w:r>
      <w:r w:rsidR="006D1F87">
        <w:rPr>
          <w:lang w:eastAsia="en-AU"/>
        </w:rPr>
        <w:t>.</w:t>
      </w:r>
    </w:p>
    <w:p w14:paraId="5462E05E" w14:textId="77777777" w:rsidR="00AD4028" w:rsidRDefault="00DA20EF" w:rsidP="00D6052B">
      <w:pPr>
        <w:pStyle w:val="FSBullet1"/>
        <w:numPr>
          <w:ilvl w:val="0"/>
          <w:numId w:val="14"/>
        </w:numPr>
        <w:spacing w:after="120" w:line="276" w:lineRule="auto"/>
        <w:ind w:left="567" w:hanging="567"/>
        <w:rPr>
          <w:lang w:eastAsia="en-AU"/>
        </w:rPr>
      </w:pPr>
      <w:r>
        <w:rPr>
          <w:lang w:eastAsia="en-AU"/>
        </w:rPr>
        <w:t>S</w:t>
      </w:r>
      <w:r w:rsidR="00AD4028">
        <w:rPr>
          <w:lang w:eastAsia="en-AU"/>
        </w:rPr>
        <w:t>ome of the data included in the database had poor metadata and limited auditing or validation</w:t>
      </w:r>
      <w:r w:rsidR="00235C04">
        <w:rPr>
          <w:lang w:eastAsia="en-AU"/>
        </w:rPr>
        <w:t>.</w:t>
      </w:r>
      <w:r w:rsidR="00AD4028">
        <w:rPr>
          <w:lang w:eastAsia="en-AU"/>
        </w:rPr>
        <w:t xml:space="preserve"> For example in some cases it is unclear whether the data were duplicates and/or composite samples, and in the latter case how many raw samples were included in each composite.</w:t>
      </w:r>
    </w:p>
    <w:p w14:paraId="7046505C" w14:textId="77777777" w:rsidR="00AD4028" w:rsidRDefault="004C2AB4" w:rsidP="008834E3">
      <w:pPr>
        <w:rPr>
          <w:lang w:eastAsia="en-AU"/>
        </w:rPr>
      </w:pPr>
      <w:r>
        <w:rPr>
          <w:lang w:eastAsia="en-AU"/>
        </w:rPr>
        <w:t xml:space="preserve">As </w:t>
      </w:r>
      <w:r w:rsidRPr="0001223D">
        <w:rPr>
          <w:lang w:eastAsia="en-AU"/>
        </w:rPr>
        <w:t xml:space="preserve">occurrence data </w:t>
      </w:r>
      <w:r>
        <w:rPr>
          <w:lang w:eastAsia="en-AU"/>
        </w:rPr>
        <w:t>are</w:t>
      </w:r>
      <w:r w:rsidRPr="0001223D">
        <w:rPr>
          <w:lang w:eastAsia="en-AU"/>
        </w:rPr>
        <w:t xml:space="preserve"> a significant input into estimates this is a major source of uncertainty in this assessment.</w:t>
      </w:r>
      <w:r w:rsidRPr="0001223D">
        <w:t xml:space="preserve"> </w:t>
      </w:r>
      <w:r>
        <w:t>T</w:t>
      </w:r>
      <w:r w:rsidRPr="0001223D">
        <w:rPr>
          <w:lang w:eastAsia="en-AU"/>
        </w:rPr>
        <w:t xml:space="preserve">he overall uncertainty in the model estimations </w:t>
      </w:r>
      <w:r>
        <w:rPr>
          <w:lang w:eastAsia="en-AU"/>
        </w:rPr>
        <w:t xml:space="preserve">due to the </w:t>
      </w:r>
      <w:r w:rsidR="00235C04">
        <w:rPr>
          <w:lang w:eastAsia="en-AU"/>
        </w:rPr>
        <w:t xml:space="preserve">low </w:t>
      </w:r>
      <w:r>
        <w:rPr>
          <w:lang w:eastAsia="en-AU"/>
        </w:rPr>
        <w:t xml:space="preserve">quality of the occurrence data is therefore </w:t>
      </w:r>
      <w:r w:rsidRPr="0001223D">
        <w:rPr>
          <w:lang w:eastAsia="en-AU"/>
        </w:rPr>
        <w:t xml:space="preserve">considered to </w:t>
      </w:r>
      <w:r>
        <w:rPr>
          <w:lang w:eastAsia="en-AU"/>
        </w:rPr>
        <w:t xml:space="preserve">be </w:t>
      </w:r>
      <w:r w:rsidRPr="0001223D">
        <w:rPr>
          <w:lang w:eastAsia="en-AU"/>
        </w:rPr>
        <w:t>high.</w:t>
      </w:r>
      <w:r>
        <w:rPr>
          <w:lang w:eastAsia="en-AU"/>
        </w:rPr>
        <w:t xml:space="preserve"> </w:t>
      </w:r>
      <w:r w:rsidR="0080229E">
        <w:t>FSANZ addressed this by using lower, middle and upper bound concentration levels for PFOS</w:t>
      </w:r>
      <w:r w:rsidR="0080229E" w:rsidRPr="00182BB3">
        <w:t xml:space="preserve">, </w:t>
      </w:r>
      <w:r w:rsidR="0080229E">
        <w:t>PFOA and PFHxS in the different food groups for which data were available. T</w:t>
      </w:r>
      <w:r w:rsidR="0080229E" w:rsidRPr="002429BD">
        <w:t xml:space="preserve">he lower bound median is a ‘best case’ </w:t>
      </w:r>
      <w:r w:rsidR="0080229E">
        <w:t xml:space="preserve">scenario that </w:t>
      </w:r>
      <w:r w:rsidR="0080229E" w:rsidRPr="002429BD">
        <w:t>assum</w:t>
      </w:r>
      <w:r w:rsidR="0080229E">
        <w:t>es</w:t>
      </w:r>
      <w:r w:rsidR="0080229E" w:rsidRPr="002429BD">
        <w:t xml:space="preserve"> </w:t>
      </w:r>
      <w:r w:rsidR="0080229E">
        <w:t>for</w:t>
      </w:r>
      <w:r w:rsidR="0080229E" w:rsidRPr="002429BD">
        <w:t xml:space="preserve"> a non-detect </w:t>
      </w:r>
      <w:r w:rsidR="0080229E">
        <w:t xml:space="preserve">result </w:t>
      </w:r>
      <w:r w:rsidR="0080229E" w:rsidRPr="002429BD">
        <w:t xml:space="preserve">the food is free of the component. The upper bound median is a ‘worst case’ </w:t>
      </w:r>
      <w:r w:rsidR="0080229E">
        <w:t xml:space="preserve">scenario that </w:t>
      </w:r>
      <w:r w:rsidR="0080229E" w:rsidRPr="002429BD">
        <w:t>assum</w:t>
      </w:r>
      <w:r w:rsidR="0080229E">
        <w:t>es</w:t>
      </w:r>
      <w:r w:rsidR="0080229E" w:rsidRPr="002429BD">
        <w:t xml:space="preserve"> </w:t>
      </w:r>
      <w:r w:rsidR="0080229E">
        <w:t xml:space="preserve">for </w:t>
      </w:r>
      <w:r w:rsidR="0080229E" w:rsidRPr="002429BD">
        <w:t xml:space="preserve">a non-detect </w:t>
      </w:r>
      <w:r w:rsidR="0080229E">
        <w:t>result</w:t>
      </w:r>
      <w:r w:rsidR="00AD4028">
        <w:rPr>
          <w:lang w:eastAsia="en-AU"/>
        </w:rPr>
        <w:t xml:space="preserve"> the </w:t>
      </w:r>
      <w:r w:rsidR="0080229E" w:rsidRPr="002429BD">
        <w:t xml:space="preserve">component is present at the </w:t>
      </w:r>
      <w:r w:rsidR="0080229E">
        <w:t>limit of detection (LOD)</w:t>
      </w:r>
      <w:r w:rsidR="0080229E" w:rsidRPr="002429BD">
        <w:t>. The middle bound is halfway between the other bounds.</w:t>
      </w:r>
      <w:r w:rsidR="00AD4028">
        <w:rPr>
          <w:lang w:eastAsia="en-AU"/>
        </w:rPr>
        <w:t xml:space="preserve"> The use of the </w:t>
      </w:r>
      <w:r w:rsidR="00197EDE">
        <w:rPr>
          <w:lang w:eastAsia="en-AU"/>
        </w:rPr>
        <w:t xml:space="preserve">upper bound </w:t>
      </w:r>
      <w:r w:rsidR="00AD4028">
        <w:rPr>
          <w:lang w:eastAsia="en-AU"/>
        </w:rPr>
        <w:t>median levels in calculations is very conservative as a high proportion of results for PFOS, PFOA and PFHxS were non-detects (&lt; LOR).</w:t>
      </w:r>
    </w:p>
    <w:p w14:paraId="5485CDEF" w14:textId="77777777" w:rsidR="00BE1C48" w:rsidRDefault="00BE1C48" w:rsidP="008834E3">
      <w:pPr>
        <w:rPr>
          <w:lang w:eastAsia="en-AU"/>
        </w:rPr>
      </w:pPr>
    </w:p>
    <w:p w14:paraId="2C3A350C" w14:textId="77777777" w:rsidR="00BE1C48" w:rsidRPr="008834E3" w:rsidRDefault="00BE1C48" w:rsidP="008834E3">
      <w:pPr>
        <w:rPr>
          <w:lang w:eastAsia="en-AU"/>
        </w:rPr>
      </w:pPr>
      <w:r w:rsidRPr="00BE1C48">
        <w:t>For the full report see Supporting Document 2.</w:t>
      </w:r>
    </w:p>
    <w:p w14:paraId="5011E46D" w14:textId="77777777" w:rsidR="00F952BE" w:rsidRPr="00C37080" w:rsidRDefault="00A65C34" w:rsidP="00D6052B">
      <w:pPr>
        <w:pStyle w:val="Heading4"/>
        <w:numPr>
          <w:ilvl w:val="2"/>
          <w:numId w:val="12"/>
        </w:numPr>
      </w:pPr>
      <w:r w:rsidRPr="00C37080">
        <w:t>Other</w:t>
      </w:r>
      <w:r w:rsidR="00F952BE" w:rsidRPr="00C37080">
        <w:t xml:space="preserve"> contributors to exposure</w:t>
      </w:r>
      <w:r w:rsidRPr="00C37080">
        <w:t xml:space="preserve"> to PFAS </w:t>
      </w:r>
    </w:p>
    <w:p w14:paraId="597505FC" w14:textId="77777777" w:rsidR="007C36AD" w:rsidRPr="00564B84" w:rsidRDefault="00F952BE" w:rsidP="00564B84">
      <w:pPr>
        <w:widowControl/>
        <w:contextualSpacing/>
        <w:rPr>
          <w:rFonts w:eastAsia="Calibri"/>
          <w:szCs w:val="22"/>
          <w:lang w:bidi="ar-SA"/>
        </w:rPr>
      </w:pPr>
      <w:r w:rsidRPr="008441B0">
        <w:rPr>
          <w:rFonts w:eastAsia="Calibri"/>
          <w:szCs w:val="22"/>
          <w:lang w:bidi="ar-SA"/>
        </w:rPr>
        <w:t xml:space="preserve">The key exposure route to PFAS </w:t>
      </w:r>
      <w:r>
        <w:rPr>
          <w:rFonts w:eastAsia="Calibri"/>
          <w:szCs w:val="22"/>
          <w:lang w:bidi="ar-SA"/>
        </w:rPr>
        <w:t>is via the diet. O</w:t>
      </w:r>
      <w:r w:rsidRPr="00474C81">
        <w:rPr>
          <w:rFonts w:eastAsia="Calibri"/>
          <w:szCs w:val="22"/>
          <w:lang w:bidi="ar-SA"/>
        </w:rPr>
        <w:t>ther routes</w:t>
      </w:r>
      <w:r>
        <w:rPr>
          <w:rFonts w:eastAsia="Calibri"/>
          <w:szCs w:val="22"/>
          <w:lang w:bidi="ar-SA"/>
        </w:rPr>
        <w:t xml:space="preserve"> of exposure occur by consumption of water, inhalation and </w:t>
      </w:r>
      <w:r w:rsidRPr="00474C81">
        <w:rPr>
          <w:rFonts w:eastAsia="Calibri"/>
          <w:szCs w:val="22"/>
          <w:lang w:bidi="ar-SA"/>
        </w:rPr>
        <w:t>dermal</w:t>
      </w:r>
      <w:r w:rsidR="0080229E">
        <w:rPr>
          <w:rFonts w:eastAsia="Calibri"/>
          <w:szCs w:val="22"/>
          <w:lang w:bidi="ar-SA"/>
        </w:rPr>
        <w:t xml:space="preserve"> contact</w:t>
      </w:r>
      <w:r>
        <w:rPr>
          <w:rFonts w:eastAsia="Calibri"/>
          <w:szCs w:val="22"/>
          <w:lang w:bidi="ar-SA"/>
        </w:rPr>
        <w:t xml:space="preserve">. This is via the use of PFAS </w:t>
      </w:r>
      <w:r w:rsidRPr="00496D2B">
        <w:rPr>
          <w:rFonts w:eastAsia="Calibri"/>
          <w:szCs w:val="22"/>
          <w:lang w:bidi="ar-SA"/>
        </w:rPr>
        <w:t xml:space="preserve">in products that resist heat, stains, </w:t>
      </w:r>
      <w:r>
        <w:rPr>
          <w:rFonts w:eastAsia="Calibri"/>
          <w:szCs w:val="22"/>
          <w:lang w:bidi="ar-SA"/>
        </w:rPr>
        <w:t xml:space="preserve">grease and water, such as stain and water </w:t>
      </w:r>
      <w:r w:rsidRPr="00496D2B">
        <w:rPr>
          <w:rFonts w:eastAsia="Calibri"/>
          <w:szCs w:val="22"/>
          <w:lang w:bidi="ar-SA"/>
        </w:rPr>
        <w:t>resistant treatments for furn</w:t>
      </w:r>
      <w:r w:rsidR="005647D9">
        <w:rPr>
          <w:rFonts w:eastAsia="Calibri"/>
          <w:szCs w:val="22"/>
          <w:lang w:bidi="ar-SA"/>
        </w:rPr>
        <w:t xml:space="preserve">iture, carpets and clothing, </w:t>
      </w:r>
      <w:r w:rsidRPr="00496D2B">
        <w:rPr>
          <w:rFonts w:eastAsia="Calibri"/>
          <w:szCs w:val="22"/>
          <w:lang w:bidi="ar-SA"/>
        </w:rPr>
        <w:t xml:space="preserve">make up and personal care products and cleaning products.  </w:t>
      </w:r>
    </w:p>
    <w:p w14:paraId="79736CF6" w14:textId="77777777" w:rsidR="00512CAA" w:rsidRDefault="006626B3" w:rsidP="004E6413">
      <w:pPr>
        <w:pStyle w:val="Heading2"/>
      </w:pPr>
      <w:bookmarkStart w:id="32" w:name="_Toc475953974"/>
      <w:r>
        <w:t>4</w:t>
      </w:r>
      <w:r w:rsidR="00DE0B36">
        <w:tab/>
      </w:r>
      <w:r w:rsidR="00F14A7E" w:rsidRPr="00E55527">
        <w:t xml:space="preserve">Risk </w:t>
      </w:r>
      <w:r w:rsidR="00DC45EA">
        <w:t>m</w:t>
      </w:r>
      <w:r w:rsidR="00F14A7E" w:rsidRPr="00E55527">
        <w:t>anagement</w:t>
      </w:r>
      <w:bookmarkEnd w:id="32"/>
      <w:r w:rsidR="00F14A7E" w:rsidRPr="00E55527">
        <w:t xml:space="preserve"> </w:t>
      </w:r>
      <w:bookmarkStart w:id="33" w:name="_Toc267859695"/>
    </w:p>
    <w:p w14:paraId="5C280018" w14:textId="77777777" w:rsidR="0002631B" w:rsidRDefault="0002631B" w:rsidP="00AB7237">
      <w:r w:rsidRPr="001620AB">
        <w:t>To meet the ob</w:t>
      </w:r>
      <w:r>
        <w:t>jectives of risk management</w:t>
      </w:r>
      <w:r w:rsidR="00E63338">
        <w:t xml:space="preserve"> for PFAS contamination in food</w:t>
      </w:r>
      <w:r w:rsidRPr="001620AB">
        <w:t xml:space="preserve">, </w:t>
      </w:r>
      <w:r w:rsidR="00964922">
        <w:t xml:space="preserve">the below </w:t>
      </w:r>
      <w:r w:rsidRPr="001620AB">
        <w:t xml:space="preserve">key questions </w:t>
      </w:r>
      <w:r w:rsidR="00171715">
        <w:t>were</w:t>
      </w:r>
      <w:r w:rsidRPr="001620AB">
        <w:t xml:space="preserve"> posed</w:t>
      </w:r>
      <w:r w:rsidR="00A03892">
        <w:t xml:space="preserve"> when initial scoping of the project was undertaken</w:t>
      </w:r>
      <w:r w:rsidR="00964922">
        <w:t>:</w:t>
      </w:r>
      <w:r w:rsidR="00A03892">
        <w:t xml:space="preserve"> </w:t>
      </w:r>
    </w:p>
    <w:p w14:paraId="059873C3" w14:textId="77777777" w:rsidR="00AA2EA5" w:rsidRPr="00975BE4" w:rsidRDefault="002D2592" w:rsidP="00105282">
      <w:pPr>
        <w:pStyle w:val="AARBullet"/>
        <w:rPr>
          <w:szCs w:val="22"/>
        </w:rPr>
      </w:pPr>
      <w:r w:rsidRPr="005647D9">
        <w:rPr>
          <w:sz w:val="22"/>
          <w:szCs w:val="22"/>
        </w:rPr>
        <w:t xml:space="preserve">What specific geographic areas are </w:t>
      </w:r>
      <w:r w:rsidR="000F1BC3" w:rsidRPr="005647D9">
        <w:rPr>
          <w:sz w:val="22"/>
          <w:szCs w:val="22"/>
        </w:rPr>
        <w:t>affected and</w:t>
      </w:r>
      <w:r w:rsidRPr="005647D9">
        <w:rPr>
          <w:sz w:val="22"/>
          <w:szCs w:val="22"/>
        </w:rPr>
        <w:t xml:space="preserve"> what is the extent of contamination? </w:t>
      </w:r>
    </w:p>
    <w:p w14:paraId="449DA78D" w14:textId="77777777" w:rsidR="00AA2EA5" w:rsidRDefault="00AA2EA5" w:rsidP="000F1BC3">
      <w:pPr>
        <w:pStyle w:val="AARBullet"/>
        <w:numPr>
          <w:ilvl w:val="0"/>
          <w:numId w:val="0"/>
        </w:numPr>
        <w:rPr>
          <w:szCs w:val="22"/>
        </w:rPr>
      </w:pPr>
    </w:p>
    <w:p w14:paraId="6F31B066" w14:textId="77777777" w:rsidR="00AA2EA5" w:rsidRPr="007C6B08" w:rsidRDefault="00AA2EA5" w:rsidP="00AA2EA5">
      <w:pPr>
        <w:pStyle w:val="AARBullet"/>
        <w:rPr>
          <w:szCs w:val="22"/>
        </w:rPr>
      </w:pPr>
      <w:r w:rsidRPr="007C6B08">
        <w:rPr>
          <w:sz w:val="22"/>
          <w:szCs w:val="22"/>
        </w:rPr>
        <w:t>What are the types of commodities (crops/foods) produced in the potentially contaminated areas including their volume, value and where they are sold (domestic or international)</w:t>
      </w:r>
      <w:r w:rsidR="00964922">
        <w:rPr>
          <w:sz w:val="22"/>
          <w:szCs w:val="22"/>
        </w:rPr>
        <w:t>?</w:t>
      </w:r>
    </w:p>
    <w:p w14:paraId="604933A3" w14:textId="77777777" w:rsidR="00AA2EA5" w:rsidRDefault="00AA2EA5" w:rsidP="005647D9">
      <w:pPr>
        <w:pStyle w:val="AARBullet"/>
        <w:numPr>
          <w:ilvl w:val="0"/>
          <w:numId w:val="0"/>
        </w:numPr>
        <w:ind w:left="360" w:hanging="360"/>
        <w:rPr>
          <w:szCs w:val="22"/>
        </w:rPr>
      </w:pPr>
    </w:p>
    <w:p w14:paraId="734ED458" w14:textId="77777777" w:rsidR="00AA2EA5" w:rsidRPr="007C6B08" w:rsidRDefault="00AA2EA5" w:rsidP="00AA2EA5">
      <w:pPr>
        <w:pStyle w:val="AARBullet"/>
        <w:rPr>
          <w:szCs w:val="22"/>
        </w:rPr>
      </w:pPr>
      <w:r w:rsidRPr="007C6B08">
        <w:rPr>
          <w:sz w:val="22"/>
          <w:szCs w:val="22"/>
        </w:rPr>
        <w:t xml:space="preserve">What are the trade impacts and /or concerns already encountered as a result of the contamination? In light of the potential trade impacts what is the likely or possible value of </w:t>
      </w:r>
      <w:r w:rsidRPr="007C6B08">
        <w:rPr>
          <w:sz w:val="22"/>
          <w:szCs w:val="22"/>
        </w:rPr>
        <w:lastRenderedPageBreak/>
        <w:t>the export markets protected as a result of having a defensible science based HBGV with appropriate risk management measures in place?</w:t>
      </w:r>
    </w:p>
    <w:p w14:paraId="323535E5" w14:textId="77777777" w:rsidR="00AA2EA5" w:rsidRDefault="00AA2EA5" w:rsidP="005647D9">
      <w:pPr>
        <w:pStyle w:val="AARBullet"/>
        <w:numPr>
          <w:ilvl w:val="0"/>
          <w:numId w:val="0"/>
        </w:numPr>
        <w:ind w:left="360" w:hanging="360"/>
        <w:rPr>
          <w:szCs w:val="22"/>
        </w:rPr>
      </w:pPr>
    </w:p>
    <w:p w14:paraId="3E616AD5" w14:textId="77777777" w:rsidR="00D85D72" w:rsidRPr="008F433F" w:rsidRDefault="00AA2EA5" w:rsidP="00D85D72">
      <w:pPr>
        <w:pStyle w:val="AARBullet"/>
        <w:rPr>
          <w:szCs w:val="22"/>
        </w:rPr>
      </w:pPr>
      <w:r w:rsidRPr="007C6B08">
        <w:rPr>
          <w:sz w:val="22"/>
          <w:szCs w:val="22"/>
        </w:rPr>
        <w:t xml:space="preserve">What other control measures are in </w:t>
      </w:r>
      <w:r w:rsidR="00B43E5F">
        <w:rPr>
          <w:sz w:val="22"/>
          <w:szCs w:val="22"/>
        </w:rPr>
        <w:t xml:space="preserve">place in Australia </w:t>
      </w:r>
      <w:r w:rsidRPr="007C6B08">
        <w:rPr>
          <w:sz w:val="22"/>
          <w:szCs w:val="22"/>
        </w:rPr>
        <w:t xml:space="preserve">or could be put in place to control </w:t>
      </w:r>
      <w:r w:rsidR="00964922">
        <w:rPr>
          <w:sz w:val="22"/>
          <w:szCs w:val="22"/>
        </w:rPr>
        <w:t xml:space="preserve">exposure to </w:t>
      </w:r>
      <w:r w:rsidRPr="007C6B08">
        <w:rPr>
          <w:sz w:val="22"/>
          <w:szCs w:val="22"/>
        </w:rPr>
        <w:t>the chemicals in question, including non-regulatory measures (self-regulation or coregulatory measures)? This should also consider whether remediation is feasible.</w:t>
      </w:r>
    </w:p>
    <w:p w14:paraId="3A4C42A6" w14:textId="77777777" w:rsidR="008F433F" w:rsidRPr="00D85D72" w:rsidRDefault="008F433F" w:rsidP="008F433F">
      <w:pPr>
        <w:pStyle w:val="ListParagraph"/>
        <w:rPr>
          <w:szCs w:val="22"/>
        </w:rPr>
      </w:pPr>
    </w:p>
    <w:p w14:paraId="1AA5A8E8" w14:textId="77777777" w:rsidR="00D85D72" w:rsidRPr="00D85D72" w:rsidRDefault="00D85D72" w:rsidP="00D85D72">
      <w:pPr>
        <w:pStyle w:val="AARBullet"/>
        <w:rPr>
          <w:sz w:val="22"/>
          <w:szCs w:val="22"/>
        </w:rPr>
      </w:pPr>
      <w:r w:rsidRPr="00D85D72">
        <w:rPr>
          <w:sz w:val="22"/>
          <w:szCs w:val="22"/>
        </w:rPr>
        <w:t xml:space="preserve">What risk management options are available to manage potential dietary risks? </w:t>
      </w:r>
    </w:p>
    <w:p w14:paraId="604D9483" w14:textId="77777777" w:rsidR="00AA2EA5" w:rsidRDefault="00AA2EA5" w:rsidP="00D85D72">
      <w:pPr>
        <w:pStyle w:val="AARBullet"/>
        <w:numPr>
          <w:ilvl w:val="0"/>
          <w:numId w:val="0"/>
        </w:numPr>
        <w:rPr>
          <w:szCs w:val="22"/>
        </w:rPr>
      </w:pPr>
    </w:p>
    <w:p w14:paraId="1B474354" w14:textId="77777777" w:rsidR="00AA2EA5" w:rsidRPr="009C5A05" w:rsidRDefault="00886899" w:rsidP="005647D9">
      <w:pPr>
        <w:pStyle w:val="AARBullet"/>
        <w:numPr>
          <w:ilvl w:val="0"/>
          <w:numId w:val="0"/>
        </w:numPr>
        <w:ind w:left="360" w:hanging="360"/>
        <w:rPr>
          <w:i/>
          <w:sz w:val="22"/>
          <w:szCs w:val="22"/>
        </w:rPr>
      </w:pPr>
      <w:r w:rsidRPr="009C5A05">
        <w:rPr>
          <w:i/>
          <w:sz w:val="22"/>
          <w:szCs w:val="22"/>
        </w:rPr>
        <w:t xml:space="preserve">Contaminated sites in Australia </w:t>
      </w:r>
    </w:p>
    <w:p w14:paraId="17EEA9E9" w14:textId="77777777" w:rsidR="007051A2" w:rsidRDefault="007051A2" w:rsidP="00480493"/>
    <w:p w14:paraId="39F9128E" w14:textId="77777777" w:rsidR="00B24E55" w:rsidRDefault="00DC45EA" w:rsidP="00480493">
      <w:r>
        <w:t>I</w:t>
      </w:r>
      <w:r w:rsidR="00480493" w:rsidRPr="00174AAC">
        <w:t xml:space="preserve">nvestigations </w:t>
      </w:r>
      <w:r>
        <w:t xml:space="preserve">are </w:t>
      </w:r>
      <w:r w:rsidR="00480493" w:rsidRPr="00174AAC">
        <w:t xml:space="preserve">being undertaken into PFAS at a number of sites around Australia. </w:t>
      </w:r>
      <w:r w:rsidR="00B010CA">
        <w:t xml:space="preserve">Defence is continuing to investigate other sites that may be contaminated </w:t>
      </w:r>
      <w:r w:rsidR="00B24E55">
        <w:t xml:space="preserve">with PFAS </w:t>
      </w:r>
      <w:r w:rsidR="00B010CA">
        <w:t xml:space="preserve">in Australia. </w:t>
      </w:r>
    </w:p>
    <w:p w14:paraId="2349B34B" w14:textId="77777777" w:rsidR="00620A0A" w:rsidRDefault="00620A0A" w:rsidP="00620A0A">
      <w:pPr>
        <w:rPr>
          <w:lang w:val="en-AU"/>
        </w:rPr>
      </w:pPr>
    </w:p>
    <w:p w14:paraId="5D7018B0" w14:textId="77777777" w:rsidR="00886899" w:rsidRPr="009C5A05" w:rsidRDefault="00886899" w:rsidP="00620A0A">
      <w:pPr>
        <w:rPr>
          <w:i/>
          <w:lang w:val="en-AU"/>
        </w:rPr>
      </w:pPr>
      <w:r w:rsidRPr="009C5A05">
        <w:rPr>
          <w:i/>
          <w:lang w:val="en-AU"/>
        </w:rPr>
        <w:t xml:space="preserve">Types of commodities affected by PFAS contamination </w:t>
      </w:r>
    </w:p>
    <w:p w14:paraId="30700CFA" w14:textId="77777777" w:rsidR="00620A0A" w:rsidRDefault="00620A0A" w:rsidP="00620A0A">
      <w:pPr>
        <w:rPr>
          <w:lang w:val="en-AU"/>
        </w:rPr>
      </w:pPr>
    </w:p>
    <w:p w14:paraId="55AEA205" w14:textId="77777777" w:rsidR="00620A0A" w:rsidRDefault="00197EDE" w:rsidP="00620A0A">
      <w:pPr>
        <w:rPr>
          <w:lang w:val="en-AU"/>
        </w:rPr>
      </w:pPr>
      <w:r w:rsidRPr="0002258A">
        <w:t>PFAS</w:t>
      </w:r>
      <w:r>
        <w:t xml:space="preserve"> have been </w:t>
      </w:r>
      <w:r w:rsidRPr="00B21E39">
        <w:t>detected in various environmental media and matrices, including food</w:t>
      </w:r>
      <w:r>
        <w:t xml:space="preserve">. Unlike other persistent organic pollutants, due to the physical and chemical properties of PFAS they do not accumulate in fatty tissues of animals so may be found in a variety of foods and water. </w:t>
      </w:r>
      <w:r w:rsidR="006D7E47">
        <w:rPr>
          <w:lang w:val="en-AU"/>
        </w:rPr>
        <w:t xml:space="preserve">FSANZ has </w:t>
      </w:r>
      <w:r w:rsidR="00785B64">
        <w:rPr>
          <w:lang w:val="en-AU"/>
        </w:rPr>
        <w:t xml:space="preserve">only limited data </w:t>
      </w:r>
      <w:r w:rsidR="009F1A0C">
        <w:rPr>
          <w:lang w:val="en-AU"/>
        </w:rPr>
        <w:t xml:space="preserve">and information </w:t>
      </w:r>
      <w:r>
        <w:rPr>
          <w:lang w:val="en-AU"/>
        </w:rPr>
        <w:t>on PFOS, PFOA and PFHxS in foods sourced from or near</w:t>
      </w:r>
      <w:r w:rsidR="009F1A0C">
        <w:rPr>
          <w:lang w:val="en-AU"/>
        </w:rPr>
        <w:t xml:space="preserve"> contaminated sites </w:t>
      </w:r>
      <w:r w:rsidR="00C626ED">
        <w:rPr>
          <w:lang w:val="en-AU"/>
        </w:rPr>
        <w:t xml:space="preserve">in Australia </w:t>
      </w:r>
      <w:r>
        <w:rPr>
          <w:lang w:val="en-AU"/>
        </w:rPr>
        <w:t>and is only able to provide dietary exposure calculations for those foods</w:t>
      </w:r>
      <w:r w:rsidR="009F1A0C">
        <w:rPr>
          <w:lang w:val="en-AU"/>
        </w:rPr>
        <w:t xml:space="preserve"> </w:t>
      </w:r>
      <w:r>
        <w:rPr>
          <w:lang w:val="en-AU"/>
        </w:rPr>
        <w:t xml:space="preserve">for which data were submitted </w:t>
      </w:r>
      <w:r w:rsidR="009F1A0C">
        <w:rPr>
          <w:lang w:val="en-AU"/>
        </w:rPr>
        <w:t>(</w:t>
      </w:r>
      <w:r>
        <w:rPr>
          <w:lang w:val="en-AU"/>
        </w:rPr>
        <w:t xml:space="preserve">refer </w:t>
      </w:r>
      <w:r w:rsidR="009F1A0C">
        <w:rPr>
          <w:lang w:val="en-AU"/>
        </w:rPr>
        <w:t xml:space="preserve">to Supporting Document 2). </w:t>
      </w:r>
    </w:p>
    <w:p w14:paraId="278A736F" w14:textId="77777777" w:rsidR="00620A0A" w:rsidRPr="00620A0A" w:rsidRDefault="00620A0A" w:rsidP="00620A0A">
      <w:pPr>
        <w:rPr>
          <w:lang w:val="en-AU"/>
        </w:rPr>
      </w:pPr>
    </w:p>
    <w:p w14:paraId="057B2618" w14:textId="77777777" w:rsidR="00886899" w:rsidRPr="009C5A05" w:rsidRDefault="00886899" w:rsidP="006A3107">
      <w:pPr>
        <w:rPr>
          <w:rFonts w:eastAsia="Calibri"/>
          <w:i/>
          <w:lang w:bidi="ar-SA"/>
        </w:rPr>
      </w:pPr>
      <w:r w:rsidRPr="009C5A05">
        <w:rPr>
          <w:rFonts w:eastAsia="Calibri"/>
          <w:i/>
          <w:lang w:bidi="ar-SA"/>
        </w:rPr>
        <w:t xml:space="preserve">Potential trade impacts </w:t>
      </w:r>
    </w:p>
    <w:p w14:paraId="6071261B" w14:textId="77777777" w:rsidR="00886899" w:rsidRDefault="00886899" w:rsidP="006D7E47">
      <w:pPr>
        <w:pStyle w:val="FSBullet"/>
        <w:numPr>
          <w:ilvl w:val="0"/>
          <w:numId w:val="0"/>
        </w:numPr>
        <w:rPr>
          <w:rFonts w:eastAsia="Calibri"/>
          <w:lang w:bidi="ar-SA"/>
        </w:rPr>
      </w:pPr>
    </w:p>
    <w:p w14:paraId="6FCFCD45" w14:textId="77777777" w:rsidR="000A4855" w:rsidRPr="000A4855" w:rsidRDefault="005576EB" w:rsidP="006D7E47">
      <w:pPr>
        <w:pStyle w:val="FSBullet"/>
        <w:numPr>
          <w:ilvl w:val="0"/>
          <w:numId w:val="0"/>
        </w:numPr>
        <w:rPr>
          <w:rFonts w:eastAsia="Calibri"/>
          <w:lang w:bidi="ar-SA"/>
        </w:rPr>
      </w:pPr>
      <w:r>
        <w:rPr>
          <w:rFonts w:eastAsia="Calibri"/>
          <w:lang w:bidi="ar-SA"/>
        </w:rPr>
        <w:t>In August 2016</w:t>
      </w:r>
      <w:r w:rsidR="00480493">
        <w:rPr>
          <w:rFonts w:eastAsia="Calibri"/>
          <w:lang w:bidi="ar-SA"/>
        </w:rPr>
        <w:t>,</w:t>
      </w:r>
      <w:r w:rsidR="000A4855">
        <w:rPr>
          <w:rFonts w:eastAsia="Calibri"/>
          <w:lang w:bidi="ar-SA"/>
        </w:rPr>
        <w:t xml:space="preserve"> </w:t>
      </w:r>
      <w:r w:rsidR="00480493">
        <w:rPr>
          <w:rFonts w:eastAsia="Calibri"/>
          <w:lang w:bidi="ar-SA"/>
        </w:rPr>
        <w:t>t</w:t>
      </w:r>
      <w:r w:rsidR="00480493" w:rsidRPr="006C1BD5">
        <w:rPr>
          <w:rFonts w:eastAsia="Calibri"/>
          <w:lang w:bidi="ar-SA"/>
        </w:rPr>
        <w:t xml:space="preserve">he Department of Agriculture and Water Resources </w:t>
      </w:r>
      <w:r w:rsidR="00480493">
        <w:rPr>
          <w:rFonts w:eastAsia="Calibri"/>
          <w:lang w:bidi="ar-SA"/>
        </w:rPr>
        <w:t>advised FSANZ</w:t>
      </w:r>
      <w:r w:rsidR="00480493" w:rsidRPr="006C1BD5">
        <w:rPr>
          <w:rFonts w:eastAsia="Calibri"/>
          <w:lang w:bidi="ar-SA"/>
        </w:rPr>
        <w:t xml:space="preserve"> that it is unlikely that residues of PFAS in livestock, grain and horticultural commodities would give rise to </w:t>
      </w:r>
      <w:r w:rsidR="00480493">
        <w:rPr>
          <w:rFonts w:eastAsia="Calibri"/>
          <w:lang w:bidi="ar-SA"/>
        </w:rPr>
        <w:t xml:space="preserve">export </w:t>
      </w:r>
      <w:r w:rsidR="00480493" w:rsidRPr="006C1BD5">
        <w:rPr>
          <w:rFonts w:eastAsia="Calibri"/>
          <w:lang w:bidi="ar-SA"/>
        </w:rPr>
        <w:t>market disruption.</w:t>
      </w:r>
      <w:r w:rsidR="00A65142">
        <w:rPr>
          <w:rFonts w:eastAsia="Calibri"/>
          <w:lang w:bidi="ar-SA"/>
        </w:rPr>
        <w:t xml:space="preserve"> </w:t>
      </w:r>
      <w:r w:rsidR="00DC6907">
        <w:rPr>
          <w:rFonts w:eastAsia="Calibri"/>
          <w:lang w:bidi="ar-SA"/>
        </w:rPr>
        <w:t xml:space="preserve">FSANZ has insufficient information to consider what </w:t>
      </w:r>
      <w:r w:rsidR="00687BB5">
        <w:rPr>
          <w:rFonts w:eastAsia="Calibri"/>
          <w:lang w:bidi="ar-SA"/>
        </w:rPr>
        <w:t>potential impacts of the contamination have</w:t>
      </w:r>
      <w:r w:rsidR="00DC6907">
        <w:rPr>
          <w:rFonts w:eastAsia="Calibri"/>
          <w:lang w:bidi="ar-SA"/>
        </w:rPr>
        <w:t xml:space="preserve"> been for domestic trade in food. </w:t>
      </w:r>
    </w:p>
    <w:p w14:paraId="1202CCC0" w14:textId="77777777" w:rsidR="00620A0A" w:rsidRPr="00620A0A" w:rsidRDefault="00620A0A" w:rsidP="00620A0A">
      <w:pPr>
        <w:rPr>
          <w:lang w:val="en-AU"/>
        </w:rPr>
      </w:pPr>
    </w:p>
    <w:p w14:paraId="10759ED2" w14:textId="77777777" w:rsidR="00687BB5" w:rsidRPr="009C5A05" w:rsidRDefault="00D85D72" w:rsidP="005647D9">
      <w:pPr>
        <w:pStyle w:val="AARBullet"/>
        <w:numPr>
          <w:ilvl w:val="0"/>
          <w:numId w:val="0"/>
        </w:numPr>
        <w:ind w:left="360" w:hanging="360"/>
        <w:rPr>
          <w:i/>
          <w:sz w:val="22"/>
          <w:lang w:val="en-GB" w:bidi="en-US"/>
        </w:rPr>
      </w:pPr>
      <w:r w:rsidRPr="009C5A05">
        <w:rPr>
          <w:i/>
          <w:sz w:val="22"/>
          <w:lang w:val="en-GB" w:bidi="en-US"/>
        </w:rPr>
        <w:t xml:space="preserve">Other controls in place for PFAS </w:t>
      </w:r>
    </w:p>
    <w:p w14:paraId="0B5A9331" w14:textId="77777777" w:rsidR="00886899" w:rsidRDefault="00886899" w:rsidP="006D7E47">
      <w:pPr>
        <w:pStyle w:val="FSBullet"/>
        <w:numPr>
          <w:ilvl w:val="0"/>
          <w:numId w:val="0"/>
        </w:numPr>
      </w:pPr>
    </w:p>
    <w:p w14:paraId="2CCD7B6B" w14:textId="77777777" w:rsidR="006D7E47" w:rsidRPr="00465F9F" w:rsidRDefault="006D7E47" w:rsidP="006D7E47">
      <w:pPr>
        <w:pStyle w:val="FSBullet"/>
        <w:numPr>
          <w:ilvl w:val="0"/>
          <w:numId w:val="0"/>
        </w:numPr>
      </w:pPr>
      <w:r w:rsidRPr="00B418F1">
        <w:t xml:space="preserve">There are other controls for PFAS in water and the environment </w:t>
      </w:r>
      <w:r w:rsidRPr="000764D5">
        <w:t xml:space="preserve">and recent recommendations from the National Industrial Notifications </w:t>
      </w:r>
      <w:r w:rsidR="006E0F42">
        <w:t>and Assessment Scheme (NICNAS)</w:t>
      </w:r>
      <w:r w:rsidR="00C626ED">
        <w:t xml:space="preserve"> are available</w:t>
      </w:r>
      <w:r w:rsidR="006E0F42">
        <w:t xml:space="preserve"> </w:t>
      </w:r>
      <w:r w:rsidR="006E0F42" w:rsidRPr="008834E3">
        <w:t xml:space="preserve">(See </w:t>
      </w:r>
      <w:r w:rsidR="005011D6" w:rsidRPr="008834E3">
        <w:t xml:space="preserve">Supporting Document </w:t>
      </w:r>
      <w:r w:rsidR="00C626ED" w:rsidRPr="008834E3">
        <w:t>3</w:t>
      </w:r>
      <w:r w:rsidR="006E0F42" w:rsidRPr="008834E3">
        <w:t xml:space="preserve">). </w:t>
      </w:r>
    </w:p>
    <w:p w14:paraId="62048FAF" w14:textId="77777777" w:rsidR="006D1F87" w:rsidRDefault="006D1F87" w:rsidP="00F91D14">
      <w:pPr>
        <w:pStyle w:val="FSBullet"/>
        <w:numPr>
          <w:ilvl w:val="0"/>
          <w:numId w:val="0"/>
        </w:numPr>
        <w:rPr>
          <w:lang w:bidi="ar-SA"/>
        </w:rPr>
      </w:pPr>
    </w:p>
    <w:p w14:paraId="64092847" w14:textId="77777777" w:rsidR="006D7E47" w:rsidRDefault="00F91D14" w:rsidP="00F91D14">
      <w:pPr>
        <w:pStyle w:val="FSBullet"/>
        <w:numPr>
          <w:ilvl w:val="0"/>
          <w:numId w:val="0"/>
        </w:numPr>
        <w:rPr>
          <w:lang w:bidi="ar-SA"/>
        </w:rPr>
      </w:pPr>
      <w:r w:rsidRPr="004B0DA8">
        <w:rPr>
          <w:lang w:bidi="ar-SA"/>
        </w:rPr>
        <w:t>States, territories and local government retain primary responsibility for implement</w:t>
      </w:r>
      <w:r w:rsidR="00DC45EA">
        <w:rPr>
          <w:lang w:bidi="ar-SA"/>
        </w:rPr>
        <w:t xml:space="preserve">ing </w:t>
      </w:r>
      <w:r w:rsidRPr="004B0DA8">
        <w:rPr>
          <w:lang w:bidi="ar-SA"/>
        </w:rPr>
        <w:t>and manag</w:t>
      </w:r>
      <w:r w:rsidR="00DC45EA">
        <w:rPr>
          <w:lang w:bidi="ar-SA"/>
        </w:rPr>
        <w:t xml:space="preserve">ing </w:t>
      </w:r>
      <w:r w:rsidRPr="004B0DA8">
        <w:rPr>
          <w:lang w:bidi="ar-SA"/>
        </w:rPr>
        <w:t>policies and guidelines relating to chemical management according to their relevant state or territory legislation.</w:t>
      </w:r>
      <w:r w:rsidR="00E14C0D">
        <w:rPr>
          <w:lang w:bidi="ar-SA"/>
        </w:rPr>
        <w:t xml:space="preserve"> </w:t>
      </w:r>
      <w:r w:rsidR="00F03B75" w:rsidRPr="00F03B75">
        <w:rPr>
          <w:lang w:bidi="ar-SA"/>
        </w:rPr>
        <w:t>Environmental health is a state and territory responsibility and the Commonwealth has no legislative powers in this area. However, the Australian Government is actively collaborating at the whole-of-government level to engage state and territory health departments and other appropriate authorities to manage the potential effects of PFAS contamination.</w:t>
      </w:r>
    </w:p>
    <w:p w14:paraId="4E5B27B9" w14:textId="77777777" w:rsidR="00F21AAC" w:rsidRDefault="00F21AAC" w:rsidP="00FC0558">
      <w:pPr>
        <w:widowControl/>
        <w:rPr>
          <w:rFonts w:eastAsia="Calibri"/>
          <w:szCs w:val="22"/>
          <w:lang w:bidi="ar-SA"/>
        </w:rPr>
      </w:pPr>
    </w:p>
    <w:p w14:paraId="1A0FCEAF" w14:textId="77777777" w:rsidR="00FC0558" w:rsidRDefault="00FC0558" w:rsidP="00FC0558">
      <w:pPr>
        <w:widowControl/>
        <w:rPr>
          <w:rFonts w:eastAsia="Calibri"/>
          <w:szCs w:val="22"/>
          <w:lang w:bidi="ar-SA"/>
        </w:rPr>
      </w:pPr>
      <w:r w:rsidRPr="00FC0558">
        <w:rPr>
          <w:rFonts w:eastAsia="Calibri"/>
          <w:szCs w:val="22"/>
          <w:lang w:bidi="ar-SA"/>
        </w:rPr>
        <w:t xml:space="preserve">The Australian Government Department of the Environment is leading development of an Environmental Management Guidance on PFOS and PFOA contamination at Commonwealth sites. It takes into consideration relevant international standards under the Stockholm and Basel Conventions to determine appropriate levels for high content waste disposal, as well as the National Environment Protection (Assessment of Site Contamination) Measure 1999 (as amended in 2013) and The Australian and New Zealand Guidelines for </w:t>
      </w:r>
      <w:r w:rsidRPr="00FC0558">
        <w:rPr>
          <w:rFonts w:eastAsia="Calibri"/>
          <w:szCs w:val="22"/>
          <w:lang w:bidi="ar-SA"/>
        </w:rPr>
        <w:lastRenderedPageBreak/>
        <w:t xml:space="preserve">Fresh and Marine Water Quality where appropriate. The </w:t>
      </w:r>
      <w:r w:rsidR="003C775B">
        <w:rPr>
          <w:rFonts w:eastAsia="Calibri"/>
          <w:szCs w:val="22"/>
          <w:lang w:bidi="ar-SA"/>
        </w:rPr>
        <w:t>g</w:t>
      </w:r>
      <w:r w:rsidRPr="00FC0558">
        <w:rPr>
          <w:rFonts w:eastAsia="Calibri"/>
          <w:szCs w:val="22"/>
          <w:lang w:bidi="ar-SA"/>
        </w:rPr>
        <w:t>uidance will potentially inform national approaches on managing PFOS and PFOA contamination.</w:t>
      </w:r>
    </w:p>
    <w:p w14:paraId="6B78C752" w14:textId="77777777" w:rsidR="00241A5F" w:rsidRDefault="00241A5F" w:rsidP="00FC0558">
      <w:pPr>
        <w:widowControl/>
        <w:rPr>
          <w:rFonts w:eastAsia="Calibri"/>
          <w:szCs w:val="22"/>
          <w:lang w:bidi="ar-SA"/>
        </w:rPr>
      </w:pPr>
    </w:p>
    <w:p w14:paraId="13837407" w14:textId="77777777" w:rsidR="00B7149B" w:rsidRPr="00FC0558" w:rsidRDefault="00241A5F" w:rsidP="00FC0558">
      <w:pPr>
        <w:widowControl/>
        <w:rPr>
          <w:rFonts w:eastAsia="Calibri"/>
          <w:szCs w:val="22"/>
          <w:lang w:bidi="ar-SA"/>
        </w:rPr>
      </w:pPr>
      <w:r w:rsidRPr="00241A5F">
        <w:rPr>
          <w:rFonts w:eastAsia="Calibri"/>
          <w:szCs w:val="22"/>
          <w:lang w:bidi="ar-SA"/>
        </w:rPr>
        <w:t>Defence is researching a number of</w:t>
      </w:r>
      <w:r>
        <w:rPr>
          <w:rFonts w:eastAsia="Calibri"/>
          <w:szCs w:val="22"/>
          <w:lang w:bidi="ar-SA"/>
        </w:rPr>
        <w:t xml:space="preserve"> </w:t>
      </w:r>
      <w:r w:rsidRPr="00241A5F">
        <w:rPr>
          <w:rFonts w:eastAsia="Calibri"/>
          <w:szCs w:val="22"/>
          <w:lang w:bidi="ar-SA"/>
        </w:rPr>
        <w:t>management and remedial techn</w:t>
      </w:r>
      <w:r>
        <w:rPr>
          <w:rFonts w:eastAsia="Calibri"/>
          <w:szCs w:val="22"/>
          <w:lang w:bidi="ar-SA"/>
        </w:rPr>
        <w:t xml:space="preserve">ologies as part of its national </w:t>
      </w:r>
      <w:r w:rsidRPr="00241A5F">
        <w:rPr>
          <w:rFonts w:eastAsia="Calibri"/>
          <w:szCs w:val="22"/>
          <w:lang w:bidi="ar-SA"/>
        </w:rPr>
        <w:t>PFAS Investigation and Management program.</w:t>
      </w:r>
      <w:r w:rsidRPr="00241A5F">
        <w:t xml:space="preserve"> </w:t>
      </w:r>
      <w:r w:rsidRPr="00241A5F">
        <w:rPr>
          <w:rFonts w:eastAsia="Calibri"/>
          <w:szCs w:val="22"/>
          <w:lang w:bidi="ar-SA"/>
        </w:rPr>
        <w:t>Defence’s priority is to engage with industry experts both</w:t>
      </w:r>
      <w:r>
        <w:rPr>
          <w:rFonts w:eastAsia="Calibri"/>
          <w:szCs w:val="22"/>
          <w:lang w:bidi="ar-SA"/>
        </w:rPr>
        <w:t xml:space="preserve"> </w:t>
      </w:r>
      <w:r w:rsidRPr="00241A5F">
        <w:rPr>
          <w:rFonts w:eastAsia="Calibri"/>
          <w:szCs w:val="22"/>
          <w:lang w:bidi="ar-SA"/>
        </w:rPr>
        <w:t>nat</w:t>
      </w:r>
      <w:r>
        <w:rPr>
          <w:rFonts w:eastAsia="Calibri"/>
          <w:szCs w:val="22"/>
          <w:lang w:bidi="ar-SA"/>
        </w:rPr>
        <w:t xml:space="preserve">ionally and internationally, to </w:t>
      </w:r>
      <w:r w:rsidRPr="00241A5F">
        <w:rPr>
          <w:rFonts w:eastAsia="Calibri"/>
          <w:szCs w:val="22"/>
          <w:lang w:bidi="ar-SA"/>
        </w:rPr>
        <w:t>identify the best management</w:t>
      </w:r>
      <w:r>
        <w:rPr>
          <w:rFonts w:eastAsia="Calibri"/>
          <w:szCs w:val="22"/>
          <w:lang w:bidi="ar-SA"/>
        </w:rPr>
        <w:t xml:space="preserve"> </w:t>
      </w:r>
      <w:r w:rsidRPr="00241A5F">
        <w:rPr>
          <w:rFonts w:eastAsia="Calibri"/>
          <w:szCs w:val="22"/>
          <w:lang w:bidi="ar-SA"/>
        </w:rPr>
        <w:t>and remedial options for PFAS.</w:t>
      </w:r>
    </w:p>
    <w:p w14:paraId="3506DEED" w14:textId="77777777" w:rsidR="006D7E47" w:rsidRDefault="00F91D14" w:rsidP="00F91D14">
      <w:pPr>
        <w:pStyle w:val="Heading3"/>
      </w:pPr>
      <w:bookmarkStart w:id="34" w:name="_Toc475953975"/>
      <w:r>
        <w:t>4.1</w:t>
      </w:r>
      <w:r>
        <w:tab/>
        <w:t>Interim at</w:t>
      </w:r>
      <w:r w:rsidR="00C8425E">
        <w:t>-</w:t>
      </w:r>
      <w:r>
        <w:t>site risk management measures for PFAS</w:t>
      </w:r>
      <w:bookmarkEnd w:id="34"/>
      <w:r>
        <w:t xml:space="preserve"> </w:t>
      </w:r>
    </w:p>
    <w:p w14:paraId="63A2EE48" w14:textId="77777777" w:rsidR="005E3C49" w:rsidRDefault="000A4855" w:rsidP="000A4855">
      <w:pPr>
        <w:rPr>
          <w:rFonts w:eastAsia="Calibri"/>
          <w:szCs w:val="22"/>
          <w:lang w:bidi="ar-SA"/>
        </w:rPr>
      </w:pPr>
      <w:r>
        <w:t>D</w:t>
      </w:r>
      <w:r w:rsidRPr="00E42A89">
        <w:t xml:space="preserve">rinking or consumption of </w:t>
      </w:r>
      <w:r w:rsidR="002B78CA">
        <w:t xml:space="preserve">surface and </w:t>
      </w:r>
      <w:r w:rsidRPr="00E42A89">
        <w:t xml:space="preserve">groundwater is a major exposure pathway for contamination </w:t>
      </w:r>
      <w:r w:rsidR="002B78CA">
        <w:rPr>
          <w:rFonts w:eastAsia="Calibri"/>
          <w:szCs w:val="22"/>
          <w:lang w:bidi="ar-SA"/>
        </w:rPr>
        <w:t xml:space="preserve">in animals and contamination may occur in crops grown using this water. </w:t>
      </w:r>
    </w:p>
    <w:p w14:paraId="7C9C253B" w14:textId="77777777" w:rsidR="00CC6EA2" w:rsidRDefault="002B78CA" w:rsidP="000A4855">
      <w:r>
        <w:rPr>
          <w:rFonts w:eastAsia="Calibri"/>
          <w:szCs w:val="22"/>
          <w:lang w:bidi="ar-SA"/>
        </w:rPr>
        <w:t xml:space="preserve">Precautionary advice has been given that </w:t>
      </w:r>
      <w:r w:rsidRPr="00E42A89">
        <w:t>i</w:t>
      </w:r>
      <w:r w:rsidR="000A4855" w:rsidRPr="00E42A89">
        <w:t>ncidental swallowing, particularly by children, should be avoided when showering, bathing and swimming in groundwater or surface water.</w:t>
      </w:r>
      <w:r w:rsidR="000A4855">
        <w:t xml:space="preserve"> </w:t>
      </w:r>
    </w:p>
    <w:p w14:paraId="0D4D49EA" w14:textId="77777777" w:rsidR="002A2515" w:rsidRDefault="002A2515" w:rsidP="000A4855"/>
    <w:p w14:paraId="691944B0" w14:textId="77777777" w:rsidR="000A4855" w:rsidRDefault="005E3C49" w:rsidP="000A4855">
      <w:r>
        <w:t>For residents at Williamtown and Oakey p</w:t>
      </w:r>
      <w:r w:rsidR="000A4855" w:rsidRPr="00E42A89">
        <w:t>recautionary advice</w:t>
      </w:r>
      <w:r w:rsidR="000A4855">
        <w:t xml:space="preserve"> to </w:t>
      </w:r>
      <w:r w:rsidR="000A4855" w:rsidRPr="00E42A89">
        <w:t xml:space="preserve">residents to moderate their consumption of home grown fruit and vegetables, </w:t>
      </w:r>
      <w:r>
        <w:t xml:space="preserve">fish, </w:t>
      </w:r>
      <w:r w:rsidR="000A4855" w:rsidRPr="00E42A89">
        <w:t xml:space="preserve">meat and poultry </w:t>
      </w:r>
      <w:r w:rsidR="003C775B">
        <w:t xml:space="preserve">are currently in place </w:t>
      </w:r>
      <w:r w:rsidR="000A4855" w:rsidRPr="00E42A89">
        <w:t>while further work and analysis is undertaken by Defence</w:t>
      </w:r>
      <w:r>
        <w:t xml:space="preserve">. </w:t>
      </w:r>
    </w:p>
    <w:p w14:paraId="096CF400" w14:textId="77777777" w:rsidR="000A4855" w:rsidRDefault="000A4855" w:rsidP="000A4855"/>
    <w:p w14:paraId="33D9523B" w14:textId="77777777" w:rsidR="00851352" w:rsidRPr="00777F83" w:rsidRDefault="00851352" w:rsidP="00851352">
      <w:pPr>
        <w:pStyle w:val="FRSCBullet"/>
        <w:numPr>
          <w:ilvl w:val="0"/>
          <w:numId w:val="0"/>
        </w:numPr>
        <w:rPr>
          <w:rFonts w:ascii="Arial" w:hAnsi="Arial" w:cs="Arial"/>
          <w:sz w:val="22"/>
          <w:szCs w:val="22"/>
        </w:rPr>
      </w:pPr>
      <w:r w:rsidRPr="00777F83">
        <w:rPr>
          <w:rFonts w:ascii="Arial" w:hAnsi="Arial" w:cs="Arial"/>
          <w:sz w:val="22"/>
          <w:szCs w:val="22"/>
        </w:rPr>
        <w:t>As a precautio</w:t>
      </w:r>
      <w:r>
        <w:rPr>
          <w:rFonts w:ascii="Arial" w:hAnsi="Arial" w:cs="Arial"/>
          <w:sz w:val="22"/>
          <w:szCs w:val="22"/>
        </w:rPr>
        <w:t xml:space="preserve">nary measure </w:t>
      </w:r>
      <w:r w:rsidRPr="00777F83">
        <w:rPr>
          <w:rFonts w:ascii="Arial" w:hAnsi="Arial" w:cs="Arial"/>
          <w:sz w:val="22"/>
          <w:szCs w:val="22"/>
        </w:rPr>
        <w:t>Defence continues to provide alternative sources of drinking water to properties in the Oakey area that do not use town water for drinking purposes.</w:t>
      </w:r>
    </w:p>
    <w:p w14:paraId="33347E0C" w14:textId="77777777" w:rsidR="000A4855" w:rsidRDefault="000A4855" w:rsidP="000A4855">
      <w:pPr>
        <w:pStyle w:val="FRSCBullet"/>
        <w:numPr>
          <w:ilvl w:val="0"/>
          <w:numId w:val="0"/>
        </w:numPr>
        <w:rPr>
          <w:rFonts w:ascii="Arial" w:hAnsi="Arial" w:cs="Arial"/>
          <w:sz w:val="22"/>
          <w:szCs w:val="22"/>
        </w:rPr>
      </w:pPr>
      <w:r w:rsidRPr="006C6903">
        <w:rPr>
          <w:rFonts w:ascii="Arial" w:hAnsi="Arial" w:cs="Arial"/>
          <w:sz w:val="22"/>
          <w:szCs w:val="22"/>
        </w:rPr>
        <w:t>Defence has implemented a National PFAS Environmental Management Program and has undertaken environmental site assessments and human health risk assessments at the RAAF Base Williamtown, NSW</w:t>
      </w:r>
      <w:r w:rsidR="00092D33">
        <w:rPr>
          <w:rFonts w:ascii="Arial" w:hAnsi="Arial" w:cs="Arial"/>
          <w:sz w:val="22"/>
          <w:szCs w:val="22"/>
        </w:rPr>
        <w:t xml:space="preserve"> </w:t>
      </w:r>
      <w:r w:rsidRPr="006C6903">
        <w:rPr>
          <w:rFonts w:ascii="Arial" w:hAnsi="Arial" w:cs="Arial"/>
          <w:sz w:val="22"/>
          <w:szCs w:val="22"/>
        </w:rPr>
        <w:t>and the Army Aviation Centre at Oakey, Q</w:t>
      </w:r>
      <w:r w:rsidR="00C8425E">
        <w:rPr>
          <w:rFonts w:ascii="Arial" w:hAnsi="Arial" w:cs="Arial"/>
          <w:sz w:val="22"/>
          <w:szCs w:val="22"/>
        </w:rPr>
        <w:t>ld</w:t>
      </w:r>
      <w:r w:rsidRPr="006C6903">
        <w:rPr>
          <w:rFonts w:ascii="Arial" w:hAnsi="Arial" w:cs="Arial"/>
          <w:sz w:val="22"/>
          <w:szCs w:val="22"/>
        </w:rPr>
        <w:t>.</w:t>
      </w:r>
    </w:p>
    <w:p w14:paraId="7FD45950" w14:textId="77777777" w:rsidR="00A300D4" w:rsidRDefault="00A300D4" w:rsidP="00A300D4">
      <w:pPr>
        <w:pStyle w:val="FSBullet1"/>
        <w:numPr>
          <w:ilvl w:val="0"/>
          <w:numId w:val="0"/>
        </w:numPr>
      </w:pPr>
      <w:r w:rsidRPr="00B418F1">
        <w:rPr>
          <w:szCs w:val="22"/>
          <w:lang w:val="en-AU"/>
        </w:rPr>
        <w:t>Formulation changes in fire-fighting foams have been made at civilian airports.</w:t>
      </w:r>
      <w:r>
        <w:rPr>
          <w:szCs w:val="22"/>
        </w:rPr>
        <w:t xml:space="preserve"> </w:t>
      </w:r>
      <w:r>
        <w:t xml:space="preserve">In 2014, Airservices and the Department of Infrastructure and Regional Development (DIRD) engaged GHD Pty Ltd to develop a risk-based framework, ‘Managing </w:t>
      </w:r>
      <w:r w:rsidR="007F2367" w:rsidRPr="007F2367">
        <w:t>Perfluorinated compounds</w:t>
      </w:r>
      <w:r w:rsidR="007F2367">
        <w:t xml:space="preserve"> </w:t>
      </w:r>
      <w:r w:rsidR="00E604B5">
        <w:t>c</w:t>
      </w:r>
      <w:r>
        <w:t xml:space="preserve">ontamination at Airports’, to guide decision-making when dealing with contamination issues on airport sites. </w:t>
      </w:r>
    </w:p>
    <w:p w14:paraId="107352CB" w14:textId="77777777" w:rsidR="00E609B9" w:rsidRDefault="00E609B9" w:rsidP="006D7E47">
      <w:pPr>
        <w:pStyle w:val="FSBullet1"/>
        <w:numPr>
          <w:ilvl w:val="0"/>
          <w:numId w:val="0"/>
        </w:numPr>
      </w:pPr>
    </w:p>
    <w:p w14:paraId="333BEB9F" w14:textId="77777777" w:rsidR="00610FF4" w:rsidRDefault="006D7E47" w:rsidP="00092AFB">
      <w:pPr>
        <w:pStyle w:val="FSBullet1"/>
        <w:numPr>
          <w:ilvl w:val="0"/>
          <w:numId w:val="0"/>
        </w:numPr>
      </w:pPr>
      <w:r>
        <w:t>The framework was finalised in June 2015.</w:t>
      </w:r>
      <w:r w:rsidR="002B78CA">
        <w:t xml:space="preserve"> </w:t>
      </w:r>
      <w:r>
        <w:t xml:space="preserve">GHD reviewed international screening levels and other guidance to develop screening levels that could be used in this management framework. Airservices has adopted this framework in its </w:t>
      </w:r>
      <w:r w:rsidR="002C4499">
        <w:t>civilian</w:t>
      </w:r>
      <w:r w:rsidR="00047D19">
        <w:t xml:space="preserve"> </w:t>
      </w:r>
      <w:r>
        <w:t xml:space="preserve">operations nationally. The framework has been provided by Airservices to DIRD, and it has subsequently been distributed to the airport lessee companies and DIRD’s Airport Environment Officers as well as the Department of the Environment and the Department of Health. </w:t>
      </w:r>
      <w:r w:rsidR="00985860">
        <w:t>However, t</w:t>
      </w:r>
      <w:r>
        <w:t>he draft interim framework and screening levels have no regulatory authority</w:t>
      </w:r>
      <w:r w:rsidR="00E609B9">
        <w:rPr>
          <w:rStyle w:val="FootnoteReference"/>
        </w:rPr>
        <w:footnoteReference w:id="3"/>
      </w:r>
      <w:r w:rsidR="00985860">
        <w:t xml:space="preserve">. </w:t>
      </w:r>
    </w:p>
    <w:p w14:paraId="1CCAFD3E" w14:textId="77777777" w:rsidR="00D5748A" w:rsidRPr="000F5AD0" w:rsidRDefault="00B67907" w:rsidP="00B67907">
      <w:pPr>
        <w:pStyle w:val="Heading3"/>
      </w:pPr>
      <w:bookmarkStart w:id="35" w:name="_Toc475953976"/>
      <w:r>
        <w:t>4.2</w:t>
      </w:r>
      <w:r w:rsidR="000F5AD0" w:rsidRPr="000F5AD0">
        <w:tab/>
      </w:r>
      <w:r w:rsidR="00EC20F7" w:rsidRPr="000F5AD0">
        <w:t>Potential risk management measures</w:t>
      </w:r>
      <w:bookmarkEnd w:id="35"/>
      <w:r w:rsidR="00EC20F7" w:rsidRPr="000F5AD0">
        <w:t xml:space="preserve"> </w:t>
      </w:r>
    </w:p>
    <w:p w14:paraId="3261FC21" w14:textId="77777777" w:rsidR="00FE0491" w:rsidRDefault="00FE0491" w:rsidP="00FE0491">
      <w:pPr>
        <w:rPr>
          <w:rFonts w:eastAsia="Calibri"/>
          <w:lang w:bidi="ar-SA"/>
        </w:rPr>
      </w:pPr>
      <w:r w:rsidRPr="009F7ED0">
        <w:rPr>
          <w:rFonts w:eastAsia="Calibri"/>
          <w:lang w:bidi="ar-SA"/>
        </w:rPr>
        <w:t>Legislative requirements in Australia and New Zealand, including state and territory Food Acts, aim to keep food safe and suitable.</w:t>
      </w:r>
      <w:r w:rsidRPr="009F7ED0">
        <w:rPr>
          <w:sz w:val="20"/>
        </w:rPr>
        <w:t xml:space="preserve"> </w:t>
      </w:r>
      <w:r w:rsidRPr="009F7ED0">
        <w:rPr>
          <w:rFonts w:eastAsia="Calibri"/>
          <w:lang w:bidi="ar-SA"/>
        </w:rPr>
        <w:t>State and territory Food Acts and the New Zealand Food Act contain general provisions that make it an offence to sell</w:t>
      </w:r>
      <w:r>
        <w:rPr>
          <w:rFonts w:eastAsia="Calibri"/>
          <w:lang w:bidi="ar-SA"/>
        </w:rPr>
        <w:t xml:space="preserve"> food</w:t>
      </w:r>
      <w:r w:rsidRPr="009F7ED0">
        <w:rPr>
          <w:rFonts w:eastAsia="Calibri"/>
          <w:lang w:bidi="ar-SA"/>
        </w:rPr>
        <w:t xml:space="preserve"> that is unsafe, and food businesses must comply with requirements in the </w:t>
      </w:r>
      <w:r>
        <w:rPr>
          <w:rFonts w:eastAsia="Calibri"/>
          <w:lang w:bidi="ar-SA"/>
        </w:rPr>
        <w:t xml:space="preserve">Code. </w:t>
      </w:r>
    </w:p>
    <w:p w14:paraId="74125833" w14:textId="77777777" w:rsidR="00FE0491" w:rsidRDefault="00FE0491" w:rsidP="00FE0491">
      <w:pPr>
        <w:rPr>
          <w:rFonts w:eastAsia="Calibri"/>
          <w:lang w:bidi="ar-SA"/>
        </w:rPr>
      </w:pPr>
    </w:p>
    <w:p w14:paraId="7ECE910A" w14:textId="77777777" w:rsidR="00FE0491" w:rsidRPr="008834DC" w:rsidRDefault="00FE0491" w:rsidP="00FE0491">
      <w:r>
        <w:t xml:space="preserve">The </w:t>
      </w:r>
      <w:r w:rsidRPr="008834DC">
        <w:t>Code contains food standards which have been developed, approved and gazetted by FSANZ</w:t>
      </w:r>
      <w:r>
        <w:t xml:space="preserve">. </w:t>
      </w:r>
      <w:r w:rsidRPr="008834DC">
        <w:t xml:space="preserve">The Code applies to all food sold or prepared for sale in Australia and New Zealand (except where specified ‘Australia </w:t>
      </w:r>
      <w:r>
        <w:t xml:space="preserve">or New Zealand </w:t>
      </w:r>
      <w:r w:rsidRPr="008834DC">
        <w:t>only’)</w:t>
      </w:r>
      <w:r>
        <w:t xml:space="preserve">. </w:t>
      </w:r>
      <w:r w:rsidRPr="008834DC">
        <w:t xml:space="preserve">In accordance with </w:t>
      </w:r>
      <w:r w:rsidR="003C775B">
        <w:t>s</w:t>
      </w:r>
      <w:r w:rsidRPr="008834DC">
        <w:t xml:space="preserve">tate, </w:t>
      </w:r>
      <w:r w:rsidR="003C775B">
        <w:t>t</w:t>
      </w:r>
      <w:r w:rsidRPr="008834DC">
        <w:t>erritory and New Zealand food legislation, it is an offence to supply food that does not comply with the Code</w:t>
      </w:r>
      <w:r>
        <w:t xml:space="preserve">. </w:t>
      </w:r>
    </w:p>
    <w:p w14:paraId="559F17DB" w14:textId="77777777" w:rsidR="00FE0491" w:rsidRDefault="00FE0491" w:rsidP="00FE0491"/>
    <w:p w14:paraId="536303B3" w14:textId="77777777" w:rsidR="00FE0491" w:rsidRDefault="00FE0491" w:rsidP="00FE0491">
      <w:r>
        <w:lastRenderedPageBreak/>
        <w:t xml:space="preserve">The standard of direct relevance to PFAS is Standard 1.4.1 Contaminants and Natural Toxicants. This Standard sets out the maximum levels (MLs) of specified metal and non-metal contaminants and natural toxicants in specific foods. However, there are no limits prescribed for PFOA, PFOS or PFHxS in the Standard. In setting MLs in the Code, FSANZ adheres to agreed policy principles as detailed in </w:t>
      </w:r>
      <w:r w:rsidR="005011D6" w:rsidRPr="00431EF9">
        <w:t xml:space="preserve">Supporting Document </w:t>
      </w:r>
      <w:r w:rsidR="002B78CA" w:rsidRPr="00431EF9">
        <w:t>4</w:t>
      </w:r>
      <w:r w:rsidRPr="00431EF9">
        <w:t xml:space="preserve">. </w:t>
      </w:r>
    </w:p>
    <w:p w14:paraId="1891CD63" w14:textId="77777777" w:rsidR="00FE0491" w:rsidRDefault="00FE0491" w:rsidP="00BC6C3D"/>
    <w:p w14:paraId="2C80FCE6" w14:textId="77777777" w:rsidR="001300A2" w:rsidRDefault="001300A2" w:rsidP="001300A2">
      <w:r>
        <w:t xml:space="preserve">FSANZ has limited data on the occurrence of PFAS in the general food supply; therefore, it was not possible to calculate dietary exposure for the general Australian population. </w:t>
      </w:r>
      <w:r w:rsidR="002B78CA">
        <w:t>B</w:t>
      </w:r>
      <w:r>
        <w:t>ased on the limited data available from the 24th ATDS, recent data in imported seafood and prawns and a review of the literature, dietary exposure to PFOS, PFOA and PFHxS from the general food supply is likely to be low.</w:t>
      </w:r>
    </w:p>
    <w:p w14:paraId="6B72C44A" w14:textId="77777777" w:rsidR="001300A2" w:rsidRDefault="001300A2" w:rsidP="001300A2"/>
    <w:p w14:paraId="2CE148B0" w14:textId="77777777" w:rsidR="001300A2" w:rsidRDefault="001300A2" w:rsidP="001300A2">
      <w:pPr>
        <w:rPr>
          <w:rFonts w:eastAsia="Calibri"/>
          <w:szCs w:val="22"/>
          <w:lang w:bidi="ar-SA"/>
        </w:rPr>
      </w:pPr>
      <w:r>
        <w:t xml:space="preserve">However, </w:t>
      </w:r>
      <w:r>
        <w:rPr>
          <w:rFonts w:eastAsia="Calibri"/>
          <w:szCs w:val="22"/>
          <w:lang w:bidi="ar-SA"/>
        </w:rPr>
        <w:t xml:space="preserve">consumers of </w:t>
      </w:r>
      <w:r w:rsidRPr="00BD309D">
        <w:rPr>
          <w:rFonts w:eastAsia="Calibri"/>
          <w:szCs w:val="22"/>
          <w:lang w:bidi="ar-SA"/>
        </w:rPr>
        <w:t xml:space="preserve">contaminated food </w:t>
      </w:r>
      <w:r>
        <w:rPr>
          <w:rFonts w:eastAsia="Calibri"/>
          <w:szCs w:val="22"/>
          <w:lang w:bidi="ar-SA"/>
        </w:rPr>
        <w:t xml:space="preserve">(using data from contaminated sites) </w:t>
      </w:r>
      <w:r w:rsidRPr="00BD309D">
        <w:rPr>
          <w:rFonts w:eastAsia="Calibri"/>
          <w:szCs w:val="22"/>
          <w:lang w:bidi="ar-SA"/>
        </w:rPr>
        <w:t xml:space="preserve">may reach the TDI when they consume their usual amounts of that food. </w:t>
      </w:r>
      <w:r>
        <w:rPr>
          <w:rFonts w:eastAsia="Calibri"/>
          <w:szCs w:val="22"/>
          <w:lang w:bidi="ar-SA"/>
        </w:rPr>
        <w:t xml:space="preserve">This was relevant for populations (including children) consuming foods contaminated with </w:t>
      </w:r>
      <w:r w:rsidRPr="00440907">
        <w:rPr>
          <w:rFonts w:eastAsia="Calibri"/>
          <w:szCs w:val="22"/>
          <w:lang w:bidi="ar-SA"/>
        </w:rPr>
        <w:t xml:space="preserve">PFOS and </w:t>
      </w:r>
    </w:p>
    <w:p w14:paraId="59AE60E0" w14:textId="77777777" w:rsidR="001300A2" w:rsidRDefault="001300A2" w:rsidP="001300A2">
      <w:pPr>
        <w:rPr>
          <w:rFonts w:eastAsia="Calibri"/>
          <w:szCs w:val="22"/>
          <w:lang w:bidi="ar-SA"/>
        </w:rPr>
      </w:pPr>
      <w:r w:rsidRPr="00440907">
        <w:rPr>
          <w:rFonts w:eastAsia="Calibri"/>
          <w:szCs w:val="22"/>
          <w:lang w:bidi="ar-SA"/>
        </w:rPr>
        <w:t>PFOS + PFHxS</w:t>
      </w:r>
      <w:r w:rsidR="00B66F70">
        <w:rPr>
          <w:rFonts w:eastAsia="Calibri"/>
          <w:szCs w:val="22"/>
          <w:lang w:bidi="ar-SA"/>
        </w:rPr>
        <w:t xml:space="preserve"> (see Supporting Document 2)</w:t>
      </w:r>
      <w:r>
        <w:rPr>
          <w:rFonts w:eastAsia="Calibri"/>
          <w:szCs w:val="22"/>
          <w:lang w:bidi="ar-SA"/>
        </w:rPr>
        <w:t xml:space="preserve">. </w:t>
      </w:r>
    </w:p>
    <w:p w14:paraId="11C76285" w14:textId="77777777" w:rsidR="00BC6C3D" w:rsidRPr="00466515" w:rsidRDefault="00BC6C3D" w:rsidP="008F433F">
      <w:pPr>
        <w:pStyle w:val="Heading4"/>
        <w:ind w:left="0" w:firstLine="0"/>
        <w:rPr>
          <w:rFonts w:eastAsia="MS Gothic"/>
          <w:b w:val="0"/>
        </w:rPr>
      </w:pPr>
      <w:r w:rsidRPr="00466515">
        <w:rPr>
          <w:rFonts w:eastAsia="MS Gothic"/>
          <w:b w:val="0"/>
        </w:rPr>
        <w:t xml:space="preserve">Prescriptive approach </w:t>
      </w:r>
    </w:p>
    <w:p w14:paraId="291B466F" w14:textId="77777777" w:rsidR="001606D1" w:rsidRDefault="00BC6C3D" w:rsidP="005011D6">
      <w:pPr>
        <w:rPr>
          <w:rFonts w:cs="Arial"/>
          <w:lang w:bidi="ar-SA"/>
        </w:rPr>
      </w:pPr>
      <w:r w:rsidRPr="00466515">
        <w:rPr>
          <w:rFonts w:eastAsia="MS Gothic"/>
        </w:rPr>
        <w:t xml:space="preserve">FSANZ </w:t>
      </w:r>
      <w:r w:rsidR="002B78CA" w:rsidRPr="00466515">
        <w:rPr>
          <w:rFonts w:eastAsia="MS Gothic"/>
        </w:rPr>
        <w:t xml:space="preserve">does not have sufficient information at this stage to </w:t>
      </w:r>
      <w:r w:rsidRPr="00466515">
        <w:rPr>
          <w:rFonts w:eastAsia="MS Gothic"/>
        </w:rPr>
        <w:t xml:space="preserve">consider whether a prescriptive approach would be appropriate by </w:t>
      </w:r>
      <w:r w:rsidR="00C327DF" w:rsidRPr="00466515">
        <w:rPr>
          <w:rFonts w:eastAsia="MS Gothic"/>
        </w:rPr>
        <w:t xml:space="preserve">proposing </w:t>
      </w:r>
      <w:r w:rsidR="000A0F29" w:rsidRPr="00466515">
        <w:rPr>
          <w:rFonts w:eastAsia="MS Gothic"/>
        </w:rPr>
        <w:t>ML</w:t>
      </w:r>
      <w:r w:rsidR="00C327DF" w:rsidRPr="00466515">
        <w:rPr>
          <w:rFonts w:eastAsia="MS Gothic"/>
        </w:rPr>
        <w:t>s</w:t>
      </w:r>
      <w:r w:rsidR="001606D1" w:rsidRPr="00466515">
        <w:rPr>
          <w:rFonts w:eastAsia="MS Gothic"/>
        </w:rPr>
        <w:t xml:space="preserve"> in the Code to minimise/control</w:t>
      </w:r>
      <w:r w:rsidR="00C327DF" w:rsidRPr="00466515">
        <w:rPr>
          <w:rFonts w:eastAsia="MS Gothic"/>
        </w:rPr>
        <w:t xml:space="preserve"> </w:t>
      </w:r>
      <w:r w:rsidR="00267E03" w:rsidRPr="00466515">
        <w:rPr>
          <w:rFonts w:eastAsia="MS Gothic"/>
        </w:rPr>
        <w:t xml:space="preserve">dietary </w:t>
      </w:r>
      <w:r w:rsidR="00C327DF" w:rsidRPr="00466515">
        <w:rPr>
          <w:rFonts w:eastAsia="MS Gothic"/>
        </w:rPr>
        <w:t>exposure from</w:t>
      </w:r>
      <w:r w:rsidR="001606D1" w:rsidRPr="00466515">
        <w:rPr>
          <w:rFonts w:eastAsia="MS Gothic"/>
        </w:rPr>
        <w:t xml:space="preserve"> </w:t>
      </w:r>
      <w:r w:rsidR="00171035" w:rsidRPr="00466515">
        <w:rPr>
          <w:rFonts w:eastAsia="MS Gothic"/>
        </w:rPr>
        <w:t xml:space="preserve">PFAS </w:t>
      </w:r>
      <w:r w:rsidR="001606D1" w:rsidRPr="00466515">
        <w:rPr>
          <w:rFonts w:eastAsia="MS Gothic"/>
        </w:rPr>
        <w:t xml:space="preserve">contamination. </w:t>
      </w:r>
    </w:p>
    <w:p w14:paraId="1669DA0E" w14:textId="77777777" w:rsidR="00E73DD4" w:rsidRPr="00466515" w:rsidRDefault="00E73DD4" w:rsidP="005011D6">
      <w:pPr>
        <w:rPr>
          <w:rFonts w:eastAsia="MS Gothic"/>
        </w:rPr>
      </w:pPr>
    </w:p>
    <w:p w14:paraId="75DF1ABB" w14:textId="77777777" w:rsidR="00E73DD4" w:rsidRPr="00466515" w:rsidRDefault="00E73DD4" w:rsidP="005011D6">
      <w:pPr>
        <w:rPr>
          <w:rFonts w:eastAsia="MS Gothic"/>
        </w:rPr>
      </w:pPr>
      <w:r w:rsidRPr="00466515">
        <w:rPr>
          <w:rFonts w:eastAsia="MS Gothic"/>
        </w:rPr>
        <w:t>Furthermore, for FSANZ to set a ML we would also have to consider the following broader issues:</w:t>
      </w:r>
    </w:p>
    <w:p w14:paraId="0B117B5D" w14:textId="77777777" w:rsidR="008F433F" w:rsidRPr="00466515" w:rsidRDefault="008F433F" w:rsidP="00B43E5F">
      <w:pPr>
        <w:rPr>
          <w:rFonts w:eastAsia="MS Gothic"/>
        </w:rPr>
      </w:pPr>
    </w:p>
    <w:p w14:paraId="38B642FA" w14:textId="77777777" w:rsidR="008F433F" w:rsidRPr="00466515" w:rsidRDefault="0082753F" w:rsidP="00D6052B">
      <w:pPr>
        <w:pStyle w:val="ListParagraph"/>
        <w:numPr>
          <w:ilvl w:val="0"/>
          <w:numId w:val="13"/>
        </w:numPr>
        <w:ind w:left="360"/>
        <w:rPr>
          <w:rFonts w:eastAsia="MS Gothic"/>
        </w:rPr>
      </w:pPr>
      <w:r w:rsidRPr="00466515">
        <w:rPr>
          <w:rFonts w:eastAsia="MS Gothic"/>
        </w:rPr>
        <w:t>The</w:t>
      </w:r>
      <w:r w:rsidR="002B78CA" w:rsidRPr="00466515">
        <w:rPr>
          <w:rFonts w:eastAsia="MS Gothic"/>
        </w:rPr>
        <w:t xml:space="preserve"> </w:t>
      </w:r>
      <w:r w:rsidR="00FD7DB9" w:rsidRPr="00466515">
        <w:rPr>
          <w:rFonts w:eastAsia="MS Gothic"/>
        </w:rPr>
        <w:t>types of commodities (crops/foods) produced in the potentially contaminated areas including their volume, value and where they are sold (domestic or international).</w:t>
      </w:r>
      <w:r w:rsidR="006A3537" w:rsidRPr="00466515">
        <w:rPr>
          <w:rFonts w:eastAsia="MS Gothic"/>
        </w:rPr>
        <w:t xml:space="preserve"> </w:t>
      </w:r>
    </w:p>
    <w:p w14:paraId="43344065" w14:textId="77777777" w:rsidR="008F433F" w:rsidRPr="00466515" w:rsidRDefault="008F433F" w:rsidP="008F433F">
      <w:pPr>
        <w:pStyle w:val="ListParagraph"/>
        <w:rPr>
          <w:rFonts w:eastAsia="MS Gothic"/>
        </w:rPr>
      </w:pPr>
    </w:p>
    <w:p w14:paraId="469738C9" w14:textId="77777777" w:rsidR="00C65B19" w:rsidRPr="00466515" w:rsidRDefault="0082753F" w:rsidP="00D6052B">
      <w:pPr>
        <w:pStyle w:val="ListParagraph"/>
        <w:numPr>
          <w:ilvl w:val="0"/>
          <w:numId w:val="13"/>
        </w:numPr>
        <w:ind w:left="360"/>
        <w:rPr>
          <w:rFonts w:eastAsia="MS Gothic"/>
        </w:rPr>
      </w:pPr>
      <w:r w:rsidRPr="00466515">
        <w:rPr>
          <w:rFonts w:eastAsia="MS Gothic"/>
        </w:rPr>
        <w:t>The</w:t>
      </w:r>
      <w:r w:rsidR="00FD7DB9" w:rsidRPr="00466515">
        <w:rPr>
          <w:rFonts w:eastAsia="MS Gothic"/>
        </w:rPr>
        <w:t xml:space="preserve"> costs and benefits of </w:t>
      </w:r>
      <w:r w:rsidR="002B78CA" w:rsidRPr="00466515">
        <w:rPr>
          <w:rFonts w:eastAsia="MS Gothic"/>
        </w:rPr>
        <w:t xml:space="preserve">establishing </w:t>
      </w:r>
      <w:r w:rsidR="00FD7DB9" w:rsidRPr="00466515">
        <w:rPr>
          <w:rFonts w:eastAsia="MS Gothic"/>
        </w:rPr>
        <w:t>a ML</w:t>
      </w:r>
      <w:r w:rsidR="0071793D" w:rsidRPr="00466515">
        <w:rPr>
          <w:rFonts w:eastAsia="MS Gothic"/>
        </w:rPr>
        <w:t xml:space="preserve"> via a Regulatory Impact Analysis</w:t>
      </w:r>
      <w:r w:rsidR="00FD7DB9" w:rsidRPr="00466515">
        <w:rPr>
          <w:rFonts w:eastAsia="MS Gothic"/>
        </w:rPr>
        <w:t xml:space="preserve">. </w:t>
      </w:r>
    </w:p>
    <w:p w14:paraId="326A458C" w14:textId="77777777" w:rsidR="000A0F29" w:rsidRPr="000A0F29" w:rsidRDefault="000A0F29" w:rsidP="005647D9">
      <w:pPr>
        <w:pStyle w:val="Heading5"/>
      </w:pPr>
      <w:r w:rsidRPr="000A0F29">
        <w:t xml:space="preserve">Non-regulatory measures </w:t>
      </w:r>
    </w:p>
    <w:p w14:paraId="31FACD20" w14:textId="77777777" w:rsidR="00B431A3" w:rsidRDefault="00BC6C3D" w:rsidP="00B431A3">
      <w:pPr>
        <w:widowControl/>
      </w:pPr>
      <w:r>
        <w:t xml:space="preserve">Another option considered was </w:t>
      </w:r>
      <w:r w:rsidR="00CC7CB1">
        <w:t xml:space="preserve">providing </w:t>
      </w:r>
      <w:r>
        <w:t>advice on consumption of food and</w:t>
      </w:r>
      <w:r w:rsidRPr="00F21930">
        <w:t xml:space="preserve"> </w:t>
      </w:r>
      <w:r w:rsidR="00EC61C6" w:rsidRPr="00EC61C6">
        <w:t xml:space="preserve">trigger points for investigation </w:t>
      </w:r>
      <w:r w:rsidR="00EC61C6">
        <w:t>l</w:t>
      </w:r>
      <w:r>
        <w:t>evels. T</w:t>
      </w:r>
      <w:r w:rsidRPr="00D45548">
        <w:t xml:space="preserve">he amount of individual foods or food groups that could be consumed at the reported concentration levels for PFOS, PFOA and PFHxS without exceeding the relevant TDI </w:t>
      </w:r>
      <w:r w:rsidR="008C3A16">
        <w:t>derived</w:t>
      </w:r>
      <w:r w:rsidR="008C3A16" w:rsidRPr="00D45548">
        <w:t xml:space="preserve"> </w:t>
      </w:r>
      <w:r w:rsidRPr="00D45548">
        <w:t xml:space="preserve">by FSANZ was calculated for populations </w:t>
      </w:r>
      <w:r w:rsidR="008C3A16">
        <w:t>consuming foods sourced from or near</w:t>
      </w:r>
      <w:r>
        <w:t xml:space="preserve"> contaminated sites</w:t>
      </w:r>
      <w:r w:rsidRPr="00D45548">
        <w:t>.</w:t>
      </w:r>
      <w:r w:rsidR="001C7B60">
        <w:t xml:space="preserve"> </w:t>
      </w:r>
    </w:p>
    <w:p w14:paraId="7D9C001D" w14:textId="77777777" w:rsidR="000C2AEB" w:rsidRPr="001C7B60" w:rsidRDefault="000C2AEB" w:rsidP="00B431A3">
      <w:pPr>
        <w:widowControl/>
      </w:pPr>
      <w:r>
        <w:t xml:space="preserve">These calculations could lead to consideration of targeted consumer advice by risk managers in the states/territories, </w:t>
      </w:r>
      <w:r w:rsidRPr="00F62E7A">
        <w:rPr>
          <w:rFonts w:cs="Arial"/>
          <w:lang w:bidi="ar-SA"/>
        </w:rPr>
        <w:t xml:space="preserve">similar to </w:t>
      </w:r>
      <w:r w:rsidR="006F4C89">
        <w:rPr>
          <w:rFonts w:cs="Arial"/>
          <w:lang w:bidi="ar-SA"/>
        </w:rPr>
        <w:t xml:space="preserve">the interim advice being provided to populations living near </w:t>
      </w:r>
      <w:r w:rsidR="00B66F70">
        <w:rPr>
          <w:rFonts w:cs="Arial"/>
          <w:lang w:bidi="ar-SA"/>
        </w:rPr>
        <w:t xml:space="preserve">to </w:t>
      </w:r>
      <w:r w:rsidR="006F4C89">
        <w:rPr>
          <w:rFonts w:cs="Arial"/>
          <w:lang w:bidi="ar-SA"/>
        </w:rPr>
        <w:t>Oakey and Williamtown</w:t>
      </w:r>
      <w:r w:rsidR="00D77C6B">
        <w:rPr>
          <w:rFonts w:cs="Arial"/>
          <w:lang w:bidi="ar-SA"/>
        </w:rPr>
        <w:t xml:space="preserve">. An example is the </w:t>
      </w:r>
      <w:hyperlink r:id="rId24" w:history="1">
        <w:r w:rsidRPr="00007F20">
          <w:rPr>
            <w:rStyle w:val="Hyperlink"/>
          </w:rPr>
          <w:t>current advice on methyl mercury in fish</w:t>
        </w:r>
        <w:r w:rsidR="00322D87" w:rsidRPr="00007F20">
          <w:rPr>
            <w:rStyle w:val="Hyperlink"/>
          </w:rPr>
          <w:t xml:space="preserve"> on the FSANZ website</w:t>
        </w:r>
      </w:hyperlink>
      <w:r w:rsidRPr="00F62E7A">
        <w:rPr>
          <w:rFonts w:cs="Arial"/>
          <w:lang w:bidi="ar-SA"/>
        </w:rPr>
        <w:t xml:space="preserve">. </w:t>
      </w:r>
    </w:p>
    <w:p w14:paraId="64BD6147" w14:textId="77777777" w:rsidR="00022886" w:rsidRDefault="00022886" w:rsidP="00BC6C3D"/>
    <w:p w14:paraId="5049CDAA" w14:textId="77777777" w:rsidR="00BC6C3D" w:rsidRDefault="00BC6C3D" w:rsidP="00BC6C3D">
      <w:r>
        <w:t>S</w:t>
      </w:r>
      <w:r w:rsidRPr="00A46119">
        <w:t xml:space="preserve">pecific </w:t>
      </w:r>
      <w:r w:rsidR="0046628B" w:rsidRPr="0046628B">
        <w:t xml:space="preserve">trigger points for investigation </w:t>
      </w:r>
      <w:r>
        <w:t>(</w:t>
      </w:r>
      <w:r>
        <w:rPr>
          <w:rFonts w:cs="Arial"/>
        </w:rPr>
        <w:t xml:space="preserve">derived by calculating the maximum </w:t>
      </w:r>
      <w:r>
        <w:t>concentration of PFOS</w:t>
      </w:r>
      <w:r w:rsidR="006F4C89">
        <w:t>, PFOS+PFHxS and PFOA</w:t>
      </w:r>
      <w:r w:rsidRPr="008A77CA">
        <w:t xml:space="preserve"> </w:t>
      </w:r>
      <w:r>
        <w:t xml:space="preserve">in each food category before the </w:t>
      </w:r>
      <w:r w:rsidR="008C3A16">
        <w:t xml:space="preserve">relevant </w:t>
      </w:r>
      <w:r>
        <w:t>TDI was ex</w:t>
      </w:r>
      <w:r w:rsidRPr="00A46119">
        <w:t>c</w:t>
      </w:r>
      <w:r>
        <w:t>eeded)</w:t>
      </w:r>
      <w:r w:rsidR="006F4C89">
        <w:t>,</w:t>
      </w:r>
      <w:r>
        <w:t xml:space="preserve"> </w:t>
      </w:r>
      <w:r w:rsidR="006F4C89">
        <w:t>have been</w:t>
      </w:r>
      <w:r w:rsidR="006F4C89" w:rsidRPr="00A46119">
        <w:t xml:space="preserve"> </w:t>
      </w:r>
      <w:r w:rsidR="006F4C89">
        <w:t xml:space="preserve">calculated </w:t>
      </w:r>
      <w:r>
        <w:t xml:space="preserve">to </w:t>
      </w:r>
      <w:r w:rsidR="006F4C89">
        <w:t>assist public health officials to identify when further investigation of food</w:t>
      </w:r>
      <w:r w:rsidR="00981ED0">
        <w:t>s and/or sites</w:t>
      </w:r>
      <w:r w:rsidR="006F4C89">
        <w:t xml:space="preserve"> may be required. This may assist in</w:t>
      </w:r>
      <w:r>
        <w:t xml:space="preserve"> </w:t>
      </w:r>
      <w:r w:rsidR="00981ED0">
        <w:t xml:space="preserve">further </w:t>
      </w:r>
      <w:r>
        <w:t>reduc</w:t>
      </w:r>
      <w:r w:rsidR="006F4C89">
        <w:t>ing</w:t>
      </w:r>
      <w:r>
        <w:t xml:space="preserve"> PFAS </w:t>
      </w:r>
      <w:r w:rsidR="001C3915">
        <w:t xml:space="preserve">exposure from </w:t>
      </w:r>
      <w:r w:rsidR="006F4C89">
        <w:t xml:space="preserve">contaminated </w:t>
      </w:r>
      <w:r>
        <w:t xml:space="preserve">food. </w:t>
      </w:r>
    </w:p>
    <w:p w14:paraId="3A63C9AD" w14:textId="77777777" w:rsidR="0092414D" w:rsidRPr="008F433F" w:rsidRDefault="008F433F" w:rsidP="008F433F">
      <w:pPr>
        <w:pStyle w:val="Heading3"/>
      </w:pPr>
      <w:bookmarkStart w:id="36" w:name="_Toc475953977"/>
      <w:bookmarkEnd w:id="33"/>
      <w:r>
        <w:t>4.3</w:t>
      </w:r>
      <w:r>
        <w:tab/>
      </w:r>
      <w:r w:rsidR="0092414D" w:rsidRPr="008F433F">
        <w:t>Other measures outside of FSANZ’s remit</w:t>
      </w:r>
      <w:bookmarkEnd w:id="36"/>
      <w:r w:rsidR="0092414D" w:rsidRPr="008F433F">
        <w:t xml:space="preserve"> </w:t>
      </w:r>
    </w:p>
    <w:p w14:paraId="213CC04D" w14:textId="77777777" w:rsidR="00F546FE" w:rsidRDefault="00F546FE" w:rsidP="00F546FE">
      <w:pPr>
        <w:rPr>
          <w:lang w:bidi="ar-SA"/>
        </w:rPr>
      </w:pPr>
      <w:r>
        <w:rPr>
          <w:lang w:bidi="ar-SA"/>
        </w:rPr>
        <w:t xml:space="preserve">FSANZ has identified a range of other measures that could be considered </w:t>
      </w:r>
      <w:r w:rsidR="00044EEA">
        <w:rPr>
          <w:lang w:bidi="ar-SA"/>
        </w:rPr>
        <w:t xml:space="preserve">by other agencies that </w:t>
      </w:r>
      <w:r w:rsidR="00772F3B">
        <w:rPr>
          <w:lang w:bidi="ar-SA"/>
        </w:rPr>
        <w:t xml:space="preserve">would complement </w:t>
      </w:r>
      <w:r w:rsidR="008C3A16">
        <w:rPr>
          <w:lang w:bidi="ar-SA"/>
        </w:rPr>
        <w:t xml:space="preserve">state and territory advisory statements </w:t>
      </w:r>
      <w:r w:rsidR="00044EEA">
        <w:rPr>
          <w:lang w:bidi="ar-SA"/>
        </w:rPr>
        <w:t xml:space="preserve">on food consumption </w:t>
      </w:r>
      <w:r w:rsidR="008C3A16">
        <w:rPr>
          <w:lang w:bidi="ar-SA"/>
        </w:rPr>
        <w:t xml:space="preserve">and use of trigger points for </w:t>
      </w:r>
      <w:r w:rsidR="004C6EEA">
        <w:rPr>
          <w:lang w:bidi="ar-SA"/>
        </w:rPr>
        <w:t>investigation that</w:t>
      </w:r>
      <w:r w:rsidR="008C3A16">
        <w:rPr>
          <w:lang w:bidi="ar-SA"/>
        </w:rPr>
        <w:t xml:space="preserve"> would assist in</w:t>
      </w:r>
      <w:r w:rsidR="00341F3F">
        <w:rPr>
          <w:lang w:bidi="ar-SA"/>
        </w:rPr>
        <w:t xml:space="preserve"> </w:t>
      </w:r>
      <w:r w:rsidR="00044EEA">
        <w:rPr>
          <w:lang w:bidi="ar-SA"/>
        </w:rPr>
        <w:t xml:space="preserve">reducing potential </w:t>
      </w:r>
      <w:r w:rsidR="00341F3F">
        <w:rPr>
          <w:lang w:bidi="ar-SA"/>
        </w:rPr>
        <w:t xml:space="preserve">dietary exposure to </w:t>
      </w:r>
      <w:r w:rsidR="00044EEA">
        <w:rPr>
          <w:lang w:bidi="ar-SA"/>
        </w:rPr>
        <w:t>PFAS</w:t>
      </w:r>
      <w:r>
        <w:rPr>
          <w:lang w:bidi="ar-SA"/>
        </w:rPr>
        <w:t xml:space="preserve">. These are as follows: </w:t>
      </w:r>
    </w:p>
    <w:p w14:paraId="32AA0445" w14:textId="77777777" w:rsidR="00F546FE" w:rsidRPr="00F546FE" w:rsidRDefault="00F546FE" w:rsidP="00F546FE">
      <w:pPr>
        <w:rPr>
          <w:lang w:bidi="ar-SA"/>
        </w:rPr>
      </w:pPr>
    </w:p>
    <w:p w14:paraId="3F728AAE" w14:textId="77777777" w:rsidR="00F546FE" w:rsidRPr="00B85720" w:rsidRDefault="00F546FE" w:rsidP="00F546FE">
      <w:pPr>
        <w:pStyle w:val="FSBullet1"/>
        <w:rPr>
          <w:rFonts w:eastAsia="Calibri"/>
          <w:szCs w:val="22"/>
        </w:rPr>
      </w:pPr>
      <w:r w:rsidRPr="00B85720">
        <w:rPr>
          <w:rFonts w:eastAsia="Calibri"/>
          <w:szCs w:val="22"/>
        </w:rPr>
        <w:t>O</w:t>
      </w:r>
      <w:r w:rsidR="005343F3" w:rsidRPr="00B85720">
        <w:rPr>
          <w:rFonts w:eastAsia="Calibri"/>
          <w:szCs w:val="22"/>
        </w:rPr>
        <w:t>ther legislation in place in environmental law and/or requirements</w:t>
      </w:r>
      <w:r w:rsidR="00322D87">
        <w:rPr>
          <w:rFonts w:eastAsia="Calibri"/>
          <w:szCs w:val="22"/>
        </w:rPr>
        <w:t xml:space="preserve"> (e.g. </w:t>
      </w:r>
      <w:r w:rsidR="00322D87">
        <w:t xml:space="preserve">the </w:t>
      </w:r>
      <w:hyperlink r:id="rId25" w:history="1">
        <w:r w:rsidR="00322D87" w:rsidRPr="00007F20">
          <w:rPr>
            <w:rStyle w:val="Hyperlink"/>
          </w:rPr>
          <w:t>National Environment Protection Measures</w:t>
        </w:r>
      </w:hyperlink>
      <w:r w:rsidR="00322D87">
        <w:rPr>
          <w:rFonts w:eastAsia="Calibri"/>
          <w:szCs w:val="22"/>
        </w:rPr>
        <w:t xml:space="preserve">) </w:t>
      </w:r>
      <w:r w:rsidRPr="00B85720">
        <w:rPr>
          <w:rFonts w:eastAsia="Calibri"/>
          <w:szCs w:val="22"/>
        </w:rPr>
        <w:t xml:space="preserve">that could be </w:t>
      </w:r>
      <w:r w:rsidR="005343F3" w:rsidRPr="00B85720">
        <w:rPr>
          <w:rFonts w:eastAsia="Calibri"/>
          <w:szCs w:val="22"/>
        </w:rPr>
        <w:t xml:space="preserve">used to mitigate risk at the source of the </w:t>
      </w:r>
      <w:r w:rsidRPr="00B85720">
        <w:rPr>
          <w:rFonts w:eastAsia="Calibri"/>
          <w:szCs w:val="22"/>
        </w:rPr>
        <w:t>contamination</w:t>
      </w:r>
      <w:r w:rsidR="005343F3" w:rsidRPr="00B85720">
        <w:rPr>
          <w:rFonts w:eastAsia="Calibri"/>
          <w:szCs w:val="22"/>
        </w:rPr>
        <w:t>.</w:t>
      </w:r>
    </w:p>
    <w:p w14:paraId="283F1738" w14:textId="77777777" w:rsidR="009116EB" w:rsidRPr="00D04822" w:rsidRDefault="00F546FE" w:rsidP="00B85720">
      <w:pPr>
        <w:pStyle w:val="FSBullet1"/>
        <w:rPr>
          <w:rFonts w:eastAsia="Calibri"/>
          <w:szCs w:val="22"/>
        </w:rPr>
      </w:pPr>
      <w:r w:rsidRPr="00D04822">
        <w:rPr>
          <w:rFonts w:eastAsia="Calibri"/>
          <w:szCs w:val="22"/>
        </w:rPr>
        <w:t xml:space="preserve">Adherence to Environment Australia’s </w:t>
      </w:r>
      <w:r w:rsidR="00305270" w:rsidRPr="00D04822">
        <w:rPr>
          <w:rFonts w:eastAsia="Calibri"/>
          <w:szCs w:val="22"/>
        </w:rPr>
        <w:t>Environmental Management Guidance on PFOS and PFOA contamination at Commonwealth sites</w:t>
      </w:r>
      <w:r w:rsidR="00B85720" w:rsidRPr="00D04822">
        <w:rPr>
          <w:rFonts w:eastAsia="Calibri"/>
          <w:szCs w:val="22"/>
        </w:rPr>
        <w:t xml:space="preserve"> and to </w:t>
      </w:r>
      <w:r w:rsidR="009116EB" w:rsidRPr="00D04822">
        <w:rPr>
          <w:rFonts w:eastAsia="Calibri"/>
          <w:szCs w:val="22"/>
        </w:rPr>
        <w:t xml:space="preserve">international standards in place under Stockholm conventions and measures in place in other countries (See </w:t>
      </w:r>
      <w:r w:rsidR="0011516F" w:rsidRPr="00D04822">
        <w:rPr>
          <w:rFonts w:eastAsia="Calibri"/>
          <w:szCs w:val="22"/>
        </w:rPr>
        <w:t>Supporting Document 3</w:t>
      </w:r>
      <w:r w:rsidR="009116EB" w:rsidRPr="00D04822">
        <w:rPr>
          <w:rFonts w:eastAsia="Calibri"/>
          <w:szCs w:val="22"/>
        </w:rPr>
        <w:t>)</w:t>
      </w:r>
      <w:r w:rsidR="00CC7CB1" w:rsidRPr="00D04822">
        <w:rPr>
          <w:rFonts w:eastAsia="Calibri"/>
          <w:szCs w:val="22"/>
        </w:rPr>
        <w:t xml:space="preserve">. </w:t>
      </w:r>
    </w:p>
    <w:p w14:paraId="176A894D" w14:textId="77777777" w:rsidR="005343F3" w:rsidRPr="00B85720" w:rsidRDefault="005343F3" w:rsidP="005343F3">
      <w:pPr>
        <w:pStyle w:val="FSBullet1"/>
        <w:rPr>
          <w:rFonts w:eastAsia="Calibri"/>
          <w:szCs w:val="22"/>
        </w:rPr>
      </w:pPr>
      <w:r w:rsidRPr="00D04822">
        <w:rPr>
          <w:rFonts w:eastAsia="Calibri"/>
          <w:szCs w:val="22"/>
        </w:rPr>
        <w:t>At site remediation by Defence, Air</w:t>
      </w:r>
      <w:r w:rsidRPr="00B85720">
        <w:rPr>
          <w:rFonts w:eastAsia="Calibri"/>
          <w:szCs w:val="22"/>
        </w:rPr>
        <w:t xml:space="preserve"> Services Australia and Environment Australia. </w:t>
      </w:r>
    </w:p>
    <w:p w14:paraId="6D220D29" w14:textId="77777777" w:rsidR="005343F3" w:rsidRPr="00B85720" w:rsidRDefault="005343F3" w:rsidP="005343F3">
      <w:pPr>
        <w:pStyle w:val="FSBullet1"/>
        <w:rPr>
          <w:rFonts w:eastAsia="Calibri"/>
          <w:szCs w:val="22"/>
        </w:rPr>
      </w:pPr>
      <w:r w:rsidRPr="00B85720">
        <w:rPr>
          <w:rFonts w:eastAsia="Calibri"/>
          <w:szCs w:val="22"/>
        </w:rPr>
        <w:t xml:space="preserve">A recommendation to prohibit foods from specific </w:t>
      </w:r>
      <w:r w:rsidR="00267E03">
        <w:rPr>
          <w:rFonts w:eastAsia="Calibri"/>
          <w:szCs w:val="22"/>
        </w:rPr>
        <w:t xml:space="preserve">at site contaminated </w:t>
      </w:r>
      <w:r w:rsidRPr="00B85720">
        <w:rPr>
          <w:rFonts w:eastAsia="Calibri"/>
          <w:szCs w:val="22"/>
        </w:rPr>
        <w:t>areas which would need to be implemented by other available legislation.</w:t>
      </w:r>
    </w:p>
    <w:p w14:paraId="4E5FD4F4" w14:textId="77777777" w:rsidR="00A529AA" w:rsidRPr="00DC33BC" w:rsidRDefault="005343F3" w:rsidP="00E12F59">
      <w:pPr>
        <w:pStyle w:val="FSBullet1"/>
        <w:rPr>
          <w:rFonts w:eastAsia="Calibri"/>
          <w:szCs w:val="22"/>
        </w:rPr>
      </w:pPr>
      <w:r w:rsidRPr="00B85720">
        <w:rPr>
          <w:rFonts w:eastAsia="Calibri"/>
          <w:szCs w:val="22"/>
        </w:rPr>
        <w:t>Minimi</w:t>
      </w:r>
      <w:r w:rsidR="00982209" w:rsidRPr="00B85720">
        <w:rPr>
          <w:rFonts w:eastAsia="Calibri"/>
          <w:szCs w:val="22"/>
        </w:rPr>
        <w:t>sing use of contaminated land via t</w:t>
      </w:r>
      <w:r w:rsidR="008949F2" w:rsidRPr="00B85720">
        <w:rPr>
          <w:szCs w:val="22"/>
          <w:lang w:val="en-AU"/>
        </w:rPr>
        <w:t>he d</w:t>
      </w:r>
      <w:r w:rsidR="0012171A" w:rsidRPr="00B85720">
        <w:rPr>
          <w:szCs w:val="22"/>
          <w:lang w:val="en-AU"/>
        </w:rPr>
        <w:t xml:space="preserve">evelopment </w:t>
      </w:r>
      <w:r w:rsidR="008949F2" w:rsidRPr="00B85720">
        <w:rPr>
          <w:szCs w:val="22"/>
          <w:lang w:val="en-AU"/>
        </w:rPr>
        <w:t xml:space="preserve">and Application </w:t>
      </w:r>
      <w:r w:rsidR="0012171A" w:rsidRPr="00B85720">
        <w:rPr>
          <w:szCs w:val="22"/>
          <w:lang w:val="en-AU"/>
        </w:rPr>
        <w:t>of Codes of Practice (COP)</w:t>
      </w:r>
      <w:r w:rsidR="00DC33BC">
        <w:rPr>
          <w:szCs w:val="22"/>
          <w:lang w:val="en-AU"/>
        </w:rPr>
        <w:t xml:space="preserve">. </w:t>
      </w:r>
      <w:bookmarkStart w:id="37" w:name="_Toc403377560"/>
      <w:bookmarkStart w:id="38" w:name="_Toc267859700"/>
    </w:p>
    <w:p w14:paraId="4D79869B" w14:textId="77777777" w:rsidR="00201143" w:rsidRDefault="006626B3" w:rsidP="00C809EC">
      <w:pPr>
        <w:pStyle w:val="Heading2"/>
      </w:pPr>
      <w:bookmarkStart w:id="39" w:name="_Toc475953978"/>
      <w:r>
        <w:t>5</w:t>
      </w:r>
      <w:r w:rsidR="00C809EC">
        <w:t>.</w:t>
      </w:r>
      <w:r w:rsidR="00C809EC">
        <w:tab/>
      </w:r>
      <w:r w:rsidR="00A20ED4">
        <w:t>Conclusion</w:t>
      </w:r>
      <w:r w:rsidR="00687BB5">
        <w:t>s</w:t>
      </w:r>
      <w:bookmarkEnd w:id="39"/>
    </w:p>
    <w:p w14:paraId="4A2DCCB6" w14:textId="77777777" w:rsidR="00F81AED" w:rsidRDefault="00F81AED" w:rsidP="00F81AED">
      <w:pPr>
        <w:widowControl/>
        <w:contextualSpacing/>
        <w:rPr>
          <w:rFonts w:eastAsia="Calibri"/>
          <w:szCs w:val="22"/>
          <w:lang w:bidi="ar-SA"/>
        </w:rPr>
      </w:pPr>
      <w:r>
        <w:rPr>
          <w:rFonts w:eastAsia="Calibri"/>
          <w:szCs w:val="22"/>
          <w:lang w:bidi="ar-SA"/>
        </w:rPr>
        <w:t xml:space="preserve">FSANZ </w:t>
      </w:r>
      <w:r w:rsidRPr="00F81AED">
        <w:rPr>
          <w:rFonts w:eastAsia="Calibri"/>
          <w:szCs w:val="22"/>
          <w:lang w:bidi="ar-SA"/>
        </w:rPr>
        <w:t xml:space="preserve">understands the </w:t>
      </w:r>
      <w:r w:rsidR="006A6DB9">
        <w:rPr>
          <w:rFonts w:eastAsia="Calibri"/>
          <w:szCs w:val="22"/>
          <w:lang w:bidi="ar-SA"/>
        </w:rPr>
        <w:t xml:space="preserve">widespread </w:t>
      </w:r>
      <w:r w:rsidRPr="00F81AED">
        <w:rPr>
          <w:rFonts w:eastAsia="Calibri"/>
          <w:szCs w:val="22"/>
          <w:lang w:bidi="ar-SA"/>
        </w:rPr>
        <w:t xml:space="preserve">community concerns </w:t>
      </w:r>
      <w:r w:rsidR="006A6DB9">
        <w:rPr>
          <w:rFonts w:eastAsia="Calibri"/>
          <w:szCs w:val="22"/>
          <w:lang w:bidi="ar-SA"/>
        </w:rPr>
        <w:t xml:space="preserve">around </w:t>
      </w:r>
      <w:r w:rsidRPr="00F81AED">
        <w:rPr>
          <w:rFonts w:eastAsia="Calibri"/>
          <w:szCs w:val="22"/>
          <w:lang w:bidi="ar-SA"/>
        </w:rPr>
        <w:t xml:space="preserve">the potential adverse health effects from exposure to water, soil and food contaminated by </w:t>
      </w:r>
      <w:r w:rsidR="00267E03">
        <w:rPr>
          <w:rFonts w:eastAsia="Calibri"/>
          <w:szCs w:val="22"/>
          <w:lang w:bidi="ar-SA"/>
        </w:rPr>
        <w:t xml:space="preserve">PFAS </w:t>
      </w:r>
      <w:r w:rsidRPr="00F81AED">
        <w:rPr>
          <w:rFonts w:eastAsia="Calibri"/>
          <w:szCs w:val="22"/>
          <w:lang w:bidi="ar-SA"/>
        </w:rPr>
        <w:t xml:space="preserve">in affected areas. FSANZ’s core objective under the FSANZ Act is </w:t>
      </w:r>
      <w:r w:rsidR="006A6DB9">
        <w:rPr>
          <w:rFonts w:eastAsia="Calibri"/>
          <w:szCs w:val="22"/>
          <w:lang w:bidi="ar-SA"/>
        </w:rPr>
        <w:t xml:space="preserve">the </w:t>
      </w:r>
      <w:r w:rsidRPr="00F81AED">
        <w:rPr>
          <w:rFonts w:eastAsia="Calibri"/>
          <w:szCs w:val="22"/>
          <w:lang w:bidi="ar-SA"/>
        </w:rPr>
        <w:t xml:space="preserve">protection of public health and safety and </w:t>
      </w:r>
      <w:r w:rsidR="006A6DB9">
        <w:rPr>
          <w:rFonts w:eastAsia="Calibri"/>
          <w:szCs w:val="22"/>
          <w:lang w:bidi="ar-SA"/>
        </w:rPr>
        <w:t xml:space="preserve">it </w:t>
      </w:r>
      <w:r w:rsidRPr="00F81AED">
        <w:rPr>
          <w:rFonts w:eastAsia="Calibri"/>
          <w:szCs w:val="22"/>
          <w:lang w:bidi="ar-SA"/>
        </w:rPr>
        <w:t>continue</w:t>
      </w:r>
      <w:r w:rsidR="006A6DB9">
        <w:rPr>
          <w:rFonts w:eastAsia="Calibri"/>
          <w:szCs w:val="22"/>
          <w:lang w:bidi="ar-SA"/>
        </w:rPr>
        <w:t>s</w:t>
      </w:r>
      <w:r w:rsidRPr="00F81AED">
        <w:rPr>
          <w:rFonts w:eastAsia="Calibri"/>
          <w:szCs w:val="22"/>
          <w:lang w:bidi="ar-SA"/>
        </w:rPr>
        <w:t xml:space="preserve"> to work closely with other Commonwealth</w:t>
      </w:r>
      <w:r w:rsidR="00CC7CB1">
        <w:rPr>
          <w:rFonts w:eastAsia="Calibri"/>
          <w:szCs w:val="22"/>
          <w:lang w:bidi="ar-SA"/>
        </w:rPr>
        <w:t>, s</w:t>
      </w:r>
      <w:r w:rsidRPr="00F81AED">
        <w:rPr>
          <w:rFonts w:eastAsia="Calibri"/>
          <w:szCs w:val="22"/>
          <w:lang w:bidi="ar-SA"/>
        </w:rPr>
        <w:t>tate/</w:t>
      </w:r>
      <w:r w:rsidR="00CC7CB1">
        <w:rPr>
          <w:rFonts w:eastAsia="Calibri"/>
          <w:szCs w:val="22"/>
          <w:lang w:bidi="ar-SA"/>
        </w:rPr>
        <w:t>t</w:t>
      </w:r>
      <w:r w:rsidR="00B43E5F">
        <w:rPr>
          <w:rFonts w:eastAsia="Calibri"/>
          <w:szCs w:val="22"/>
          <w:lang w:bidi="ar-SA"/>
        </w:rPr>
        <w:t xml:space="preserve">erritory </w:t>
      </w:r>
      <w:r w:rsidRPr="00F81AED">
        <w:rPr>
          <w:rFonts w:eastAsia="Calibri"/>
          <w:szCs w:val="22"/>
          <w:lang w:bidi="ar-SA"/>
        </w:rPr>
        <w:t xml:space="preserve">agencies on a broad framework to manage PFAS contamination. </w:t>
      </w:r>
    </w:p>
    <w:p w14:paraId="5A134B3E" w14:textId="77777777" w:rsidR="005B742C" w:rsidRDefault="005B742C" w:rsidP="00F81AED">
      <w:pPr>
        <w:widowControl/>
        <w:contextualSpacing/>
        <w:rPr>
          <w:rFonts w:eastAsia="Calibri"/>
          <w:szCs w:val="22"/>
          <w:lang w:bidi="ar-SA"/>
        </w:rPr>
      </w:pPr>
    </w:p>
    <w:p w14:paraId="313A5D4B" w14:textId="77777777" w:rsidR="0065605B" w:rsidRDefault="0065605B" w:rsidP="0065605B">
      <w:pPr>
        <w:widowControl/>
        <w:spacing w:after="240"/>
        <w:rPr>
          <w:lang w:val="en-AU" w:bidi="ar-SA"/>
        </w:rPr>
      </w:pPr>
      <w:r>
        <w:rPr>
          <w:lang w:val="en-AU" w:bidi="ar-SA"/>
        </w:rPr>
        <w:t xml:space="preserve">FSANZ has considered </w:t>
      </w:r>
      <w:r w:rsidRPr="00620082">
        <w:rPr>
          <w:lang w:val="en-AU" w:bidi="ar-SA"/>
        </w:rPr>
        <w:t xml:space="preserve">whether additional </w:t>
      </w:r>
      <w:r>
        <w:rPr>
          <w:lang w:val="en-AU" w:bidi="ar-SA"/>
        </w:rPr>
        <w:t xml:space="preserve">and specific </w:t>
      </w:r>
      <w:r w:rsidRPr="00620082">
        <w:rPr>
          <w:lang w:val="en-AU" w:bidi="ar-SA"/>
        </w:rPr>
        <w:t xml:space="preserve">risk mitigation measures </w:t>
      </w:r>
      <w:r>
        <w:rPr>
          <w:lang w:val="en-AU" w:bidi="ar-SA"/>
        </w:rPr>
        <w:t xml:space="preserve">targeted </w:t>
      </w:r>
      <w:r w:rsidR="006A6DB9">
        <w:rPr>
          <w:lang w:val="en-AU" w:bidi="ar-SA"/>
        </w:rPr>
        <w:t xml:space="preserve">to </w:t>
      </w:r>
      <w:r>
        <w:rPr>
          <w:lang w:val="en-AU" w:bidi="ar-SA"/>
        </w:rPr>
        <w:t xml:space="preserve">foods consumed at contaminated sites </w:t>
      </w:r>
      <w:r w:rsidRPr="00620082">
        <w:rPr>
          <w:lang w:val="en-AU" w:bidi="ar-SA"/>
        </w:rPr>
        <w:t>are likely to enhance the safety o</w:t>
      </w:r>
      <w:r>
        <w:rPr>
          <w:lang w:val="en-AU" w:bidi="ar-SA"/>
        </w:rPr>
        <w:t xml:space="preserve">f the </w:t>
      </w:r>
      <w:r w:rsidRPr="00620082">
        <w:rPr>
          <w:lang w:val="en-AU" w:bidi="ar-SA"/>
        </w:rPr>
        <w:t xml:space="preserve">current </w:t>
      </w:r>
      <w:r w:rsidR="001C7B60">
        <w:rPr>
          <w:lang w:val="en-AU" w:bidi="ar-SA"/>
        </w:rPr>
        <w:t xml:space="preserve">at site measures. </w:t>
      </w:r>
    </w:p>
    <w:p w14:paraId="2719E2EF" w14:textId="77777777" w:rsidR="00DE4CE4" w:rsidRDefault="006C6ABE" w:rsidP="006C6ABE">
      <w:pPr>
        <w:widowControl/>
        <w:contextualSpacing/>
        <w:rPr>
          <w:rFonts w:eastAsia="Calibri"/>
          <w:szCs w:val="22"/>
          <w:lang w:bidi="ar-SA"/>
        </w:rPr>
      </w:pPr>
      <w:r>
        <w:rPr>
          <w:rFonts w:eastAsia="Calibri"/>
          <w:szCs w:val="22"/>
          <w:lang w:bidi="ar-SA"/>
        </w:rPr>
        <w:t>Taking into account the identified dietary exposure estimates from PFAS in food, FSANZ concludes the following:</w:t>
      </w:r>
    </w:p>
    <w:p w14:paraId="2723B8C0" w14:textId="77777777" w:rsidR="0068371D" w:rsidRPr="00CC41A7" w:rsidRDefault="0068371D" w:rsidP="0068371D">
      <w:pPr>
        <w:contextualSpacing/>
        <w:rPr>
          <w:rFonts w:eastAsia="Calibri"/>
          <w:szCs w:val="22"/>
          <w:lang w:bidi="ar-SA"/>
        </w:rPr>
      </w:pPr>
    </w:p>
    <w:p w14:paraId="207373FF" w14:textId="77777777" w:rsidR="0068371D" w:rsidRDefault="0068371D" w:rsidP="0068371D">
      <w:pPr>
        <w:numPr>
          <w:ilvl w:val="0"/>
          <w:numId w:val="10"/>
        </w:numPr>
        <w:contextualSpacing/>
        <w:rPr>
          <w:rFonts w:eastAsia="Calibri"/>
          <w:szCs w:val="22"/>
          <w:lang w:bidi="ar-SA"/>
        </w:rPr>
      </w:pPr>
      <w:r w:rsidRPr="0005289E">
        <w:rPr>
          <w:rFonts w:eastAsia="Calibri"/>
          <w:szCs w:val="22"/>
          <w:lang w:bidi="ar-SA"/>
        </w:rPr>
        <w:t>There are no specific regulatory limits for PFAS in food in place in Australia or any other country.</w:t>
      </w:r>
      <w:r w:rsidRPr="00474C81">
        <w:rPr>
          <w:rFonts w:eastAsia="Calibri"/>
          <w:szCs w:val="22"/>
          <w:lang w:bidi="ar-SA"/>
        </w:rPr>
        <w:t xml:space="preserve"> </w:t>
      </w:r>
    </w:p>
    <w:p w14:paraId="0835B3BD" w14:textId="77777777" w:rsidR="0068371D" w:rsidRPr="0005289E" w:rsidRDefault="0068371D" w:rsidP="0068371D">
      <w:pPr>
        <w:ind w:left="720"/>
        <w:contextualSpacing/>
        <w:rPr>
          <w:rFonts w:eastAsia="Calibri"/>
          <w:szCs w:val="22"/>
          <w:lang w:bidi="ar-SA"/>
        </w:rPr>
      </w:pPr>
    </w:p>
    <w:p w14:paraId="0F3D12AF" w14:textId="77777777" w:rsidR="0068371D" w:rsidRDefault="0068371D" w:rsidP="0068371D">
      <w:pPr>
        <w:widowControl/>
        <w:numPr>
          <w:ilvl w:val="0"/>
          <w:numId w:val="10"/>
        </w:numPr>
        <w:contextualSpacing/>
        <w:rPr>
          <w:rFonts w:eastAsia="Calibri"/>
          <w:szCs w:val="22"/>
          <w:lang w:bidi="ar-SA"/>
        </w:rPr>
      </w:pPr>
      <w:r w:rsidRPr="00A3186F">
        <w:rPr>
          <w:rFonts w:eastAsia="Calibri"/>
          <w:szCs w:val="22"/>
          <w:lang w:bidi="ar-SA"/>
        </w:rPr>
        <w:t xml:space="preserve">FSANZ is unable to consider maximum limits (MLs) for </w:t>
      </w:r>
      <w:r>
        <w:rPr>
          <w:rFonts w:eastAsia="Calibri"/>
          <w:szCs w:val="22"/>
          <w:lang w:bidi="ar-SA"/>
        </w:rPr>
        <w:t>PFAS</w:t>
      </w:r>
      <w:r w:rsidRPr="00A3186F">
        <w:rPr>
          <w:rFonts w:eastAsia="Calibri"/>
          <w:szCs w:val="22"/>
          <w:lang w:bidi="ar-SA"/>
        </w:rPr>
        <w:t xml:space="preserve"> in various food commodities </w:t>
      </w:r>
      <w:r>
        <w:rPr>
          <w:rFonts w:eastAsia="Calibri"/>
          <w:szCs w:val="22"/>
          <w:lang w:bidi="ar-SA"/>
        </w:rPr>
        <w:t>at this point in time due to a lack of information on levels found in the general food supply.</w:t>
      </w:r>
    </w:p>
    <w:p w14:paraId="35027FD1" w14:textId="77777777" w:rsidR="0068371D" w:rsidRPr="00A3186F" w:rsidRDefault="0068371D" w:rsidP="0068371D">
      <w:pPr>
        <w:widowControl/>
        <w:contextualSpacing/>
        <w:rPr>
          <w:rFonts w:eastAsia="Calibri"/>
          <w:szCs w:val="22"/>
          <w:lang w:bidi="ar-SA"/>
        </w:rPr>
      </w:pPr>
    </w:p>
    <w:p w14:paraId="3BEE5044" w14:textId="77777777" w:rsidR="0068371D" w:rsidRDefault="0068371D" w:rsidP="0068371D">
      <w:pPr>
        <w:numPr>
          <w:ilvl w:val="0"/>
          <w:numId w:val="10"/>
        </w:numPr>
        <w:contextualSpacing/>
        <w:rPr>
          <w:rFonts w:eastAsia="Calibri"/>
          <w:szCs w:val="22"/>
          <w:lang w:bidi="ar-SA"/>
        </w:rPr>
      </w:pPr>
      <w:r>
        <w:rPr>
          <w:rFonts w:eastAsia="Calibri"/>
          <w:szCs w:val="22"/>
          <w:lang w:bidi="ar-SA"/>
        </w:rPr>
        <w:t>A</w:t>
      </w:r>
      <w:r w:rsidRPr="00474C81">
        <w:rPr>
          <w:rFonts w:eastAsia="Calibri"/>
          <w:szCs w:val="22"/>
          <w:lang w:bidi="ar-SA"/>
        </w:rPr>
        <w:t xml:space="preserve"> range of non-regulatory option</w:t>
      </w:r>
      <w:r>
        <w:rPr>
          <w:rFonts w:eastAsia="Calibri"/>
          <w:szCs w:val="22"/>
          <w:lang w:bidi="ar-SA"/>
        </w:rPr>
        <w:t xml:space="preserve">s are available which could be used </w:t>
      </w:r>
      <w:r w:rsidRPr="00474C81">
        <w:rPr>
          <w:rFonts w:eastAsia="Calibri"/>
          <w:szCs w:val="22"/>
          <w:lang w:bidi="ar-SA"/>
        </w:rPr>
        <w:t xml:space="preserve">in parallel with </w:t>
      </w:r>
      <w:r>
        <w:rPr>
          <w:rFonts w:eastAsia="Calibri"/>
          <w:szCs w:val="22"/>
          <w:lang w:bidi="ar-SA"/>
        </w:rPr>
        <w:t xml:space="preserve">existing </w:t>
      </w:r>
      <w:r w:rsidRPr="00474C81">
        <w:rPr>
          <w:rFonts w:eastAsia="Calibri"/>
          <w:szCs w:val="22"/>
          <w:lang w:bidi="ar-SA"/>
        </w:rPr>
        <w:t xml:space="preserve">at-site risk management </w:t>
      </w:r>
      <w:r>
        <w:rPr>
          <w:rFonts w:eastAsia="Calibri"/>
          <w:szCs w:val="22"/>
          <w:lang w:bidi="ar-SA"/>
        </w:rPr>
        <w:t xml:space="preserve">measures </w:t>
      </w:r>
      <w:r w:rsidRPr="00474C81">
        <w:rPr>
          <w:rFonts w:eastAsia="Calibri"/>
          <w:szCs w:val="22"/>
          <w:lang w:bidi="ar-SA"/>
        </w:rPr>
        <w:t>by other Commonwealth and state and territory jurisdictions to manage and potentially red</w:t>
      </w:r>
      <w:r>
        <w:rPr>
          <w:rFonts w:eastAsia="Calibri"/>
          <w:szCs w:val="22"/>
          <w:lang w:bidi="ar-SA"/>
        </w:rPr>
        <w:t>uce dietary exposure from PFAS.</w:t>
      </w:r>
    </w:p>
    <w:p w14:paraId="408A044A" w14:textId="77777777" w:rsidR="0068371D" w:rsidRDefault="0068371D" w:rsidP="0068371D">
      <w:pPr>
        <w:ind w:left="720"/>
        <w:contextualSpacing/>
        <w:rPr>
          <w:rFonts w:eastAsia="Calibri"/>
          <w:szCs w:val="22"/>
          <w:lang w:bidi="ar-SA"/>
        </w:rPr>
      </w:pPr>
    </w:p>
    <w:p w14:paraId="09D35E95" w14:textId="77777777" w:rsidR="0068371D" w:rsidRDefault="0068371D" w:rsidP="0068371D">
      <w:pPr>
        <w:numPr>
          <w:ilvl w:val="0"/>
          <w:numId w:val="10"/>
        </w:numPr>
        <w:contextualSpacing/>
        <w:rPr>
          <w:rFonts w:eastAsia="Calibri"/>
          <w:szCs w:val="22"/>
          <w:lang w:bidi="ar-SA"/>
        </w:rPr>
      </w:pPr>
      <w:r>
        <w:rPr>
          <w:rFonts w:eastAsia="Calibri"/>
          <w:szCs w:val="22"/>
          <w:lang w:bidi="ar-SA"/>
        </w:rPr>
        <w:t>Although not site-specific, information from the dietary exposure calculations for people consuming food sourced from or near contaminated sites (presented in Supporting Document 2) could be used by Defence, public health or food regulatory officials to update food advisories.</w:t>
      </w:r>
      <w:r w:rsidRPr="004E4AE4">
        <w:t xml:space="preserve"> </w:t>
      </w:r>
      <w:r>
        <w:rPr>
          <w:rFonts w:eastAsia="Calibri"/>
          <w:szCs w:val="22"/>
          <w:lang w:bidi="ar-SA"/>
        </w:rPr>
        <w:t>As the</w:t>
      </w:r>
      <w:r w:rsidR="00D14E12">
        <w:rPr>
          <w:rFonts w:eastAsia="Calibri"/>
          <w:szCs w:val="22"/>
          <w:lang w:bidi="ar-SA"/>
        </w:rPr>
        <w:t xml:space="preserve"> </w:t>
      </w:r>
      <w:r w:rsidRPr="004E4AE4">
        <w:rPr>
          <w:rFonts w:eastAsia="Calibri"/>
          <w:szCs w:val="22"/>
          <w:lang w:bidi="ar-SA"/>
        </w:rPr>
        <w:t>TDIs</w:t>
      </w:r>
      <w:r>
        <w:rPr>
          <w:rFonts w:eastAsia="Calibri"/>
          <w:szCs w:val="22"/>
          <w:lang w:bidi="ar-SA"/>
        </w:rPr>
        <w:t xml:space="preserve"> derived by FSANZ are lower than those previously established by EFSA, </w:t>
      </w:r>
      <w:r w:rsidRPr="004E4AE4">
        <w:rPr>
          <w:rFonts w:eastAsia="Calibri"/>
          <w:szCs w:val="22"/>
          <w:lang w:bidi="ar-SA"/>
        </w:rPr>
        <w:t xml:space="preserve">Defence, public health </w:t>
      </w:r>
      <w:r>
        <w:rPr>
          <w:rFonts w:eastAsia="Calibri"/>
          <w:szCs w:val="22"/>
          <w:lang w:bidi="ar-SA"/>
        </w:rPr>
        <w:t>and</w:t>
      </w:r>
      <w:r w:rsidRPr="004E4AE4">
        <w:rPr>
          <w:rFonts w:eastAsia="Calibri"/>
          <w:szCs w:val="22"/>
          <w:lang w:bidi="ar-SA"/>
        </w:rPr>
        <w:t xml:space="preserve"> food regulatory officials </w:t>
      </w:r>
      <w:r>
        <w:rPr>
          <w:rFonts w:eastAsia="Calibri"/>
          <w:szCs w:val="22"/>
          <w:lang w:bidi="ar-SA"/>
        </w:rPr>
        <w:t>may</w:t>
      </w:r>
      <w:r w:rsidRPr="004E4AE4">
        <w:rPr>
          <w:rFonts w:eastAsia="Calibri"/>
          <w:szCs w:val="22"/>
          <w:lang w:bidi="ar-SA"/>
        </w:rPr>
        <w:t xml:space="preserve"> revise their current advice to residents in Williamtown and Oakey.</w:t>
      </w:r>
    </w:p>
    <w:p w14:paraId="0CE0297D" w14:textId="77777777" w:rsidR="0068371D" w:rsidRPr="0068371D" w:rsidRDefault="0068371D" w:rsidP="0068371D">
      <w:pPr>
        <w:rPr>
          <w:rFonts w:eastAsia="Calibri"/>
          <w:szCs w:val="22"/>
          <w:lang w:bidi="ar-SA"/>
        </w:rPr>
      </w:pPr>
    </w:p>
    <w:p w14:paraId="0EA44C19" w14:textId="77777777" w:rsidR="0068371D" w:rsidRPr="00474C81" w:rsidRDefault="0068371D" w:rsidP="0068371D">
      <w:pPr>
        <w:numPr>
          <w:ilvl w:val="0"/>
          <w:numId w:val="10"/>
        </w:numPr>
        <w:contextualSpacing/>
        <w:rPr>
          <w:rFonts w:eastAsia="Calibri"/>
          <w:szCs w:val="22"/>
          <w:lang w:bidi="ar-SA"/>
        </w:rPr>
      </w:pPr>
      <w:r>
        <w:rPr>
          <w:rFonts w:eastAsia="Calibri"/>
          <w:szCs w:val="22"/>
          <w:lang w:bidi="ar-SA"/>
        </w:rPr>
        <w:t xml:space="preserve">Trigger points </w:t>
      </w:r>
      <w:r w:rsidR="0093440F">
        <w:rPr>
          <w:rFonts w:eastAsia="Calibri"/>
          <w:szCs w:val="22"/>
          <w:lang w:bidi="ar-SA"/>
        </w:rPr>
        <w:t xml:space="preserve">for </w:t>
      </w:r>
      <w:r>
        <w:rPr>
          <w:rFonts w:eastAsia="Calibri"/>
          <w:szCs w:val="22"/>
          <w:lang w:bidi="ar-SA"/>
        </w:rPr>
        <w:t xml:space="preserve">investigation could be employed by state and territory food jurisdictions </w:t>
      </w:r>
      <w:r>
        <w:t xml:space="preserve">when undertaking </w:t>
      </w:r>
      <w:r>
        <w:rPr>
          <w:rFonts w:eastAsia="Calibri"/>
          <w:szCs w:val="22"/>
          <w:lang w:bidi="ar-SA"/>
        </w:rPr>
        <w:t>follow up analysis of PFAS in foods</w:t>
      </w:r>
      <w:r w:rsidDel="00C75A46">
        <w:t xml:space="preserve"> t</w:t>
      </w:r>
      <w:r>
        <w:t>o identify when levels in analysed foods exceed these values and require more research</w:t>
      </w:r>
      <w:r w:rsidRPr="00B72350">
        <w:t>.</w:t>
      </w:r>
      <w:r>
        <w:rPr>
          <w:rFonts w:eastAsia="Calibri"/>
          <w:szCs w:val="22"/>
          <w:lang w:bidi="ar-SA"/>
        </w:rPr>
        <w:t xml:space="preserve"> </w:t>
      </w:r>
    </w:p>
    <w:p w14:paraId="50080A96" w14:textId="77777777" w:rsidR="009179AB" w:rsidRPr="00DE3FD4" w:rsidRDefault="006626B3" w:rsidP="0041017C">
      <w:pPr>
        <w:pStyle w:val="Heading2"/>
      </w:pPr>
      <w:bookmarkStart w:id="40" w:name="_Toc403377562"/>
      <w:bookmarkStart w:id="41" w:name="_Toc475953981"/>
      <w:bookmarkEnd w:id="37"/>
      <w:r>
        <w:t>6</w:t>
      </w:r>
      <w:r w:rsidR="00C809EC">
        <w:t>.</w:t>
      </w:r>
      <w:r w:rsidR="00C809EC">
        <w:tab/>
      </w:r>
      <w:r w:rsidR="009179AB" w:rsidRPr="00DE3FD4">
        <w:t>References</w:t>
      </w:r>
      <w:bookmarkEnd w:id="38"/>
      <w:bookmarkEnd w:id="40"/>
      <w:bookmarkEnd w:id="41"/>
    </w:p>
    <w:p w14:paraId="5F8AFC79" w14:textId="77777777" w:rsidR="00631389" w:rsidRDefault="00000000" w:rsidP="00631389">
      <w:hyperlink r:id="rId26" w:history="1">
        <w:r w:rsidR="00631389" w:rsidRPr="009D63D0">
          <w:rPr>
            <w:rStyle w:val="Hyperlink"/>
          </w:rPr>
          <w:t xml:space="preserve">Priestly B (2015) Health affects of perfluorinated compounds (PFCS). Frequently asked </w:t>
        </w:r>
        <w:r w:rsidR="00631389" w:rsidRPr="009D63D0">
          <w:rPr>
            <w:rStyle w:val="Hyperlink"/>
          </w:rPr>
          <w:lastRenderedPageBreak/>
          <w:t>questions. Professor Brian Priestly MPharm, PhD, FACTRA December 2015</w:t>
        </w:r>
      </w:hyperlink>
      <w:r w:rsidR="00631389">
        <w:t xml:space="preserve"> </w:t>
      </w:r>
    </w:p>
    <w:p w14:paraId="7204A1F1" w14:textId="77777777" w:rsidR="00631389" w:rsidRDefault="00631389" w:rsidP="00631389"/>
    <w:p w14:paraId="36C5A1A6" w14:textId="77777777" w:rsidR="00ED369D" w:rsidRPr="001C27AB" w:rsidRDefault="00ED369D" w:rsidP="00ED369D">
      <w:pPr>
        <w:spacing w:after="120"/>
        <w:rPr>
          <w:szCs w:val="22"/>
        </w:rPr>
      </w:pPr>
      <w:r w:rsidRPr="001C27AB">
        <w:rPr>
          <w:szCs w:val="22"/>
        </w:rPr>
        <w:t>For more information see:</w:t>
      </w:r>
    </w:p>
    <w:p w14:paraId="56D723F6" w14:textId="77777777" w:rsidR="00ED369D" w:rsidRPr="001C27AB" w:rsidRDefault="00000000" w:rsidP="00D6052B">
      <w:pPr>
        <w:pStyle w:val="ListParagraph"/>
        <w:widowControl/>
        <w:numPr>
          <w:ilvl w:val="0"/>
          <w:numId w:val="9"/>
        </w:numPr>
        <w:spacing w:after="120"/>
        <w:ind w:left="714" w:hanging="357"/>
        <w:rPr>
          <w:rStyle w:val="Hyperlink"/>
          <w:szCs w:val="22"/>
        </w:rPr>
      </w:pPr>
      <w:hyperlink r:id="rId27" w:history="1">
        <w:r w:rsidR="00ED369D" w:rsidRPr="009D63D0">
          <w:rPr>
            <w:rStyle w:val="Hyperlink"/>
            <w:szCs w:val="22"/>
          </w:rPr>
          <w:t>Department of Defence</w:t>
        </w:r>
      </w:hyperlink>
      <w:r w:rsidR="00ED369D" w:rsidRPr="001C27AB">
        <w:rPr>
          <w:szCs w:val="22"/>
        </w:rPr>
        <w:t xml:space="preserve"> </w:t>
      </w:r>
    </w:p>
    <w:p w14:paraId="168B7939" w14:textId="77777777" w:rsidR="00ED369D" w:rsidRPr="001C27AB" w:rsidRDefault="00000000" w:rsidP="00D6052B">
      <w:pPr>
        <w:pStyle w:val="ListParagraph"/>
        <w:widowControl/>
        <w:numPr>
          <w:ilvl w:val="0"/>
          <w:numId w:val="9"/>
        </w:numPr>
        <w:spacing w:after="120"/>
        <w:ind w:left="714" w:hanging="357"/>
        <w:rPr>
          <w:szCs w:val="22"/>
        </w:rPr>
      </w:pPr>
      <w:hyperlink r:id="rId28" w:history="1">
        <w:r w:rsidR="00ED369D" w:rsidRPr="009D63D0">
          <w:rPr>
            <w:rStyle w:val="Hyperlink"/>
            <w:szCs w:val="22"/>
          </w:rPr>
          <w:t>AirServices Australia</w:t>
        </w:r>
      </w:hyperlink>
      <w:r w:rsidR="00ED369D" w:rsidRPr="001C27AB">
        <w:rPr>
          <w:szCs w:val="22"/>
        </w:rPr>
        <w:t xml:space="preserve"> </w:t>
      </w:r>
    </w:p>
    <w:p w14:paraId="7FB645E9" w14:textId="77777777" w:rsidR="00ED369D" w:rsidRPr="001C27AB" w:rsidRDefault="00000000" w:rsidP="00D6052B">
      <w:pPr>
        <w:pStyle w:val="ListParagraph"/>
        <w:widowControl/>
        <w:numPr>
          <w:ilvl w:val="0"/>
          <w:numId w:val="9"/>
        </w:numPr>
        <w:spacing w:after="120"/>
        <w:ind w:left="714" w:hanging="357"/>
        <w:rPr>
          <w:szCs w:val="22"/>
        </w:rPr>
      </w:pPr>
      <w:hyperlink r:id="rId29" w:history="1">
        <w:r w:rsidR="00ED369D" w:rsidRPr="009D63D0">
          <w:rPr>
            <w:rStyle w:val="Hyperlink"/>
            <w:szCs w:val="22"/>
          </w:rPr>
          <w:t xml:space="preserve">National Industrial Chemicals Notification and Assessment Scheme </w:t>
        </w:r>
      </w:hyperlink>
      <w:r w:rsidR="00ED369D" w:rsidRPr="001C27AB">
        <w:rPr>
          <w:szCs w:val="22"/>
        </w:rPr>
        <w:t xml:space="preserve"> </w:t>
      </w:r>
    </w:p>
    <w:p w14:paraId="0EA5036B" w14:textId="77777777" w:rsidR="00ED369D" w:rsidRPr="001C27AB" w:rsidRDefault="00000000" w:rsidP="00D6052B">
      <w:pPr>
        <w:pStyle w:val="ListParagraph"/>
        <w:widowControl/>
        <w:numPr>
          <w:ilvl w:val="0"/>
          <w:numId w:val="9"/>
        </w:numPr>
        <w:spacing w:after="120"/>
        <w:ind w:left="714" w:hanging="357"/>
        <w:rPr>
          <w:szCs w:val="22"/>
        </w:rPr>
      </w:pPr>
      <w:hyperlink r:id="rId30" w:history="1">
        <w:r w:rsidR="00ED369D" w:rsidRPr="009D63D0">
          <w:rPr>
            <w:rStyle w:val="Hyperlink"/>
            <w:szCs w:val="22"/>
          </w:rPr>
          <w:t xml:space="preserve">Department for the Environment and Energy </w:t>
        </w:r>
      </w:hyperlink>
      <w:r w:rsidR="00ED369D" w:rsidRPr="001C27AB">
        <w:rPr>
          <w:szCs w:val="22"/>
        </w:rPr>
        <w:t xml:space="preserve"> </w:t>
      </w:r>
    </w:p>
    <w:p w14:paraId="6B80D871" w14:textId="77777777" w:rsidR="00ED369D" w:rsidRDefault="00000000" w:rsidP="00D6052B">
      <w:pPr>
        <w:pStyle w:val="ListParagraph"/>
        <w:widowControl/>
        <w:numPr>
          <w:ilvl w:val="0"/>
          <w:numId w:val="9"/>
        </w:numPr>
        <w:spacing w:after="120"/>
        <w:rPr>
          <w:szCs w:val="22"/>
        </w:rPr>
      </w:pPr>
      <w:hyperlink r:id="rId31" w:history="1">
        <w:r w:rsidR="00ED369D" w:rsidRPr="009D63D0">
          <w:rPr>
            <w:rStyle w:val="Hyperlink"/>
            <w:szCs w:val="22"/>
          </w:rPr>
          <w:t xml:space="preserve">Department of Health </w:t>
        </w:r>
      </w:hyperlink>
      <w:r w:rsidR="00ED369D" w:rsidRPr="001C27AB">
        <w:rPr>
          <w:szCs w:val="22"/>
        </w:rPr>
        <w:t xml:space="preserve"> </w:t>
      </w:r>
    </w:p>
    <w:sectPr w:rsidR="00ED369D" w:rsidSect="00F4428E">
      <w:headerReference w:type="default" r:id="rId32"/>
      <w:footerReference w:type="even" r:id="rId33"/>
      <w:footerReference w:type="default" r:id="rId34"/>
      <w:headerReference w:type="first" r:id="rId3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6837" w14:textId="77777777" w:rsidR="00EB418B" w:rsidRDefault="00EB418B">
      <w:r>
        <w:separator/>
      </w:r>
    </w:p>
  </w:endnote>
  <w:endnote w:type="continuationSeparator" w:id="0">
    <w:p w14:paraId="245EBC19" w14:textId="77777777" w:rsidR="00EB418B" w:rsidRDefault="00EB418B">
      <w:r>
        <w:continuationSeparator/>
      </w:r>
    </w:p>
  </w:endnote>
  <w:endnote w:type="continuationNotice" w:id="1">
    <w:p w14:paraId="27E41B34" w14:textId="77777777" w:rsidR="00EB418B" w:rsidRDefault="00EB4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4B34" w14:textId="77777777" w:rsidR="00FC5535" w:rsidRDefault="00FC553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2EC0D1" w14:textId="77777777" w:rsidR="00FC5535" w:rsidRDefault="00FC5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A8A7" w14:textId="77777777" w:rsidR="00FC5535" w:rsidRDefault="00FC5535" w:rsidP="00B60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A89">
      <w:rPr>
        <w:rStyle w:val="PageNumber"/>
        <w:noProof/>
      </w:rPr>
      <w:t>1</w:t>
    </w:r>
    <w:r>
      <w:rPr>
        <w:rStyle w:val="PageNumber"/>
      </w:rPr>
      <w:fldChar w:fldCharType="end"/>
    </w:r>
  </w:p>
  <w:p w14:paraId="3238C7C4" w14:textId="77777777" w:rsidR="00FC5535" w:rsidRPr="00B605EE" w:rsidRDefault="00FC5535" w:rsidP="00B60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08E7" w14:textId="77777777" w:rsidR="00EB418B" w:rsidRDefault="00EB418B">
      <w:r>
        <w:separator/>
      </w:r>
    </w:p>
  </w:footnote>
  <w:footnote w:type="continuationSeparator" w:id="0">
    <w:p w14:paraId="32350BEF" w14:textId="77777777" w:rsidR="00EB418B" w:rsidRDefault="00EB418B">
      <w:r>
        <w:continuationSeparator/>
      </w:r>
    </w:p>
  </w:footnote>
  <w:footnote w:type="continuationNotice" w:id="1">
    <w:p w14:paraId="7E9E12E2" w14:textId="77777777" w:rsidR="00EB418B" w:rsidRDefault="00EB418B"/>
  </w:footnote>
  <w:footnote w:id="2">
    <w:p w14:paraId="1A96773F" w14:textId="77777777" w:rsidR="00FC5535" w:rsidRPr="00627754" w:rsidRDefault="00FC5535">
      <w:pPr>
        <w:pStyle w:val="FootnoteText"/>
        <w:rPr>
          <w:lang w:val="en-AU"/>
        </w:rPr>
      </w:pPr>
      <w:r>
        <w:rPr>
          <w:rStyle w:val="FootnoteReference"/>
        </w:rPr>
        <w:footnoteRef/>
      </w:r>
      <w:r>
        <w:t xml:space="preserve"> </w:t>
      </w:r>
      <w:r w:rsidRPr="00627754">
        <w:rPr>
          <w:sz w:val="18"/>
          <w:szCs w:val="18"/>
          <w:lang w:val="en-AU"/>
        </w:rPr>
        <w:t>In this report ‘guideline levels’ are referred to as ‘trigger points for investigation’.</w:t>
      </w:r>
    </w:p>
  </w:footnote>
  <w:footnote w:id="3">
    <w:p w14:paraId="19695972" w14:textId="77777777" w:rsidR="00FC5535" w:rsidRPr="008B4A3A" w:rsidRDefault="00FC5535" w:rsidP="00E609B9">
      <w:pPr>
        <w:pStyle w:val="FootnoteText"/>
        <w:rPr>
          <w:sz w:val="18"/>
          <w:szCs w:val="18"/>
        </w:rPr>
      </w:pPr>
      <w:r w:rsidRPr="008B4A3A">
        <w:rPr>
          <w:rStyle w:val="FootnoteReference"/>
          <w:sz w:val="18"/>
          <w:szCs w:val="18"/>
        </w:rPr>
        <w:footnoteRef/>
      </w:r>
      <w:r w:rsidRPr="008B4A3A">
        <w:rPr>
          <w:sz w:val="18"/>
          <w:szCs w:val="18"/>
        </w:rPr>
        <w:t xml:space="preserve"> </w:t>
      </w:r>
      <w:hyperlink r:id="rId1" w:tgtFrame="_blank" w:history="1">
        <w:r w:rsidRPr="008B4A3A">
          <w:rPr>
            <w:color w:val="0000FF"/>
            <w:sz w:val="18"/>
            <w:szCs w:val="18"/>
            <w:u w:val="single"/>
          </w:rPr>
          <w:t>Airservices submission to Senate Inquiry Part B: Contamination at Commonwealth, state and territory sites in Australia where fire fighting foams containing PFOS and PFOA were used</w:t>
        </w:r>
      </w:hyperlink>
      <w:r w:rsidRPr="008B4A3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8B11" w14:textId="77777777" w:rsidR="00FC5535" w:rsidRDefault="00FC5535" w:rsidP="002318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52BA" w14:textId="77777777" w:rsidR="00FC5535" w:rsidRDefault="00FC553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A2416"/>
    <w:multiLevelType w:val="hybridMultilevel"/>
    <w:tmpl w:val="3656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07038"/>
    <w:multiLevelType w:val="multilevel"/>
    <w:tmpl w:val="DB14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D5206"/>
    <w:multiLevelType w:val="hybridMultilevel"/>
    <w:tmpl w:val="D7485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A0076"/>
    <w:multiLevelType w:val="hybridMultilevel"/>
    <w:tmpl w:val="05889A70"/>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A6C95"/>
    <w:multiLevelType w:val="hybridMultilevel"/>
    <w:tmpl w:val="CD105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401A33"/>
    <w:multiLevelType w:val="hybridMultilevel"/>
    <w:tmpl w:val="0720CC74"/>
    <w:lvl w:ilvl="0" w:tplc="ADE6C01A">
      <w:start w:val="1"/>
      <w:numFmt w:val="decimal"/>
      <w:pStyle w:val="FSTableColumnRowheading"/>
      <w:lvlText w:val="Table %1."/>
      <w:lvlJc w:val="left"/>
      <w:pPr>
        <w:ind w:left="3479"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746FD0"/>
    <w:multiLevelType w:val="hybridMultilevel"/>
    <w:tmpl w:val="8410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A41A1"/>
    <w:multiLevelType w:val="multilevel"/>
    <w:tmpl w:val="102A79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A5490A"/>
    <w:multiLevelType w:val="singleLevel"/>
    <w:tmpl w:val="CB4EE308"/>
    <w:lvl w:ilvl="0">
      <w:start w:val="1"/>
      <w:numFmt w:val="bullet"/>
      <w:pStyle w:val="FRSCBullet"/>
      <w:lvlText w:val=""/>
      <w:lvlJc w:val="left"/>
      <w:pPr>
        <w:tabs>
          <w:tab w:val="num" w:pos="360"/>
        </w:tabs>
        <w:ind w:left="360" w:hanging="360"/>
      </w:pPr>
      <w:rPr>
        <w:rFonts w:ascii="Symbol" w:hAnsi="Symbol" w:hint="default"/>
        <w:b w:val="0"/>
        <w:sz w:val="16"/>
      </w:rPr>
    </w:lvl>
  </w:abstractNum>
  <w:abstractNum w:abstractNumId="11"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7BB412B"/>
    <w:multiLevelType w:val="multilevel"/>
    <w:tmpl w:val="AED834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AF3ED6"/>
    <w:multiLevelType w:val="hybridMultilevel"/>
    <w:tmpl w:val="F998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E46E9"/>
    <w:multiLevelType w:val="hybridMultilevel"/>
    <w:tmpl w:val="AADAFA42"/>
    <w:lvl w:ilvl="0" w:tplc="6BAE49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26D119F"/>
    <w:multiLevelType w:val="multilevel"/>
    <w:tmpl w:val="53B0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212FC"/>
    <w:multiLevelType w:val="multilevel"/>
    <w:tmpl w:val="0809001F"/>
    <w:styleLink w:val="111111"/>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5643372">
    <w:abstractNumId w:val="1"/>
  </w:num>
  <w:num w:numId="2" w16cid:durableId="1042900471">
    <w:abstractNumId w:val="11"/>
  </w:num>
  <w:num w:numId="3" w16cid:durableId="1854220598">
    <w:abstractNumId w:val="0"/>
  </w:num>
  <w:num w:numId="4" w16cid:durableId="1197742219">
    <w:abstractNumId w:val="12"/>
  </w:num>
  <w:num w:numId="5" w16cid:durableId="261307121">
    <w:abstractNumId w:val="18"/>
  </w:num>
  <w:num w:numId="6" w16cid:durableId="1724671152">
    <w:abstractNumId w:val="5"/>
  </w:num>
  <w:num w:numId="7" w16cid:durableId="1718161675">
    <w:abstractNumId w:val="6"/>
  </w:num>
  <w:num w:numId="8" w16cid:durableId="330644161">
    <w:abstractNumId w:val="10"/>
  </w:num>
  <w:num w:numId="9" w16cid:durableId="452987150">
    <w:abstractNumId w:val="15"/>
  </w:num>
  <w:num w:numId="10" w16cid:durableId="660888411">
    <w:abstractNumId w:val="14"/>
  </w:num>
  <w:num w:numId="11" w16cid:durableId="1052537660">
    <w:abstractNumId w:val="7"/>
  </w:num>
  <w:num w:numId="12" w16cid:durableId="416437759">
    <w:abstractNumId w:val="13"/>
  </w:num>
  <w:num w:numId="13" w16cid:durableId="793980628">
    <w:abstractNumId w:val="8"/>
  </w:num>
  <w:num w:numId="14" w16cid:durableId="1269922451">
    <w:abstractNumId w:val="16"/>
  </w:num>
  <w:num w:numId="15" w16cid:durableId="1688949589">
    <w:abstractNumId w:val="17"/>
  </w:num>
  <w:num w:numId="16" w16cid:durableId="1080953898">
    <w:abstractNumId w:val="3"/>
  </w:num>
  <w:num w:numId="17" w16cid:durableId="1592010819">
    <w:abstractNumId w:val="9"/>
  </w:num>
  <w:num w:numId="18" w16cid:durableId="980497319">
    <w:abstractNumId w:val="2"/>
  </w:num>
  <w:num w:numId="19" w16cid:durableId="19217125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42"/>
    <w:rsid w:val="000004EB"/>
    <w:rsid w:val="000007F3"/>
    <w:rsid w:val="00001154"/>
    <w:rsid w:val="00001CF2"/>
    <w:rsid w:val="00001D4B"/>
    <w:rsid w:val="0000247B"/>
    <w:rsid w:val="00002630"/>
    <w:rsid w:val="000026BE"/>
    <w:rsid w:val="00002DF4"/>
    <w:rsid w:val="00003E23"/>
    <w:rsid w:val="00004059"/>
    <w:rsid w:val="0000463F"/>
    <w:rsid w:val="0000469B"/>
    <w:rsid w:val="00004C30"/>
    <w:rsid w:val="00007004"/>
    <w:rsid w:val="00007534"/>
    <w:rsid w:val="000078E1"/>
    <w:rsid w:val="00007F20"/>
    <w:rsid w:val="00010AFA"/>
    <w:rsid w:val="000114BC"/>
    <w:rsid w:val="00011DD6"/>
    <w:rsid w:val="000123C5"/>
    <w:rsid w:val="00013201"/>
    <w:rsid w:val="000148CD"/>
    <w:rsid w:val="00014B56"/>
    <w:rsid w:val="00016CB6"/>
    <w:rsid w:val="0001751C"/>
    <w:rsid w:val="00020553"/>
    <w:rsid w:val="000205C5"/>
    <w:rsid w:val="00021257"/>
    <w:rsid w:val="00022417"/>
    <w:rsid w:val="00022886"/>
    <w:rsid w:val="00022DBC"/>
    <w:rsid w:val="00022E5F"/>
    <w:rsid w:val="0002409C"/>
    <w:rsid w:val="00024934"/>
    <w:rsid w:val="00025200"/>
    <w:rsid w:val="000259C4"/>
    <w:rsid w:val="00025D03"/>
    <w:rsid w:val="00025F6F"/>
    <w:rsid w:val="0002631B"/>
    <w:rsid w:val="0002655C"/>
    <w:rsid w:val="00027039"/>
    <w:rsid w:val="000270DB"/>
    <w:rsid w:val="0002747B"/>
    <w:rsid w:val="000275AB"/>
    <w:rsid w:val="000278DC"/>
    <w:rsid w:val="00031411"/>
    <w:rsid w:val="00032199"/>
    <w:rsid w:val="0003474A"/>
    <w:rsid w:val="00034C28"/>
    <w:rsid w:val="00034F87"/>
    <w:rsid w:val="00035141"/>
    <w:rsid w:val="00035C5E"/>
    <w:rsid w:val="00035F58"/>
    <w:rsid w:val="00035FF3"/>
    <w:rsid w:val="00036E8A"/>
    <w:rsid w:val="00040267"/>
    <w:rsid w:val="000407CD"/>
    <w:rsid w:val="00040C7D"/>
    <w:rsid w:val="00041680"/>
    <w:rsid w:val="000427B2"/>
    <w:rsid w:val="00042944"/>
    <w:rsid w:val="00042EF8"/>
    <w:rsid w:val="0004325B"/>
    <w:rsid w:val="00044D40"/>
    <w:rsid w:val="00044EEA"/>
    <w:rsid w:val="00045883"/>
    <w:rsid w:val="000461AF"/>
    <w:rsid w:val="00047D19"/>
    <w:rsid w:val="000502D3"/>
    <w:rsid w:val="000504AD"/>
    <w:rsid w:val="000508DD"/>
    <w:rsid w:val="00050E7B"/>
    <w:rsid w:val="00051021"/>
    <w:rsid w:val="00051427"/>
    <w:rsid w:val="0005157C"/>
    <w:rsid w:val="00051ED9"/>
    <w:rsid w:val="0005289E"/>
    <w:rsid w:val="000528D9"/>
    <w:rsid w:val="00052CF7"/>
    <w:rsid w:val="000547EC"/>
    <w:rsid w:val="00057181"/>
    <w:rsid w:val="00057E75"/>
    <w:rsid w:val="00060024"/>
    <w:rsid w:val="000606FD"/>
    <w:rsid w:val="0006160A"/>
    <w:rsid w:val="000627DA"/>
    <w:rsid w:val="00062D52"/>
    <w:rsid w:val="00064803"/>
    <w:rsid w:val="00064B2D"/>
    <w:rsid w:val="00065F1F"/>
    <w:rsid w:val="000665C2"/>
    <w:rsid w:val="00066B18"/>
    <w:rsid w:val="00066B50"/>
    <w:rsid w:val="00067C39"/>
    <w:rsid w:val="00071DA8"/>
    <w:rsid w:val="00071EB2"/>
    <w:rsid w:val="000721AC"/>
    <w:rsid w:val="00072263"/>
    <w:rsid w:val="0007231C"/>
    <w:rsid w:val="00073117"/>
    <w:rsid w:val="000731B0"/>
    <w:rsid w:val="00073A02"/>
    <w:rsid w:val="0007466A"/>
    <w:rsid w:val="000757D4"/>
    <w:rsid w:val="000764D5"/>
    <w:rsid w:val="00076632"/>
    <w:rsid w:val="00076D33"/>
    <w:rsid w:val="000778D6"/>
    <w:rsid w:val="00081B62"/>
    <w:rsid w:val="0008241A"/>
    <w:rsid w:val="0008245E"/>
    <w:rsid w:val="00083238"/>
    <w:rsid w:val="00083CD5"/>
    <w:rsid w:val="00083E09"/>
    <w:rsid w:val="00084120"/>
    <w:rsid w:val="000849E9"/>
    <w:rsid w:val="00084D8F"/>
    <w:rsid w:val="0009192F"/>
    <w:rsid w:val="00091CC2"/>
    <w:rsid w:val="00092526"/>
    <w:rsid w:val="00092AFB"/>
    <w:rsid w:val="00092BA0"/>
    <w:rsid w:val="00092D33"/>
    <w:rsid w:val="00094102"/>
    <w:rsid w:val="00094767"/>
    <w:rsid w:val="000959F5"/>
    <w:rsid w:val="00095E71"/>
    <w:rsid w:val="00096DCE"/>
    <w:rsid w:val="00097823"/>
    <w:rsid w:val="000A0F29"/>
    <w:rsid w:val="000A27E9"/>
    <w:rsid w:val="000A3D8B"/>
    <w:rsid w:val="000A4855"/>
    <w:rsid w:val="000A5DF8"/>
    <w:rsid w:val="000A6D7F"/>
    <w:rsid w:val="000A7AA6"/>
    <w:rsid w:val="000B1E35"/>
    <w:rsid w:val="000B3065"/>
    <w:rsid w:val="000B3CB9"/>
    <w:rsid w:val="000B4EFE"/>
    <w:rsid w:val="000B6AF2"/>
    <w:rsid w:val="000B7D9E"/>
    <w:rsid w:val="000C00EA"/>
    <w:rsid w:val="000C0C53"/>
    <w:rsid w:val="000C13BF"/>
    <w:rsid w:val="000C2AEB"/>
    <w:rsid w:val="000C2AF4"/>
    <w:rsid w:val="000C44D6"/>
    <w:rsid w:val="000C4D49"/>
    <w:rsid w:val="000C614F"/>
    <w:rsid w:val="000D08B8"/>
    <w:rsid w:val="000D095A"/>
    <w:rsid w:val="000D11E8"/>
    <w:rsid w:val="000D15FB"/>
    <w:rsid w:val="000D295F"/>
    <w:rsid w:val="000D2EF4"/>
    <w:rsid w:val="000D315F"/>
    <w:rsid w:val="000D5560"/>
    <w:rsid w:val="000D5687"/>
    <w:rsid w:val="000D6FD4"/>
    <w:rsid w:val="000D78CF"/>
    <w:rsid w:val="000E0AE4"/>
    <w:rsid w:val="000E0CBC"/>
    <w:rsid w:val="000E1A0A"/>
    <w:rsid w:val="000E1EDA"/>
    <w:rsid w:val="000E2B12"/>
    <w:rsid w:val="000E2E90"/>
    <w:rsid w:val="000E3ACC"/>
    <w:rsid w:val="000E3DBC"/>
    <w:rsid w:val="000E4967"/>
    <w:rsid w:val="000E4EA6"/>
    <w:rsid w:val="000E57C9"/>
    <w:rsid w:val="000E6C0A"/>
    <w:rsid w:val="000F011A"/>
    <w:rsid w:val="000F0F16"/>
    <w:rsid w:val="000F1BC3"/>
    <w:rsid w:val="000F1D2D"/>
    <w:rsid w:val="000F1F6F"/>
    <w:rsid w:val="000F5AD0"/>
    <w:rsid w:val="000F67D8"/>
    <w:rsid w:val="000F7FDB"/>
    <w:rsid w:val="000F7FE9"/>
    <w:rsid w:val="00100416"/>
    <w:rsid w:val="00101B55"/>
    <w:rsid w:val="0010230F"/>
    <w:rsid w:val="00105282"/>
    <w:rsid w:val="00105B2B"/>
    <w:rsid w:val="001062C3"/>
    <w:rsid w:val="00107DD5"/>
    <w:rsid w:val="00110074"/>
    <w:rsid w:val="001102F8"/>
    <w:rsid w:val="00112165"/>
    <w:rsid w:val="001129B5"/>
    <w:rsid w:val="00112CC7"/>
    <w:rsid w:val="001133FB"/>
    <w:rsid w:val="0011367D"/>
    <w:rsid w:val="00113CE3"/>
    <w:rsid w:val="00113EFC"/>
    <w:rsid w:val="00114B3D"/>
    <w:rsid w:val="0011516F"/>
    <w:rsid w:val="0011550F"/>
    <w:rsid w:val="00115BBD"/>
    <w:rsid w:val="00116FD7"/>
    <w:rsid w:val="00117522"/>
    <w:rsid w:val="00117967"/>
    <w:rsid w:val="001200E7"/>
    <w:rsid w:val="0012171A"/>
    <w:rsid w:val="00121BA3"/>
    <w:rsid w:val="00124043"/>
    <w:rsid w:val="00124D1C"/>
    <w:rsid w:val="001253CB"/>
    <w:rsid w:val="00125AC3"/>
    <w:rsid w:val="00126640"/>
    <w:rsid w:val="00127734"/>
    <w:rsid w:val="001300A2"/>
    <w:rsid w:val="00136074"/>
    <w:rsid w:val="00136964"/>
    <w:rsid w:val="00137982"/>
    <w:rsid w:val="001405E9"/>
    <w:rsid w:val="001411E3"/>
    <w:rsid w:val="00141557"/>
    <w:rsid w:val="00143FFC"/>
    <w:rsid w:val="00144622"/>
    <w:rsid w:val="00144B2B"/>
    <w:rsid w:val="0014524C"/>
    <w:rsid w:val="00145CE7"/>
    <w:rsid w:val="00145D4E"/>
    <w:rsid w:val="001472CA"/>
    <w:rsid w:val="001475DD"/>
    <w:rsid w:val="00147F1E"/>
    <w:rsid w:val="00150DCB"/>
    <w:rsid w:val="00150FE7"/>
    <w:rsid w:val="00151CBD"/>
    <w:rsid w:val="00151D62"/>
    <w:rsid w:val="00151DB2"/>
    <w:rsid w:val="00152F05"/>
    <w:rsid w:val="00153D35"/>
    <w:rsid w:val="00153F9D"/>
    <w:rsid w:val="001542D8"/>
    <w:rsid w:val="00154B99"/>
    <w:rsid w:val="00155425"/>
    <w:rsid w:val="001569BA"/>
    <w:rsid w:val="001572B7"/>
    <w:rsid w:val="001606D1"/>
    <w:rsid w:val="001612D8"/>
    <w:rsid w:val="00161A3E"/>
    <w:rsid w:val="00162548"/>
    <w:rsid w:val="001628B1"/>
    <w:rsid w:val="00162FC0"/>
    <w:rsid w:val="00163513"/>
    <w:rsid w:val="0016398B"/>
    <w:rsid w:val="00163CC6"/>
    <w:rsid w:val="00164593"/>
    <w:rsid w:val="0016471A"/>
    <w:rsid w:val="001647CF"/>
    <w:rsid w:val="001659D4"/>
    <w:rsid w:val="00166445"/>
    <w:rsid w:val="00166763"/>
    <w:rsid w:val="00166B90"/>
    <w:rsid w:val="001671AA"/>
    <w:rsid w:val="00167B26"/>
    <w:rsid w:val="00167E79"/>
    <w:rsid w:val="00170D60"/>
    <w:rsid w:val="00171035"/>
    <w:rsid w:val="001714EE"/>
    <w:rsid w:val="00171518"/>
    <w:rsid w:val="00171715"/>
    <w:rsid w:val="001728F1"/>
    <w:rsid w:val="00172F12"/>
    <w:rsid w:val="00173008"/>
    <w:rsid w:val="00173D0F"/>
    <w:rsid w:val="00174471"/>
    <w:rsid w:val="00175CBC"/>
    <w:rsid w:val="00176202"/>
    <w:rsid w:val="001765C5"/>
    <w:rsid w:val="00176B3C"/>
    <w:rsid w:val="00176F60"/>
    <w:rsid w:val="00177F4A"/>
    <w:rsid w:val="001807AC"/>
    <w:rsid w:val="0018091D"/>
    <w:rsid w:val="00180C41"/>
    <w:rsid w:val="001816A8"/>
    <w:rsid w:val="001817EB"/>
    <w:rsid w:val="00182C4C"/>
    <w:rsid w:val="00182DC4"/>
    <w:rsid w:val="00183761"/>
    <w:rsid w:val="00183CF0"/>
    <w:rsid w:val="00183F7E"/>
    <w:rsid w:val="001841E9"/>
    <w:rsid w:val="001842DC"/>
    <w:rsid w:val="001845BD"/>
    <w:rsid w:val="00184724"/>
    <w:rsid w:val="00185436"/>
    <w:rsid w:val="0018580A"/>
    <w:rsid w:val="00185FD6"/>
    <w:rsid w:val="0018694A"/>
    <w:rsid w:val="0018774D"/>
    <w:rsid w:val="00187CC0"/>
    <w:rsid w:val="00190609"/>
    <w:rsid w:val="001915FD"/>
    <w:rsid w:val="00191BC3"/>
    <w:rsid w:val="00192359"/>
    <w:rsid w:val="00192BB4"/>
    <w:rsid w:val="00193F24"/>
    <w:rsid w:val="00194D93"/>
    <w:rsid w:val="001953E6"/>
    <w:rsid w:val="00195CD5"/>
    <w:rsid w:val="0019746C"/>
    <w:rsid w:val="00197A99"/>
    <w:rsid w:val="00197CD8"/>
    <w:rsid w:val="00197D8D"/>
    <w:rsid w:val="00197EDE"/>
    <w:rsid w:val="001A1A75"/>
    <w:rsid w:val="001A23B4"/>
    <w:rsid w:val="001A27DF"/>
    <w:rsid w:val="001A56D7"/>
    <w:rsid w:val="001A6BF6"/>
    <w:rsid w:val="001A6FD2"/>
    <w:rsid w:val="001A7852"/>
    <w:rsid w:val="001A7E48"/>
    <w:rsid w:val="001A7E9A"/>
    <w:rsid w:val="001B0D49"/>
    <w:rsid w:val="001B17E4"/>
    <w:rsid w:val="001B2863"/>
    <w:rsid w:val="001B2F93"/>
    <w:rsid w:val="001B3632"/>
    <w:rsid w:val="001B3C5E"/>
    <w:rsid w:val="001B4BA4"/>
    <w:rsid w:val="001B5406"/>
    <w:rsid w:val="001B62BE"/>
    <w:rsid w:val="001C080F"/>
    <w:rsid w:val="001C09A3"/>
    <w:rsid w:val="001C0EC4"/>
    <w:rsid w:val="001C150C"/>
    <w:rsid w:val="001C2655"/>
    <w:rsid w:val="001C27A3"/>
    <w:rsid w:val="001C27AB"/>
    <w:rsid w:val="001C282C"/>
    <w:rsid w:val="001C3915"/>
    <w:rsid w:val="001C3D2F"/>
    <w:rsid w:val="001C4A39"/>
    <w:rsid w:val="001C4D72"/>
    <w:rsid w:val="001C5295"/>
    <w:rsid w:val="001C691B"/>
    <w:rsid w:val="001C7B60"/>
    <w:rsid w:val="001D0418"/>
    <w:rsid w:val="001D1917"/>
    <w:rsid w:val="001D20A3"/>
    <w:rsid w:val="001D2B7A"/>
    <w:rsid w:val="001D3427"/>
    <w:rsid w:val="001D34C8"/>
    <w:rsid w:val="001D3582"/>
    <w:rsid w:val="001D60FE"/>
    <w:rsid w:val="001D6E05"/>
    <w:rsid w:val="001D6EC5"/>
    <w:rsid w:val="001E0152"/>
    <w:rsid w:val="001E09FA"/>
    <w:rsid w:val="001E12D7"/>
    <w:rsid w:val="001E1962"/>
    <w:rsid w:val="001E26FA"/>
    <w:rsid w:val="001E3006"/>
    <w:rsid w:val="001E33D7"/>
    <w:rsid w:val="001E3C5F"/>
    <w:rsid w:val="001E57EA"/>
    <w:rsid w:val="001E6111"/>
    <w:rsid w:val="001F0403"/>
    <w:rsid w:val="001F16D9"/>
    <w:rsid w:val="001F27A5"/>
    <w:rsid w:val="001F37A6"/>
    <w:rsid w:val="001F496F"/>
    <w:rsid w:val="001F4A9B"/>
    <w:rsid w:val="001F5974"/>
    <w:rsid w:val="001F5B9C"/>
    <w:rsid w:val="001F65C8"/>
    <w:rsid w:val="001F74B2"/>
    <w:rsid w:val="00200514"/>
    <w:rsid w:val="0020051F"/>
    <w:rsid w:val="00200E37"/>
    <w:rsid w:val="00201143"/>
    <w:rsid w:val="002016B2"/>
    <w:rsid w:val="00202858"/>
    <w:rsid w:val="00203540"/>
    <w:rsid w:val="00203895"/>
    <w:rsid w:val="00205792"/>
    <w:rsid w:val="00205A49"/>
    <w:rsid w:val="00205D9E"/>
    <w:rsid w:val="0020613F"/>
    <w:rsid w:val="00206BCC"/>
    <w:rsid w:val="00206EA6"/>
    <w:rsid w:val="00211E7D"/>
    <w:rsid w:val="00212F1C"/>
    <w:rsid w:val="002146DF"/>
    <w:rsid w:val="00215CEA"/>
    <w:rsid w:val="002166AC"/>
    <w:rsid w:val="0021725A"/>
    <w:rsid w:val="00217AC5"/>
    <w:rsid w:val="00220A09"/>
    <w:rsid w:val="00220C41"/>
    <w:rsid w:val="00221550"/>
    <w:rsid w:val="00221D07"/>
    <w:rsid w:val="002222DF"/>
    <w:rsid w:val="0022233E"/>
    <w:rsid w:val="002226D0"/>
    <w:rsid w:val="00222AEA"/>
    <w:rsid w:val="002233C3"/>
    <w:rsid w:val="00227A99"/>
    <w:rsid w:val="00227B5B"/>
    <w:rsid w:val="00227E4A"/>
    <w:rsid w:val="00231857"/>
    <w:rsid w:val="00231DCB"/>
    <w:rsid w:val="00233890"/>
    <w:rsid w:val="00233A5F"/>
    <w:rsid w:val="002352A9"/>
    <w:rsid w:val="00235C04"/>
    <w:rsid w:val="002362CC"/>
    <w:rsid w:val="0023683E"/>
    <w:rsid w:val="00237402"/>
    <w:rsid w:val="00237A0E"/>
    <w:rsid w:val="00237BEB"/>
    <w:rsid w:val="0024002E"/>
    <w:rsid w:val="00240D1E"/>
    <w:rsid w:val="0024104A"/>
    <w:rsid w:val="00241A5F"/>
    <w:rsid w:val="002420C7"/>
    <w:rsid w:val="00242186"/>
    <w:rsid w:val="00242618"/>
    <w:rsid w:val="00242BF3"/>
    <w:rsid w:val="0024324B"/>
    <w:rsid w:val="002432EE"/>
    <w:rsid w:val="00243A68"/>
    <w:rsid w:val="00243AF2"/>
    <w:rsid w:val="00243E2D"/>
    <w:rsid w:val="00244FC9"/>
    <w:rsid w:val="0024513E"/>
    <w:rsid w:val="0024582A"/>
    <w:rsid w:val="0024582E"/>
    <w:rsid w:val="00245A41"/>
    <w:rsid w:val="00245B41"/>
    <w:rsid w:val="0024622B"/>
    <w:rsid w:val="00250D46"/>
    <w:rsid w:val="002511AE"/>
    <w:rsid w:val="002515C1"/>
    <w:rsid w:val="00251C52"/>
    <w:rsid w:val="00251DF9"/>
    <w:rsid w:val="00251E42"/>
    <w:rsid w:val="002521AE"/>
    <w:rsid w:val="00253075"/>
    <w:rsid w:val="00253AA1"/>
    <w:rsid w:val="00253E8C"/>
    <w:rsid w:val="00254544"/>
    <w:rsid w:val="002547EF"/>
    <w:rsid w:val="002554F3"/>
    <w:rsid w:val="00255B1A"/>
    <w:rsid w:val="00255D6D"/>
    <w:rsid w:val="00256959"/>
    <w:rsid w:val="00256D65"/>
    <w:rsid w:val="00257098"/>
    <w:rsid w:val="002576A5"/>
    <w:rsid w:val="002635EC"/>
    <w:rsid w:val="0026508B"/>
    <w:rsid w:val="002661AA"/>
    <w:rsid w:val="00267BC4"/>
    <w:rsid w:val="00267E03"/>
    <w:rsid w:val="00270810"/>
    <w:rsid w:val="00270AEE"/>
    <w:rsid w:val="00270B88"/>
    <w:rsid w:val="00271C95"/>
    <w:rsid w:val="00271E4F"/>
    <w:rsid w:val="00271F00"/>
    <w:rsid w:val="00273A80"/>
    <w:rsid w:val="00273AB8"/>
    <w:rsid w:val="00273B3A"/>
    <w:rsid w:val="00274C96"/>
    <w:rsid w:val="0027513D"/>
    <w:rsid w:val="00275E48"/>
    <w:rsid w:val="00276026"/>
    <w:rsid w:val="00276047"/>
    <w:rsid w:val="002762FD"/>
    <w:rsid w:val="00277074"/>
    <w:rsid w:val="002779AB"/>
    <w:rsid w:val="00280E90"/>
    <w:rsid w:val="00281153"/>
    <w:rsid w:val="00283D4B"/>
    <w:rsid w:val="00283D7B"/>
    <w:rsid w:val="00283E85"/>
    <w:rsid w:val="00283EA9"/>
    <w:rsid w:val="00284FF0"/>
    <w:rsid w:val="002850A6"/>
    <w:rsid w:val="002851C8"/>
    <w:rsid w:val="002856B0"/>
    <w:rsid w:val="00285BC9"/>
    <w:rsid w:val="00286BF6"/>
    <w:rsid w:val="00287081"/>
    <w:rsid w:val="00287500"/>
    <w:rsid w:val="00287531"/>
    <w:rsid w:val="00290A60"/>
    <w:rsid w:val="0029204E"/>
    <w:rsid w:val="00292267"/>
    <w:rsid w:val="00292B86"/>
    <w:rsid w:val="00292C61"/>
    <w:rsid w:val="00293862"/>
    <w:rsid w:val="00294075"/>
    <w:rsid w:val="00294452"/>
    <w:rsid w:val="0029459B"/>
    <w:rsid w:val="00294BAD"/>
    <w:rsid w:val="0029631C"/>
    <w:rsid w:val="00297104"/>
    <w:rsid w:val="002972DE"/>
    <w:rsid w:val="0029795C"/>
    <w:rsid w:val="002A0194"/>
    <w:rsid w:val="002A1478"/>
    <w:rsid w:val="002A1718"/>
    <w:rsid w:val="002A1843"/>
    <w:rsid w:val="002A2007"/>
    <w:rsid w:val="002A2348"/>
    <w:rsid w:val="002A2515"/>
    <w:rsid w:val="002A2AEB"/>
    <w:rsid w:val="002A2C26"/>
    <w:rsid w:val="002A4A1D"/>
    <w:rsid w:val="002A53B9"/>
    <w:rsid w:val="002A5F8B"/>
    <w:rsid w:val="002A67CE"/>
    <w:rsid w:val="002A68A0"/>
    <w:rsid w:val="002A70F2"/>
    <w:rsid w:val="002A7777"/>
    <w:rsid w:val="002A7F6C"/>
    <w:rsid w:val="002B0623"/>
    <w:rsid w:val="002B06C0"/>
    <w:rsid w:val="002B0D8E"/>
    <w:rsid w:val="002B4D74"/>
    <w:rsid w:val="002B5CBC"/>
    <w:rsid w:val="002B66C8"/>
    <w:rsid w:val="002B6C95"/>
    <w:rsid w:val="002B6DF7"/>
    <w:rsid w:val="002B78CA"/>
    <w:rsid w:val="002C1A1E"/>
    <w:rsid w:val="002C2795"/>
    <w:rsid w:val="002C290D"/>
    <w:rsid w:val="002C2CE9"/>
    <w:rsid w:val="002C3FC5"/>
    <w:rsid w:val="002C4499"/>
    <w:rsid w:val="002C4648"/>
    <w:rsid w:val="002C5512"/>
    <w:rsid w:val="002C609D"/>
    <w:rsid w:val="002C6987"/>
    <w:rsid w:val="002C72AF"/>
    <w:rsid w:val="002D000E"/>
    <w:rsid w:val="002D0DB8"/>
    <w:rsid w:val="002D14A4"/>
    <w:rsid w:val="002D2592"/>
    <w:rsid w:val="002D261A"/>
    <w:rsid w:val="002D31CF"/>
    <w:rsid w:val="002D3CD1"/>
    <w:rsid w:val="002D3F8F"/>
    <w:rsid w:val="002D43B9"/>
    <w:rsid w:val="002D4E92"/>
    <w:rsid w:val="002D51C3"/>
    <w:rsid w:val="002D66B4"/>
    <w:rsid w:val="002D6809"/>
    <w:rsid w:val="002D6EF8"/>
    <w:rsid w:val="002D7A9B"/>
    <w:rsid w:val="002E086A"/>
    <w:rsid w:val="002E15AA"/>
    <w:rsid w:val="002E31CA"/>
    <w:rsid w:val="002E4560"/>
    <w:rsid w:val="002E4739"/>
    <w:rsid w:val="002E547D"/>
    <w:rsid w:val="002E6EE8"/>
    <w:rsid w:val="002F0724"/>
    <w:rsid w:val="002F0CD6"/>
    <w:rsid w:val="002F13D4"/>
    <w:rsid w:val="002F1F13"/>
    <w:rsid w:val="002F211F"/>
    <w:rsid w:val="002F38AE"/>
    <w:rsid w:val="002F4A38"/>
    <w:rsid w:val="002F6488"/>
    <w:rsid w:val="002F7FA7"/>
    <w:rsid w:val="003000CA"/>
    <w:rsid w:val="00301DEB"/>
    <w:rsid w:val="003034EB"/>
    <w:rsid w:val="00305270"/>
    <w:rsid w:val="00307683"/>
    <w:rsid w:val="0031095A"/>
    <w:rsid w:val="003109A0"/>
    <w:rsid w:val="003109DC"/>
    <w:rsid w:val="00310C83"/>
    <w:rsid w:val="00310E84"/>
    <w:rsid w:val="0031180B"/>
    <w:rsid w:val="003122E5"/>
    <w:rsid w:val="0031426E"/>
    <w:rsid w:val="00315A71"/>
    <w:rsid w:val="00315D9B"/>
    <w:rsid w:val="00316044"/>
    <w:rsid w:val="003160F5"/>
    <w:rsid w:val="003166BC"/>
    <w:rsid w:val="00317363"/>
    <w:rsid w:val="0032012D"/>
    <w:rsid w:val="0032070F"/>
    <w:rsid w:val="003213F9"/>
    <w:rsid w:val="00322A83"/>
    <w:rsid w:val="00322D87"/>
    <w:rsid w:val="00323DBF"/>
    <w:rsid w:val="003246A1"/>
    <w:rsid w:val="003250B3"/>
    <w:rsid w:val="00325125"/>
    <w:rsid w:val="00325ECA"/>
    <w:rsid w:val="00326B7D"/>
    <w:rsid w:val="003271E0"/>
    <w:rsid w:val="0033082A"/>
    <w:rsid w:val="0033084C"/>
    <w:rsid w:val="003309A8"/>
    <w:rsid w:val="003311BD"/>
    <w:rsid w:val="003313C2"/>
    <w:rsid w:val="00331EA3"/>
    <w:rsid w:val="003322F1"/>
    <w:rsid w:val="00332B12"/>
    <w:rsid w:val="00332B39"/>
    <w:rsid w:val="00333545"/>
    <w:rsid w:val="003345D4"/>
    <w:rsid w:val="00334C54"/>
    <w:rsid w:val="003356BB"/>
    <w:rsid w:val="00336711"/>
    <w:rsid w:val="003368F5"/>
    <w:rsid w:val="00336D7B"/>
    <w:rsid w:val="00336F0C"/>
    <w:rsid w:val="00340E87"/>
    <w:rsid w:val="003412EA"/>
    <w:rsid w:val="0034179D"/>
    <w:rsid w:val="00341ADB"/>
    <w:rsid w:val="00341F3F"/>
    <w:rsid w:val="00342783"/>
    <w:rsid w:val="00343314"/>
    <w:rsid w:val="00345311"/>
    <w:rsid w:val="003456A3"/>
    <w:rsid w:val="003458F9"/>
    <w:rsid w:val="00345984"/>
    <w:rsid w:val="00345A30"/>
    <w:rsid w:val="00345DF7"/>
    <w:rsid w:val="00347935"/>
    <w:rsid w:val="00347B27"/>
    <w:rsid w:val="00350DBD"/>
    <w:rsid w:val="00351927"/>
    <w:rsid w:val="00351B07"/>
    <w:rsid w:val="00351C30"/>
    <w:rsid w:val="00351F70"/>
    <w:rsid w:val="003521C0"/>
    <w:rsid w:val="00352873"/>
    <w:rsid w:val="0035438B"/>
    <w:rsid w:val="00355BAE"/>
    <w:rsid w:val="00355E7B"/>
    <w:rsid w:val="00356724"/>
    <w:rsid w:val="003608BE"/>
    <w:rsid w:val="00360CC3"/>
    <w:rsid w:val="003613B3"/>
    <w:rsid w:val="0036268A"/>
    <w:rsid w:val="0036302F"/>
    <w:rsid w:val="003642F8"/>
    <w:rsid w:val="00364841"/>
    <w:rsid w:val="003660E4"/>
    <w:rsid w:val="00366F70"/>
    <w:rsid w:val="00367A5E"/>
    <w:rsid w:val="00367DE6"/>
    <w:rsid w:val="00371B29"/>
    <w:rsid w:val="00372182"/>
    <w:rsid w:val="003725DD"/>
    <w:rsid w:val="00372B69"/>
    <w:rsid w:val="0037339E"/>
    <w:rsid w:val="00373579"/>
    <w:rsid w:val="003738EB"/>
    <w:rsid w:val="00373CFE"/>
    <w:rsid w:val="00374E07"/>
    <w:rsid w:val="0037520F"/>
    <w:rsid w:val="00375792"/>
    <w:rsid w:val="003760A1"/>
    <w:rsid w:val="00376153"/>
    <w:rsid w:val="00376781"/>
    <w:rsid w:val="00382890"/>
    <w:rsid w:val="00383394"/>
    <w:rsid w:val="0038364E"/>
    <w:rsid w:val="00383888"/>
    <w:rsid w:val="0038500C"/>
    <w:rsid w:val="00385379"/>
    <w:rsid w:val="00386242"/>
    <w:rsid w:val="003870EF"/>
    <w:rsid w:val="00387EAD"/>
    <w:rsid w:val="00387F58"/>
    <w:rsid w:val="0039043D"/>
    <w:rsid w:val="00391769"/>
    <w:rsid w:val="00392C67"/>
    <w:rsid w:val="00393813"/>
    <w:rsid w:val="00393855"/>
    <w:rsid w:val="00393BA9"/>
    <w:rsid w:val="00393C3A"/>
    <w:rsid w:val="00394022"/>
    <w:rsid w:val="003953E1"/>
    <w:rsid w:val="003956B3"/>
    <w:rsid w:val="00395733"/>
    <w:rsid w:val="00395868"/>
    <w:rsid w:val="00395EE3"/>
    <w:rsid w:val="00395F5E"/>
    <w:rsid w:val="00396057"/>
    <w:rsid w:val="00396AAE"/>
    <w:rsid w:val="00396AF2"/>
    <w:rsid w:val="00396DFD"/>
    <w:rsid w:val="00396F08"/>
    <w:rsid w:val="0039753D"/>
    <w:rsid w:val="003A166C"/>
    <w:rsid w:val="003A190D"/>
    <w:rsid w:val="003A56C2"/>
    <w:rsid w:val="003A5D68"/>
    <w:rsid w:val="003A617F"/>
    <w:rsid w:val="003A6338"/>
    <w:rsid w:val="003A652D"/>
    <w:rsid w:val="003A68BE"/>
    <w:rsid w:val="003A6C4E"/>
    <w:rsid w:val="003A6CE8"/>
    <w:rsid w:val="003A6E81"/>
    <w:rsid w:val="003A7416"/>
    <w:rsid w:val="003A7479"/>
    <w:rsid w:val="003A7725"/>
    <w:rsid w:val="003A77F1"/>
    <w:rsid w:val="003B0AF3"/>
    <w:rsid w:val="003B10C6"/>
    <w:rsid w:val="003B2D8B"/>
    <w:rsid w:val="003B347E"/>
    <w:rsid w:val="003B3C9D"/>
    <w:rsid w:val="003B592F"/>
    <w:rsid w:val="003B6050"/>
    <w:rsid w:val="003B66FD"/>
    <w:rsid w:val="003B6E79"/>
    <w:rsid w:val="003B740C"/>
    <w:rsid w:val="003B78E0"/>
    <w:rsid w:val="003C08F3"/>
    <w:rsid w:val="003C1FA2"/>
    <w:rsid w:val="003C202A"/>
    <w:rsid w:val="003C2627"/>
    <w:rsid w:val="003C26DA"/>
    <w:rsid w:val="003C2AC5"/>
    <w:rsid w:val="003C3099"/>
    <w:rsid w:val="003C3ED0"/>
    <w:rsid w:val="003C4841"/>
    <w:rsid w:val="003C4969"/>
    <w:rsid w:val="003C4A2E"/>
    <w:rsid w:val="003C4CEB"/>
    <w:rsid w:val="003C5C52"/>
    <w:rsid w:val="003C61B4"/>
    <w:rsid w:val="003C775B"/>
    <w:rsid w:val="003C7A0B"/>
    <w:rsid w:val="003C7CCE"/>
    <w:rsid w:val="003D0729"/>
    <w:rsid w:val="003D0ACB"/>
    <w:rsid w:val="003D138D"/>
    <w:rsid w:val="003D1A00"/>
    <w:rsid w:val="003D1E00"/>
    <w:rsid w:val="003D1E64"/>
    <w:rsid w:val="003D36B7"/>
    <w:rsid w:val="003D3E98"/>
    <w:rsid w:val="003D3F6F"/>
    <w:rsid w:val="003D71AC"/>
    <w:rsid w:val="003D7B93"/>
    <w:rsid w:val="003D7F61"/>
    <w:rsid w:val="003E05B0"/>
    <w:rsid w:val="003E19D3"/>
    <w:rsid w:val="003E247F"/>
    <w:rsid w:val="003E2983"/>
    <w:rsid w:val="003E2FDE"/>
    <w:rsid w:val="003E321A"/>
    <w:rsid w:val="003E3291"/>
    <w:rsid w:val="003E32B7"/>
    <w:rsid w:val="003E41D5"/>
    <w:rsid w:val="003E426C"/>
    <w:rsid w:val="003E46BA"/>
    <w:rsid w:val="003E6AD5"/>
    <w:rsid w:val="003E76FF"/>
    <w:rsid w:val="003E7729"/>
    <w:rsid w:val="003E7D22"/>
    <w:rsid w:val="003F0D5B"/>
    <w:rsid w:val="003F146E"/>
    <w:rsid w:val="003F162A"/>
    <w:rsid w:val="003F4224"/>
    <w:rsid w:val="003F6B68"/>
    <w:rsid w:val="003F710F"/>
    <w:rsid w:val="003F7125"/>
    <w:rsid w:val="003F71C1"/>
    <w:rsid w:val="003F74C1"/>
    <w:rsid w:val="003F77C1"/>
    <w:rsid w:val="00400064"/>
    <w:rsid w:val="00400E2A"/>
    <w:rsid w:val="00401876"/>
    <w:rsid w:val="00402729"/>
    <w:rsid w:val="00403533"/>
    <w:rsid w:val="00403D49"/>
    <w:rsid w:val="004056E0"/>
    <w:rsid w:val="00405878"/>
    <w:rsid w:val="004059A5"/>
    <w:rsid w:val="00405B1A"/>
    <w:rsid w:val="00407241"/>
    <w:rsid w:val="0040761E"/>
    <w:rsid w:val="004076DA"/>
    <w:rsid w:val="0041017C"/>
    <w:rsid w:val="00410C76"/>
    <w:rsid w:val="00410F05"/>
    <w:rsid w:val="00410F55"/>
    <w:rsid w:val="00411029"/>
    <w:rsid w:val="00411643"/>
    <w:rsid w:val="00411907"/>
    <w:rsid w:val="00413CA8"/>
    <w:rsid w:val="004151C4"/>
    <w:rsid w:val="00415F4F"/>
    <w:rsid w:val="0041734E"/>
    <w:rsid w:val="00417407"/>
    <w:rsid w:val="00417750"/>
    <w:rsid w:val="00417EE3"/>
    <w:rsid w:val="004207EB"/>
    <w:rsid w:val="004218C6"/>
    <w:rsid w:val="00422645"/>
    <w:rsid w:val="00422AD8"/>
    <w:rsid w:val="00424E61"/>
    <w:rsid w:val="00424F59"/>
    <w:rsid w:val="00425D62"/>
    <w:rsid w:val="004264E0"/>
    <w:rsid w:val="00426E97"/>
    <w:rsid w:val="00427F69"/>
    <w:rsid w:val="00431EF9"/>
    <w:rsid w:val="00432555"/>
    <w:rsid w:val="00432D1E"/>
    <w:rsid w:val="00433A4F"/>
    <w:rsid w:val="00434BE8"/>
    <w:rsid w:val="00435FA5"/>
    <w:rsid w:val="00436B8D"/>
    <w:rsid w:val="00437276"/>
    <w:rsid w:val="0044054B"/>
    <w:rsid w:val="00440907"/>
    <w:rsid w:val="00440F27"/>
    <w:rsid w:val="00441BBA"/>
    <w:rsid w:val="00442AC0"/>
    <w:rsid w:val="00442F24"/>
    <w:rsid w:val="004437BD"/>
    <w:rsid w:val="00444CF9"/>
    <w:rsid w:val="00444DC0"/>
    <w:rsid w:val="00445597"/>
    <w:rsid w:val="00445CDC"/>
    <w:rsid w:val="00446912"/>
    <w:rsid w:val="00446DF0"/>
    <w:rsid w:val="00447E67"/>
    <w:rsid w:val="00450E97"/>
    <w:rsid w:val="00451003"/>
    <w:rsid w:val="00451565"/>
    <w:rsid w:val="00451B0B"/>
    <w:rsid w:val="0045207F"/>
    <w:rsid w:val="004550C8"/>
    <w:rsid w:val="0045556F"/>
    <w:rsid w:val="004557A4"/>
    <w:rsid w:val="00456508"/>
    <w:rsid w:val="00456847"/>
    <w:rsid w:val="00456B54"/>
    <w:rsid w:val="0045764E"/>
    <w:rsid w:val="00457DF1"/>
    <w:rsid w:val="00460E72"/>
    <w:rsid w:val="00463D62"/>
    <w:rsid w:val="00464643"/>
    <w:rsid w:val="004646F8"/>
    <w:rsid w:val="00464795"/>
    <w:rsid w:val="00464A63"/>
    <w:rsid w:val="00465774"/>
    <w:rsid w:val="0046581A"/>
    <w:rsid w:val="00465F63"/>
    <w:rsid w:val="00465F9F"/>
    <w:rsid w:val="00466066"/>
    <w:rsid w:val="00466242"/>
    <w:rsid w:val="0046628B"/>
    <w:rsid w:val="00466515"/>
    <w:rsid w:val="004666BA"/>
    <w:rsid w:val="00470272"/>
    <w:rsid w:val="00470D09"/>
    <w:rsid w:val="00471CC6"/>
    <w:rsid w:val="00471E38"/>
    <w:rsid w:val="0047218B"/>
    <w:rsid w:val="0047377B"/>
    <w:rsid w:val="00474118"/>
    <w:rsid w:val="004747E3"/>
    <w:rsid w:val="00474C81"/>
    <w:rsid w:val="00474FEE"/>
    <w:rsid w:val="0047530D"/>
    <w:rsid w:val="0047551D"/>
    <w:rsid w:val="0047596D"/>
    <w:rsid w:val="00475A30"/>
    <w:rsid w:val="00475BD1"/>
    <w:rsid w:val="00476058"/>
    <w:rsid w:val="00476DD7"/>
    <w:rsid w:val="004773EF"/>
    <w:rsid w:val="004801B3"/>
    <w:rsid w:val="00480493"/>
    <w:rsid w:val="00481E0B"/>
    <w:rsid w:val="00482762"/>
    <w:rsid w:val="004851E9"/>
    <w:rsid w:val="00486014"/>
    <w:rsid w:val="00486793"/>
    <w:rsid w:val="00486B81"/>
    <w:rsid w:val="004870E9"/>
    <w:rsid w:val="00487712"/>
    <w:rsid w:val="0048797D"/>
    <w:rsid w:val="00491984"/>
    <w:rsid w:val="004919E2"/>
    <w:rsid w:val="00492507"/>
    <w:rsid w:val="00492A9A"/>
    <w:rsid w:val="004934CA"/>
    <w:rsid w:val="004938BF"/>
    <w:rsid w:val="00493E30"/>
    <w:rsid w:val="004944F1"/>
    <w:rsid w:val="004947DF"/>
    <w:rsid w:val="0049636F"/>
    <w:rsid w:val="004965D8"/>
    <w:rsid w:val="00496D2B"/>
    <w:rsid w:val="00497688"/>
    <w:rsid w:val="00497C00"/>
    <w:rsid w:val="00497D64"/>
    <w:rsid w:val="004A0987"/>
    <w:rsid w:val="004A1C2A"/>
    <w:rsid w:val="004A2037"/>
    <w:rsid w:val="004A3491"/>
    <w:rsid w:val="004A3685"/>
    <w:rsid w:val="004A38B1"/>
    <w:rsid w:val="004A38FA"/>
    <w:rsid w:val="004A5338"/>
    <w:rsid w:val="004A56BD"/>
    <w:rsid w:val="004A5EB1"/>
    <w:rsid w:val="004A6A1B"/>
    <w:rsid w:val="004A77CD"/>
    <w:rsid w:val="004A7940"/>
    <w:rsid w:val="004A7B88"/>
    <w:rsid w:val="004B0CDA"/>
    <w:rsid w:val="004B0DA8"/>
    <w:rsid w:val="004B0FD2"/>
    <w:rsid w:val="004B1317"/>
    <w:rsid w:val="004B1D5A"/>
    <w:rsid w:val="004B4A06"/>
    <w:rsid w:val="004B4DA6"/>
    <w:rsid w:val="004B4E62"/>
    <w:rsid w:val="004B62C7"/>
    <w:rsid w:val="004C09D0"/>
    <w:rsid w:val="004C2378"/>
    <w:rsid w:val="004C2AB4"/>
    <w:rsid w:val="004C2CE7"/>
    <w:rsid w:val="004C5C65"/>
    <w:rsid w:val="004C6ECA"/>
    <w:rsid w:val="004C6EEA"/>
    <w:rsid w:val="004C7655"/>
    <w:rsid w:val="004D1D86"/>
    <w:rsid w:val="004D208A"/>
    <w:rsid w:val="004D2E45"/>
    <w:rsid w:val="004D30A6"/>
    <w:rsid w:val="004D3967"/>
    <w:rsid w:val="004D5721"/>
    <w:rsid w:val="004D5D7E"/>
    <w:rsid w:val="004D6CBF"/>
    <w:rsid w:val="004D7787"/>
    <w:rsid w:val="004E0809"/>
    <w:rsid w:val="004E0C8C"/>
    <w:rsid w:val="004E1981"/>
    <w:rsid w:val="004E2395"/>
    <w:rsid w:val="004E2B08"/>
    <w:rsid w:val="004E2D19"/>
    <w:rsid w:val="004E34BB"/>
    <w:rsid w:val="004E4AE4"/>
    <w:rsid w:val="004E4DFE"/>
    <w:rsid w:val="004E5E44"/>
    <w:rsid w:val="004E6212"/>
    <w:rsid w:val="004E6413"/>
    <w:rsid w:val="004E705C"/>
    <w:rsid w:val="004E7B08"/>
    <w:rsid w:val="004F2E46"/>
    <w:rsid w:val="004F3276"/>
    <w:rsid w:val="004F32F7"/>
    <w:rsid w:val="004F352B"/>
    <w:rsid w:val="004F4DA7"/>
    <w:rsid w:val="004F4F98"/>
    <w:rsid w:val="004F5407"/>
    <w:rsid w:val="004F69F6"/>
    <w:rsid w:val="004F6DC8"/>
    <w:rsid w:val="004F79AC"/>
    <w:rsid w:val="0050040C"/>
    <w:rsid w:val="005011D6"/>
    <w:rsid w:val="0050144C"/>
    <w:rsid w:val="005017CF"/>
    <w:rsid w:val="00505223"/>
    <w:rsid w:val="00505BAC"/>
    <w:rsid w:val="00505FF7"/>
    <w:rsid w:val="005061C6"/>
    <w:rsid w:val="00510928"/>
    <w:rsid w:val="0051100A"/>
    <w:rsid w:val="00511179"/>
    <w:rsid w:val="00512290"/>
    <w:rsid w:val="00512AF6"/>
    <w:rsid w:val="00512CAA"/>
    <w:rsid w:val="00513BCE"/>
    <w:rsid w:val="0051701E"/>
    <w:rsid w:val="005207D8"/>
    <w:rsid w:val="00520D67"/>
    <w:rsid w:val="00520E36"/>
    <w:rsid w:val="0052153C"/>
    <w:rsid w:val="00521631"/>
    <w:rsid w:val="00521F70"/>
    <w:rsid w:val="005228A7"/>
    <w:rsid w:val="00522973"/>
    <w:rsid w:val="005231F7"/>
    <w:rsid w:val="00524DEA"/>
    <w:rsid w:val="005250DA"/>
    <w:rsid w:val="00525CE4"/>
    <w:rsid w:val="00526191"/>
    <w:rsid w:val="0052714C"/>
    <w:rsid w:val="005275D7"/>
    <w:rsid w:val="00527608"/>
    <w:rsid w:val="00530302"/>
    <w:rsid w:val="0053081E"/>
    <w:rsid w:val="00531026"/>
    <w:rsid w:val="00532FE8"/>
    <w:rsid w:val="00534324"/>
    <w:rsid w:val="005343F3"/>
    <w:rsid w:val="0053464E"/>
    <w:rsid w:val="0053646E"/>
    <w:rsid w:val="005400D5"/>
    <w:rsid w:val="005408FE"/>
    <w:rsid w:val="00544119"/>
    <w:rsid w:val="00544310"/>
    <w:rsid w:val="00546EEF"/>
    <w:rsid w:val="0055022A"/>
    <w:rsid w:val="005503CE"/>
    <w:rsid w:val="00552964"/>
    <w:rsid w:val="00552AF7"/>
    <w:rsid w:val="00552DD2"/>
    <w:rsid w:val="00553969"/>
    <w:rsid w:val="00554156"/>
    <w:rsid w:val="005543F5"/>
    <w:rsid w:val="005547D1"/>
    <w:rsid w:val="0055508F"/>
    <w:rsid w:val="0055594A"/>
    <w:rsid w:val="005559A0"/>
    <w:rsid w:val="00556AA3"/>
    <w:rsid w:val="005576EB"/>
    <w:rsid w:val="00560180"/>
    <w:rsid w:val="0056040A"/>
    <w:rsid w:val="00560F69"/>
    <w:rsid w:val="00562917"/>
    <w:rsid w:val="0056392E"/>
    <w:rsid w:val="00563942"/>
    <w:rsid w:val="00563B24"/>
    <w:rsid w:val="00563D2E"/>
    <w:rsid w:val="0056462D"/>
    <w:rsid w:val="005647D9"/>
    <w:rsid w:val="00564B84"/>
    <w:rsid w:val="00564E07"/>
    <w:rsid w:val="005652C3"/>
    <w:rsid w:val="00566434"/>
    <w:rsid w:val="0056712F"/>
    <w:rsid w:val="0057015D"/>
    <w:rsid w:val="0057060E"/>
    <w:rsid w:val="00571165"/>
    <w:rsid w:val="00572A15"/>
    <w:rsid w:val="00572AFB"/>
    <w:rsid w:val="005734E9"/>
    <w:rsid w:val="00573820"/>
    <w:rsid w:val="00573F98"/>
    <w:rsid w:val="0057592E"/>
    <w:rsid w:val="005759E9"/>
    <w:rsid w:val="00575C5A"/>
    <w:rsid w:val="00577172"/>
    <w:rsid w:val="00580173"/>
    <w:rsid w:val="00580BB0"/>
    <w:rsid w:val="00582525"/>
    <w:rsid w:val="00586228"/>
    <w:rsid w:val="0058631C"/>
    <w:rsid w:val="0059039D"/>
    <w:rsid w:val="005916E7"/>
    <w:rsid w:val="00591B14"/>
    <w:rsid w:val="00591BAF"/>
    <w:rsid w:val="00591CAF"/>
    <w:rsid w:val="005934AB"/>
    <w:rsid w:val="005941DC"/>
    <w:rsid w:val="0059498B"/>
    <w:rsid w:val="00597915"/>
    <w:rsid w:val="005A0240"/>
    <w:rsid w:val="005A0736"/>
    <w:rsid w:val="005A08EB"/>
    <w:rsid w:val="005A0A7C"/>
    <w:rsid w:val="005A118C"/>
    <w:rsid w:val="005A1EF5"/>
    <w:rsid w:val="005A2497"/>
    <w:rsid w:val="005A2C24"/>
    <w:rsid w:val="005A37CE"/>
    <w:rsid w:val="005A3A03"/>
    <w:rsid w:val="005A67EB"/>
    <w:rsid w:val="005A6CFF"/>
    <w:rsid w:val="005A71D3"/>
    <w:rsid w:val="005A7F28"/>
    <w:rsid w:val="005B00A3"/>
    <w:rsid w:val="005B01E7"/>
    <w:rsid w:val="005B0BBA"/>
    <w:rsid w:val="005B0BDE"/>
    <w:rsid w:val="005B1BC2"/>
    <w:rsid w:val="005B2414"/>
    <w:rsid w:val="005B2978"/>
    <w:rsid w:val="005B306C"/>
    <w:rsid w:val="005B3582"/>
    <w:rsid w:val="005B3C6C"/>
    <w:rsid w:val="005B4761"/>
    <w:rsid w:val="005B4967"/>
    <w:rsid w:val="005B615C"/>
    <w:rsid w:val="005B6245"/>
    <w:rsid w:val="005B6771"/>
    <w:rsid w:val="005B6AF4"/>
    <w:rsid w:val="005B742C"/>
    <w:rsid w:val="005C0373"/>
    <w:rsid w:val="005C04CB"/>
    <w:rsid w:val="005C194B"/>
    <w:rsid w:val="005C1997"/>
    <w:rsid w:val="005C24D1"/>
    <w:rsid w:val="005C2B16"/>
    <w:rsid w:val="005C5345"/>
    <w:rsid w:val="005C54FB"/>
    <w:rsid w:val="005C5859"/>
    <w:rsid w:val="005C5B2A"/>
    <w:rsid w:val="005C5B5D"/>
    <w:rsid w:val="005C71BA"/>
    <w:rsid w:val="005C7618"/>
    <w:rsid w:val="005C7E3E"/>
    <w:rsid w:val="005C7F6C"/>
    <w:rsid w:val="005D16AD"/>
    <w:rsid w:val="005D1EFA"/>
    <w:rsid w:val="005D2760"/>
    <w:rsid w:val="005D2E30"/>
    <w:rsid w:val="005D4A74"/>
    <w:rsid w:val="005D5017"/>
    <w:rsid w:val="005D63F9"/>
    <w:rsid w:val="005D6DFA"/>
    <w:rsid w:val="005D72E1"/>
    <w:rsid w:val="005E0704"/>
    <w:rsid w:val="005E0BE2"/>
    <w:rsid w:val="005E1047"/>
    <w:rsid w:val="005E2158"/>
    <w:rsid w:val="005E26BF"/>
    <w:rsid w:val="005E2A61"/>
    <w:rsid w:val="005E2FEA"/>
    <w:rsid w:val="005E33B4"/>
    <w:rsid w:val="005E34E4"/>
    <w:rsid w:val="005E3636"/>
    <w:rsid w:val="005E36BF"/>
    <w:rsid w:val="005E37AD"/>
    <w:rsid w:val="005E3C49"/>
    <w:rsid w:val="005E5327"/>
    <w:rsid w:val="005E593D"/>
    <w:rsid w:val="005E6E16"/>
    <w:rsid w:val="005F0E07"/>
    <w:rsid w:val="005F1CE3"/>
    <w:rsid w:val="005F229E"/>
    <w:rsid w:val="005F352A"/>
    <w:rsid w:val="005F358C"/>
    <w:rsid w:val="005F37BF"/>
    <w:rsid w:val="005F3D76"/>
    <w:rsid w:val="005F400E"/>
    <w:rsid w:val="005F418F"/>
    <w:rsid w:val="005F4DEB"/>
    <w:rsid w:val="005F63AC"/>
    <w:rsid w:val="005F6684"/>
    <w:rsid w:val="005F7342"/>
    <w:rsid w:val="0060071F"/>
    <w:rsid w:val="00601542"/>
    <w:rsid w:val="00601724"/>
    <w:rsid w:val="00601A3A"/>
    <w:rsid w:val="0060252D"/>
    <w:rsid w:val="006039EC"/>
    <w:rsid w:val="00603A08"/>
    <w:rsid w:val="0060534D"/>
    <w:rsid w:val="00605610"/>
    <w:rsid w:val="00605B50"/>
    <w:rsid w:val="00606337"/>
    <w:rsid w:val="00606C88"/>
    <w:rsid w:val="0060771D"/>
    <w:rsid w:val="00610A3C"/>
    <w:rsid w:val="00610FF4"/>
    <w:rsid w:val="0061551C"/>
    <w:rsid w:val="0061600B"/>
    <w:rsid w:val="00617BF7"/>
    <w:rsid w:val="00620082"/>
    <w:rsid w:val="006205D9"/>
    <w:rsid w:val="006206AF"/>
    <w:rsid w:val="00620706"/>
    <w:rsid w:val="00620A0A"/>
    <w:rsid w:val="006221C9"/>
    <w:rsid w:val="00625366"/>
    <w:rsid w:val="0062768C"/>
    <w:rsid w:val="00627754"/>
    <w:rsid w:val="00627EE9"/>
    <w:rsid w:val="00627F48"/>
    <w:rsid w:val="00630579"/>
    <w:rsid w:val="00630C4E"/>
    <w:rsid w:val="00631021"/>
    <w:rsid w:val="00631389"/>
    <w:rsid w:val="00633464"/>
    <w:rsid w:val="00633ACA"/>
    <w:rsid w:val="006342E0"/>
    <w:rsid w:val="00634C98"/>
    <w:rsid w:val="00634CDB"/>
    <w:rsid w:val="0063698E"/>
    <w:rsid w:val="0063738A"/>
    <w:rsid w:val="00641001"/>
    <w:rsid w:val="006427C4"/>
    <w:rsid w:val="00642A47"/>
    <w:rsid w:val="00643985"/>
    <w:rsid w:val="00644BFB"/>
    <w:rsid w:val="00645204"/>
    <w:rsid w:val="0064599A"/>
    <w:rsid w:val="00645B82"/>
    <w:rsid w:val="00646FDC"/>
    <w:rsid w:val="00646FDD"/>
    <w:rsid w:val="00647879"/>
    <w:rsid w:val="00650897"/>
    <w:rsid w:val="006548A4"/>
    <w:rsid w:val="006555E0"/>
    <w:rsid w:val="00655837"/>
    <w:rsid w:val="0065605B"/>
    <w:rsid w:val="00656478"/>
    <w:rsid w:val="00657103"/>
    <w:rsid w:val="006578E3"/>
    <w:rsid w:val="00660E7E"/>
    <w:rsid w:val="00661025"/>
    <w:rsid w:val="00661049"/>
    <w:rsid w:val="006611CA"/>
    <w:rsid w:val="006613BB"/>
    <w:rsid w:val="00661852"/>
    <w:rsid w:val="0066200B"/>
    <w:rsid w:val="006626B3"/>
    <w:rsid w:val="00663433"/>
    <w:rsid w:val="00663A37"/>
    <w:rsid w:val="00663FCF"/>
    <w:rsid w:val="0066413F"/>
    <w:rsid w:val="006652A2"/>
    <w:rsid w:val="00666363"/>
    <w:rsid w:val="00666809"/>
    <w:rsid w:val="00666AF2"/>
    <w:rsid w:val="00670200"/>
    <w:rsid w:val="006702D1"/>
    <w:rsid w:val="00671151"/>
    <w:rsid w:val="00671F24"/>
    <w:rsid w:val="00672B0E"/>
    <w:rsid w:val="00672F6C"/>
    <w:rsid w:val="00673CDC"/>
    <w:rsid w:val="00673EF3"/>
    <w:rsid w:val="00675C2F"/>
    <w:rsid w:val="00677916"/>
    <w:rsid w:val="006806D8"/>
    <w:rsid w:val="00681754"/>
    <w:rsid w:val="00681D53"/>
    <w:rsid w:val="00683002"/>
    <w:rsid w:val="0068320C"/>
    <w:rsid w:val="0068371D"/>
    <w:rsid w:val="00684912"/>
    <w:rsid w:val="00684BC7"/>
    <w:rsid w:val="00685E52"/>
    <w:rsid w:val="00686044"/>
    <w:rsid w:val="00686577"/>
    <w:rsid w:val="00687A95"/>
    <w:rsid w:val="00687BB5"/>
    <w:rsid w:val="006908D3"/>
    <w:rsid w:val="00691213"/>
    <w:rsid w:val="006916F3"/>
    <w:rsid w:val="00691A07"/>
    <w:rsid w:val="006927E2"/>
    <w:rsid w:val="006937AB"/>
    <w:rsid w:val="006937FF"/>
    <w:rsid w:val="006938F5"/>
    <w:rsid w:val="00694012"/>
    <w:rsid w:val="00694572"/>
    <w:rsid w:val="00695863"/>
    <w:rsid w:val="00695DE4"/>
    <w:rsid w:val="006965BF"/>
    <w:rsid w:val="00697071"/>
    <w:rsid w:val="006976C6"/>
    <w:rsid w:val="006A13E1"/>
    <w:rsid w:val="006A16A8"/>
    <w:rsid w:val="006A3107"/>
    <w:rsid w:val="006A3340"/>
    <w:rsid w:val="006A3537"/>
    <w:rsid w:val="006A3D3E"/>
    <w:rsid w:val="006A3F28"/>
    <w:rsid w:val="006A46DB"/>
    <w:rsid w:val="006A48A7"/>
    <w:rsid w:val="006A4D65"/>
    <w:rsid w:val="006A5112"/>
    <w:rsid w:val="006A51DB"/>
    <w:rsid w:val="006A601F"/>
    <w:rsid w:val="006A6DB9"/>
    <w:rsid w:val="006A71BE"/>
    <w:rsid w:val="006A7440"/>
    <w:rsid w:val="006A7CD0"/>
    <w:rsid w:val="006B01DA"/>
    <w:rsid w:val="006B067E"/>
    <w:rsid w:val="006B1570"/>
    <w:rsid w:val="006B1B23"/>
    <w:rsid w:val="006B26DE"/>
    <w:rsid w:val="006B30DF"/>
    <w:rsid w:val="006B3BCB"/>
    <w:rsid w:val="006B3C3B"/>
    <w:rsid w:val="006B4BA1"/>
    <w:rsid w:val="006B6578"/>
    <w:rsid w:val="006B6E6B"/>
    <w:rsid w:val="006B7F82"/>
    <w:rsid w:val="006C064A"/>
    <w:rsid w:val="006C09C5"/>
    <w:rsid w:val="006C19B7"/>
    <w:rsid w:val="006C1BD5"/>
    <w:rsid w:val="006C28E2"/>
    <w:rsid w:val="006C2FAD"/>
    <w:rsid w:val="006C303A"/>
    <w:rsid w:val="006C35B7"/>
    <w:rsid w:val="006C3FE7"/>
    <w:rsid w:val="006C5781"/>
    <w:rsid w:val="006C58BA"/>
    <w:rsid w:val="006C5CF5"/>
    <w:rsid w:val="006C63F2"/>
    <w:rsid w:val="006C6903"/>
    <w:rsid w:val="006C6ABE"/>
    <w:rsid w:val="006C6B06"/>
    <w:rsid w:val="006C707B"/>
    <w:rsid w:val="006C7B97"/>
    <w:rsid w:val="006C7E4C"/>
    <w:rsid w:val="006D066A"/>
    <w:rsid w:val="006D1F87"/>
    <w:rsid w:val="006D2477"/>
    <w:rsid w:val="006D3DFE"/>
    <w:rsid w:val="006D480A"/>
    <w:rsid w:val="006D482F"/>
    <w:rsid w:val="006D5145"/>
    <w:rsid w:val="006D53C0"/>
    <w:rsid w:val="006D6534"/>
    <w:rsid w:val="006D653B"/>
    <w:rsid w:val="006D71C8"/>
    <w:rsid w:val="006D7808"/>
    <w:rsid w:val="006D7B64"/>
    <w:rsid w:val="006D7E47"/>
    <w:rsid w:val="006E00CF"/>
    <w:rsid w:val="006E0F42"/>
    <w:rsid w:val="006E15DA"/>
    <w:rsid w:val="006E1E81"/>
    <w:rsid w:val="006E3848"/>
    <w:rsid w:val="006E3BEA"/>
    <w:rsid w:val="006E3F4F"/>
    <w:rsid w:val="006E4015"/>
    <w:rsid w:val="006E48F7"/>
    <w:rsid w:val="006E557B"/>
    <w:rsid w:val="006E65DC"/>
    <w:rsid w:val="006E6A9D"/>
    <w:rsid w:val="006E6CED"/>
    <w:rsid w:val="006E78DB"/>
    <w:rsid w:val="006F063F"/>
    <w:rsid w:val="006F1256"/>
    <w:rsid w:val="006F428C"/>
    <w:rsid w:val="006F4964"/>
    <w:rsid w:val="006F4A82"/>
    <w:rsid w:val="006F4C89"/>
    <w:rsid w:val="006F5135"/>
    <w:rsid w:val="006F6885"/>
    <w:rsid w:val="00700096"/>
    <w:rsid w:val="00700239"/>
    <w:rsid w:val="007012D9"/>
    <w:rsid w:val="00701BC5"/>
    <w:rsid w:val="00702428"/>
    <w:rsid w:val="007028D0"/>
    <w:rsid w:val="00702E66"/>
    <w:rsid w:val="0070373B"/>
    <w:rsid w:val="00703EA9"/>
    <w:rsid w:val="007051A2"/>
    <w:rsid w:val="00705B40"/>
    <w:rsid w:val="00706CE5"/>
    <w:rsid w:val="00707E72"/>
    <w:rsid w:val="00711236"/>
    <w:rsid w:val="007113EB"/>
    <w:rsid w:val="00714353"/>
    <w:rsid w:val="007147C5"/>
    <w:rsid w:val="007149C5"/>
    <w:rsid w:val="00716233"/>
    <w:rsid w:val="00716ECA"/>
    <w:rsid w:val="0071708F"/>
    <w:rsid w:val="0071788E"/>
    <w:rsid w:val="0071793D"/>
    <w:rsid w:val="00717C15"/>
    <w:rsid w:val="00717FD9"/>
    <w:rsid w:val="00720369"/>
    <w:rsid w:val="00720434"/>
    <w:rsid w:val="0072047F"/>
    <w:rsid w:val="0072150F"/>
    <w:rsid w:val="00722583"/>
    <w:rsid w:val="007235DF"/>
    <w:rsid w:val="007246EA"/>
    <w:rsid w:val="00724FA4"/>
    <w:rsid w:val="0072508E"/>
    <w:rsid w:val="00725FE5"/>
    <w:rsid w:val="007263D4"/>
    <w:rsid w:val="00726BE2"/>
    <w:rsid w:val="00726C2F"/>
    <w:rsid w:val="007274B6"/>
    <w:rsid w:val="00730800"/>
    <w:rsid w:val="007316BE"/>
    <w:rsid w:val="00731F58"/>
    <w:rsid w:val="007334FE"/>
    <w:rsid w:val="00733AB5"/>
    <w:rsid w:val="00733C49"/>
    <w:rsid w:val="007341D2"/>
    <w:rsid w:val="00736916"/>
    <w:rsid w:val="00737902"/>
    <w:rsid w:val="00740ED7"/>
    <w:rsid w:val="00741EFE"/>
    <w:rsid w:val="00743C02"/>
    <w:rsid w:val="00743FAF"/>
    <w:rsid w:val="0074412D"/>
    <w:rsid w:val="0074439B"/>
    <w:rsid w:val="00745434"/>
    <w:rsid w:val="007456DC"/>
    <w:rsid w:val="00745B9B"/>
    <w:rsid w:val="0074605F"/>
    <w:rsid w:val="0074632E"/>
    <w:rsid w:val="00746AC0"/>
    <w:rsid w:val="00747272"/>
    <w:rsid w:val="00747315"/>
    <w:rsid w:val="00747CDF"/>
    <w:rsid w:val="00747F07"/>
    <w:rsid w:val="00752681"/>
    <w:rsid w:val="00752893"/>
    <w:rsid w:val="0075350B"/>
    <w:rsid w:val="00753772"/>
    <w:rsid w:val="0075644B"/>
    <w:rsid w:val="00756548"/>
    <w:rsid w:val="007566E2"/>
    <w:rsid w:val="00756BCB"/>
    <w:rsid w:val="00757D58"/>
    <w:rsid w:val="00757F2D"/>
    <w:rsid w:val="00757FBC"/>
    <w:rsid w:val="007602AA"/>
    <w:rsid w:val="0076063E"/>
    <w:rsid w:val="00760854"/>
    <w:rsid w:val="007612B0"/>
    <w:rsid w:val="007613A5"/>
    <w:rsid w:val="00761831"/>
    <w:rsid w:val="00761B2A"/>
    <w:rsid w:val="00762621"/>
    <w:rsid w:val="00762B47"/>
    <w:rsid w:val="00763741"/>
    <w:rsid w:val="007638B0"/>
    <w:rsid w:val="007642C1"/>
    <w:rsid w:val="007651DE"/>
    <w:rsid w:val="007652EF"/>
    <w:rsid w:val="007661FA"/>
    <w:rsid w:val="00767793"/>
    <w:rsid w:val="00770C47"/>
    <w:rsid w:val="00771B21"/>
    <w:rsid w:val="007722B7"/>
    <w:rsid w:val="00772BDC"/>
    <w:rsid w:val="00772F3B"/>
    <w:rsid w:val="00773059"/>
    <w:rsid w:val="00774EBA"/>
    <w:rsid w:val="007757AA"/>
    <w:rsid w:val="00776536"/>
    <w:rsid w:val="007778AF"/>
    <w:rsid w:val="00777F65"/>
    <w:rsid w:val="00777F83"/>
    <w:rsid w:val="00780792"/>
    <w:rsid w:val="00780A70"/>
    <w:rsid w:val="00780DDA"/>
    <w:rsid w:val="00781664"/>
    <w:rsid w:val="00781877"/>
    <w:rsid w:val="00782385"/>
    <w:rsid w:val="00783EBE"/>
    <w:rsid w:val="00784255"/>
    <w:rsid w:val="00785099"/>
    <w:rsid w:val="007853B0"/>
    <w:rsid w:val="0078541C"/>
    <w:rsid w:val="00785B64"/>
    <w:rsid w:val="0078622D"/>
    <w:rsid w:val="007866D3"/>
    <w:rsid w:val="00786C43"/>
    <w:rsid w:val="0078719E"/>
    <w:rsid w:val="00787CAD"/>
    <w:rsid w:val="00790645"/>
    <w:rsid w:val="00790646"/>
    <w:rsid w:val="007924CF"/>
    <w:rsid w:val="00793366"/>
    <w:rsid w:val="00793A0D"/>
    <w:rsid w:val="00794C35"/>
    <w:rsid w:val="007952D2"/>
    <w:rsid w:val="007956FB"/>
    <w:rsid w:val="00796379"/>
    <w:rsid w:val="00796761"/>
    <w:rsid w:val="00796E35"/>
    <w:rsid w:val="00797135"/>
    <w:rsid w:val="007A0146"/>
    <w:rsid w:val="007A02DA"/>
    <w:rsid w:val="007A046C"/>
    <w:rsid w:val="007A05A0"/>
    <w:rsid w:val="007A0797"/>
    <w:rsid w:val="007A0FDB"/>
    <w:rsid w:val="007A1382"/>
    <w:rsid w:val="007A15F7"/>
    <w:rsid w:val="007A1955"/>
    <w:rsid w:val="007A1AAB"/>
    <w:rsid w:val="007A3067"/>
    <w:rsid w:val="007A44B4"/>
    <w:rsid w:val="007A45D8"/>
    <w:rsid w:val="007A66B2"/>
    <w:rsid w:val="007A6847"/>
    <w:rsid w:val="007A68B8"/>
    <w:rsid w:val="007A6BD1"/>
    <w:rsid w:val="007A7D3D"/>
    <w:rsid w:val="007A7DF7"/>
    <w:rsid w:val="007A7F06"/>
    <w:rsid w:val="007B09D4"/>
    <w:rsid w:val="007B1A23"/>
    <w:rsid w:val="007B225D"/>
    <w:rsid w:val="007B259B"/>
    <w:rsid w:val="007B2CB9"/>
    <w:rsid w:val="007B4F9E"/>
    <w:rsid w:val="007B657A"/>
    <w:rsid w:val="007B673E"/>
    <w:rsid w:val="007B69AA"/>
    <w:rsid w:val="007B732B"/>
    <w:rsid w:val="007B77D6"/>
    <w:rsid w:val="007C10AE"/>
    <w:rsid w:val="007C10B1"/>
    <w:rsid w:val="007C174F"/>
    <w:rsid w:val="007C1C64"/>
    <w:rsid w:val="007C1C75"/>
    <w:rsid w:val="007C2621"/>
    <w:rsid w:val="007C36AD"/>
    <w:rsid w:val="007C3886"/>
    <w:rsid w:val="007C3D2B"/>
    <w:rsid w:val="007C40A2"/>
    <w:rsid w:val="007C5668"/>
    <w:rsid w:val="007C5A29"/>
    <w:rsid w:val="007C5AD7"/>
    <w:rsid w:val="007C5B2D"/>
    <w:rsid w:val="007C5C3D"/>
    <w:rsid w:val="007C6912"/>
    <w:rsid w:val="007C7ADC"/>
    <w:rsid w:val="007D14C0"/>
    <w:rsid w:val="007D17F5"/>
    <w:rsid w:val="007D40A1"/>
    <w:rsid w:val="007D56CB"/>
    <w:rsid w:val="007E0B86"/>
    <w:rsid w:val="007E3026"/>
    <w:rsid w:val="007E3AF5"/>
    <w:rsid w:val="007E48BC"/>
    <w:rsid w:val="007E48E2"/>
    <w:rsid w:val="007E515C"/>
    <w:rsid w:val="007E5866"/>
    <w:rsid w:val="007E588F"/>
    <w:rsid w:val="007E5AE6"/>
    <w:rsid w:val="007E624A"/>
    <w:rsid w:val="007E657E"/>
    <w:rsid w:val="007E71AA"/>
    <w:rsid w:val="007E750D"/>
    <w:rsid w:val="007E752A"/>
    <w:rsid w:val="007E79F7"/>
    <w:rsid w:val="007E7B46"/>
    <w:rsid w:val="007F1B19"/>
    <w:rsid w:val="007F213A"/>
    <w:rsid w:val="007F2367"/>
    <w:rsid w:val="007F2853"/>
    <w:rsid w:val="007F30F6"/>
    <w:rsid w:val="007F31EA"/>
    <w:rsid w:val="007F3630"/>
    <w:rsid w:val="007F366E"/>
    <w:rsid w:val="007F378F"/>
    <w:rsid w:val="007F44E5"/>
    <w:rsid w:val="007F4A59"/>
    <w:rsid w:val="007F6373"/>
    <w:rsid w:val="00800531"/>
    <w:rsid w:val="00800E45"/>
    <w:rsid w:val="0080229E"/>
    <w:rsid w:val="00802F26"/>
    <w:rsid w:val="008046A1"/>
    <w:rsid w:val="00804A06"/>
    <w:rsid w:val="008057AE"/>
    <w:rsid w:val="00805A39"/>
    <w:rsid w:val="00807182"/>
    <w:rsid w:val="00807559"/>
    <w:rsid w:val="00813245"/>
    <w:rsid w:val="0081445C"/>
    <w:rsid w:val="00815E78"/>
    <w:rsid w:val="008169F5"/>
    <w:rsid w:val="0082005E"/>
    <w:rsid w:val="008203B5"/>
    <w:rsid w:val="00821C52"/>
    <w:rsid w:val="008231E1"/>
    <w:rsid w:val="008239AC"/>
    <w:rsid w:val="008240C6"/>
    <w:rsid w:val="0082497A"/>
    <w:rsid w:val="00824AA8"/>
    <w:rsid w:val="00825F89"/>
    <w:rsid w:val="00826596"/>
    <w:rsid w:val="008271A2"/>
    <w:rsid w:val="0082753F"/>
    <w:rsid w:val="00827E30"/>
    <w:rsid w:val="008300D1"/>
    <w:rsid w:val="0083105B"/>
    <w:rsid w:val="00832B6E"/>
    <w:rsid w:val="0083392B"/>
    <w:rsid w:val="0083418B"/>
    <w:rsid w:val="00835665"/>
    <w:rsid w:val="00836462"/>
    <w:rsid w:val="00840BCC"/>
    <w:rsid w:val="008413E9"/>
    <w:rsid w:val="008432E2"/>
    <w:rsid w:val="008441B0"/>
    <w:rsid w:val="0084474D"/>
    <w:rsid w:val="008450BC"/>
    <w:rsid w:val="00846042"/>
    <w:rsid w:val="00846307"/>
    <w:rsid w:val="00846821"/>
    <w:rsid w:val="00847658"/>
    <w:rsid w:val="0084799B"/>
    <w:rsid w:val="00847F25"/>
    <w:rsid w:val="0085049E"/>
    <w:rsid w:val="00850525"/>
    <w:rsid w:val="00850F16"/>
    <w:rsid w:val="00851194"/>
    <w:rsid w:val="00851352"/>
    <w:rsid w:val="008514C2"/>
    <w:rsid w:val="00851A60"/>
    <w:rsid w:val="0085334B"/>
    <w:rsid w:val="008533B1"/>
    <w:rsid w:val="0085476B"/>
    <w:rsid w:val="008552B2"/>
    <w:rsid w:val="00855B2D"/>
    <w:rsid w:val="008561E0"/>
    <w:rsid w:val="00856BEE"/>
    <w:rsid w:val="00860300"/>
    <w:rsid w:val="00860E7B"/>
    <w:rsid w:val="0086142F"/>
    <w:rsid w:val="00861674"/>
    <w:rsid w:val="00861B20"/>
    <w:rsid w:val="00861B3C"/>
    <w:rsid w:val="008658C0"/>
    <w:rsid w:val="00865A68"/>
    <w:rsid w:val="00865BA0"/>
    <w:rsid w:val="00865C1D"/>
    <w:rsid w:val="008667DC"/>
    <w:rsid w:val="00866C51"/>
    <w:rsid w:val="008676A4"/>
    <w:rsid w:val="00867B23"/>
    <w:rsid w:val="00870214"/>
    <w:rsid w:val="0087077C"/>
    <w:rsid w:val="0087106B"/>
    <w:rsid w:val="008712B4"/>
    <w:rsid w:val="00872EAA"/>
    <w:rsid w:val="008737A6"/>
    <w:rsid w:val="00875830"/>
    <w:rsid w:val="00875A3A"/>
    <w:rsid w:val="00876515"/>
    <w:rsid w:val="00876842"/>
    <w:rsid w:val="00876C13"/>
    <w:rsid w:val="0088030D"/>
    <w:rsid w:val="008806DB"/>
    <w:rsid w:val="00880D77"/>
    <w:rsid w:val="0088161A"/>
    <w:rsid w:val="00881F50"/>
    <w:rsid w:val="00882380"/>
    <w:rsid w:val="008824A8"/>
    <w:rsid w:val="008828D9"/>
    <w:rsid w:val="008834E3"/>
    <w:rsid w:val="00883A6C"/>
    <w:rsid w:val="008857ED"/>
    <w:rsid w:val="00885C51"/>
    <w:rsid w:val="00885EB0"/>
    <w:rsid w:val="0088658B"/>
    <w:rsid w:val="0088685C"/>
    <w:rsid w:val="0088685F"/>
    <w:rsid w:val="00886899"/>
    <w:rsid w:val="00886B46"/>
    <w:rsid w:val="0089036C"/>
    <w:rsid w:val="0089063E"/>
    <w:rsid w:val="00890664"/>
    <w:rsid w:val="008917C3"/>
    <w:rsid w:val="0089264A"/>
    <w:rsid w:val="00892C46"/>
    <w:rsid w:val="00893C98"/>
    <w:rsid w:val="00894413"/>
    <w:rsid w:val="008949F2"/>
    <w:rsid w:val="008949FA"/>
    <w:rsid w:val="00894B6E"/>
    <w:rsid w:val="00894E21"/>
    <w:rsid w:val="0089649B"/>
    <w:rsid w:val="0089656E"/>
    <w:rsid w:val="00896A2B"/>
    <w:rsid w:val="00896B85"/>
    <w:rsid w:val="00896EE7"/>
    <w:rsid w:val="00897A8F"/>
    <w:rsid w:val="00897C9F"/>
    <w:rsid w:val="008A0179"/>
    <w:rsid w:val="008A06F4"/>
    <w:rsid w:val="008A0982"/>
    <w:rsid w:val="008A22BE"/>
    <w:rsid w:val="008A3221"/>
    <w:rsid w:val="008A35FB"/>
    <w:rsid w:val="008A381F"/>
    <w:rsid w:val="008A4615"/>
    <w:rsid w:val="008A4AC8"/>
    <w:rsid w:val="008A4B10"/>
    <w:rsid w:val="008A5225"/>
    <w:rsid w:val="008A6809"/>
    <w:rsid w:val="008A680B"/>
    <w:rsid w:val="008A6B0E"/>
    <w:rsid w:val="008B0075"/>
    <w:rsid w:val="008B00C0"/>
    <w:rsid w:val="008B056C"/>
    <w:rsid w:val="008B3353"/>
    <w:rsid w:val="008B3634"/>
    <w:rsid w:val="008B45A0"/>
    <w:rsid w:val="008B4A3A"/>
    <w:rsid w:val="008B750A"/>
    <w:rsid w:val="008B7BEA"/>
    <w:rsid w:val="008C0502"/>
    <w:rsid w:val="008C0E7A"/>
    <w:rsid w:val="008C1780"/>
    <w:rsid w:val="008C1B36"/>
    <w:rsid w:val="008C22EC"/>
    <w:rsid w:val="008C26CF"/>
    <w:rsid w:val="008C33F6"/>
    <w:rsid w:val="008C35A4"/>
    <w:rsid w:val="008C368D"/>
    <w:rsid w:val="008C3A16"/>
    <w:rsid w:val="008C3D24"/>
    <w:rsid w:val="008C40EF"/>
    <w:rsid w:val="008C5D0F"/>
    <w:rsid w:val="008C61CD"/>
    <w:rsid w:val="008C6367"/>
    <w:rsid w:val="008C72B8"/>
    <w:rsid w:val="008C74BE"/>
    <w:rsid w:val="008C7541"/>
    <w:rsid w:val="008D06C6"/>
    <w:rsid w:val="008D2977"/>
    <w:rsid w:val="008D425D"/>
    <w:rsid w:val="008D4539"/>
    <w:rsid w:val="008E0DE3"/>
    <w:rsid w:val="008E1BBC"/>
    <w:rsid w:val="008E1FFB"/>
    <w:rsid w:val="008E2E73"/>
    <w:rsid w:val="008E35E3"/>
    <w:rsid w:val="008E3B41"/>
    <w:rsid w:val="008E5BBB"/>
    <w:rsid w:val="008E6250"/>
    <w:rsid w:val="008E6485"/>
    <w:rsid w:val="008E65D4"/>
    <w:rsid w:val="008F03A9"/>
    <w:rsid w:val="008F0661"/>
    <w:rsid w:val="008F11D9"/>
    <w:rsid w:val="008F1BD4"/>
    <w:rsid w:val="008F2766"/>
    <w:rsid w:val="008F27B7"/>
    <w:rsid w:val="008F4105"/>
    <w:rsid w:val="008F433F"/>
    <w:rsid w:val="008F5E8B"/>
    <w:rsid w:val="008F641A"/>
    <w:rsid w:val="008F7D79"/>
    <w:rsid w:val="00900DAE"/>
    <w:rsid w:val="00900F24"/>
    <w:rsid w:val="00900FF4"/>
    <w:rsid w:val="0090177D"/>
    <w:rsid w:val="00902AF6"/>
    <w:rsid w:val="00902C14"/>
    <w:rsid w:val="00903477"/>
    <w:rsid w:val="00904829"/>
    <w:rsid w:val="00904975"/>
    <w:rsid w:val="00905017"/>
    <w:rsid w:val="00905219"/>
    <w:rsid w:val="009056A5"/>
    <w:rsid w:val="00905EB7"/>
    <w:rsid w:val="00907812"/>
    <w:rsid w:val="00907AD2"/>
    <w:rsid w:val="00907B0F"/>
    <w:rsid w:val="00907E11"/>
    <w:rsid w:val="009116EB"/>
    <w:rsid w:val="00911A60"/>
    <w:rsid w:val="00911D91"/>
    <w:rsid w:val="00912EEC"/>
    <w:rsid w:val="00913A13"/>
    <w:rsid w:val="00914030"/>
    <w:rsid w:val="0091513F"/>
    <w:rsid w:val="00915B1F"/>
    <w:rsid w:val="00915EF7"/>
    <w:rsid w:val="009179AB"/>
    <w:rsid w:val="00920249"/>
    <w:rsid w:val="00920A1B"/>
    <w:rsid w:val="00923536"/>
    <w:rsid w:val="00923A68"/>
    <w:rsid w:val="0092414D"/>
    <w:rsid w:val="0092419F"/>
    <w:rsid w:val="00924C80"/>
    <w:rsid w:val="00924CC7"/>
    <w:rsid w:val="0092614A"/>
    <w:rsid w:val="00926F1E"/>
    <w:rsid w:val="0092731E"/>
    <w:rsid w:val="0092772F"/>
    <w:rsid w:val="00930392"/>
    <w:rsid w:val="009325CA"/>
    <w:rsid w:val="00932F14"/>
    <w:rsid w:val="00933BBB"/>
    <w:rsid w:val="0093429E"/>
    <w:rsid w:val="0093440F"/>
    <w:rsid w:val="009365E0"/>
    <w:rsid w:val="00936697"/>
    <w:rsid w:val="00936BAC"/>
    <w:rsid w:val="00936F1C"/>
    <w:rsid w:val="009373B7"/>
    <w:rsid w:val="00937613"/>
    <w:rsid w:val="00940AF3"/>
    <w:rsid w:val="0094211D"/>
    <w:rsid w:val="0094247F"/>
    <w:rsid w:val="00942D60"/>
    <w:rsid w:val="00942DA8"/>
    <w:rsid w:val="00942F8B"/>
    <w:rsid w:val="009432D0"/>
    <w:rsid w:val="00944BA4"/>
    <w:rsid w:val="009455A7"/>
    <w:rsid w:val="009470AF"/>
    <w:rsid w:val="009474EC"/>
    <w:rsid w:val="00947AB9"/>
    <w:rsid w:val="00947CB0"/>
    <w:rsid w:val="0095059C"/>
    <w:rsid w:val="00950B4C"/>
    <w:rsid w:val="0095161F"/>
    <w:rsid w:val="00951AEF"/>
    <w:rsid w:val="0095204B"/>
    <w:rsid w:val="009539FE"/>
    <w:rsid w:val="00953B4C"/>
    <w:rsid w:val="00956E80"/>
    <w:rsid w:val="00957725"/>
    <w:rsid w:val="00960034"/>
    <w:rsid w:val="00961DAC"/>
    <w:rsid w:val="00961E3D"/>
    <w:rsid w:val="00962CCB"/>
    <w:rsid w:val="009646D1"/>
    <w:rsid w:val="00964922"/>
    <w:rsid w:val="0096523B"/>
    <w:rsid w:val="0096556B"/>
    <w:rsid w:val="009658B6"/>
    <w:rsid w:val="009659E4"/>
    <w:rsid w:val="00966099"/>
    <w:rsid w:val="00966EE3"/>
    <w:rsid w:val="00966FD5"/>
    <w:rsid w:val="0096700D"/>
    <w:rsid w:val="00970083"/>
    <w:rsid w:val="00970A2C"/>
    <w:rsid w:val="009710BB"/>
    <w:rsid w:val="00972181"/>
    <w:rsid w:val="00972302"/>
    <w:rsid w:val="009729DD"/>
    <w:rsid w:val="00972D06"/>
    <w:rsid w:val="00972FC4"/>
    <w:rsid w:val="009733AE"/>
    <w:rsid w:val="00973BA8"/>
    <w:rsid w:val="00973E9D"/>
    <w:rsid w:val="00975BE4"/>
    <w:rsid w:val="009764C2"/>
    <w:rsid w:val="009777D2"/>
    <w:rsid w:val="0098099D"/>
    <w:rsid w:val="00980A4B"/>
    <w:rsid w:val="00981ED0"/>
    <w:rsid w:val="00982209"/>
    <w:rsid w:val="00982224"/>
    <w:rsid w:val="00982242"/>
    <w:rsid w:val="00982CD2"/>
    <w:rsid w:val="009833AF"/>
    <w:rsid w:val="0098368D"/>
    <w:rsid w:val="009841C9"/>
    <w:rsid w:val="009845DE"/>
    <w:rsid w:val="00984BE9"/>
    <w:rsid w:val="00985237"/>
    <w:rsid w:val="00985860"/>
    <w:rsid w:val="0098706F"/>
    <w:rsid w:val="00990639"/>
    <w:rsid w:val="0099066F"/>
    <w:rsid w:val="009906C7"/>
    <w:rsid w:val="009919AE"/>
    <w:rsid w:val="00991A47"/>
    <w:rsid w:val="00991D95"/>
    <w:rsid w:val="00991DE7"/>
    <w:rsid w:val="00992242"/>
    <w:rsid w:val="00993F59"/>
    <w:rsid w:val="00994554"/>
    <w:rsid w:val="0099471F"/>
    <w:rsid w:val="009A040B"/>
    <w:rsid w:val="009A0C93"/>
    <w:rsid w:val="009A251C"/>
    <w:rsid w:val="009A28C6"/>
    <w:rsid w:val="009A33DC"/>
    <w:rsid w:val="009A387E"/>
    <w:rsid w:val="009A391C"/>
    <w:rsid w:val="009A463D"/>
    <w:rsid w:val="009A4E13"/>
    <w:rsid w:val="009A50F2"/>
    <w:rsid w:val="009A6F47"/>
    <w:rsid w:val="009A6F93"/>
    <w:rsid w:val="009B04D8"/>
    <w:rsid w:val="009B060B"/>
    <w:rsid w:val="009B082D"/>
    <w:rsid w:val="009B225D"/>
    <w:rsid w:val="009B3BA4"/>
    <w:rsid w:val="009B48BC"/>
    <w:rsid w:val="009B48BE"/>
    <w:rsid w:val="009B500E"/>
    <w:rsid w:val="009B54A3"/>
    <w:rsid w:val="009C120F"/>
    <w:rsid w:val="009C391E"/>
    <w:rsid w:val="009C3B0C"/>
    <w:rsid w:val="009C4322"/>
    <w:rsid w:val="009C502F"/>
    <w:rsid w:val="009C5326"/>
    <w:rsid w:val="009C5854"/>
    <w:rsid w:val="009C5A05"/>
    <w:rsid w:val="009D0A70"/>
    <w:rsid w:val="009D0D30"/>
    <w:rsid w:val="009D145D"/>
    <w:rsid w:val="009D2CE4"/>
    <w:rsid w:val="009D2F05"/>
    <w:rsid w:val="009D357C"/>
    <w:rsid w:val="009D3F11"/>
    <w:rsid w:val="009D4A5D"/>
    <w:rsid w:val="009D5394"/>
    <w:rsid w:val="009D5827"/>
    <w:rsid w:val="009D61AE"/>
    <w:rsid w:val="009D61F4"/>
    <w:rsid w:val="009D63D0"/>
    <w:rsid w:val="009D696C"/>
    <w:rsid w:val="009D790B"/>
    <w:rsid w:val="009E0A61"/>
    <w:rsid w:val="009E0AE6"/>
    <w:rsid w:val="009E27BC"/>
    <w:rsid w:val="009E27C1"/>
    <w:rsid w:val="009E2B51"/>
    <w:rsid w:val="009E2C36"/>
    <w:rsid w:val="009E2F88"/>
    <w:rsid w:val="009E3010"/>
    <w:rsid w:val="009E3939"/>
    <w:rsid w:val="009E4B86"/>
    <w:rsid w:val="009E4CAF"/>
    <w:rsid w:val="009E522B"/>
    <w:rsid w:val="009E5BF0"/>
    <w:rsid w:val="009E5F1F"/>
    <w:rsid w:val="009F007E"/>
    <w:rsid w:val="009F11F1"/>
    <w:rsid w:val="009F1575"/>
    <w:rsid w:val="009F1A0C"/>
    <w:rsid w:val="009F1A45"/>
    <w:rsid w:val="009F20AD"/>
    <w:rsid w:val="009F433A"/>
    <w:rsid w:val="009F492C"/>
    <w:rsid w:val="009F5205"/>
    <w:rsid w:val="009F56BA"/>
    <w:rsid w:val="009F5C0B"/>
    <w:rsid w:val="009F638B"/>
    <w:rsid w:val="009F7065"/>
    <w:rsid w:val="009F793B"/>
    <w:rsid w:val="009F7B81"/>
    <w:rsid w:val="009F7ED0"/>
    <w:rsid w:val="00A001E6"/>
    <w:rsid w:val="00A036C8"/>
    <w:rsid w:val="00A0380A"/>
    <w:rsid w:val="00A03892"/>
    <w:rsid w:val="00A041C8"/>
    <w:rsid w:val="00A053B0"/>
    <w:rsid w:val="00A0581C"/>
    <w:rsid w:val="00A10020"/>
    <w:rsid w:val="00A1086E"/>
    <w:rsid w:val="00A11B11"/>
    <w:rsid w:val="00A11DEB"/>
    <w:rsid w:val="00A1217C"/>
    <w:rsid w:val="00A126CB"/>
    <w:rsid w:val="00A129FA"/>
    <w:rsid w:val="00A12B44"/>
    <w:rsid w:val="00A15BC5"/>
    <w:rsid w:val="00A160C7"/>
    <w:rsid w:val="00A16BF1"/>
    <w:rsid w:val="00A17CAA"/>
    <w:rsid w:val="00A20870"/>
    <w:rsid w:val="00A20ED4"/>
    <w:rsid w:val="00A22F10"/>
    <w:rsid w:val="00A24C9E"/>
    <w:rsid w:val="00A24D08"/>
    <w:rsid w:val="00A25986"/>
    <w:rsid w:val="00A25B77"/>
    <w:rsid w:val="00A25E77"/>
    <w:rsid w:val="00A27247"/>
    <w:rsid w:val="00A300D4"/>
    <w:rsid w:val="00A30218"/>
    <w:rsid w:val="00A30939"/>
    <w:rsid w:val="00A31570"/>
    <w:rsid w:val="00A3186F"/>
    <w:rsid w:val="00A318C4"/>
    <w:rsid w:val="00A32E17"/>
    <w:rsid w:val="00A33BF5"/>
    <w:rsid w:val="00A33C16"/>
    <w:rsid w:val="00A33C67"/>
    <w:rsid w:val="00A34359"/>
    <w:rsid w:val="00A34FA1"/>
    <w:rsid w:val="00A35077"/>
    <w:rsid w:val="00A35B77"/>
    <w:rsid w:val="00A35C0C"/>
    <w:rsid w:val="00A36EC1"/>
    <w:rsid w:val="00A372A8"/>
    <w:rsid w:val="00A37435"/>
    <w:rsid w:val="00A37637"/>
    <w:rsid w:val="00A37D49"/>
    <w:rsid w:val="00A40193"/>
    <w:rsid w:val="00A40B1F"/>
    <w:rsid w:val="00A415BF"/>
    <w:rsid w:val="00A4175D"/>
    <w:rsid w:val="00A43115"/>
    <w:rsid w:val="00A46119"/>
    <w:rsid w:val="00A46854"/>
    <w:rsid w:val="00A46C5A"/>
    <w:rsid w:val="00A47549"/>
    <w:rsid w:val="00A47A53"/>
    <w:rsid w:val="00A519A1"/>
    <w:rsid w:val="00A51C17"/>
    <w:rsid w:val="00A529AA"/>
    <w:rsid w:val="00A52F4B"/>
    <w:rsid w:val="00A53278"/>
    <w:rsid w:val="00A53297"/>
    <w:rsid w:val="00A5470E"/>
    <w:rsid w:val="00A547F1"/>
    <w:rsid w:val="00A54934"/>
    <w:rsid w:val="00A56DC7"/>
    <w:rsid w:val="00A56E34"/>
    <w:rsid w:val="00A57943"/>
    <w:rsid w:val="00A57BF4"/>
    <w:rsid w:val="00A57C5B"/>
    <w:rsid w:val="00A6027A"/>
    <w:rsid w:val="00A61125"/>
    <w:rsid w:val="00A6159A"/>
    <w:rsid w:val="00A62430"/>
    <w:rsid w:val="00A62866"/>
    <w:rsid w:val="00A6335A"/>
    <w:rsid w:val="00A639C4"/>
    <w:rsid w:val="00A63FC6"/>
    <w:rsid w:val="00A64349"/>
    <w:rsid w:val="00A64A3D"/>
    <w:rsid w:val="00A65142"/>
    <w:rsid w:val="00A65348"/>
    <w:rsid w:val="00A65C34"/>
    <w:rsid w:val="00A701B9"/>
    <w:rsid w:val="00A7140A"/>
    <w:rsid w:val="00A71545"/>
    <w:rsid w:val="00A725AB"/>
    <w:rsid w:val="00A72C2D"/>
    <w:rsid w:val="00A72D53"/>
    <w:rsid w:val="00A7347D"/>
    <w:rsid w:val="00A740E7"/>
    <w:rsid w:val="00A74FD1"/>
    <w:rsid w:val="00A75542"/>
    <w:rsid w:val="00A75A20"/>
    <w:rsid w:val="00A75B6F"/>
    <w:rsid w:val="00A77897"/>
    <w:rsid w:val="00A80E5B"/>
    <w:rsid w:val="00A82E76"/>
    <w:rsid w:val="00A832E4"/>
    <w:rsid w:val="00A843BD"/>
    <w:rsid w:val="00A846AB"/>
    <w:rsid w:val="00A84A58"/>
    <w:rsid w:val="00A868C4"/>
    <w:rsid w:val="00A872F0"/>
    <w:rsid w:val="00A9199E"/>
    <w:rsid w:val="00A91DF1"/>
    <w:rsid w:val="00A92351"/>
    <w:rsid w:val="00A9554E"/>
    <w:rsid w:val="00A967BA"/>
    <w:rsid w:val="00A96893"/>
    <w:rsid w:val="00A96DF5"/>
    <w:rsid w:val="00AA0249"/>
    <w:rsid w:val="00AA0F19"/>
    <w:rsid w:val="00AA1093"/>
    <w:rsid w:val="00AA2005"/>
    <w:rsid w:val="00AA2E04"/>
    <w:rsid w:val="00AA2EA5"/>
    <w:rsid w:val="00AA3EFF"/>
    <w:rsid w:val="00AA52EA"/>
    <w:rsid w:val="00AA53E2"/>
    <w:rsid w:val="00AA5EA5"/>
    <w:rsid w:val="00AA5F09"/>
    <w:rsid w:val="00AA72B0"/>
    <w:rsid w:val="00AB069A"/>
    <w:rsid w:val="00AB0FA0"/>
    <w:rsid w:val="00AB1176"/>
    <w:rsid w:val="00AB14EA"/>
    <w:rsid w:val="00AB161A"/>
    <w:rsid w:val="00AB2667"/>
    <w:rsid w:val="00AB2C67"/>
    <w:rsid w:val="00AB3C52"/>
    <w:rsid w:val="00AB4A95"/>
    <w:rsid w:val="00AB6D9E"/>
    <w:rsid w:val="00AB7237"/>
    <w:rsid w:val="00AC00A3"/>
    <w:rsid w:val="00AC077A"/>
    <w:rsid w:val="00AC093C"/>
    <w:rsid w:val="00AC1546"/>
    <w:rsid w:val="00AC2466"/>
    <w:rsid w:val="00AC2553"/>
    <w:rsid w:val="00AC2C47"/>
    <w:rsid w:val="00AC2D1F"/>
    <w:rsid w:val="00AC4395"/>
    <w:rsid w:val="00AC4F80"/>
    <w:rsid w:val="00AC64AB"/>
    <w:rsid w:val="00AC7590"/>
    <w:rsid w:val="00AC7EDD"/>
    <w:rsid w:val="00AD01D4"/>
    <w:rsid w:val="00AD053A"/>
    <w:rsid w:val="00AD097E"/>
    <w:rsid w:val="00AD2207"/>
    <w:rsid w:val="00AD22F9"/>
    <w:rsid w:val="00AD34C5"/>
    <w:rsid w:val="00AD3EEC"/>
    <w:rsid w:val="00AD4028"/>
    <w:rsid w:val="00AD429C"/>
    <w:rsid w:val="00AD47BC"/>
    <w:rsid w:val="00AD5869"/>
    <w:rsid w:val="00AD5C5E"/>
    <w:rsid w:val="00AD5F3A"/>
    <w:rsid w:val="00AD6F64"/>
    <w:rsid w:val="00AD7A3D"/>
    <w:rsid w:val="00AE0135"/>
    <w:rsid w:val="00AE0519"/>
    <w:rsid w:val="00AE0903"/>
    <w:rsid w:val="00AE1CC9"/>
    <w:rsid w:val="00AE2770"/>
    <w:rsid w:val="00AE430D"/>
    <w:rsid w:val="00AE4E6E"/>
    <w:rsid w:val="00AE5654"/>
    <w:rsid w:val="00AE64E3"/>
    <w:rsid w:val="00AE733C"/>
    <w:rsid w:val="00AE7495"/>
    <w:rsid w:val="00AE766D"/>
    <w:rsid w:val="00AE7DA2"/>
    <w:rsid w:val="00AF06FC"/>
    <w:rsid w:val="00AF0F5A"/>
    <w:rsid w:val="00AF1E49"/>
    <w:rsid w:val="00AF281F"/>
    <w:rsid w:val="00AF3391"/>
    <w:rsid w:val="00AF387F"/>
    <w:rsid w:val="00AF3F64"/>
    <w:rsid w:val="00AF54B3"/>
    <w:rsid w:val="00AF5724"/>
    <w:rsid w:val="00AF58BD"/>
    <w:rsid w:val="00AF5A63"/>
    <w:rsid w:val="00AF602C"/>
    <w:rsid w:val="00B00E7F"/>
    <w:rsid w:val="00B010CA"/>
    <w:rsid w:val="00B027F6"/>
    <w:rsid w:val="00B02C93"/>
    <w:rsid w:val="00B02F25"/>
    <w:rsid w:val="00B03E9C"/>
    <w:rsid w:val="00B04C79"/>
    <w:rsid w:val="00B04CBA"/>
    <w:rsid w:val="00B04DC6"/>
    <w:rsid w:val="00B05A74"/>
    <w:rsid w:val="00B062D1"/>
    <w:rsid w:val="00B06407"/>
    <w:rsid w:val="00B0699F"/>
    <w:rsid w:val="00B06B37"/>
    <w:rsid w:val="00B0781F"/>
    <w:rsid w:val="00B07C88"/>
    <w:rsid w:val="00B1074A"/>
    <w:rsid w:val="00B11470"/>
    <w:rsid w:val="00B11A14"/>
    <w:rsid w:val="00B11C2D"/>
    <w:rsid w:val="00B12487"/>
    <w:rsid w:val="00B12F73"/>
    <w:rsid w:val="00B136F6"/>
    <w:rsid w:val="00B14752"/>
    <w:rsid w:val="00B16FC5"/>
    <w:rsid w:val="00B173DA"/>
    <w:rsid w:val="00B1751A"/>
    <w:rsid w:val="00B204AB"/>
    <w:rsid w:val="00B204C4"/>
    <w:rsid w:val="00B20AE0"/>
    <w:rsid w:val="00B215F0"/>
    <w:rsid w:val="00B21DCC"/>
    <w:rsid w:val="00B21F87"/>
    <w:rsid w:val="00B222E5"/>
    <w:rsid w:val="00B2274B"/>
    <w:rsid w:val="00B23261"/>
    <w:rsid w:val="00B247DF"/>
    <w:rsid w:val="00B24A47"/>
    <w:rsid w:val="00B24BB7"/>
    <w:rsid w:val="00B24E55"/>
    <w:rsid w:val="00B25424"/>
    <w:rsid w:val="00B25F37"/>
    <w:rsid w:val="00B26B9C"/>
    <w:rsid w:val="00B27D11"/>
    <w:rsid w:val="00B30DEE"/>
    <w:rsid w:val="00B31AD7"/>
    <w:rsid w:val="00B32F6D"/>
    <w:rsid w:val="00B3357E"/>
    <w:rsid w:val="00B3363D"/>
    <w:rsid w:val="00B33A0E"/>
    <w:rsid w:val="00B352D0"/>
    <w:rsid w:val="00B3635B"/>
    <w:rsid w:val="00B40523"/>
    <w:rsid w:val="00B418F1"/>
    <w:rsid w:val="00B425FC"/>
    <w:rsid w:val="00B431A3"/>
    <w:rsid w:val="00B433F1"/>
    <w:rsid w:val="00B43E5F"/>
    <w:rsid w:val="00B44422"/>
    <w:rsid w:val="00B45184"/>
    <w:rsid w:val="00B45361"/>
    <w:rsid w:val="00B46625"/>
    <w:rsid w:val="00B46EA0"/>
    <w:rsid w:val="00B4756E"/>
    <w:rsid w:val="00B4799C"/>
    <w:rsid w:val="00B47AF0"/>
    <w:rsid w:val="00B47C9D"/>
    <w:rsid w:val="00B47CF8"/>
    <w:rsid w:val="00B47D6F"/>
    <w:rsid w:val="00B47D73"/>
    <w:rsid w:val="00B50EA3"/>
    <w:rsid w:val="00B50EA5"/>
    <w:rsid w:val="00B51E03"/>
    <w:rsid w:val="00B53518"/>
    <w:rsid w:val="00B53632"/>
    <w:rsid w:val="00B53961"/>
    <w:rsid w:val="00B5416C"/>
    <w:rsid w:val="00B54833"/>
    <w:rsid w:val="00B556EC"/>
    <w:rsid w:val="00B55A5F"/>
    <w:rsid w:val="00B56055"/>
    <w:rsid w:val="00B578FC"/>
    <w:rsid w:val="00B605EE"/>
    <w:rsid w:val="00B60DE7"/>
    <w:rsid w:val="00B6174C"/>
    <w:rsid w:val="00B6393C"/>
    <w:rsid w:val="00B6396A"/>
    <w:rsid w:val="00B6413B"/>
    <w:rsid w:val="00B650CD"/>
    <w:rsid w:val="00B65676"/>
    <w:rsid w:val="00B659AE"/>
    <w:rsid w:val="00B6605E"/>
    <w:rsid w:val="00B665F5"/>
    <w:rsid w:val="00B66F70"/>
    <w:rsid w:val="00B67907"/>
    <w:rsid w:val="00B713DE"/>
    <w:rsid w:val="00B7149B"/>
    <w:rsid w:val="00B71EF1"/>
    <w:rsid w:val="00B71F51"/>
    <w:rsid w:val="00B71FD9"/>
    <w:rsid w:val="00B731D3"/>
    <w:rsid w:val="00B73C27"/>
    <w:rsid w:val="00B73D54"/>
    <w:rsid w:val="00B73FAD"/>
    <w:rsid w:val="00B75549"/>
    <w:rsid w:val="00B76868"/>
    <w:rsid w:val="00B77D10"/>
    <w:rsid w:val="00B77EE7"/>
    <w:rsid w:val="00B8111A"/>
    <w:rsid w:val="00B8147C"/>
    <w:rsid w:val="00B81C81"/>
    <w:rsid w:val="00B81F13"/>
    <w:rsid w:val="00B821A6"/>
    <w:rsid w:val="00B82200"/>
    <w:rsid w:val="00B8293E"/>
    <w:rsid w:val="00B839A3"/>
    <w:rsid w:val="00B8522B"/>
    <w:rsid w:val="00B853D2"/>
    <w:rsid w:val="00B85720"/>
    <w:rsid w:val="00B8638F"/>
    <w:rsid w:val="00B87E2E"/>
    <w:rsid w:val="00B87F24"/>
    <w:rsid w:val="00B902BD"/>
    <w:rsid w:val="00B91E34"/>
    <w:rsid w:val="00B92640"/>
    <w:rsid w:val="00B92ADA"/>
    <w:rsid w:val="00B9313A"/>
    <w:rsid w:val="00B939DA"/>
    <w:rsid w:val="00B94E55"/>
    <w:rsid w:val="00B955AB"/>
    <w:rsid w:val="00B96112"/>
    <w:rsid w:val="00B9694C"/>
    <w:rsid w:val="00B971DD"/>
    <w:rsid w:val="00BA10C8"/>
    <w:rsid w:val="00BA14BF"/>
    <w:rsid w:val="00BA1C4A"/>
    <w:rsid w:val="00BA2103"/>
    <w:rsid w:val="00BA24E2"/>
    <w:rsid w:val="00BA25F4"/>
    <w:rsid w:val="00BA2E13"/>
    <w:rsid w:val="00BA36F2"/>
    <w:rsid w:val="00BA376D"/>
    <w:rsid w:val="00BA3AF1"/>
    <w:rsid w:val="00BA4891"/>
    <w:rsid w:val="00BA5565"/>
    <w:rsid w:val="00BA7DCA"/>
    <w:rsid w:val="00BB08A3"/>
    <w:rsid w:val="00BB1384"/>
    <w:rsid w:val="00BB1C16"/>
    <w:rsid w:val="00BB3A68"/>
    <w:rsid w:val="00BB3CC2"/>
    <w:rsid w:val="00BB4473"/>
    <w:rsid w:val="00BB5580"/>
    <w:rsid w:val="00BB55CA"/>
    <w:rsid w:val="00BB6102"/>
    <w:rsid w:val="00BB6593"/>
    <w:rsid w:val="00BB67CA"/>
    <w:rsid w:val="00BB6E20"/>
    <w:rsid w:val="00BB78C0"/>
    <w:rsid w:val="00BC0680"/>
    <w:rsid w:val="00BC0EA1"/>
    <w:rsid w:val="00BC2DEA"/>
    <w:rsid w:val="00BC3561"/>
    <w:rsid w:val="00BC3892"/>
    <w:rsid w:val="00BC458B"/>
    <w:rsid w:val="00BC5A8D"/>
    <w:rsid w:val="00BC63F6"/>
    <w:rsid w:val="00BC6C3D"/>
    <w:rsid w:val="00BD0405"/>
    <w:rsid w:val="00BD2038"/>
    <w:rsid w:val="00BD29D2"/>
    <w:rsid w:val="00BD2A39"/>
    <w:rsid w:val="00BD2E80"/>
    <w:rsid w:val="00BD305A"/>
    <w:rsid w:val="00BD309D"/>
    <w:rsid w:val="00BD38CA"/>
    <w:rsid w:val="00BD3F3F"/>
    <w:rsid w:val="00BD4DBD"/>
    <w:rsid w:val="00BD5E14"/>
    <w:rsid w:val="00BD5F86"/>
    <w:rsid w:val="00BD6000"/>
    <w:rsid w:val="00BD66C9"/>
    <w:rsid w:val="00BE0018"/>
    <w:rsid w:val="00BE0C18"/>
    <w:rsid w:val="00BE11B8"/>
    <w:rsid w:val="00BE184C"/>
    <w:rsid w:val="00BE1BBC"/>
    <w:rsid w:val="00BE1C48"/>
    <w:rsid w:val="00BE2C65"/>
    <w:rsid w:val="00BE3468"/>
    <w:rsid w:val="00BE3818"/>
    <w:rsid w:val="00BE4E51"/>
    <w:rsid w:val="00BE50AD"/>
    <w:rsid w:val="00BE5215"/>
    <w:rsid w:val="00BE598F"/>
    <w:rsid w:val="00BE6188"/>
    <w:rsid w:val="00BF1468"/>
    <w:rsid w:val="00BF1A3D"/>
    <w:rsid w:val="00BF2FF7"/>
    <w:rsid w:val="00BF5493"/>
    <w:rsid w:val="00BF581F"/>
    <w:rsid w:val="00BF5B8F"/>
    <w:rsid w:val="00BF6DE9"/>
    <w:rsid w:val="00BF736A"/>
    <w:rsid w:val="00BF7B9F"/>
    <w:rsid w:val="00BF7F95"/>
    <w:rsid w:val="00BF7FF0"/>
    <w:rsid w:val="00C0004A"/>
    <w:rsid w:val="00C00DAB"/>
    <w:rsid w:val="00C01215"/>
    <w:rsid w:val="00C01484"/>
    <w:rsid w:val="00C01CDC"/>
    <w:rsid w:val="00C02015"/>
    <w:rsid w:val="00C02137"/>
    <w:rsid w:val="00C0271D"/>
    <w:rsid w:val="00C02892"/>
    <w:rsid w:val="00C03EC1"/>
    <w:rsid w:val="00C03FEF"/>
    <w:rsid w:val="00C05135"/>
    <w:rsid w:val="00C05804"/>
    <w:rsid w:val="00C064F6"/>
    <w:rsid w:val="00C0719E"/>
    <w:rsid w:val="00C10BBA"/>
    <w:rsid w:val="00C10E9F"/>
    <w:rsid w:val="00C11FDE"/>
    <w:rsid w:val="00C12502"/>
    <w:rsid w:val="00C1266C"/>
    <w:rsid w:val="00C13BE8"/>
    <w:rsid w:val="00C13EA9"/>
    <w:rsid w:val="00C1440C"/>
    <w:rsid w:val="00C14FD2"/>
    <w:rsid w:val="00C15A21"/>
    <w:rsid w:val="00C15E66"/>
    <w:rsid w:val="00C15E87"/>
    <w:rsid w:val="00C16358"/>
    <w:rsid w:val="00C1638D"/>
    <w:rsid w:val="00C16D7D"/>
    <w:rsid w:val="00C17EAC"/>
    <w:rsid w:val="00C2039E"/>
    <w:rsid w:val="00C20B11"/>
    <w:rsid w:val="00C20B5A"/>
    <w:rsid w:val="00C2103B"/>
    <w:rsid w:val="00C229D7"/>
    <w:rsid w:val="00C23401"/>
    <w:rsid w:val="00C243E0"/>
    <w:rsid w:val="00C25A96"/>
    <w:rsid w:val="00C30573"/>
    <w:rsid w:val="00C30EF2"/>
    <w:rsid w:val="00C31C2E"/>
    <w:rsid w:val="00C327DF"/>
    <w:rsid w:val="00C34388"/>
    <w:rsid w:val="00C34E96"/>
    <w:rsid w:val="00C3527D"/>
    <w:rsid w:val="00C362A6"/>
    <w:rsid w:val="00C36578"/>
    <w:rsid w:val="00C37080"/>
    <w:rsid w:val="00C37D8B"/>
    <w:rsid w:val="00C40AA5"/>
    <w:rsid w:val="00C421CA"/>
    <w:rsid w:val="00C438F6"/>
    <w:rsid w:val="00C44A77"/>
    <w:rsid w:val="00C463B0"/>
    <w:rsid w:val="00C46F70"/>
    <w:rsid w:val="00C4731E"/>
    <w:rsid w:val="00C476D0"/>
    <w:rsid w:val="00C47989"/>
    <w:rsid w:val="00C50678"/>
    <w:rsid w:val="00C5179B"/>
    <w:rsid w:val="00C51940"/>
    <w:rsid w:val="00C51CF2"/>
    <w:rsid w:val="00C53E18"/>
    <w:rsid w:val="00C54B1A"/>
    <w:rsid w:val="00C54DEC"/>
    <w:rsid w:val="00C56A6A"/>
    <w:rsid w:val="00C56F71"/>
    <w:rsid w:val="00C56FDA"/>
    <w:rsid w:val="00C60F6F"/>
    <w:rsid w:val="00C62322"/>
    <w:rsid w:val="00C62402"/>
    <w:rsid w:val="00C626ED"/>
    <w:rsid w:val="00C62CF5"/>
    <w:rsid w:val="00C62FFD"/>
    <w:rsid w:val="00C63580"/>
    <w:rsid w:val="00C63BEF"/>
    <w:rsid w:val="00C6438E"/>
    <w:rsid w:val="00C64725"/>
    <w:rsid w:val="00C65B19"/>
    <w:rsid w:val="00C660AD"/>
    <w:rsid w:val="00C66CA0"/>
    <w:rsid w:val="00C67D83"/>
    <w:rsid w:val="00C67DB7"/>
    <w:rsid w:val="00C70033"/>
    <w:rsid w:val="00C712C1"/>
    <w:rsid w:val="00C7216E"/>
    <w:rsid w:val="00C721BB"/>
    <w:rsid w:val="00C728AF"/>
    <w:rsid w:val="00C7340B"/>
    <w:rsid w:val="00C73A05"/>
    <w:rsid w:val="00C75310"/>
    <w:rsid w:val="00C75330"/>
    <w:rsid w:val="00C75A46"/>
    <w:rsid w:val="00C76053"/>
    <w:rsid w:val="00C76553"/>
    <w:rsid w:val="00C80217"/>
    <w:rsid w:val="00C809C2"/>
    <w:rsid w:val="00C809EC"/>
    <w:rsid w:val="00C82D58"/>
    <w:rsid w:val="00C836E3"/>
    <w:rsid w:val="00C83926"/>
    <w:rsid w:val="00C8425E"/>
    <w:rsid w:val="00C84B59"/>
    <w:rsid w:val="00C86577"/>
    <w:rsid w:val="00C867A7"/>
    <w:rsid w:val="00C87148"/>
    <w:rsid w:val="00C87212"/>
    <w:rsid w:val="00C8784E"/>
    <w:rsid w:val="00C91D04"/>
    <w:rsid w:val="00C921FD"/>
    <w:rsid w:val="00C92E07"/>
    <w:rsid w:val="00C92E71"/>
    <w:rsid w:val="00C936F1"/>
    <w:rsid w:val="00C93932"/>
    <w:rsid w:val="00C93F72"/>
    <w:rsid w:val="00C94942"/>
    <w:rsid w:val="00C94D17"/>
    <w:rsid w:val="00C9528C"/>
    <w:rsid w:val="00C95A55"/>
    <w:rsid w:val="00C95A89"/>
    <w:rsid w:val="00C96868"/>
    <w:rsid w:val="00C96A50"/>
    <w:rsid w:val="00C96ADB"/>
    <w:rsid w:val="00C977D2"/>
    <w:rsid w:val="00C9791F"/>
    <w:rsid w:val="00C97D23"/>
    <w:rsid w:val="00CA0416"/>
    <w:rsid w:val="00CA043E"/>
    <w:rsid w:val="00CA0F14"/>
    <w:rsid w:val="00CA16C7"/>
    <w:rsid w:val="00CA26B3"/>
    <w:rsid w:val="00CA37BA"/>
    <w:rsid w:val="00CA4BC3"/>
    <w:rsid w:val="00CA51CB"/>
    <w:rsid w:val="00CA5B4C"/>
    <w:rsid w:val="00CA5F3D"/>
    <w:rsid w:val="00CA62B7"/>
    <w:rsid w:val="00CA737E"/>
    <w:rsid w:val="00CA7F35"/>
    <w:rsid w:val="00CB07F3"/>
    <w:rsid w:val="00CB0A13"/>
    <w:rsid w:val="00CB1375"/>
    <w:rsid w:val="00CB189F"/>
    <w:rsid w:val="00CB1DC9"/>
    <w:rsid w:val="00CB3150"/>
    <w:rsid w:val="00CB3570"/>
    <w:rsid w:val="00CB4F99"/>
    <w:rsid w:val="00CB5549"/>
    <w:rsid w:val="00CC015C"/>
    <w:rsid w:val="00CC0A18"/>
    <w:rsid w:val="00CC0A31"/>
    <w:rsid w:val="00CC10E5"/>
    <w:rsid w:val="00CC1CCD"/>
    <w:rsid w:val="00CC22CD"/>
    <w:rsid w:val="00CC2E7A"/>
    <w:rsid w:val="00CC36E7"/>
    <w:rsid w:val="00CC41A7"/>
    <w:rsid w:val="00CC528F"/>
    <w:rsid w:val="00CC560B"/>
    <w:rsid w:val="00CC5781"/>
    <w:rsid w:val="00CC6EA2"/>
    <w:rsid w:val="00CC75E2"/>
    <w:rsid w:val="00CC77AF"/>
    <w:rsid w:val="00CC7CB1"/>
    <w:rsid w:val="00CD04FC"/>
    <w:rsid w:val="00CD36E8"/>
    <w:rsid w:val="00CD3EED"/>
    <w:rsid w:val="00CD46EB"/>
    <w:rsid w:val="00CD4D1C"/>
    <w:rsid w:val="00CD4DD0"/>
    <w:rsid w:val="00CD510D"/>
    <w:rsid w:val="00CD5799"/>
    <w:rsid w:val="00CD6735"/>
    <w:rsid w:val="00CD7EBF"/>
    <w:rsid w:val="00CE2538"/>
    <w:rsid w:val="00CE25C8"/>
    <w:rsid w:val="00CE34F9"/>
    <w:rsid w:val="00CE4B7B"/>
    <w:rsid w:val="00CE5E61"/>
    <w:rsid w:val="00CE5EC6"/>
    <w:rsid w:val="00CE6542"/>
    <w:rsid w:val="00CE7BA6"/>
    <w:rsid w:val="00CF0C5C"/>
    <w:rsid w:val="00CF28A2"/>
    <w:rsid w:val="00CF2EC0"/>
    <w:rsid w:val="00CF34DD"/>
    <w:rsid w:val="00CF3F73"/>
    <w:rsid w:val="00CF484E"/>
    <w:rsid w:val="00CF4C6F"/>
    <w:rsid w:val="00CF4DCE"/>
    <w:rsid w:val="00CF7622"/>
    <w:rsid w:val="00CF7A0F"/>
    <w:rsid w:val="00CF7BA5"/>
    <w:rsid w:val="00CF7DE0"/>
    <w:rsid w:val="00D004B1"/>
    <w:rsid w:val="00D01079"/>
    <w:rsid w:val="00D0194F"/>
    <w:rsid w:val="00D01D20"/>
    <w:rsid w:val="00D01E59"/>
    <w:rsid w:val="00D020EA"/>
    <w:rsid w:val="00D02B1F"/>
    <w:rsid w:val="00D02EEF"/>
    <w:rsid w:val="00D03758"/>
    <w:rsid w:val="00D038A8"/>
    <w:rsid w:val="00D040BB"/>
    <w:rsid w:val="00D04822"/>
    <w:rsid w:val="00D04961"/>
    <w:rsid w:val="00D056F1"/>
    <w:rsid w:val="00D062E4"/>
    <w:rsid w:val="00D073EE"/>
    <w:rsid w:val="00D078DE"/>
    <w:rsid w:val="00D1002A"/>
    <w:rsid w:val="00D1110B"/>
    <w:rsid w:val="00D11171"/>
    <w:rsid w:val="00D119DA"/>
    <w:rsid w:val="00D125D1"/>
    <w:rsid w:val="00D12F48"/>
    <w:rsid w:val="00D13396"/>
    <w:rsid w:val="00D14405"/>
    <w:rsid w:val="00D14B0B"/>
    <w:rsid w:val="00D14E12"/>
    <w:rsid w:val="00D16714"/>
    <w:rsid w:val="00D168EA"/>
    <w:rsid w:val="00D1709B"/>
    <w:rsid w:val="00D171B8"/>
    <w:rsid w:val="00D1773F"/>
    <w:rsid w:val="00D17DC7"/>
    <w:rsid w:val="00D201A9"/>
    <w:rsid w:val="00D21065"/>
    <w:rsid w:val="00D214C1"/>
    <w:rsid w:val="00D22323"/>
    <w:rsid w:val="00D223F1"/>
    <w:rsid w:val="00D22614"/>
    <w:rsid w:val="00D22914"/>
    <w:rsid w:val="00D22F3C"/>
    <w:rsid w:val="00D2339F"/>
    <w:rsid w:val="00D2340C"/>
    <w:rsid w:val="00D23DB6"/>
    <w:rsid w:val="00D263BF"/>
    <w:rsid w:val="00D26814"/>
    <w:rsid w:val="00D273D9"/>
    <w:rsid w:val="00D30306"/>
    <w:rsid w:val="00D3058E"/>
    <w:rsid w:val="00D310D9"/>
    <w:rsid w:val="00D3171B"/>
    <w:rsid w:val="00D319C4"/>
    <w:rsid w:val="00D31A28"/>
    <w:rsid w:val="00D3338C"/>
    <w:rsid w:val="00D33ABB"/>
    <w:rsid w:val="00D33F56"/>
    <w:rsid w:val="00D345B7"/>
    <w:rsid w:val="00D35226"/>
    <w:rsid w:val="00D40081"/>
    <w:rsid w:val="00D40EFF"/>
    <w:rsid w:val="00D4104C"/>
    <w:rsid w:val="00D41215"/>
    <w:rsid w:val="00D42A8F"/>
    <w:rsid w:val="00D43779"/>
    <w:rsid w:val="00D43D15"/>
    <w:rsid w:val="00D43FE6"/>
    <w:rsid w:val="00D44538"/>
    <w:rsid w:val="00D44980"/>
    <w:rsid w:val="00D45548"/>
    <w:rsid w:val="00D463E8"/>
    <w:rsid w:val="00D4745F"/>
    <w:rsid w:val="00D476C1"/>
    <w:rsid w:val="00D50EE7"/>
    <w:rsid w:val="00D51A95"/>
    <w:rsid w:val="00D51D18"/>
    <w:rsid w:val="00D5240F"/>
    <w:rsid w:val="00D531D6"/>
    <w:rsid w:val="00D53A8B"/>
    <w:rsid w:val="00D54151"/>
    <w:rsid w:val="00D54692"/>
    <w:rsid w:val="00D550A3"/>
    <w:rsid w:val="00D5543C"/>
    <w:rsid w:val="00D565CC"/>
    <w:rsid w:val="00D565EB"/>
    <w:rsid w:val="00D5748A"/>
    <w:rsid w:val="00D579BE"/>
    <w:rsid w:val="00D57D90"/>
    <w:rsid w:val="00D6052B"/>
    <w:rsid w:val="00D60568"/>
    <w:rsid w:val="00D61C48"/>
    <w:rsid w:val="00D6218B"/>
    <w:rsid w:val="00D62851"/>
    <w:rsid w:val="00D62B9D"/>
    <w:rsid w:val="00D64414"/>
    <w:rsid w:val="00D65858"/>
    <w:rsid w:val="00D65F18"/>
    <w:rsid w:val="00D66506"/>
    <w:rsid w:val="00D66B44"/>
    <w:rsid w:val="00D66CF5"/>
    <w:rsid w:val="00D67BA3"/>
    <w:rsid w:val="00D70A2A"/>
    <w:rsid w:val="00D70C7A"/>
    <w:rsid w:val="00D71180"/>
    <w:rsid w:val="00D71DDB"/>
    <w:rsid w:val="00D73931"/>
    <w:rsid w:val="00D739ED"/>
    <w:rsid w:val="00D740BF"/>
    <w:rsid w:val="00D74A9C"/>
    <w:rsid w:val="00D755D1"/>
    <w:rsid w:val="00D761AB"/>
    <w:rsid w:val="00D76855"/>
    <w:rsid w:val="00D770A4"/>
    <w:rsid w:val="00D7788D"/>
    <w:rsid w:val="00D77C6B"/>
    <w:rsid w:val="00D77D38"/>
    <w:rsid w:val="00D81233"/>
    <w:rsid w:val="00D81D38"/>
    <w:rsid w:val="00D82B92"/>
    <w:rsid w:val="00D8470F"/>
    <w:rsid w:val="00D8471A"/>
    <w:rsid w:val="00D85D72"/>
    <w:rsid w:val="00D86D5E"/>
    <w:rsid w:val="00D86D60"/>
    <w:rsid w:val="00D87721"/>
    <w:rsid w:val="00D87B8F"/>
    <w:rsid w:val="00D87DE7"/>
    <w:rsid w:val="00D90F52"/>
    <w:rsid w:val="00D92052"/>
    <w:rsid w:val="00D92108"/>
    <w:rsid w:val="00D932B1"/>
    <w:rsid w:val="00D949FB"/>
    <w:rsid w:val="00D94DB2"/>
    <w:rsid w:val="00D96A0D"/>
    <w:rsid w:val="00DA036D"/>
    <w:rsid w:val="00DA10A8"/>
    <w:rsid w:val="00DA13AD"/>
    <w:rsid w:val="00DA1784"/>
    <w:rsid w:val="00DA1D73"/>
    <w:rsid w:val="00DA1EA5"/>
    <w:rsid w:val="00DA20EF"/>
    <w:rsid w:val="00DA2268"/>
    <w:rsid w:val="00DA22F7"/>
    <w:rsid w:val="00DA2B40"/>
    <w:rsid w:val="00DA304E"/>
    <w:rsid w:val="00DA375B"/>
    <w:rsid w:val="00DA37B7"/>
    <w:rsid w:val="00DA475A"/>
    <w:rsid w:val="00DA5A37"/>
    <w:rsid w:val="00DA6F5B"/>
    <w:rsid w:val="00DA72A7"/>
    <w:rsid w:val="00DA7FE2"/>
    <w:rsid w:val="00DB034D"/>
    <w:rsid w:val="00DB0A45"/>
    <w:rsid w:val="00DB1AE6"/>
    <w:rsid w:val="00DB1E08"/>
    <w:rsid w:val="00DB2039"/>
    <w:rsid w:val="00DB2973"/>
    <w:rsid w:val="00DB2C31"/>
    <w:rsid w:val="00DB324A"/>
    <w:rsid w:val="00DB34F3"/>
    <w:rsid w:val="00DB36A9"/>
    <w:rsid w:val="00DB372B"/>
    <w:rsid w:val="00DB39AE"/>
    <w:rsid w:val="00DB3E10"/>
    <w:rsid w:val="00DB662F"/>
    <w:rsid w:val="00DB6A19"/>
    <w:rsid w:val="00DB7A08"/>
    <w:rsid w:val="00DC0BFE"/>
    <w:rsid w:val="00DC1882"/>
    <w:rsid w:val="00DC1B56"/>
    <w:rsid w:val="00DC2129"/>
    <w:rsid w:val="00DC286D"/>
    <w:rsid w:val="00DC28D2"/>
    <w:rsid w:val="00DC33BC"/>
    <w:rsid w:val="00DC3C72"/>
    <w:rsid w:val="00DC42D6"/>
    <w:rsid w:val="00DC45EA"/>
    <w:rsid w:val="00DC5331"/>
    <w:rsid w:val="00DC59DF"/>
    <w:rsid w:val="00DC5E92"/>
    <w:rsid w:val="00DC6570"/>
    <w:rsid w:val="00DC6907"/>
    <w:rsid w:val="00DC7257"/>
    <w:rsid w:val="00DC7D52"/>
    <w:rsid w:val="00DD1005"/>
    <w:rsid w:val="00DD16C3"/>
    <w:rsid w:val="00DD1AA1"/>
    <w:rsid w:val="00DD1DA9"/>
    <w:rsid w:val="00DD207A"/>
    <w:rsid w:val="00DD3C5E"/>
    <w:rsid w:val="00DD3C96"/>
    <w:rsid w:val="00DD44D2"/>
    <w:rsid w:val="00DD514A"/>
    <w:rsid w:val="00DD5495"/>
    <w:rsid w:val="00DD6141"/>
    <w:rsid w:val="00DD7D65"/>
    <w:rsid w:val="00DE0085"/>
    <w:rsid w:val="00DE026B"/>
    <w:rsid w:val="00DE0B36"/>
    <w:rsid w:val="00DE124D"/>
    <w:rsid w:val="00DE1786"/>
    <w:rsid w:val="00DE1EE6"/>
    <w:rsid w:val="00DE1F4C"/>
    <w:rsid w:val="00DE3B30"/>
    <w:rsid w:val="00DE3FD4"/>
    <w:rsid w:val="00DE47EC"/>
    <w:rsid w:val="00DE4CC3"/>
    <w:rsid w:val="00DE4CE4"/>
    <w:rsid w:val="00DE4D45"/>
    <w:rsid w:val="00DE53CD"/>
    <w:rsid w:val="00DE5B3E"/>
    <w:rsid w:val="00DE5C8E"/>
    <w:rsid w:val="00DE6C2E"/>
    <w:rsid w:val="00DE79D9"/>
    <w:rsid w:val="00DF153F"/>
    <w:rsid w:val="00DF1CC3"/>
    <w:rsid w:val="00DF25C3"/>
    <w:rsid w:val="00DF3341"/>
    <w:rsid w:val="00DF3A8E"/>
    <w:rsid w:val="00DF3EF8"/>
    <w:rsid w:val="00DF4EB7"/>
    <w:rsid w:val="00DF5663"/>
    <w:rsid w:val="00E00241"/>
    <w:rsid w:val="00E00C36"/>
    <w:rsid w:val="00E01AE6"/>
    <w:rsid w:val="00E031AD"/>
    <w:rsid w:val="00E03ABA"/>
    <w:rsid w:val="00E04062"/>
    <w:rsid w:val="00E043CC"/>
    <w:rsid w:val="00E049C5"/>
    <w:rsid w:val="00E05314"/>
    <w:rsid w:val="00E06276"/>
    <w:rsid w:val="00E06334"/>
    <w:rsid w:val="00E06337"/>
    <w:rsid w:val="00E063C6"/>
    <w:rsid w:val="00E0744E"/>
    <w:rsid w:val="00E0773E"/>
    <w:rsid w:val="00E07942"/>
    <w:rsid w:val="00E108E7"/>
    <w:rsid w:val="00E115BB"/>
    <w:rsid w:val="00E11BF2"/>
    <w:rsid w:val="00E11DDC"/>
    <w:rsid w:val="00E126B9"/>
    <w:rsid w:val="00E127F4"/>
    <w:rsid w:val="00E1291C"/>
    <w:rsid w:val="00E12F59"/>
    <w:rsid w:val="00E137F2"/>
    <w:rsid w:val="00E13C2E"/>
    <w:rsid w:val="00E14946"/>
    <w:rsid w:val="00E14BCD"/>
    <w:rsid w:val="00E14C0D"/>
    <w:rsid w:val="00E15379"/>
    <w:rsid w:val="00E15424"/>
    <w:rsid w:val="00E15506"/>
    <w:rsid w:val="00E16149"/>
    <w:rsid w:val="00E16938"/>
    <w:rsid w:val="00E17F85"/>
    <w:rsid w:val="00E2003B"/>
    <w:rsid w:val="00E203C2"/>
    <w:rsid w:val="00E20565"/>
    <w:rsid w:val="00E216AF"/>
    <w:rsid w:val="00E21A65"/>
    <w:rsid w:val="00E2366C"/>
    <w:rsid w:val="00E23DC6"/>
    <w:rsid w:val="00E24DE8"/>
    <w:rsid w:val="00E25261"/>
    <w:rsid w:val="00E26541"/>
    <w:rsid w:val="00E26E13"/>
    <w:rsid w:val="00E26EF4"/>
    <w:rsid w:val="00E27924"/>
    <w:rsid w:val="00E279D8"/>
    <w:rsid w:val="00E27D26"/>
    <w:rsid w:val="00E30156"/>
    <w:rsid w:val="00E305F4"/>
    <w:rsid w:val="00E30E1E"/>
    <w:rsid w:val="00E31147"/>
    <w:rsid w:val="00E319B1"/>
    <w:rsid w:val="00E31B31"/>
    <w:rsid w:val="00E3400B"/>
    <w:rsid w:val="00E351B9"/>
    <w:rsid w:val="00E356F7"/>
    <w:rsid w:val="00E3781E"/>
    <w:rsid w:val="00E40377"/>
    <w:rsid w:val="00E40ED4"/>
    <w:rsid w:val="00E416BF"/>
    <w:rsid w:val="00E419BD"/>
    <w:rsid w:val="00E41B72"/>
    <w:rsid w:val="00E42F06"/>
    <w:rsid w:val="00E42F68"/>
    <w:rsid w:val="00E43A2A"/>
    <w:rsid w:val="00E446CB"/>
    <w:rsid w:val="00E44D59"/>
    <w:rsid w:val="00E44E0D"/>
    <w:rsid w:val="00E462EB"/>
    <w:rsid w:val="00E50955"/>
    <w:rsid w:val="00E50A52"/>
    <w:rsid w:val="00E50E4B"/>
    <w:rsid w:val="00E517D6"/>
    <w:rsid w:val="00E520FE"/>
    <w:rsid w:val="00E5346A"/>
    <w:rsid w:val="00E539ED"/>
    <w:rsid w:val="00E54166"/>
    <w:rsid w:val="00E5492F"/>
    <w:rsid w:val="00E55393"/>
    <w:rsid w:val="00E55527"/>
    <w:rsid w:val="00E57216"/>
    <w:rsid w:val="00E604B5"/>
    <w:rsid w:val="00E609B9"/>
    <w:rsid w:val="00E61063"/>
    <w:rsid w:val="00E61276"/>
    <w:rsid w:val="00E617C5"/>
    <w:rsid w:val="00E61F0E"/>
    <w:rsid w:val="00E628EC"/>
    <w:rsid w:val="00E62CC8"/>
    <w:rsid w:val="00E62DEF"/>
    <w:rsid w:val="00E62EC2"/>
    <w:rsid w:val="00E63338"/>
    <w:rsid w:val="00E639C6"/>
    <w:rsid w:val="00E63CC2"/>
    <w:rsid w:val="00E63D70"/>
    <w:rsid w:val="00E64462"/>
    <w:rsid w:val="00E64C99"/>
    <w:rsid w:val="00E6537B"/>
    <w:rsid w:val="00E6592B"/>
    <w:rsid w:val="00E667D0"/>
    <w:rsid w:val="00E66A37"/>
    <w:rsid w:val="00E66A96"/>
    <w:rsid w:val="00E67256"/>
    <w:rsid w:val="00E67B3D"/>
    <w:rsid w:val="00E701B1"/>
    <w:rsid w:val="00E70A86"/>
    <w:rsid w:val="00E73C3D"/>
    <w:rsid w:val="00E73DD4"/>
    <w:rsid w:val="00E74839"/>
    <w:rsid w:val="00E74C52"/>
    <w:rsid w:val="00E75054"/>
    <w:rsid w:val="00E75182"/>
    <w:rsid w:val="00E751D6"/>
    <w:rsid w:val="00E75D97"/>
    <w:rsid w:val="00E76870"/>
    <w:rsid w:val="00E76AA1"/>
    <w:rsid w:val="00E770E1"/>
    <w:rsid w:val="00E777EC"/>
    <w:rsid w:val="00E77B74"/>
    <w:rsid w:val="00E77FBE"/>
    <w:rsid w:val="00E804DA"/>
    <w:rsid w:val="00E80FCD"/>
    <w:rsid w:val="00E81F6E"/>
    <w:rsid w:val="00E83AB2"/>
    <w:rsid w:val="00E85B2E"/>
    <w:rsid w:val="00E87CA1"/>
    <w:rsid w:val="00E92356"/>
    <w:rsid w:val="00E9238D"/>
    <w:rsid w:val="00E94876"/>
    <w:rsid w:val="00E96BC7"/>
    <w:rsid w:val="00EA229E"/>
    <w:rsid w:val="00EA29CB"/>
    <w:rsid w:val="00EA2B46"/>
    <w:rsid w:val="00EA4D2C"/>
    <w:rsid w:val="00EA5290"/>
    <w:rsid w:val="00EA6259"/>
    <w:rsid w:val="00EA7F2F"/>
    <w:rsid w:val="00EB06FA"/>
    <w:rsid w:val="00EB0789"/>
    <w:rsid w:val="00EB07C1"/>
    <w:rsid w:val="00EB0E5E"/>
    <w:rsid w:val="00EB1497"/>
    <w:rsid w:val="00EB1E99"/>
    <w:rsid w:val="00EB3378"/>
    <w:rsid w:val="00EB3E69"/>
    <w:rsid w:val="00EB418B"/>
    <w:rsid w:val="00EB4CDA"/>
    <w:rsid w:val="00EB525A"/>
    <w:rsid w:val="00EB7F33"/>
    <w:rsid w:val="00EC00DE"/>
    <w:rsid w:val="00EC0263"/>
    <w:rsid w:val="00EC05B7"/>
    <w:rsid w:val="00EC11D1"/>
    <w:rsid w:val="00EC1D4A"/>
    <w:rsid w:val="00EC1E16"/>
    <w:rsid w:val="00EC20F7"/>
    <w:rsid w:val="00EC30E1"/>
    <w:rsid w:val="00EC49A6"/>
    <w:rsid w:val="00EC4A57"/>
    <w:rsid w:val="00EC4DF8"/>
    <w:rsid w:val="00EC61C6"/>
    <w:rsid w:val="00EC6276"/>
    <w:rsid w:val="00EC6696"/>
    <w:rsid w:val="00EC68F4"/>
    <w:rsid w:val="00EC6E90"/>
    <w:rsid w:val="00ED0488"/>
    <w:rsid w:val="00ED07D8"/>
    <w:rsid w:val="00ED0E30"/>
    <w:rsid w:val="00ED172A"/>
    <w:rsid w:val="00ED1B50"/>
    <w:rsid w:val="00ED22A3"/>
    <w:rsid w:val="00ED3266"/>
    <w:rsid w:val="00ED369D"/>
    <w:rsid w:val="00ED3991"/>
    <w:rsid w:val="00ED41AE"/>
    <w:rsid w:val="00ED5706"/>
    <w:rsid w:val="00ED5ED7"/>
    <w:rsid w:val="00ED6385"/>
    <w:rsid w:val="00ED66DB"/>
    <w:rsid w:val="00ED77BC"/>
    <w:rsid w:val="00EE0648"/>
    <w:rsid w:val="00EE0A23"/>
    <w:rsid w:val="00EE157D"/>
    <w:rsid w:val="00EE1E6C"/>
    <w:rsid w:val="00EE2038"/>
    <w:rsid w:val="00EE2653"/>
    <w:rsid w:val="00EE3C0B"/>
    <w:rsid w:val="00EE45E2"/>
    <w:rsid w:val="00EE4A21"/>
    <w:rsid w:val="00EE4A85"/>
    <w:rsid w:val="00EE4CBB"/>
    <w:rsid w:val="00EE4DEF"/>
    <w:rsid w:val="00EE5CBA"/>
    <w:rsid w:val="00EE6A88"/>
    <w:rsid w:val="00EE6B05"/>
    <w:rsid w:val="00EF00C7"/>
    <w:rsid w:val="00EF093B"/>
    <w:rsid w:val="00EF1700"/>
    <w:rsid w:val="00EF21EE"/>
    <w:rsid w:val="00EF23F2"/>
    <w:rsid w:val="00EF2D0A"/>
    <w:rsid w:val="00EF3E4C"/>
    <w:rsid w:val="00EF4FF2"/>
    <w:rsid w:val="00F00372"/>
    <w:rsid w:val="00F03B44"/>
    <w:rsid w:val="00F03B75"/>
    <w:rsid w:val="00F04244"/>
    <w:rsid w:val="00F05A80"/>
    <w:rsid w:val="00F072AB"/>
    <w:rsid w:val="00F0750B"/>
    <w:rsid w:val="00F079EE"/>
    <w:rsid w:val="00F07C01"/>
    <w:rsid w:val="00F10952"/>
    <w:rsid w:val="00F1125B"/>
    <w:rsid w:val="00F12361"/>
    <w:rsid w:val="00F12467"/>
    <w:rsid w:val="00F142F3"/>
    <w:rsid w:val="00F147EE"/>
    <w:rsid w:val="00F14A7E"/>
    <w:rsid w:val="00F14BEC"/>
    <w:rsid w:val="00F15A32"/>
    <w:rsid w:val="00F21724"/>
    <w:rsid w:val="00F21930"/>
    <w:rsid w:val="00F21AAC"/>
    <w:rsid w:val="00F224B5"/>
    <w:rsid w:val="00F225C5"/>
    <w:rsid w:val="00F242B6"/>
    <w:rsid w:val="00F243A0"/>
    <w:rsid w:val="00F2587A"/>
    <w:rsid w:val="00F25C82"/>
    <w:rsid w:val="00F25F2E"/>
    <w:rsid w:val="00F26C58"/>
    <w:rsid w:val="00F2798F"/>
    <w:rsid w:val="00F27E99"/>
    <w:rsid w:val="00F30D4D"/>
    <w:rsid w:val="00F320AE"/>
    <w:rsid w:val="00F32CE0"/>
    <w:rsid w:val="00F33544"/>
    <w:rsid w:val="00F33677"/>
    <w:rsid w:val="00F33B0F"/>
    <w:rsid w:val="00F33BB8"/>
    <w:rsid w:val="00F33E3C"/>
    <w:rsid w:val="00F34D1A"/>
    <w:rsid w:val="00F36F3C"/>
    <w:rsid w:val="00F3715D"/>
    <w:rsid w:val="00F40FD0"/>
    <w:rsid w:val="00F415AA"/>
    <w:rsid w:val="00F420C8"/>
    <w:rsid w:val="00F425C6"/>
    <w:rsid w:val="00F42A4C"/>
    <w:rsid w:val="00F42DDC"/>
    <w:rsid w:val="00F42EE7"/>
    <w:rsid w:val="00F432EB"/>
    <w:rsid w:val="00F4428E"/>
    <w:rsid w:val="00F4529A"/>
    <w:rsid w:val="00F4676D"/>
    <w:rsid w:val="00F477AB"/>
    <w:rsid w:val="00F50015"/>
    <w:rsid w:val="00F53181"/>
    <w:rsid w:val="00F53B04"/>
    <w:rsid w:val="00F546F5"/>
    <w:rsid w:val="00F546FE"/>
    <w:rsid w:val="00F548A3"/>
    <w:rsid w:val="00F56B57"/>
    <w:rsid w:val="00F56F5F"/>
    <w:rsid w:val="00F60315"/>
    <w:rsid w:val="00F603CA"/>
    <w:rsid w:val="00F604DE"/>
    <w:rsid w:val="00F607B9"/>
    <w:rsid w:val="00F61C33"/>
    <w:rsid w:val="00F62E7A"/>
    <w:rsid w:val="00F63105"/>
    <w:rsid w:val="00F6343E"/>
    <w:rsid w:val="00F63803"/>
    <w:rsid w:val="00F64653"/>
    <w:rsid w:val="00F649EC"/>
    <w:rsid w:val="00F65BAA"/>
    <w:rsid w:val="00F660D1"/>
    <w:rsid w:val="00F66F02"/>
    <w:rsid w:val="00F70669"/>
    <w:rsid w:val="00F71289"/>
    <w:rsid w:val="00F713BD"/>
    <w:rsid w:val="00F713DA"/>
    <w:rsid w:val="00F71682"/>
    <w:rsid w:val="00F71738"/>
    <w:rsid w:val="00F7468A"/>
    <w:rsid w:val="00F76B7D"/>
    <w:rsid w:val="00F76D6B"/>
    <w:rsid w:val="00F76EB0"/>
    <w:rsid w:val="00F8060A"/>
    <w:rsid w:val="00F81658"/>
    <w:rsid w:val="00F81AED"/>
    <w:rsid w:val="00F823EF"/>
    <w:rsid w:val="00F83E11"/>
    <w:rsid w:val="00F86A68"/>
    <w:rsid w:val="00F90CE4"/>
    <w:rsid w:val="00F91D14"/>
    <w:rsid w:val="00F925E2"/>
    <w:rsid w:val="00F92967"/>
    <w:rsid w:val="00F92AC7"/>
    <w:rsid w:val="00F93095"/>
    <w:rsid w:val="00F93D2A"/>
    <w:rsid w:val="00F945E1"/>
    <w:rsid w:val="00F947EC"/>
    <w:rsid w:val="00F94D5C"/>
    <w:rsid w:val="00F952BE"/>
    <w:rsid w:val="00F95714"/>
    <w:rsid w:val="00F96FAB"/>
    <w:rsid w:val="00F973EA"/>
    <w:rsid w:val="00FA00AF"/>
    <w:rsid w:val="00FA0138"/>
    <w:rsid w:val="00FA155B"/>
    <w:rsid w:val="00FA3E8F"/>
    <w:rsid w:val="00FA4FBE"/>
    <w:rsid w:val="00FA6F23"/>
    <w:rsid w:val="00FB0E9C"/>
    <w:rsid w:val="00FB11D9"/>
    <w:rsid w:val="00FB130E"/>
    <w:rsid w:val="00FB13A8"/>
    <w:rsid w:val="00FB1533"/>
    <w:rsid w:val="00FB156E"/>
    <w:rsid w:val="00FB1CD7"/>
    <w:rsid w:val="00FB3DDE"/>
    <w:rsid w:val="00FB4945"/>
    <w:rsid w:val="00FB4C0A"/>
    <w:rsid w:val="00FB4FC7"/>
    <w:rsid w:val="00FB53B1"/>
    <w:rsid w:val="00FB576C"/>
    <w:rsid w:val="00FB5B0A"/>
    <w:rsid w:val="00FB6419"/>
    <w:rsid w:val="00FB675D"/>
    <w:rsid w:val="00FB67A3"/>
    <w:rsid w:val="00FB6B9C"/>
    <w:rsid w:val="00FB6E04"/>
    <w:rsid w:val="00FB7512"/>
    <w:rsid w:val="00FC0558"/>
    <w:rsid w:val="00FC1392"/>
    <w:rsid w:val="00FC2DB8"/>
    <w:rsid w:val="00FC3401"/>
    <w:rsid w:val="00FC393C"/>
    <w:rsid w:val="00FC539B"/>
    <w:rsid w:val="00FC5535"/>
    <w:rsid w:val="00FC5DB3"/>
    <w:rsid w:val="00FC665B"/>
    <w:rsid w:val="00FC6B08"/>
    <w:rsid w:val="00FC7225"/>
    <w:rsid w:val="00FD03AD"/>
    <w:rsid w:val="00FD0F0E"/>
    <w:rsid w:val="00FD0F87"/>
    <w:rsid w:val="00FD1601"/>
    <w:rsid w:val="00FD24D2"/>
    <w:rsid w:val="00FD2FBE"/>
    <w:rsid w:val="00FD397F"/>
    <w:rsid w:val="00FD4AA1"/>
    <w:rsid w:val="00FD58F5"/>
    <w:rsid w:val="00FD6AFE"/>
    <w:rsid w:val="00FD7547"/>
    <w:rsid w:val="00FD75A7"/>
    <w:rsid w:val="00FD7AFD"/>
    <w:rsid w:val="00FD7DB9"/>
    <w:rsid w:val="00FD7E90"/>
    <w:rsid w:val="00FE03D9"/>
    <w:rsid w:val="00FE0491"/>
    <w:rsid w:val="00FE05B3"/>
    <w:rsid w:val="00FE0A20"/>
    <w:rsid w:val="00FE2AE2"/>
    <w:rsid w:val="00FE2CB5"/>
    <w:rsid w:val="00FE3589"/>
    <w:rsid w:val="00FE3867"/>
    <w:rsid w:val="00FE418F"/>
    <w:rsid w:val="00FE4DCA"/>
    <w:rsid w:val="00FE54FB"/>
    <w:rsid w:val="00FE6BD0"/>
    <w:rsid w:val="00FF005E"/>
    <w:rsid w:val="00FF038D"/>
    <w:rsid w:val="00FF14ED"/>
    <w:rsid w:val="00FF1549"/>
    <w:rsid w:val="00FF161A"/>
    <w:rsid w:val="00FF1C64"/>
    <w:rsid w:val="00FF26E9"/>
    <w:rsid w:val="00FF2DEA"/>
    <w:rsid w:val="00FF3AD9"/>
    <w:rsid w:val="00FF48E4"/>
    <w:rsid w:val="00FF4CCB"/>
    <w:rsid w:val="00FF5A85"/>
    <w:rsid w:val="00FF5DE1"/>
    <w:rsid w:val="00FF5F5C"/>
    <w:rsid w:val="00FF6272"/>
    <w:rsid w:val="00FF6693"/>
    <w:rsid w:val="00FF6EB1"/>
    <w:rsid w:val="00FF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7008D"/>
  <w15:docId w15:val="{60D8FEE3-ACD2-4865-B573-B166222D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6DA"/>
    <w:pPr>
      <w:widowControl w:val="0"/>
    </w:pPr>
    <w:rPr>
      <w:rFonts w:ascii="Arial" w:hAnsi="Arial"/>
      <w:sz w:val="22"/>
      <w:szCs w:val="24"/>
      <w:lang w:val="en-GB"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847F25"/>
    <w:pPr>
      <w:spacing w:before="120" w:after="120"/>
    </w:pPr>
    <w:rPr>
      <w:rFonts w:ascii="Calibri" w:hAnsi="Calibri"/>
      <w:b/>
      <w:bCs/>
      <w:caps/>
      <w:sz w:val="20"/>
      <w:szCs w:val="20"/>
    </w:rPr>
  </w:style>
  <w:style w:type="paragraph" w:styleId="TOC2">
    <w:name w:val="toc 2"/>
    <w:basedOn w:val="Normal"/>
    <w:next w:val="Normal"/>
    <w:autoRedefine/>
    <w:uiPriority w:val="39"/>
    <w:rsid w:val="00FB3DDE"/>
    <w:pPr>
      <w:ind w:left="220"/>
    </w:pPr>
    <w:rPr>
      <w:rFonts w:ascii="Calibri" w:hAnsi="Calibr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uiPriority w:val="99"/>
    <w:rsid w:val="00E40ED4"/>
    <w:rPr>
      <w:rFonts w:ascii="Arial" w:hAnsi="Arial"/>
      <w:sz w:val="20"/>
    </w:rPr>
  </w:style>
  <w:style w:type="paragraph" w:styleId="TOC3">
    <w:name w:val="toc 3"/>
    <w:basedOn w:val="Normal"/>
    <w:next w:val="Normal"/>
    <w:autoRedefine/>
    <w:uiPriority w:val="39"/>
    <w:pPr>
      <w:ind w:left="440"/>
    </w:pPr>
    <w:rPr>
      <w:rFonts w:ascii="Calibri" w:hAnsi="Calibri"/>
      <w:i/>
      <w:iCs/>
      <w:sz w:val="20"/>
      <w:szCs w:val="20"/>
    </w:rPr>
  </w:style>
  <w:style w:type="paragraph" w:styleId="TOC4">
    <w:name w:val="toc 4"/>
    <w:basedOn w:val="Normal"/>
    <w:next w:val="Normal"/>
    <w:autoRedefine/>
    <w:semiHidden/>
    <w:pPr>
      <w:ind w:left="660"/>
    </w:pPr>
    <w:rPr>
      <w:rFonts w:ascii="Calibri" w:hAnsi="Calibri"/>
      <w:sz w:val="18"/>
      <w:szCs w:val="18"/>
    </w:rPr>
  </w:style>
  <w:style w:type="paragraph" w:styleId="TOC5">
    <w:name w:val="toc 5"/>
    <w:basedOn w:val="Normal"/>
    <w:next w:val="Normal"/>
    <w:autoRedefine/>
    <w:semiHidden/>
    <w:pPr>
      <w:ind w:left="880"/>
    </w:pPr>
    <w:rPr>
      <w:rFonts w:ascii="Calibri" w:hAnsi="Calibri"/>
      <w:sz w:val="18"/>
      <w:szCs w:val="18"/>
    </w:rPr>
  </w:style>
  <w:style w:type="character" w:styleId="FollowedHyperlink">
    <w:name w:val="FollowedHyperlink"/>
    <w:rsid w:val="00203540"/>
    <w:rPr>
      <w:rFonts w:ascii="Arial" w:hAnsi="Arial"/>
      <w:color w:val="3333FF"/>
      <w:sz w:val="22"/>
      <w:u w:val="single"/>
    </w:rPr>
  </w:style>
  <w:style w:type="paragraph" w:styleId="TOC6">
    <w:name w:val="toc 6"/>
    <w:basedOn w:val="Normal"/>
    <w:next w:val="Normal"/>
    <w:autoRedefine/>
    <w:semiHidden/>
    <w:pPr>
      <w:ind w:left="1100"/>
    </w:pPr>
    <w:rPr>
      <w:rFonts w:ascii="Calibri" w:hAnsi="Calibr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Calibri" w:hAnsi="Calibri"/>
      <w:sz w:val="18"/>
      <w:szCs w:val="18"/>
    </w:rPr>
  </w:style>
  <w:style w:type="paragraph" w:styleId="TOC8">
    <w:name w:val="toc 8"/>
    <w:basedOn w:val="Normal"/>
    <w:next w:val="Normal"/>
    <w:autoRedefine/>
    <w:semiHidden/>
    <w:pPr>
      <w:ind w:left="1540"/>
    </w:pPr>
    <w:rPr>
      <w:rFonts w:ascii="Calibri" w:hAnsi="Calibri"/>
      <w:sz w:val="18"/>
      <w:szCs w:val="18"/>
    </w:rPr>
  </w:style>
  <w:style w:type="paragraph" w:styleId="TOC9">
    <w:name w:val="toc 9"/>
    <w:basedOn w:val="Normal"/>
    <w:next w:val="Normal"/>
    <w:autoRedefine/>
    <w:semiHidden/>
    <w:pPr>
      <w:ind w:left="1760"/>
    </w:pPr>
    <w:rPr>
      <w:rFonts w:ascii="Calibri" w:hAnsi="Calibr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val="en-GB" w:eastAsia="en-US" w:bidi="en-US"/>
    </w:rPr>
  </w:style>
  <w:style w:type="character" w:customStyle="1" w:styleId="HeaderChar">
    <w:name w:val="Header Char"/>
    <w:link w:val="Header"/>
    <w:uiPriority w:val="99"/>
    <w:rsid w:val="006342E0"/>
    <w:rPr>
      <w:rFonts w:ascii="Arial" w:hAnsi="Arial"/>
      <w:sz w:val="22"/>
      <w:szCs w:val="24"/>
      <w:lang w:eastAsia="en-US" w:bidi="en-US"/>
    </w:rPr>
  </w:style>
  <w:style w:type="paragraph" w:styleId="ListParagraph">
    <w:name w:val="List Paragraph"/>
    <w:aliases w:val="Bullet point,List Paragraph1,List Paragraph11,Recommendation"/>
    <w:basedOn w:val="Normal"/>
    <w:link w:val="ListParagraphChar"/>
    <w:uiPriority w:val="34"/>
    <w:qFormat/>
    <w:rsid w:val="009179AB"/>
    <w:pPr>
      <w:ind w:left="720"/>
      <w:contextualSpacing/>
    </w:pPr>
  </w:style>
  <w:style w:type="paragraph" w:styleId="NormalWeb">
    <w:name w:val="Normal (Web)"/>
    <w:basedOn w:val="Normal"/>
    <w:uiPriority w:val="99"/>
    <w:rsid w:val="00433A4F"/>
    <w:rPr>
      <w:rFonts w:ascii="Times New Roman" w:hAnsi="Times New Roman"/>
      <w:sz w:val="24"/>
    </w:rPr>
  </w:style>
  <w:style w:type="numbering" w:styleId="111111">
    <w:name w:val="Outline List 2"/>
    <w:basedOn w:val="NoList"/>
    <w:uiPriority w:val="99"/>
    <w:unhideWhenUsed/>
    <w:rsid w:val="00807182"/>
    <w:pPr>
      <w:numPr>
        <w:numId w:val="5"/>
      </w:numPr>
    </w:pPr>
  </w:style>
  <w:style w:type="numbering" w:customStyle="1" w:styleId="1111111">
    <w:name w:val="1 / 1.1 / 1.1.11"/>
    <w:basedOn w:val="NoList"/>
    <w:next w:val="111111"/>
    <w:uiPriority w:val="99"/>
    <w:semiHidden/>
    <w:unhideWhenUsed/>
    <w:rsid w:val="00E115BB"/>
  </w:style>
  <w:style w:type="character" w:customStyle="1" w:styleId="FootnoteTextChar">
    <w:name w:val="Footnote Text Char"/>
    <w:aliases w:val="Footnotes Text Char,FSFootnotes Text Char,FSFootnote Text Char"/>
    <w:link w:val="FootnoteText"/>
    <w:uiPriority w:val="5"/>
    <w:rsid w:val="00EB1497"/>
    <w:rPr>
      <w:rFonts w:ascii="Arial" w:hAnsi="Arial"/>
      <w:lang w:eastAsia="en-US" w:bidi="en-US"/>
    </w:rPr>
  </w:style>
  <w:style w:type="paragraph" w:customStyle="1" w:styleId="AARBullet">
    <w:name w:val="AAR Bullet"/>
    <w:basedOn w:val="Normal"/>
    <w:qFormat/>
    <w:rsid w:val="002D14A4"/>
    <w:pPr>
      <w:widowControl/>
      <w:numPr>
        <w:numId w:val="6"/>
      </w:numPr>
      <w:spacing w:before="60" w:after="60"/>
    </w:pPr>
    <w:rPr>
      <w:rFonts w:cs="Arial"/>
      <w:sz w:val="20"/>
      <w:lang w:val="en-AU" w:bidi="ar-SA"/>
    </w:rPr>
  </w:style>
  <w:style w:type="paragraph" w:customStyle="1" w:styleId="Marginnote">
    <w:name w:val="Margin note"/>
    <w:basedOn w:val="Heading1"/>
    <w:uiPriority w:val="99"/>
    <w:rsid w:val="00BC3561"/>
    <w:pPr>
      <w:keepLines/>
      <w:framePr w:w="1430" w:hSpace="227" w:wrap="around" w:vAnchor="text" w:hAnchor="page" w:x="10094" w:y="2"/>
      <w:widowControl/>
      <w:pBdr>
        <w:top w:val="single" w:sz="6" w:space="1" w:color="auto"/>
        <w:left w:val="single" w:sz="6" w:space="1" w:color="auto"/>
        <w:bottom w:val="single" w:sz="6" w:space="1" w:color="auto"/>
        <w:right w:val="single" w:sz="6" w:space="1" w:color="auto"/>
      </w:pBdr>
      <w:spacing w:after="0"/>
      <w:ind w:left="0" w:right="282" w:firstLine="0"/>
    </w:pPr>
    <w:rPr>
      <w:rFonts w:ascii="Calibri" w:hAnsi="Calibri"/>
      <w:sz w:val="20"/>
    </w:rPr>
  </w:style>
  <w:style w:type="table" w:customStyle="1" w:styleId="TableGrid1">
    <w:name w:val="Table Grid1"/>
    <w:basedOn w:val="TableNormal"/>
    <w:next w:val="TableGrid"/>
    <w:uiPriority w:val="59"/>
    <w:rsid w:val="004D7787"/>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012D"/>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1">
    <w:name w:val="ms-rtefontsize-21"/>
    <w:rsid w:val="00985237"/>
    <w:rPr>
      <w:sz w:val="20"/>
      <w:szCs w:val="20"/>
    </w:rPr>
  </w:style>
  <w:style w:type="table" w:styleId="LightList-Accent1">
    <w:name w:val="Light List Accent 1"/>
    <w:basedOn w:val="TableNormal"/>
    <w:uiPriority w:val="61"/>
    <w:rsid w:val="00882380"/>
    <w:rPr>
      <w:rFonts w:ascii="Arial" w:eastAsia="Calibri" w:hAnsi="Arial" w:cs="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RSCBullet">
    <w:name w:val="FRSC Bullet"/>
    <w:basedOn w:val="Normal"/>
    <w:uiPriority w:val="99"/>
    <w:rsid w:val="00753772"/>
    <w:pPr>
      <w:widowControl/>
      <w:numPr>
        <w:numId w:val="8"/>
      </w:numPr>
      <w:spacing w:after="120"/>
    </w:pPr>
    <w:rPr>
      <w:rFonts w:ascii="Times New Roman" w:hAnsi="Times New Roman"/>
      <w:sz w:val="24"/>
      <w:lang w:val="en-AU" w:eastAsia="en-AU" w:bidi="ar-SA"/>
    </w:rPr>
  </w:style>
  <w:style w:type="paragraph" w:customStyle="1" w:styleId="MincoHeading">
    <w:name w:val="Minco Heading"/>
    <w:basedOn w:val="Normal"/>
    <w:uiPriority w:val="99"/>
    <w:rsid w:val="00410F55"/>
    <w:pPr>
      <w:widowControl/>
      <w:jc w:val="center"/>
    </w:pPr>
    <w:rPr>
      <w:rFonts w:ascii="Times New Roman" w:hAnsi="Times New Roman"/>
      <w:b/>
      <w:bCs/>
      <w:sz w:val="24"/>
      <w:lang w:val="en-AU" w:eastAsia="en-AU" w:bidi="ar-SA"/>
    </w:rPr>
  </w:style>
  <w:style w:type="paragraph" w:customStyle="1" w:styleId="ISCbulleted">
    <w:name w:val="ISC bulleted"/>
    <w:basedOn w:val="Normal"/>
    <w:rsid w:val="00410F55"/>
    <w:pPr>
      <w:widowControl/>
      <w:tabs>
        <w:tab w:val="num" w:pos="360"/>
        <w:tab w:val="left" w:pos="567"/>
      </w:tabs>
      <w:spacing w:after="120"/>
      <w:ind w:left="360" w:hanging="360"/>
    </w:pPr>
    <w:rPr>
      <w:rFonts w:ascii="Times New Roman" w:hAnsi="Times New Roman"/>
      <w:sz w:val="24"/>
      <w:lang w:val="en-AU" w:eastAsia="en-AU" w:bidi="ar-SA"/>
    </w:rPr>
  </w:style>
  <w:style w:type="paragraph" w:styleId="PlainText">
    <w:name w:val="Plain Text"/>
    <w:basedOn w:val="Normal"/>
    <w:link w:val="PlainTextChar"/>
    <w:unhideWhenUsed/>
    <w:rsid w:val="00A53297"/>
    <w:pPr>
      <w:widowControl/>
    </w:pPr>
    <w:rPr>
      <w:rFonts w:eastAsia="Calibri" w:cs="Arial"/>
      <w:szCs w:val="22"/>
      <w:lang w:val="en-AU" w:bidi="ar-SA"/>
    </w:rPr>
  </w:style>
  <w:style w:type="character" w:customStyle="1" w:styleId="PlainTextChar">
    <w:name w:val="Plain Text Char"/>
    <w:link w:val="PlainText"/>
    <w:rsid w:val="00A53297"/>
    <w:rPr>
      <w:rFonts w:ascii="Arial" w:eastAsia="Calibri" w:hAnsi="Arial" w:cs="Arial"/>
      <w:sz w:val="22"/>
      <w:szCs w:val="22"/>
      <w:lang w:val="en-AU" w:eastAsia="en-US"/>
    </w:rPr>
  </w:style>
  <w:style w:type="character" w:customStyle="1" w:styleId="ListParagraphChar">
    <w:name w:val="List Paragraph Char"/>
    <w:aliases w:val="Bullet point Char,List Paragraph1 Char,List Paragraph11 Char,Recommendation Char"/>
    <w:link w:val="ListParagraph"/>
    <w:uiPriority w:val="34"/>
    <w:locked/>
    <w:rsid w:val="0098706F"/>
    <w:rPr>
      <w:rFonts w:ascii="Arial" w:hAnsi="Arial"/>
      <w:sz w:val="22"/>
      <w:szCs w:val="24"/>
      <w:lang w:eastAsia="en-US" w:bidi="en-US"/>
    </w:rPr>
  </w:style>
  <w:style w:type="paragraph" w:customStyle="1" w:styleId="FSTableColumnRowheading">
    <w:name w:val="FSTable Column/Row heading"/>
    <w:basedOn w:val="Normal"/>
    <w:link w:val="FSTableColumnRowheadingChar"/>
    <w:uiPriority w:val="8"/>
    <w:qFormat/>
    <w:locked/>
    <w:rsid w:val="00800E45"/>
    <w:pPr>
      <w:widowControl/>
      <w:numPr>
        <w:numId w:val="11"/>
      </w:numPr>
      <w:spacing w:before="120" w:after="120"/>
      <w:ind w:left="360"/>
    </w:pPr>
    <w:rPr>
      <w:rFonts w:eastAsia="Calibri"/>
      <w:b/>
      <w:sz w:val="20"/>
      <w:szCs w:val="20"/>
      <w:lang w:bidi="ar-SA"/>
    </w:rPr>
  </w:style>
  <w:style w:type="paragraph" w:customStyle="1" w:styleId="Default">
    <w:name w:val="Default"/>
    <w:rsid w:val="00A22F10"/>
    <w:pPr>
      <w:autoSpaceDE w:val="0"/>
      <w:autoSpaceDN w:val="0"/>
      <w:adjustRightInd w:val="0"/>
    </w:pPr>
    <w:rPr>
      <w:rFonts w:ascii="Arial" w:eastAsia="Calibri" w:hAnsi="Arial" w:cs="Arial"/>
      <w:color w:val="000000"/>
      <w:sz w:val="24"/>
      <w:szCs w:val="24"/>
      <w:lang w:val="en-GB" w:eastAsia="en-US"/>
    </w:rPr>
  </w:style>
  <w:style w:type="table" w:customStyle="1" w:styleId="LightList-Accent11">
    <w:name w:val="Light List - Accent 11"/>
    <w:basedOn w:val="TableNormal"/>
    <w:next w:val="LightList-Accent1"/>
    <w:uiPriority w:val="61"/>
    <w:rsid w:val="000E2B12"/>
    <w:rPr>
      <w:rFonts w:ascii="Arial" w:eastAsia="Calibri" w:hAnsi="Arial" w:cs="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474C81"/>
    <w:rPr>
      <w:rFonts w:ascii="Arial" w:eastAsia="Calibri" w:hAnsi="Arial" w:cs="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rossReference">
    <w:name w:val="Cross Reference"/>
    <w:basedOn w:val="Normal"/>
    <w:next w:val="Normal"/>
    <w:link w:val="CrossReferenceChar"/>
    <w:autoRedefine/>
    <w:qFormat/>
    <w:rsid w:val="00861674"/>
    <w:pPr>
      <w:widowControl/>
      <w:spacing w:after="120" w:line="276" w:lineRule="auto"/>
    </w:pPr>
    <w:rPr>
      <w:rFonts w:eastAsia="Calibri"/>
      <w:color w:val="0000FF"/>
      <w:szCs w:val="22"/>
      <w:u w:val="single"/>
      <w:lang w:eastAsia="en-GB" w:bidi="ar-SA"/>
    </w:rPr>
  </w:style>
  <w:style w:type="character" w:customStyle="1" w:styleId="CrossReferenceChar">
    <w:name w:val="Cross Reference Char"/>
    <w:link w:val="CrossReference"/>
    <w:rsid w:val="00861674"/>
    <w:rPr>
      <w:rFonts w:ascii="Arial" w:eastAsia="Calibri" w:hAnsi="Arial" w:cs="Times New Roman"/>
      <w:color w:val="0000FF"/>
      <w:sz w:val="22"/>
      <w:szCs w:val="22"/>
      <w:u w:val="single"/>
    </w:rPr>
  </w:style>
  <w:style w:type="character" w:customStyle="1" w:styleId="FSTableColumnRowheadingChar">
    <w:name w:val="FSTable Column/Row heading Char"/>
    <w:link w:val="FSTableColumnRowheading"/>
    <w:uiPriority w:val="8"/>
    <w:rsid w:val="00745B9B"/>
    <w:rPr>
      <w:rFonts w:ascii="Arial" w:eastAsia="Calibri" w:hAnsi="Arial" w:cs="Times New Roman"/>
      <w:b/>
      <w:lang w:eastAsia="en-US"/>
    </w:rPr>
  </w:style>
  <w:style w:type="paragraph" w:customStyle="1" w:styleId="TableFoot">
    <w:name w:val="TableFoot"/>
    <w:basedOn w:val="Normal"/>
    <w:link w:val="TableFootChar"/>
    <w:qFormat/>
    <w:rsid w:val="00745B9B"/>
    <w:pPr>
      <w:widowControl/>
      <w:contextualSpacing/>
    </w:pPr>
    <w:rPr>
      <w:rFonts w:eastAsia="Calibri"/>
      <w:sz w:val="16"/>
      <w:szCs w:val="16"/>
      <w:lang w:bidi="ar-SA"/>
    </w:rPr>
  </w:style>
  <w:style w:type="character" w:customStyle="1" w:styleId="TableFootChar">
    <w:name w:val="TableFoot Char"/>
    <w:link w:val="TableFoot"/>
    <w:rsid w:val="00745B9B"/>
    <w:rPr>
      <w:rFonts w:ascii="Arial" w:eastAsia="Calibri" w:hAnsi="Arial" w:cs="Times New Roman"/>
      <w:sz w:val="16"/>
      <w:szCs w:val="16"/>
      <w:lang w:eastAsia="en-US"/>
    </w:rPr>
  </w:style>
  <w:style w:type="character" w:customStyle="1" w:styleId="FooterChar">
    <w:name w:val="Footer Char"/>
    <w:aliases w:val="FSFooter Char"/>
    <w:link w:val="Footer"/>
    <w:uiPriority w:val="99"/>
    <w:rsid w:val="00B605EE"/>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507">
      <w:bodyDiv w:val="1"/>
      <w:marLeft w:val="0"/>
      <w:marRight w:val="0"/>
      <w:marTop w:val="0"/>
      <w:marBottom w:val="0"/>
      <w:divBdr>
        <w:top w:val="none" w:sz="0" w:space="0" w:color="auto"/>
        <w:left w:val="none" w:sz="0" w:space="0" w:color="auto"/>
        <w:bottom w:val="none" w:sz="0" w:space="0" w:color="auto"/>
        <w:right w:val="none" w:sz="0" w:space="0" w:color="auto"/>
      </w:divBdr>
      <w:divsChild>
        <w:div w:id="1890678095">
          <w:marLeft w:val="0"/>
          <w:marRight w:val="0"/>
          <w:marTop w:val="0"/>
          <w:marBottom w:val="0"/>
          <w:divBdr>
            <w:top w:val="none" w:sz="0" w:space="0" w:color="auto"/>
            <w:left w:val="none" w:sz="0" w:space="0" w:color="auto"/>
            <w:bottom w:val="none" w:sz="0" w:space="0" w:color="auto"/>
            <w:right w:val="none" w:sz="0" w:space="0" w:color="auto"/>
          </w:divBdr>
          <w:divsChild>
            <w:div w:id="900360372">
              <w:marLeft w:val="0"/>
              <w:marRight w:val="0"/>
              <w:marTop w:val="0"/>
              <w:marBottom w:val="0"/>
              <w:divBdr>
                <w:top w:val="none" w:sz="0" w:space="0" w:color="auto"/>
                <w:left w:val="none" w:sz="0" w:space="0" w:color="auto"/>
                <w:bottom w:val="none" w:sz="0" w:space="0" w:color="auto"/>
                <w:right w:val="none" w:sz="0" w:space="0" w:color="auto"/>
              </w:divBdr>
              <w:divsChild>
                <w:div w:id="1113788292">
                  <w:marLeft w:val="0"/>
                  <w:marRight w:val="0"/>
                  <w:marTop w:val="0"/>
                  <w:marBottom w:val="0"/>
                  <w:divBdr>
                    <w:top w:val="none" w:sz="0" w:space="0" w:color="auto"/>
                    <w:left w:val="none" w:sz="0" w:space="0" w:color="auto"/>
                    <w:bottom w:val="none" w:sz="0" w:space="0" w:color="auto"/>
                    <w:right w:val="none" w:sz="0" w:space="0" w:color="auto"/>
                  </w:divBdr>
                  <w:divsChild>
                    <w:div w:id="1360857050">
                      <w:marLeft w:val="0"/>
                      <w:marRight w:val="0"/>
                      <w:marTop w:val="0"/>
                      <w:marBottom w:val="0"/>
                      <w:divBdr>
                        <w:top w:val="none" w:sz="0" w:space="0" w:color="auto"/>
                        <w:left w:val="none" w:sz="0" w:space="0" w:color="auto"/>
                        <w:bottom w:val="none" w:sz="0" w:space="0" w:color="auto"/>
                        <w:right w:val="none" w:sz="0" w:space="0" w:color="auto"/>
                      </w:divBdr>
                      <w:divsChild>
                        <w:div w:id="1885559376">
                          <w:marLeft w:val="15"/>
                          <w:marRight w:val="0"/>
                          <w:marTop w:val="0"/>
                          <w:marBottom w:val="0"/>
                          <w:divBdr>
                            <w:top w:val="none" w:sz="0" w:space="0" w:color="auto"/>
                            <w:left w:val="none" w:sz="0" w:space="0" w:color="auto"/>
                            <w:bottom w:val="none" w:sz="0" w:space="0" w:color="auto"/>
                            <w:right w:val="none" w:sz="0" w:space="0" w:color="auto"/>
                          </w:divBdr>
                          <w:divsChild>
                            <w:div w:id="131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4861">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19449296">
      <w:bodyDiv w:val="1"/>
      <w:marLeft w:val="0"/>
      <w:marRight w:val="0"/>
      <w:marTop w:val="0"/>
      <w:marBottom w:val="0"/>
      <w:divBdr>
        <w:top w:val="none" w:sz="0" w:space="0" w:color="auto"/>
        <w:left w:val="none" w:sz="0" w:space="0" w:color="auto"/>
        <w:bottom w:val="none" w:sz="0" w:space="0" w:color="auto"/>
        <w:right w:val="none" w:sz="0" w:space="0" w:color="auto"/>
      </w:divBdr>
    </w:div>
    <w:div w:id="433788507">
      <w:bodyDiv w:val="1"/>
      <w:marLeft w:val="0"/>
      <w:marRight w:val="0"/>
      <w:marTop w:val="0"/>
      <w:marBottom w:val="0"/>
      <w:divBdr>
        <w:top w:val="none" w:sz="0" w:space="0" w:color="auto"/>
        <w:left w:val="none" w:sz="0" w:space="0" w:color="auto"/>
        <w:bottom w:val="none" w:sz="0" w:space="0" w:color="auto"/>
        <w:right w:val="none" w:sz="0" w:space="0" w:color="auto"/>
      </w:divBdr>
      <w:divsChild>
        <w:div w:id="1839078933">
          <w:marLeft w:val="720"/>
          <w:marRight w:val="0"/>
          <w:marTop w:val="144"/>
          <w:marBottom w:val="0"/>
          <w:divBdr>
            <w:top w:val="none" w:sz="0" w:space="0" w:color="auto"/>
            <w:left w:val="none" w:sz="0" w:space="0" w:color="auto"/>
            <w:bottom w:val="none" w:sz="0" w:space="0" w:color="auto"/>
            <w:right w:val="none" w:sz="0" w:space="0" w:color="auto"/>
          </w:divBdr>
        </w:div>
      </w:divsChild>
    </w:div>
    <w:div w:id="463500639">
      <w:bodyDiv w:val="1"/>
      <w:marLeft w:val="0"/>
      <w:marRight w:val="0"/>
      <w:marTop w:val="0"/>
      <w:marBottom w:val="0"/>
      <w:divBdr>
        <w:top w:val="none" w:sz="0" w:space="0" w:color="auto"/>
        <w:left w:val="none" w:sz="0" w:space="0" w:color="auto"/>
        <w:bottom w:val="none" w:sz="0" w:space="0" w:color="auto"/>
        <w:right w:val="none" w:sz="0" w:space="0" w:color="auto"/>
      </w:divBdr>
      <w:divsChild>
        <w:div w:id="1952929035">
          <w:marLeft w:val="0"/>
          <w:marRight w:val="0"/>
          <w:marTop w:val="0"/>
          <w:marBottom w:val="0"/>
          <w:divBdr>
            <w:top w:val="none" w:sz="0" w:space="0" w:color="auto"/>
            <w:left w:val="none" w:sz="0" w:space="0" w:color="auto"/>
            <w:bottom w:val="none" w:sz="0" w:space="0" w:color="auto"/>
            <w:right w:val="none" w:sz="0" w:space="0" w:color="auto"/>
          </w:divBdr>
          <w:divsChild>
            <w:div w:id="294264927">
              <w:marLeft w:val="0"/>
              <w:marRight w:val="0"/>
              <w:marTop w:val="0"/>
              <w:marBottom w:val="0"/>
              <w:divBdr>
                <w:top w:val="none" w:sz="0" w:space="0" w:color="auto"/>
                <w:left w:val="none" w:sz="0" w:space="0" w:color="auto"/>
                <w:bottom w:val="none" w:sz="0" w:space="0" w:color="auto"/>
                <w:right w:val="none" w:sz="0" w:space="0" w:color="auto"/>
              </w:divBdr>
              <w:divsChild>
                <w:div w:id="1518732475">
                  <w:marLeft w:val="0"/>
                  <w:marRight w:val="0"/>
                  <w:marTop w:val="0"/>
                  <w:marBottom w:val="0"/>
                  <w:divBdr>
                    <w:top w:val="none" w:sz="0" w:space="0" w:color="auto"/>
                    <w:left w:val="none" w:sz="0" w:space="0" w:color="auto"/>
                    <w:bottom w:val="none" w:sz="0" w:space="0" w:color="auto"/>
                    <w:right w:val="none" w:sz="0" w:space="0" w:color="auto"/>
                  </w:divBdr>
                  <w:divsChild>
                    <w:div w:id="425276102">
                      <w:marLeft w:val="0"/>
                      <w:marRight w:val="0"/>
                      <w:marTop w:val="0"/>
                      <w:marBottom w:val="0"/>
                      <w:divBdr>
                        <w:top w:val="none" w:sz="0" w:space="0" w:color="auto"/>
                        <w:left w:val="none" w:sz="0" w:space="0" w:color="auto"/>
                        <w:bottom w:val="none" w:sz="0" w:space="0" w:color="auto"/>
                        <w:right w:val="none" w:sz="0" w:space="0" w:color="auto"/>
                      </w:divBdr>
                      <w:divsChild>
                        <w:div w:id="185024147">
                          <w:marLeft w:val="0"/>
                          <w:marRight w:val="0"/>
                          <w:marTop w:val="0"/>
                          <w:marBottom w:val="0"/>
                          <w:divBdr>
                            <w:top w:val="none" w:sz="0" w:space="0" w:color="auto"/>
                            <w:left w:val="none" w:sz="0" w:space="0" w:color="auto"/>
                            <w:bottom w:val="none" w:sz="0" w:space="0" w:color="auto"/>
                            <w:right w:val="none" w:sz="0" w:space="0" w:color="auto"/>
                          </w:divBdr>
                          <w:divsChild>
                            <w:div w:id="996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3940">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693044408">
      <w:bodyDiv w:val="1"/>
      <w:marLeft w:val="0"/>
      <w:marRight w:val="0"/>
      <w:marTop w:val="0"/>
      <w:marBottom w:val="0"/>
      <w:divBdr>
        <w:top w:val="none" w:sz="0" w:space="0" w:color="auto"/>
        <w:left w:val="none" w:sz="0" w:space="0" w:color="auto"/>
        <w:bottom w:val="none" w:sz="0" w:space="0" w:color="auto"/>
        <w:right w:val="none" w:sz="0" w:space="0" w:color="auto"/>
      </w:divBdr>
    </w:div>
    <w:div w:id="756170856">
      <w:bodyDiv w:val="1"/>
      <w:marLeft w:val="0"/>
      <w:marRight w:val="0"/>
      <w:marTop w:val="0"/>
      <w:marBottom w:val="0"/>
      <w:divBdr>
        <w:top w:val="none" w:sz="0" w:space="0" w:color="auto"/>
        <w:left w:val="none" w:sz="0" w:space="0" w:color="auto"/>
        <w:bottom w:val="none" w:sz="0" w:space="0" w:color="auto"/>
        <w:right w:val="none" w:sz="0" w:space="0" w:color="auto"/>
      </w:divBdr>
      <w:divsChild>
        <w:div w:id="946039169">
          <w:marLeft w:val="0"/>
          <w:marRight w:val="0"/>
          <w:marTop w:val="0"/>
          <w:marBottom w:val="0"/>
          <w:divBdr>
            <w:top w:val="none" w:sz="0" w:space="0" w:color="auto"/>
            <w:left w:val="none" w:sz="0" w:space="0" w:color="auto"/>
            <w:bottom w:val="none" w:sz="0" w:space="0" w:color="auto"/>
            <w:right w:val="none" w:sz="0" w:space="0" w:color="auto"/>
          </w:divBdr>
          <w:divsChild>
            <w:div w:id="1145316196">
              <w:marLeft w:val="0"/>
              <w:marRight w:val="0"/>
              <w:marTop w:val="0"/>
              <w:marBottom w:val="0"/>
              <w:divBdr>
                <w:top w:val="none" w:sz="0" w:space="0" w:color="auto"/>
                <w:left w:val="none" w:sz="0" w:space="0" w:color="auto"/>
                <w:bottom w:val="none" w:sz="0" w:space="0" w:color="auto"/>
                <w:right w:val="none" w:sz="0" w:space="0" w:color="auto"/>
              </w:divBdr>
              <w:divsChild>
                <w:div w:id="40909573">
                  <w:marLeft w:val="0"/>
                  <w:marRight w:val="0"/>
                  <w:marTop w:val="0"/>
                  <w:marBottom w:val="0"/>
                  <w:divBdr>
                    <w:top w:val="none" w:sz="0" w:space="0" w:color="auto"/>
                    <w:left w:val="none" w:sz="0" w:space="0" w:color="auto"/>
                    <w:bottom w:val="none" w:sz="0" w:space="0" w:color="auto"/>
                    <w:right w:val="none" w:sz="0" w:space="0" w:color="auto"/>
                  </w:divBdr>
                  <w:divsChild>
                    <w:div w:id="1985742969">
                      <w:marLeft w:val="0"/>
                      <w:marRight w:val="0"/>
                      <w:marTop w:val="0"/>
                      <w:marBottom w:val="0"/>
                      <w:divBdr>
                        <w:top w:val="none" w:sz="0" w:space="0" w:color="auto"/>
                        <w:left w:val="none" w:sz="0" w:space="0" w:color="auto"/>
                        <w:bottom w:val="none" w:sz="0" w:space="0" w:color="auto"/>
                        <w:right w:val="none" w:sz="0" w:space="0" w:color="auto"/>
                      </w:divBdr>
                      <w:divsChild>
                        <w:div w:id="308871211">
                          <w:marLeft w:val="15"/>
                          <w:marRight w:val="0"/>
                          <w:marTop w:val="0"/>
                          <w:marBottom w:val="0"/>
                          <w:divBdr>
                            <w:top w:val="none" w:sz="0" w:space="0" w:color="auto"/>
                            <w:left w:val="none" w:sz="0" w:space="0" w:color="auto"/>
                            <w:bottom w:val="none" w:sz="0" w:space="0" w:color="auto"/>
                            <w:right w:val="none" w:sz="0" w:space="0" w:color="auto"/>
                          </w:divBdr>
                          <w:divsChild>
                            <w:div w:id="18301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43000">
      <w:bodyDiv w:val="1"/>
      <w:marLeft w:val="0"/>
      <w:marRight w:val="0"/>
      <w:marTop w:val="0"/>
      <w:marBottom w:val="0"/>
      <w:divBdr>
        <w:top w:val="none" w:sz="0" w:space="0" w:color="auto"/>
        <w:left w:val="none" w:sz="0" w:space="0" w:color="auto"/>
        <w:bottom w:val="none" w:sz="0" w:space="0" w:color="auto"/>
        <w:right w:val="none" w:sz="0" w:space="0" w:color="auto"/>
      </w:divBdr>
    </w:div>
    <w:div w:id="892928295">
      <w:bodyDiv w:val="1"/>
      <w:marLeft w:val="0"/>
      <w:marRight w:val="0"/>
      <w:marTop w:val="0"/>
      <w:marBottom w:val="0"/>
      <w:divBdr>
        <w:top w:val="none" w:sz="0" w:space="0" w:color="auto"/>
        <w:left w:val="none" w:sz="0" w:space="0" w:color="auto"/>
        <w:bottom w:val="none" w:sz="0" w:space="0" w:color="auto"/>
        <w:right w:val="none" w:sz="0" w:space="0" w:color="auto"/>
      </w:divBdr>
      <w:divsChild>
        <w:div w:id="760879714">
          <w:marLeft w:val="0"/>
          <w:marRight w:val="0"/>
          <w:marTop w:val="0"/>
          <w:marBottom w:val="0"/>
          <w:divBdr>
            <w:top w:val="none" w:sz="0" w:space="0" w:color="auto"/>
            <w:left w:val="none" w:sz="0" w:space="0" w:color="auto"/>
            <w:bottom w:val="none" w:sz="0" w:space="0" w:color="auto"/>
            <w:right w:val="none" w:sz="0" w:space="0" w:color="auto"/>
          </w:divBdr>
          <w:divsChild>
            <w:div w:id="166603944">
              <w:marLeft w:val="0"/>
              <w:marRight w:val="0"/>
              <w:marTop w:val="0"/>
              <w:marBottom w:val="0"/>
              <w:divBdr>
                <w:top w:val="none" w:sz="0" w:space="0" w:color="auto"/>
                <w:left w:val="none" w:sz="0" w:space="0" w:color="auto"/>
                <w:bottom w:val="none" w:sz="0" w:space="0" w:color="auto"/>
                <w:right w:val="none" w:sz="0" w:space="0" w:color="auto"/>
              </w:divBdr>
              <w:divsChild>
                <w:div w:id="1856455565">
                  <w:marLeft w:val="0"/>
                  <w:marRight w:val="0"/>
                  <w:marTop w:val="0"/>
                  <w:marBottom w:val="0"/>
                  <w:divBdr>
                    <w:top w:val="none" w:sz="0" w:space="0" w:color="auto"/>
                    <w:left w:val="none" w:sz="0" w:space="0" w:color="auto"/>
                    <w:bottom w:val="none" w:sz="0" w:space="0" w:color="auto"/>
                    <w:right w:val="none" w:sz="0" w:space="0" w:color="auto"/>
                  </w:divBdr>
                  <w:divsChild>
                    <w:div w:id="16856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3965">
      <w:bodyDiv w:val="1"/>
      <w:marLeft w:val="0"/>
      <w:marRight w:val="0"/>
      <w:marTop w:val="0"/>
      <w:marBottom w:val="0"/>
      <w:divBdr>
        <w:top w:val="none" w:sz="0" w:space="0" w:color="auto"/>
        <w:left w:val="none" w:sz="0" w:space="0" w:color="auto"/>
        <w:bottom w:val="none" w:sz="0" w:space="0" w:color="auto"/>
        <w:right w:val="none" w:sz="0" w:space="0" w:color="auto"/>
      </w:divBdr>
    </w:div>
    <w:div w:id="955210155">
      <w:bodyDiv w:val="1"/>
      <w:marLeft w:val="0"/>
      <w:marRight w:val="0"/>
      <w:marTop w:val="0"/>
      <w:marBottom w:val="0"/>
      <w:divBdr>
        <w:top w:val="none" w:sz="0" w:space="0" w:color="auto"/>
        <w:left w:val="none" w:sz="0" w:space="0" w:color="auto"/>
        <w:bottom w:val="none" w:sz="0" w:space="0" w:color="auto"/>
        <w:right w:val="none" w:sz="0" w:space="0" w:color="auto"/>
      </w:divBdr>
    </w:div>
    <w:div w:id="964116291">
      <w:bodyDiv w:val="1"/>
      <w:marLeft w:val="0"/>
      <w:marRight w:val="0"/>
      <w:marTop w:val="0"/>
      <w:marBottom w:val="0"/>
      <w:divBdr>
        <w:top w:val="none" w:sz="0" w:space="0" w:color="auto"/>
        <w:left w:val="none" w:sz="0" w:space="0" w:color="auto"/>
        <w:bottom w:val="none" w:sz="0" w:space="0" w:color="auto"/>
        <w:right w:val="none" w:sz="0" w:space="0" w:color="auto"/>
      </w:divBdr>
    </w:div>
    <w:div w:id="1170368206">
      <w:bodyDiv w:val="1"/>
      <w:marLeft w:val="0"/>
      <w:marRight w:val="0"/>
      <w:marTop w:val="0"/>
      <w:marBottom w:val="0"/>
      <w:divBdr>
        <w:top w:val="none" w:sz="0" w:space="0" w:color="auto"/>
        <w:left w:val="none" w:sz="0" w:space="0" w:color="auto"/>
        <w:bottom w:val="none" w:sz="0" w:space="0" w:color="auto"/>
        <w:right w:val="none" w:sz="0" w:space="0" w:color="auto"/>
      </w:divBdr>
      <w:divsChild>
        <w:div w:id="1490168423">
          <w:marLeft w:val="0"/>
          <w:marRight w:val="0"/>
          <w:marTop w:val="0"/>
          <w:marBottom w:val="0"/>
          <w:divBdr>
            <w:top w:val="none" w:sz="0" w:space="0" w:color="auto"/>
            <w:left w:val="none" w:sz="0" w:space="0" w:color="auto"/>
            <w:bottom w:val="none" w:sz="0" w:space="0" w:color="auto"/>
            <w:right w:val="none" w:sz="0" w:space="0" w:color="auto"/>
          </w:divBdr>
          <w:divsChild>
            <w:div w:id="1724479826">
              <w:marLeft w:val="0"/>
              <w:marRight w:val="0"/>
              <w:marTop w:val="0"/>
              <w:marBottom w:val="0"/>
              <w:divBdr>
                <w:top w:val="none" w:sz="0" w:space="0" w:color="auto"/>
                <w:left w:val="none" w:sz="0" w:space="0" w:color="auto"/>
                <w:bottom w:val="none" w:sz="0" w:space="0" w:color="auto"/>
                <w:right w:val="none" w:sz="0" w:space="0" w:color="auto"/>
              </w:divBdr>
              <w:divsChild>
                <w:div w:id="627592500">
                  <w:marLeft w:val="0"/>
                  <w:marRight w:val="0"/>
                  <w:marTop w:val="0"/>
                  <w:marBottom w:val="0"/>
                  <w:divBdr>
                    <w:top w:val="none" w:sz="0" w:space="0" w:color="auto"/>
                    <w:left w:val="none" w:sz="0" w:space="0" w:color="auto"/>
                    <w:bottom w:val="none" w:sz="0" w:space="0" w:color="auto"/>
                    <w:right w:val="none" w:sz="0" w:space="0" w:color="auto"/>
                  </w:divBdr>
                  <w:divsChild>
                    <w:div w:id="6205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93326">
      <w:bodyDiv w:val="1"/>
      <w:marLeft w:val="0"/>
      <w:marRight w:val="0"/>
      <w:marTop w:val="0"/>
      <w:marBottom w:val="0"/>
      <w:divBdr>
        <w:top w:val="none" w:sz="0" w:space="0" w:color="auto"/>
        <w:left w:val="none" w:sz="0" w:space="0" w:color="auto"/>
        <w:bottom w:val="none" w:sz="0" w:space="0" w:color="auto"/>
        <w:right w:val="none" w:sz="0" w:space="0" w:color="auto"/>
      </w:divBdr>
    </w:div>
    <w:div w:id="1484271674">
      <w:bodyDiv w:val="1"/>
      <w:marLeft w:val="0"/>
      <w:marRight w:val="0"/>
      <w:marTop w:val="0"/>
      <w:marBottom w:val="0"/>
      <w:divBdr>
        <w:top w:val="none" w:sz="0" w:space="0" w:color="auto"/>
        <w:left w:val="none" w:sz="0" w:space="0" w:color="auto"/>
        <w:bottom w:val="none" w:sz="0" w:space="0" w:color="auto"/>
        <w:right w:val="none" w:sz="0" w:space="0" w:color="auto"/>
      </w:divBdr>
    </w:div>
    <w:div w:id="1485968038">
      <w:bodyDiv w:val="1"/>
      <w:marLeft w:val="0"/>
      <w:marRight w:val="0"/>
      <w:marTop w:val="0"/>
      <w:marBottom w:val="0"/>
      <w:divBdr>
        <w:top w:val="none" w:sz="0" w:space="0" w:color="auto"/>
        <w:left w:val="none" w:sz="0" w:space="0" w:color="auto"/>
        <w:bottom w:val="none" w:sz="0" w:space="0" w:color="auto"/>
        <w:right w:val="none" w:sz="0" w:space="0" w:color="auto"/>
      </w:divBdr>
    </w:div>
    <w:div w:id="1642420114">
      <w:bodyDiv w:val="1"/>
      <w:marLeft w:val="0"/>
      <w:marRight w:val="0"/>
      <w:marTop w:val="0"/>
      <w:marBottom w:val="0"/>
      <w:divBdr>
        <w:top w:val="none" w:sz="0" w:space="0" w:color="auto"/>
        <w:left w:val="none" w:sz="0" w:space="0" w:color="auto"/>
        <w:bottom w:val="none" w:sz="0" w:space="0" w:color="auto"/>
        <w:right w:val="none" w:sz="0" w:space="0" w:color="auto"/>
      </w:divBdr>
    </w:div>
    <w:div w:id="1727678110">
      <w:bodyDiv w:val="1"/>
      <w:marLeft w:val="0"/>
      <w:marRight w:val="0"/>
      <w:marTop w:val="0"/>
      <w:marBottom w:val="0"/>
      <w:divBdr>
        <w:top w:val="none" w:sz="0" w:space="0" w:color="auto"/>
        <w:left w:val="none" w:sz="0" w:space="0" w:color="auto"/>
        <w:bottom w:val="none" w:sz="0" w:space="0" w:color="auto"/>
        <w:right w:val="none" w:sz="0" w:space="0" w:color="auto"/>
      </w:divBdr>
      <w:divsChild>
        <w:div w:id="774180888">
          <w:marLeft w:val="0"/>
          <w:marRight w:val="0"/>
          <w:marTop w:val="0"/>
          <w:marBottom w:val="0"/>
          <w:divBdr>
            <w:top w:val="none" w:sz="0" w:space="0" w:color="auto"/>
            <w:left w:val="none" w:sz="0" w:space="0" w:color="auto"/>
            <w:bottom w:val="none" w:sz="0" w:space="0" w:color="auto"/>
            <w:right w:val="none" w:sz="0" w:space="0" w:color="auto"/>
          </w:divBdr>
          <w:divsChild>
            <w:div w:id="1313294552">
              <w:marLeft w:val="0"/>
              <w:marRight w:val="0"/>
              <w:marTop w:val="0"/>
              <w:marBottom w:val="0"/>
              <w:divBdr>
                <w:top w:val="none" w:sz="0" w:space="0" w:color="auto"/>
                <w:left w:val="none" w:sz="0" w:space="0" w:color="auto"/>
                <w:bottom w:val="none" w:sz="0" w:space="0" w:color="auto"/>
                <w:right w:val="none" w:sz="0" w:space="0" w:color="auto"/>
              </w:divBdr>
              <w:divsChild>
                <w:div w:id="1642997831">
                  <w:marLeft w:val="0"/>
                  <w:marRight w:val="0"/>
                  <w:marTop w:val="0"/>
                  <w:marBottom w:val="0"/>
                  <w:divBdr>
                    <w:top w:val="none" w:sz="0" w:space="0" w:color="auto"/>
                    <w:left w:val="none" w:sz="0" w:space="0" w:color="auto"/>
                    <w:bottom w:val="none" w:sz="0" w:space="0" w:color="auto"/>
                    <w:right w:val="none" w:sz="0" w:space="0" w:color="auto"/>
                  </w:divBdr>
                  <w:divsChild>
                    <w:div w:id="641037676">
                      <w:marLeft w:val="0"/>
                      <w:marRight w:val="0"/>
                      <w:marTop w:val="0"/>
                      <w:marBottom w:val="0"/>
                      <w:divBdr>
                        <w:top w:val="none" w:sz="0" w:space="0" w:color="auto"/>
                        <w:left w:val="none" w:sz="0" w:space="0" w:color="auto"/>
                        <w:bottom w:val="none" w:sz="0" w:space="0" w:color="auto"/>
                        <w:right w:val="none" w:sz="0" w:space="0" w:color="auto"/>
                      </w:divBdr>
                      <w:divsChild>
                        <w:div w:id="311836761">
                          <w:marLeft w:val="0"/>
                          <w:marRight w:val="0"/>
                          <w:marTop w:val="0"/>
                          <w:marBottom w:val="0"/>
                          <w:divBdr>
                            <w:top w:val="none" w:sz="0" w:space="0" w:color="auto"/>
                            <w:left w:val="none" w:sz="0" w:space="0" w:color="auto"/>
                            <w:bottom w:val="none" w:sz="0" w:space="0" w:color="auto"/>
                            <w:right w:val="none" w:sz="0" w:space="0" w:color="auto"/>
                          </w:divBdr>
                          <w:divsChild>
                            <w:div w:id="1040739406">
                              <w:marLeft w:val="0"/>
                              <w:marRight w:val="0"/>
                              <w:marTop w:val="0"/>
                              <w:marBottom w:val="0"/>
                              <w:divBdr>
                                <w:top w:val="none" w:sz="0" w:space="0" w:color="auto"/>
                                <w:left w:val="none" w:sz="0" w:space="0" w:color="auto"/>
                                <w:bottom w:val="none" w:sz="0" w:space="0" w:color="auto"/>
                                <w:right w:val="none" w:sz="0" w:space="0" w:color="auto"/>
                              </w:divBdr>
                              <w:divsChild>
                                <w:div w:id="1616910119">
                                  <w:marLeft w:val="0"/>
                                  <w:marRight w:val="0"/>
                                  <w:marTop w:val="0"/>
                                  <w:marBottom w:val="0"/>
                                  <w:divBdr>
                                    <w:top w:val="none" w:sz="0" w:space="0" w:color="auto"/>
                                    <w:left w:val="none" w:sz="0" w:space="0" w:color="auto"/>
                                    <w:bottom w:val="none" w:sz="0" w:space="0" w:color="auto"/>
                                    <w:right w:val="none" w:sz="0" w:space="0" w:color="auto"/>
                                  </w:divBdr>
                                  <w:divsChild>
                                    <w:div w:id="63652858">
                                      <w:marLeft w:val="0"/>
                                      <w:marRight w:val="0"/>
                                      <w:marTop w:val="0"/>
                                      <w:marBottom w:val="0"/>
                                      <w:divBdr>
                                        <w:top w:val="none" w:sz="0" w:space="0" w:color="auto"/>
                                        <w:left w:val="none" w:sz="0" w:space="0" w:color="auto"/>
                                        <w:bottom w:val="none" w:sz="0" w:space="0" w:color="auto"/>
                                        <w:right w:val="none" w:sz="0" w:space="0" w:color="auto"/>
                                      </w:divBdr>
                                      <w:divsChild>
                                        <w:div w:id="1470436113">
                                          <w:marLeft w:val="0"/>
                                          <w:marRight w:val="0"/>
                                          <w:marTop w:val="0"/>
                                          <w:marBottom w:val="0"/>
                                          <w:divBdr>
                                            <w:top w:val="none" w:sz="0" w:space="0" w:color="auto"/>
                                            <w:left w:val="none" w:sz="0" w:space="0" w:color="auto"/>
                                            <w:bottom w:val="none" w:sz="0" w:space="0" w:color="auto"/>
                                            <w:right w:val="none" w:sz="0" w:space="0" w:color="auto"/>
                                          </w:divBdr>
                                          <w:divsChild>
                                            <w:div w:id="1930848442">
                                              <w:marLeft w:val="0"/>
                                              <w:marRight w:val="0"/>
                                              <w:marTop w:val="0"/>
                                              <w:marBottom w:val="0"/>
                                              <w:divBdr>
                                                <w:top w:val="none" w:sz="0" w:space="0" w:color="auto"/>
                                                <w:left w:val="none" w:sz="0" w:space="0" w:color="auto"/>
                                                <w:bottom w:val="none" w:sz="0" w:space="0" w:color="auto"/>
                                                <w:right w:val="none" w:sz="0" w:space="0" w:color="auto"/>
                                              </w:divBdr>
                                              <w:divsChild>
                                                <w:div w:id="2057853454">
                                                  <w:marLeft w:val="0"/>
                                                  <w:marRight w:val="0"/>
                                                  <w:marTop w:val="0"/>
                                                  <w:marBottom w:val="0"/>
                                                  <w:divBdr>
                                                    <w:top w:val="none" w:sz="0" w:space="0" w:color="auto"/>
                                                    <w:left w:val="none" w:sz="0" w:space="0" w:color="auto"/>
                                                    <w:bottom w:val="none" w:sz="0" w:space="0" w:color="auto"/>
                                                    <w:right w:val="none" w:sz="0" w:space="0" w:color="auto"/>
                                                  </w:divBdr>
                                                  <w:divsChild>
                                                    <w:div w:id="525755706">
                                                      <w:marLeft w:val="0"/>
                                                      <w:marRight w:val="0"/>
                                                      <w:marTop w:val="0"/>
                                                      <w:marBottom w:val="0"/>
                                                      <w:divBdr>
                                                        <w:top w:val="none" w:sz="0" w:space="0" w:color="auto"/>
                                                        <w:left w:val="none" w:sz="0" w:space="0" w:color="auto"/>
                                                        <w:bottom w:val="none" w:sz="0" w:space="0" w:color="auto"/>
                                                        <w:right w:val="none" w:sz="0" w:space="0" w:color="auto"/>
                                                      </w:divBdr>
                                                      <w:divsChild>
                                                        <w:div w:id="1379814796">
                                                          <w:marLeft w:val="0"/>
                                                          <w:marRight w:val="0"/>
                                                          <w:marTop w:val="0"/>
                                                          <w:marBottom w:val="0"/>
                                                          <w:divBdr>
                                                            <w:top w:val="none" w:sz="0" w:space="0" w:color="auto"/>
                                                            <w:left w:val="none" w:sz="0" w:space="0" w:color="auto"/>
                                                            <w:bottom w:val="none" w:sz="0" w:space="0" w:color="auto"/>
                                                            <w:right w:val="none" w:sz="0" w:space="0" w:color="auto"/>
                                                          </w:divBdr>
                                                          <w:divsChild>
                                                            <w:div w:id="839469020">
                                                              <w:marLeft w:val="0"/>
                                                              <w:marRight w:val="0"/>
                                                              <w:marTop w:val="0"/>
                                                              <w:marBottom w:val="0"/>
                                                              <w:divBdr>
                                                                <w:top w:val="none" w:sz="0" w:space="0" w:color="auto"/>
                                                                <w:left w:val="none" w:sz="0" w:space="0" w:color="auto"/>
                                                                <w:bottom w:val="none" w:sz="0" w:space="0" w:color="auto"/>
                                                                <w:right w:val="none" w:sz="0" w:space="0" w:color="auto"/>
                                                              </w:divBdr>
                                                              <w:divsChild>
                                                                <w:div w:id="801120416">
                                                                  <w:marLeft w:val="0"/>
                                                                  <w:marRight w:val="0"/>
                                                                  <w:marTop w:val="0"/>
                                                                  <w:marBottom w:val="0"/>
                                                                  <w:divBdr>
                                                                    <w:top w:val="none" w:sz="0" w:space="0" w:color="auto"/>
                                                                    <w:left w:val="none" w:sz="0" w:space="0" w:color="auto"/>
                                                                    <w:bottom w:val="none" w:sz="0" w:space="0" w:color="auto"/>
                                                                    <w:right w:val="none" w:sz="0" w:space="0" w:color="auto"/>
                                                                  </w:divBdr>
                                                                  <w:divsChild>
                                                                    <w:div w:id="1852256591">
                                                                      <w:marLeft w:val="0"/>
                                                                      <w:marRight w:val="0"/>
                                                                      <w:marTop w:val="0"/>
                                                                      <w:marBottom w:val="0"/>
                                                                      <w:divBdr>
                                                                        <w:top w:val="none" w:sz="0" w:space="0" w:color="auto"/>
                                                                        <w:left w:val="none" w:sz="0" w:space="0" w:color="auto"/>
                                                                        <w:bottom w:val="none" w:sz="0" w:space="0" w:color="auto"/>
                                                                        <w:right w:val="none" w:sz="0" w:space="0" w:color="auto"/>
                                                                      </w:divBdr>
                                                                      <w:divsChild>
                                                                        <w:div w:id="804159396">
                                                                          <w:marLeft w:val="0"/>
                                                                          <w:marRight w:val="0"/>
                                                                          <w:marTop w:val="0"/>
                                                                          <w:marBottom w:val="0"/>
                                                                          <w:divBdr>
                                                                            <w:top w:val="none" w:sz="0" w:space="0" w:color="auto"/>
                                                                            <w:left w:val="none" w:sz="0" w:space="0" w:color="auto"/>
                                                                            <w:bottom w:val="none" w:sz="0" w:space="0" w:color="auto"/>
                                                                            <w:right w:val="none" w:sz="0" w:space="0" w:color="auto"/>
                                                                          </w:divBdr>
                                                                          <w:divsChild>
                                                                            <w:div w:id="1174687160">
                                                                              <w:marLeft w:val="0"/>
                                                                              <w:marRight w:val="0"/>
                                                                              <w:marTop w:val="0"/>
                                                                              <w:marBottom w:val="0"/>
                                                                              <w:divBdr>
                                                                                <w:top w:val="none" w:sz="0" w:space="0" w:color="auto"/>
                                                                                <w:left w:val="none" w:sz="0" w:space="0" w:color="auto"/>
                                                                                <w:bottom w:val="none" w:sz="0" w:space="0" w:color="auto"/>
                                                                                <w:right w:val="none" w:sz="0" w:space="0" w:color="auto"/>
                                                                              </w:divBdr>
                                                                              <w:divsChild>
                                                                                <w:div w:id="101152935">
                                                                                  <w:marLeft w:val="0"/>
                                                                                  <w:marRight w:val="0"/>
                                                                                  <w:marTop w:val="0"/>
                                                                                  <w:marBottom w:val="0"/>
                                                                                  <w:divBdr>
                                                                                    <w:top w:val="none" w:sz="0" w:space="0" w:color="auto"/>
                                                                                    <w:left w:val="none" w:sz="0" w:space="0" w:color="auto"/>
                                                                                    <w:bottom w:val="none" w:sz="0" w:space="0" w:color="auto"/>
                                                                                    <w:right w:val="none" w:sz="0" w:space="0" w:color="auto"/>
                                                                                  </w:divBdr>
                                                                                  <w:divsChild>
                                                                                    <w:div w:id="404374830">
                                                                                      <w:marLeft w:val="0"/>
                                                                                      <w:marRight w:val="0"/>
                                                                                      <w:marTop w:val="0"/>
                                                                                      <w:marBottom w:val="0"/>
                                                                                      <w:divBdr>
                                                                                        <w:top w:val="none" w:sz="0" w:space="0" w:color="auto"/>
                                                                                        <w:left w:val="none" w:sz="0" w:space="0" w:color="auto"/>
                                                                                        <w:bottom w:val="none" w:sz="0" w:space="0" w:color="auto"/>
                                                                                        <w:right w:val="none" w:sz="0" w:space="0" w:color="auto"/>
                                                                                      </w:divBdr>
                                                                                      <w:divsChild>
                                                                                        <w:div w:id="291710789">
                                                                                          <w:marLeft w:val="300"/>
                                                                                          <w:marRight w:val="0"/>
                                                                                          <w:marTop w:val="0"/>
                                                                                          <w:marBottom w:val="0"/>
                                                                                          <w:divBdr>
                                                                                            <w:top w:val="none" w:sz="0" w:space="0" w:color="auto"/>
                                                                                            <w:left w:val="none" w:sz="0" w:space="0" w:color="auto"/>
                                                                                            <w:bottom w:val="none" w:sz="0" w:space="0" w:color="auto"/>
                                                                                            <w:right w:val="none" w:sz="0" w:space="0" w:color="auto"/>
                                                                                          </w:divBdr>
                                                                                          <w:divsChild>
                                                                                            <w:div w:id="1987471251">
                                                                                              <w:marLeft w:val="-300"/>
                                                                                              <w:marRight w:val="0"/>
                                                                                              <w:marTop w:val="0"/>
                                                                                              <w:marBottom w:val="0"/>
                                                                                              <w:divBdr>
                                                                                                <w:top w:val="none" w:sz="0" w:space="0" w:color="auto"/>
                                                                                                <w:left w:val="none" w:sz="0" w:space="0" w:color="auto"/>
                                                                                                <w:bottom w:val="none" w:sz="0" w:space="0" w:color="auto"/>
                                                                                                <w:right w:val="none" w:sz="0" w:space="0" w:color="auto"/>
                                                                                              </w:divBdr>
                                                                                              <w:divsChild>
                                                                                                <w:div w:id="13353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0128185">
      <w:bodyDiv w:val="1"/>
      <w:marLeft w:val="0"/>
      <w:marRight w:val="0"/>
      <w:marTop w:val="0"/>
      <w:marBottom w:val="0"/>
      <w:divBdr>
        <w:top w:val="none" w:sz="0" w:space="0" w:color="auto"/>
        <w:left w:val="none" w:sz="0" w:space="0" w:color="auto"/>
        <w:bottom w:val="none" w:sz="0" w:space="0" w:color="auto"/>
        <w:right w:val="none" w:sz="0" w:space="0" w:color="auto"/>
      </w:divBdr>
    </w:div>
    <w:div w:id="1860925651">
      <w:bodyDiv w:val="1"/>
      <w:marLeft w:val="0"/>
      <w:marRight w:val="0"/>
      <w:marTop w:val="0"/>
      <w:marBottom w:val="0"/>
      <w:divBdr>
        <w:top w:val="none" w:sz="0" w:space="0" w:color="auto"/>
        <w:left w:val="none" w:sz="0" w:space="0" w:color="auto"/>
        <w:bottom w:val="none" w:sz="0" w:space="0" w:color="auto"/>
        <w:right w:val="none" w:sz="0" w:space="0" w:color="auto"/>
      </w:divBdr>
    </w:div>
    <w:div w:id="1900507596">
      <w:bodyDiv w:val="1"/>
      <w:marLeft w:val="0"/>
      <w:marRight w:val="0"/>
      <w:marTop w:val="0"/>
      <w:marBottom w:val="0"/>
      <w:divBdr>
        <w:top w:val="none" w:sz="0" w:space="0" w:color="auto"/>
        <w:left w:val="none" w:sz="0" w:space="0" w:color="auto"/>
        <w:bottom w:val="none" w:sz="0" w:space="0" w:color="auto"/>
        <w:right w:val="none" w:sz="0" w:space="0" w:color="auto"/>
      </w:divBdr>
      <w:divsChild>
        <w:div w:id="429546632">
          <w:marLeft w:val="0"/>
          <w:marRight w:val="0"/>
          <w:marTop w:val="0"/>
          <w:marBottom w:val="0"/>
          <w:divBdr>
            <w:top w:val="none" w:sz="0" w:space="0" w:color="auto"/>
            <w:left w:val="none" w:sz="0" w:space="0" w:color="auto"/>
            <w:bottom w:val="none" w:sz="0" w:space="0" w:color="auto"/>
            <w:right w:val="none" w:sz="0" w:space="0" w:color="auto"/>
          </w:divBdr>
          <w:divsChild>
            <w:div w:id="1688604724">
              <w:marLeft w:val="0"/>
              <w:marRight w:val="0"/>
              <w:marTop w:val="0"/>
              <w:marBottom w:val="0"/>
              <w:divBdr>
                <w:top w:val="none" w:sz="0" w:space="0" w:color="auto"/>
                <w:left w:val="none" w:sz="0" w:space="0" w:color="auto"/>
                <w:bottom w:val="none" w:sz="0" w:space="0" w:color="auto"/>
                <w:right w:val="none" w:sz="0" w:space="0" w:color="auto"/>
              </w:divBdr>
              <w:divsChild>
                <w:div w:id="826745841">
                  <w:marLeft w:val="0"/>
                  <w:marRight w:val="0"/>
                  <w:marTop w:val="0"/>
                  <w:marBottom w:val="0"/>
                  <w:divBdr>
                    <w:top w:val="none" w:sz="0" w:space="0" w:color="auto"/>
                    <w:left w:val="none" w:sz="0" w:space="0" w:color="auto"/>
                    <w:bottom w:val="none" w:sz="0" w:space="0" w:color="auto"/>
                    <w:right w:val="none" w:sz="0" w:space="0" w:color="auto"/>
                  </w:divBdr>
                  <w:divsChild>
                    <w:div w:id="617840146">
                      <w:marLeft w:val="0"/>
                      <w:marRight w:val="0"/>
                      <w:marTop w:val="0"/>
                      <w:marBottom w:val="0"/>
                      <w:divBdr>
                        <w:top w:val="none" w:sz="0" w:space="0" w:color="auto"/>
                        <w:left w:val="none" w:sz="0" w:space="0" w:color="auto"/>
                        <w:bottom w:val="none" w:sz="0" w:space="0" w:color="auto"/>
                        <w:right w:val="none" w:sz="0" w:space="0" w:color="auto"/>
                      </w:divBdr>
                      <w:divsChild>
                        <w:div w:id="257371183">
                          <w:marLeft w:val="0"/>
                          <w:marRight w:val="0"/>
                          <w:marTop w:val="0"/>
                          <w:marBottom w:val="0"/>
                          <w:divBdr>
                            <w:top w:val="none" w:sz="0" w:space="0" w:color="auto"/>
                            <w:left w:val="none" w:sz="0" w:space="0" w:color="auto"/>
                            <w:bottom w:val="none" w:sz="0" w:space="0" w:color="auto"/>
                            <w:right w:val="none" w:sz="0" w:space="0" w:color="auto"/>
                          </w:divBdr>
                          <w:divsChild>
                            <w:div w:id="740909757">
                              <w:marLeft w:val="0"/>
                              <w:marRight w:val="0"/>
                              <w:marTop w:val="0"/>
                              <w:marBottom w:val="0"/>
                              <w:divBdr>
                                <w:top w:val="none" w:sz="0" w:space="0" w:color="auto"/>
                                <w:left w:val="none" w:sz="0" w:space="0" w:color="auto"/>
                                <w:bottom w:val="none" w:sz="0" w:space="0" w:color="auto"/>
                                <w:right w:val="none" w:sz="0" w:space="0" w:color="auto"/>
                              </w:divBdr>
                              <w:divsChild>
                                <w:div w:id="1184638229">
                                  <w:marLeft w:val="0"/>
                                  <w:marRight w:val="0"/>
                                  <w:marTop w:val="0"/>
                                  <w:marBottom w:val="0"/>
                                  <w:divBdr>
                                    <w:top w:val="none" w:sz="0" w:space="0" w:color="auto"/>
                                    <w:left w:val="none" w:sz="0" w:space="0" w:color="auto"/>
                                    <w:bottom w:val="none" w:sz="0" w:space="0" w:color="auto"/>
                                    <w:right w:val="none" w:sz="0" w:space="0" w:color="auto"/>
                                  </w:divBdr>
                                  <w:divsChild>
                                    <w:div w:id="6067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296360">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defence.gov.au/ID/Oakey/Documents.asp" TargetMode="External"/><Relationship Id="rId26" Type="http://schemas.openxmlformats.org/officeDocument/2006/relationships/hyperlink" Target="http://www.airservicesaustralia.com/environment/firefightingfoam/health-effects-of-perfluorinated-compounds-pfcs/" TargetMode="External"/><Relationship Id="rId21" Type="http://schemas.openxmlformats.org/officeDocument/2006/relationships/hyperlink" Target="http://www.health.gov.au/internet/main/publishing.nsf/content/health-pubhlth-publicat-environ.htm"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efence.gov.au/id/_Master/docs/Williamtown/ESAReports/2016ESAReport-ExecutiveSummary.pdf" TargetMode="External"/><Relationship Id="rId25" Type="http://schemas.openxmlformats.org/officeDocument/2006/relationships/hyperlink" Target="http://www.nepc.gov.au/nepm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epa.nsw.gov.au/resources/epa/152670-seafood-preliminary-preliminary-assessment151103.pdf" TargetMode="External"/><Relationship Id="rId29" Type="http://schemas.openxmlformats.org/officeDocument/2006/relationships/hyperlink" Target="http://www.nicnas.gov.au/chemical-information/factsheets/chemical-name/perfluorinated-chemicals-pfc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nsumer/chemicals/mercury/Pages/default.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efence.gov.au/id/_Master/docs/Williamtown/HHRAReports/2016HHRA-ExecutiveSummary.pdf" TargetMode="External"/><Relationship Id="rId23" Type="http://schemas.openxmlformats.org/officeDocument/2006/relationships/hyperlink" Target="https://dpir.nt.gov.au/__data/assets/pdf_file/0006/260187/TraceElementsNTFish.pdf" TargetMode="External"/><Relationship Id="rId28" Type="http://schemas.openxmlformats.org/officeDocument/2006/relationships/hyperlink" Target="file://fsfile/users/haasel/Downloads/www.airservicesaustralia.com/environment/firefightingfoam/"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foodstandards.gov.au/publications/Pages/24th-ATDS-Phase-2.aspx" TargetMode="External"/><Relationship Id="rId31" Type="http://schemas.openxmlformats.org/officeDocument/2006/relationships/hyperlink" Target="http://wcmprd01.central.health/internet/main/publishing.nsf/Content/ohp-pfas.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health.gov.au/internet/ministers/publishing.nsf/Content/health-mediarel-yr2016-ley045.htm" TargetMode="External"/><Relationship Id="rId27" Type="http://schemas.openxmlformats.org/officeDocument/2006/relationships/hyperlink" Target="http://www.defence.gov.au/id/PFOSPFOA/Guidance.asp" TargetMode="External"/><Relationship Id="rId30" Type="http://schemas.openxmlformats.org/officeDocument/2006/relationships/hyperlink" Target="http://www.environment.gov.au/protection/chemicals-management/pops/new-pops"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irservicesaustralia.com/wp-content/uploads/Airservices-Australia-Senate-Enquiry-Submission-Part-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bd06d2da0152468b9236b575a71e0e7c>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606E9939A2F074E92F32145C45369E7" ma:contentTypeVersion="44" ma:contentTypeDescription="Files created by FSANZ including letters, draft documents and ideas for FSANZ business." ma:contentTypeScope="" ma:versionID="c823c6322609bc5c69ffe44f1b8b00ab">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BACE4-9F04-46D9-935B-B236EE39A51D}">
  <ds:schemaRefs>
    <ds:schemaRef ds:uri="http://schemas.openxmlformats.org/officeDocument/2006/bibliography"/>
  </ds:schemaRefs>
</ds:datastoreItem>
</file>

<file path=customXml/itemProps2.xml><?xml version="1.0" encoding="utf-8"?>
<ds:datastoreItem xmlns:ds="http://schemas.openxmlformats.org/officeDocument/2006/customXml" ds:itemID="{7FEC3FA6-93D0-4C7F-B787-1DBC87D7D69E}">
  <ds:schemaRefs>
    <ds:schemaRef ds:uri="http://schemas.microsoft.com/office/2006/metadata/properties"/>
    <ds:schemaRef ds:uri="http://schemas.microsoft.com/office/infopath/2007/PartnerControls"/>
    <ds:schemaRef ds:uri="ec50576e-4a27-4780-a1e1-e59563bc70b8"/>
  </ds:schemaRefs>
</ds:datastoreItem>
</file>

<file path=customXml/itemProps3.xml><?xml version="1.0" encoding="utf-8"?>
<ds:datastoreItem xmlns:ds="http://schemas.openxmlformats.org/officeDocument/2006/customXml" ds:itemID="{19DEA364-2E8D-4019-ACE3-11DC55298B24}">
  <ds:schemaRefs>
    <ds:schemaRef ds:uri="http://schemas.microsoft.com/office/2006/metadata/customXsn"/>
  </ds:schemaRefs>
</ds:datastoreItem>
</file>

<file path=customXml/itemProps4.xml><?xml version="1.0" encoding="utf-8"?>
<ds:datastoreItem xmlns:ds="http://schemas.openxmlformats.org/officeDocument/2006/customXml" ds:itemID="{BF1D5044-9997-494D-95B3-EF3DAAC3EABC}">
  <ds:schemaRefs>
    <ds:schemaRef ds:uri="http://schemas.microsoft.com/sharepoint/v3/contenttype/forms"/>
  </ds:schemaRefs>
</ds:datastoreItem>
</file>

<file path=customXml/itemProps5.xml><?xml version="1.0" encoding="utf-8"?>
<ds:datastoreItem xmlns:ds="http://schemas.openxmlformats.org/officeDocument/2006/customXml" ds:itemID="{6843B631-BEF4-4186-9D5B-97F27F9EAFC6}">
  <ds:schemaRefs>
    <ds:schemaRef ds:uri="http://schemas.microsoft.com/sharepoint/events"/>
  </ds:schemaRefs>
</ds:datastoreItem>
</file>

<file path=customXml/itemProps6.xml><?xml version="1.0" encoding="utf-8"?>
<ds:datastoreItem xmlns:ds="http://schemas.openxmlformats.org/officeDocument/2006/customXml" ds:itemID="{3A542602-8C59-450B-A90C-02A94010CD7E}">
  <ds:schemaRefs>
    <ds:schemaRef ds:uri="Microsoft.SharePoint.Taxonomy.ContentTypeSync"/>
  </ds:schemaRefs>
</ds:datastoreItem>
</file>

<file path=customXml/itemProps7.xml><?xml version="1.0" encoding="utf-8"?>
<ds:datastoreItem xmlns:ds="http://schemas.openxmlformats.org/officeDocument/2006/customXml" ds:itemID="{6D9D476D-CA16-4990-9D13-FE3612955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6993</Words>
  <Characters>38324</Characters>
  <Application>Microsoft Office Word</Application>
  <DocSecurity>0</DocSecurity>
  <Lines>798</Lines>
  <Paragraphs>314</Paragraphs>
  <ScaleCrop>false</ScaleCrop>
  <HeadingPairs>
    <vt:vector size="2" baseType="variant">
      <vt:variant>
        <vt:lpstr>Title</vt:lpstr>
      </vt:variant>
      <vt:variant>
        <vt:i4>1</vt:i4>
      </vt:variant>
    </vt:vector>
  </HeadingPairs>
  <TitlesOfParts>
    <vt:vector size="1" baseType="lpstr">
      <vt:lpstr>PFAS in Food</vt:lpstr>
    </vt:vector>
  </TitlesOfParts>
  <Manager/>
  <Company/>
  <LinksUpToDate>false</LinksUpToDate>
  <CharactersWithSpaces>45003</CharactersWithSpaces>
  <SharedDoc>false</SharedDoc>
  <HyperlinkBase/>
  <HLinks>
    <vt:vector size="210" baseType="variant">
      <vt:variant>
        <vt:i4>4718608</vt:i4>
      </vt:variant>
      <vt:variant>
        <vt:i4>144</vt:i4>
      </vt:variant>
      <vt:variant>
        <vt:i4>0</vt:i4>
      </vt:variant>
      <vt:variant>
        <vt:i4>5</vt:i4>
      </vt:variant>
      <vt:variant>
        <vt:lpwstr>http://wcmprd01.central.health/internet/main/publishing.nsf/Content/ohp-pfas.htm</vt:lpwstr>
      </vt:variant>
      <vt:variant>
        <vt:lpwstr/>
      </vt:variant>
      <vt:variant>
        <vt:i4>3670068</vt:i4>
      </vt:variant>
      <vt:variant>
        <vt:i4>141</vt:i4>
      </vt:variant>
      <vt:variant>
        <vt:i4>0</vt:i4>
      </vt:variant>
      <vt:variant>
        <vt:i4>5</vt:i4>
      </vt:variant>
      <vt:variant>
        <vt:lpwstr>http://www.environment.gov.au/protection/chemicals-management/pops/new-pops</vt:lpwstr>
      </vt:variant>
      <vt:variant>
        <vt:lpwstr/>
      </vt:variant>
      <vt:variant>
        <vt:i4>1638416</vt:i4>
      </vt:variant>
      <vt:variant>
        <vt:i4>138</vt:i4>
      </vt:variant>
      <vt:variant>
        <vt:i4>0</vt:i4>
      </vt:variant>
      <vt:variant>
        <vt:i4>5</vt:i4>
      </vt:variant>
      <vt:variant>
        <vt:lpwstr>http://www.nicnas.gov.au/chemical-information/factsheets/chemical-name/perfluorinated-chemicals-pfcs</vt:lpwstr>
      </vt:variant>
      <vt:variant>
        <vt:lpwstr/>
      </vt:variant>
      <vt:variant>
        <vt:i4>3276816</vt:i4>
      </vt:variant>
      <vt:variant>
        <vt:i4>135</vt:i4>
      </vt:variant>
      <vt:variant>
        <vt:i4>0</vt:i4>
      </vt:variant>
      <vt:variant>
        <vt:i4>5</vt:i4>
      </vt:variant>
      <vt:variant>
        <vt:lpwstr>\\fsfile\users\haasel\Downloads\www.airservicesaustralia.com\environment\firefightingfoam\</vt:lpwstr>
      </vt:variant>
      <vt:variant>
        <vt:lpwstr/>
      </vt:variant>
      <vt:variant>
        <vt:i4>3997740</vt:i4>
      </vt:variant>
      <vt:variant>
        <vt:i4>132</vt:i4>
      </vt:variant>
      <vt:variant>
        <vt:i4>0</vt:i4>
      </vt:variant>
      <vt:variant>
        <vt:i4>5</vt:i4>
      </vt:variant>
      <vt:variant>
        <vt:lpwstr>http://www.defence.gov.au/id/PFOSPFOA/Guidance.asp</vt:lpwstr>
      </vt:variant>
      <vt:variant>
        <vt:lpwstr/>
      </vt:variant>
      <vt:variant>
        <vt:i4>131147</vt:i4>
      </vt:variant>
      <vt:variant>
        <vt:i4>129</vt:i4>
      </vt:variant>
      <vt:variant>
        <vt:i4>0</vt:i4>
      </vt:variant>
      <vt:variant>
        <vt:i4>5</vt:i4>
      </vt:variant>
      <vt:variant>
        <vt:lpwstr>http://www.airservicesaustralia.com/environment/firefightingfoam/health-effects-of-perfluorinated-compounds-pfcs/</vt:lpwstr>
      </vt:variant>
      <vt:variant>
        <vt:lpwstr/>
      </vt:variant>
      <vt:variant>
        <vt:i4>4325377</vt:i4>
      </vt:variant>
      <vt:variant>
        <vt:i4>126</vt:i4>
      </vt:variant>
      <vt:variant>
        <vt:i4>0</vt:i4>
      </vt:variant>
      <vt:variant>
        <vt:i4>5</vt:i4>
      </vt:variant>
      <vt:variant>
        <vt:lpwstr>http://www.nepc.gov.au/nepms</vt:lpwstr>
      </vt:variant>
      <vt:variant>
        <vt:lpwstr/>
      </vt:variant>
      <vt:variant>
        <vt:i4>1114124</vt:i4>
      </vt:variant>
      <vt:variant>
        <vt:i4>123</vt:i4>
      </vt:variant>
      <vt:variant>
        <vt:i4>0</vt:i4>
      </vt:variant>
      <vt:variant>
        <vt:i4>5</vt:i4>
      </vt:variant>
      <vt:variant>
        <vt:lpwstr>http://www.foodstandards.gov.au/consumer/chemicals/mercury/Pages/default.aspx</vt:lpwstr>
      </vt:variant>
      <vt:variant>
        <vt:lpwstr/>
      </vt:variant>
      <vt:variant>
        <vt:i4>7536671</vt:i4>
      </vt:variant>
      <vt:variant>
        <vt:i4>120</vt:i4>
      </vt:variant>
      <vt:variant>
        <vt:i4>0</vt:i4>
      </vt:variant>
      <vt:variant>
        <vt:i4>5</vt:i4>
      </vt:variant>
      <vt:variant>
        <vt:lpwstr>https://dpir.nt.gov.au/__data/assets/pdf_file/0006/260187/TraceElementsNTFish.pdf</vt:lpwstr>
      </vt:variant>
      <vt:variant>
        <vt:lpwstr/>
      </vt:variant>
      <vt:variant>
        <vt:i4>4194306</vt:i4>
      </vt:variant>
      <vt:variant>
        <vt:i4>117</vt:i4>
      </vt:variant>
      <vt:variant>
        <vt:i4>0</vt:i4>
      </vt:variant>
      <vt:variant>
        <vt:i4>5</vt:i4>
      </vt:variant>
      <vt:variant>
        <vt:lpwstr>http://www.health.gov.au/internet/ministers/publishing.nsf/Content/health-mediarel-yr2016-ley045.htm</vt:lpwstr>
      </vt:variant>
      <vt:variant>
        <vt:lpwstr/>
      </vt:variant>
      <vt:variant>
        <vt:i4>4259929</vt:i4>
      </vt:variant>
      <vt:variant>
        <vt:i4>114</vt:i4>
      </vt:variant>
      <vt:variant>
        <vt:i4>0</vt:i4>
      </vt:variant>
      <vt:variant>
        <vt:i4>5</vt:i4>
      </vt:variant>
      <vt:variant>
        <vt:lpwstr>http://www.health.gov.au/internet/main/publishing.nsf/content/health-pubhlth-publicat-environ.htm</vt:lpwstr>
      </vt:variant>
      <vt:variant>
        <vt:lpwstr/>
      </vt:variant>
      <vt:variant>
        <vt:i4>3539052</vt:i4>
      </vt:variant>
      <vt:variant>
        <vt:i4>111</vt:i4>
      </vt:variant>
      <vt:variant>
        <vt:i4>0</vt:i4>
      </vt:variant>
      <vt:variant>
        <vt:i4>5</vt:i4>
      </vt:variant>
      <vt:variant>
        <vt:lpwstr>http://www.epa.nsw.gov.au/resources/epa/152670-seafood-preliminary-preliminary-assessment151103.pdf</vt:lpwstr>
      </vt:variant>
      <vt:variant>
        <vt:lpwstr/>
      </vt:variant>
      <vt:variant>
        <vt:i4>4653144</vt:i4>
      </vt:variant>
      <vt:variant>
        <vt:i4>108</vt:i4>
      </vt:variant>
      <vt:variant>
        <vt:i4>0</vt:i4>
      </vt:variant>
      <vt:variant>
        <vt:i4>5</vt:i4>
      </vt:variant>
      <vt:variant>
        <vt:lpwstr>http://www.foodstandards.gov.au/publications/Pages/24th-ATDS-Phase-2.aspx</vt:lpwstr>
      </vt:variant>
      <vt:variant>
        <vt:lpwstr/>
      </vt:variant>
      <vt:variant>
        <vt:i4>131090</vt:i4>
      </vt:variant>
      <vt:variant>
        <vt:i4>105</vt:i4>
      </vt:variant>
      <vt:variant>
        <vt:i4>0</vt:i4>
      </vt:variant>
      <vt:variant>
        <vt:i4>5</vt:i4>
      </vt:variant>
      <vt:variant>
        <vt:lpwstr>http://www.defence.gov.au/ID/Oakey/Documents.asp</vt:lpwstr>
      </vt:variant>
      <vt:variant>
        <vt:lpwstr/>
      </vt:variant>
      <vt:variant>
        <vt:i4>1114155</vt:i4>
      </vt:variant>
      <vt:variant>
        <vt:i4>102</vt:i4>
      </vt:variant>
      <vt:variant>
        <vt:i4>0</vt:i4>
      </vt:variant>
      <vt:variant>
        <vt:i4>5</vt:i4>
      </vt:variant>
      <vt:variant>
        <vt:lpwstr>http://www.defence.gov.au/id/_Master/docs/Williamtown/ESAReports/2016ESAReport-ExecutiveSummary.pdf</vt:lpwstr>
      </vt:variant>
      <vt:variant>
        <vt:lpwstr/>
      </vt:variant>
      <vt:variant>
        <vt:i4>5177467</vt:i4>
      </vt:variant>
      <vt:variant>
        <vt:i4>99</vt:i4>
      </vt:variant>
      <vt:variant>
        <vt:i4>0</vt:i4>
      </vt:variant>
      <vt:variant>
        <vt:i4>5</vt:i4>
      </vt:variant>
      <vt:variant>
        <vt:lpwstr>http://www.defence.gov.au/id/_Master/docs/Williamtown/HHRAReports/2016HHRA-ExecutiveSummary.pdf</vt:lpwstr>
      </vt:variant>
      <vt:variant>
        <vt:lpwstr/>
      </vt:variant>
      <vt:variant>
        <vt:i4>1179709</vt:i4>
      </vt:variant>
      <vt:variant>
        <vt:i4>92</vt:i4>
      </vt:variant>
      <vt:variant>
        <vt:i4>0</vt:i4>
      </vt:variant>
      <vt:variant>
        <vt:i4>5</vt:i4>
      </vt:variant>
      <vt:variant>
        <vt:lpwstr/>
      </vt:variant>
      <vt:variant>
        <vt:lpwstr>_Toc475953981</vt:lpwstr>
      </vt:variant>
      <vt:variant>
        <vt:i4>1900605</vt:i4>
      </vt:variant>
      <vt:variant>
        <vt:i4>86</vt:i4>
      </vt:variant>
      <vt:variant>
        <vt:i4>0</vt:i4>
      </vt:variant>
      <vt:variant>
        <vt:i4>5</vt:i4>
      </vt:variant>
      <vt:variant>
        <vt:lpwstr/>
      </vt:variant>
      <vt:variant>
        <vt:lpwstr>_Toc475953978</vt:lpwstr>
      </vt:variant>
      <vt:variant>
        <vt:i4>1900605</vt:i4>
      </vt:variant>
      <vt:variant>
        <vt:i4>80</vt:i4>
      </vt:variant>
      <vt:variant>
        <vt:i4>0</vt:i4>
      </vt:variant>
      <vt:variant>
        <vt:i4>5</vt:i4>
      </vt:variant>
      <vt:variant>
        <vt:lpwstr/>
      </vt:variant>
      <vt:variant>
        <vt:lpwstr>_Toc475953977</vt:lpwstr>
      </vt:variant>
      <vt:variant>
        <vt:i4>1900605</vt:i4>
      </vt:variant>
      <vt:variant>
        <vt:i4>74</vt:i4>
      </vt:variant>
      <vt:variant>
        <vt:i4>0</vt:i4>
      </vt:variant>
      <vt:variant>
        <vt:i4>5</vt:i4>
      </vt:variant>
      <vt:variant>
        <vt:lpwstr/>
      </vt:variant>
      <vt:variant>
        <vt:lpwstr>_Toc475953976</vt:lpwstr>
      </vt:variant>
      <vt:variant>
        <vt:i4>1900605</vt:i4>
      </vt:variant>
      <vt:variant>
        <vt:i4>68</vt:i4>
      </vt:variant>
      <vt:variant>
        <vt:i4>0</vt:i4>
      </vt:variant>
      <vt:variant>
        <vt:i4>5</vt:i4>
      </vt:variant>
      <vt:variant>
        <vt:lpwstr/>
      </vt:variant>
      <vt:variant>
        <vt:lpwstr>_Toc475953975</vt:lpwstr>
      </vt:variant>
      <vt:variant>
        <vt:i4>1900605</vt:i4>
      </vt:variant>
      <vt:variant>
        <vt:i4>62</vt:i4>
      </vt:variant>
      <vt:variant>
        <vt:i4>0</vt:i4>
      </vt:variant>
      <vt:variant>
        <vt:i4>5</vt:i4>
      </vt:variant>
      <vt:variant>
        <vt:lpwstr/>
      </vt:variant>
      <vt:variant>
        <vt:lpwstr>_Toc475953974</vt:lpwstr>
      </vt:variant>
      <vt:variant>
        <vt:i4>1900605</vt:i4>
      </vt:variant>
      <vt:variant>
        <vt:i4>56</vt:i4>
      </vt:variant>
      <vt:variant>
        <vt:i4>0</vt:i4>
      </vt:variant>
      <vt:variant>
        <vt:i4>5</vt:i4>
      </vt:variant>
      <vt:variant>
        <vt:lpwstr/>
      </vt:variant>
      <vt:variant>
        <vt:lpwstr>_Toc475953973</vt:lpwstr>
      </vt:variant>
      <vt:variant>
        <vt:i4>1900605</vt:i4>
      </vt:variant>
      <vt:variant>
        <vt:i4>50</vt:i4>
      </vt:variant>
      <vt:variant>
        <vt:i4>0</vt:i4>
      </vt:variant>
      <vt:variant>
        <vt:i4>5</vt:i4>
      </vt:variant>
      <vt:variant>
        <vt:lpwstr/>
      </vt:variant>
      <vt:variant>
        <vt:lpwstr>_Toc475953972</vt:lpwstr>
      </vt:variant>
      <vt:variant>
        <vt:i4>1900605</vt:i4>
      </vt:variant>
      <vt:variant>
        <vt:i4>44</vt:i4>
      </vt:variant>
      <vt:variant>
        <vt:i4>0</vt:i4>
      </vt:variant>
      <vt:variant>
        <vt:i4>5</vt:i4>
      </vt:variant>
      <vt:variant>
        <vt:lpwstr/>
      </vt:variant>
      <vt:variant>
        <vt:lpwstr>_Toc475953971</vt:lpwstr>
      </vt:variant>
      <vt:variant>
        <vt:i4>1900605</vt:i4>
      </vt:variant>
      <vt:variant>
        <vt:i4>38</vt:i4>
      </vt:variant>
      <vt:variant>
        <vt:i4>0</vt:i4>
      </vt:variant>
      <vt:variant>
        <vt:i4>5</vt:i4>
      </vt:variant>
      <vt:variant>
        <vt:lpwstr/>
      </vt:variant>
      <vt:variant>
        <vt:lpwstr>_Toc475953970</vt:lpwstr>
      </vt:variant>
      <vt:variant>
        <vt:i4>1835069</vt:i4>
      </vt:variant>
      <vt:variant>
        <vt:i4>32</vt:i4>
      </vt:variant>
      <vt:variant>
        <vt:i4>0</vt:i4>
      </vt:variant>
      <vt:variant>
        <vt:i4>5</vt:i4>
      </vt:variant>
      <vt:variant>
        <vt:lpwstr/>
      </vt:variant>
      <vt:variant>
        <vt:lpwstr>_Toc475953969</vt:lpwstr>
      </vt:variant>
      <vt:variant>
        <vt:i4>1835069</vt:i4>
      </vt:variant>
      <vt:variant>
        <vt:i4>26</vt:i4>
      </vt:variant>
      <vt:variant>
        <vt:i4>0</vt:i4>
      </vt:variant>
      <vt:variant>
        <vt:i4>5</vt:i4>
      </vt:variant>
      <vt:variant>
        <vt:lpwstr/>
      </vt:variant>
      <vt:variant>
        <vt:lpwstr>_Toc475953966</vt:lpwstr>
      </vt:variant>
      <vt:variant>
        <vt:i4>1835069</vt:i4>
      </vt:variant>
      <vt:variant>
        <vt:i4>20</vt:i4>
      </vt:variant>
      <vt:variant>
        <vt:i4>0</vt:i4>
      </vt:variant>
      <vt:variant>
        <vt:i4>5</vt:i4>
      </vt:variant>
      <vt:variant>
        <vt:lpwstr/>
      </vt:variant>
      <vt:variant>
        <vt:lpwstr>_Toc475953965</vt:lpwstr>
      </vt:variant>
      <vt:variant>
        <vt:i4>1835069</vt:i4>
      </vt:variant>
      <vt:variant>
        <vt:i4>14</vt:i4>
      </vt:variant>
      <vt:variant>
        <vt:i4>0</vt:i4>
      </vt:variant>
      <vt:variant>
        <vt:i4>5</vt:i4>
      </vt:variant>
      <vt:variant>
        <vt:lpwstr/>
      </vt:variant>
      <vt:variant>
        <vt:lpwstr>_Toc475953964</vt:lpwstr>
      </vt:variant>
      <vt:variant>
        <vt:i4>1835069</vt:i4>
      </vt:variant>
      <vt:variant>
        <vt:i4>8</vt:i4>
      </vt:variant>
      <vt:variant>
        <vt:i4>0</vt:i4>
      </vt:variant>
      <vt:variant>
        <vt:i4>5</vt:i4>
      </vt:variant>
      <vt:variant>
        <vt:lpwstr/>
      </vt:variant>
      <vt:variant>
        <vt:lpwstr>_Toc475953963</vt:lpwstr>
      </vt:variant>
      <vt:variant>
        <vt:i4>1835069</vt:i4>
      </vt:variant>
      <vt:variant>
        <vt:i4>2</vt:i4>
      </vt:variant>
      <vt:variant>
        <vt:i4>0</vt:i4>
      </vt:variant>
      <vt:variant>
        <vt:i4>5</vt:i4>
      </vt:variant>
      <vt:variant>
        <vt:lpwstr/>
      </vt:variant>
      <vt:variant>
        <vt:lpwstr>_Toc475953962</vt:lpwstr>
      </vt:variant>
      <vt:variant>
        <vt:i4>5177413</vt:i4>
      </vt:variant>
      <vt:variant>
        <vt:i4>0</vt:i4>
      </vt:variant>
      <vt:variant>
        <vt:i4>0</vt:i4>
      </vt:variant>
      <vt:variant>
        <vt:i4>5</vt:i4>
      </vt:variant>
      <vt:variant>
        <vt:lpwstr>http://www.airservicesaustralia.com/wp-content/uploads/Airservices-Australia-Senate-Enquiry-Submission-Part-B.pdf</vt:lpwstr>
      </vt:variant>
      <vt:variant>
        <vt:lpwstr/>
      </vt:variant>
      <vt:variant>
        <vt:i4>5177467</vt:i4>
      </vt:variant>
      <vt:variant>
        <vt:i4>14332</vt:i4>
      </vt:variant>
      <vt:variant>
        <vt:i4>1026</vt:i4>
      </vt:variant>
      <vt:variant>
        <vt:i4>4</vt:i4>
      </vt:variant>
      <vt:variant>
        <vt:lpwstr>http://www.defence.gov.au/id/_Master/docs/Williamtown/HHRAReports/2016HHRA-ExecutiveSummary.pdf</vt:lpwstr>
      </vt:variant>
      <vt:variant>
        <vt:lpwstr/>
      </vt:variant>
      <vt:variant>
        <vt:i4>1114155</vt:i4>
      </vt:variant>
      <vt:variant>
        <vt:i4>14630</vt:i4>
      </vt:variant>
      <vt:variant>
        <vt:i4>1025</vt:i4>
      </vt:variant>
      <vt:variant>
        <vt:i4>4</vt:i4>
      </vt:variant>
      <vt:variant>
        <vt:lpwstr>http://www.defence.gov.au/id/_Master/docs/Williamtown/ESAReports/2016ESAReport-ExecutiveSummary.pdf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Standards Australia New Zealand (FSANZ) – Perfluorinated chemicals in food</dc:title>
  <dc:subject>Environmental health</dc:subject>
  <dc:creator>Department of Health</dc:creator>
  <cp:keywords>environmental health</cp:keywords>
  <dc:description/>
  <cp:lastModifiedBy>emma kennedy</cp:lastModifiedBy>
  <cp:revision>3</cp:revision>
  <cp:lastPrinted>2017-02-15T01:29:00Z</cp:lastPrinted>
  <dcterms:created xsi:type="dcterms:W3CDTF">2021-06-11T01:12:00Z</dcterms:created>
  <dcterms:modified xsi:type="dcterms:W3CDTF">2022-07-22T03:09:00Z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0x01010004C4C934AD08B647A78FCADD498BE3190200C606E9939A2F074E92F32145C45369E7</vt:lpwstr>
  </property>
  <property fmtid="{D5CDD505-2E9C-101B-9397-08002B2CF9AE}" pid="3" name="DisposalClass">
    <vt:lpwstr>72;#|e1e32ca4-364d-46d7-813a-d3141d2fc5b3</vt:lpwstr>
  </property>
  <property fmtid="{D5CDD505-2E9C-101B-9397-08002B2CF9AE}" pid="4" name="BCS_">
    <vt:lpwstr>224;#FOOD SAFETY|bb8ec1ef-d9dd-4598-a9b0-ba03f3a16cb9</vt:lpwstr>
  </property>
  <property fmtid="{D5CDD505-2E9C-101B-9397-08002B2CF9AE}" pid="5" name="_dlc_DocIdItemGuid">
    <vt:lpwstr>5bf65213-ec6f-4c09-a9f6-ed47744ed028</vt:lpwstr>
  </property>
  <property fmtid="{D5CDD505-2E9C-101B-9397-08002B2CF9AE}" pid="6" name="SPPCopyMoveEvent">
    <vt:lpwstr>0</vt:lpwstr>
  </property>
  <property fmtid="{D5CDD505-2E9C-101B-9397-08002B2CF9AE}" pid="7" name="_dlc_DocId">
    <vt:lpwstr>MMF7YEMDTSDN-833-1402</vt:lpwstr>
  </property>
  <property fmtid="{D5CDD505-2E9C-101B-9397-08002B2CF9AE}" pid="8" name="_dlc_DocIdUrl">
    <vt:lpwstr>http://fsintranet/IWG/W1104/_layouts/15/DocIdRedir.aspx?ID=MMF7YEMDTSDN-833-1402, MMF7YEMDTSDN-833-1402</vt:lpwstr>
  </property>
  <property fmtid="{D5CDD505-2E9C-101B-9397-08002B2CF9AE}" pid="9" name="_dlc_DocIdPersistId">
    <vt:lpwstr/>
  </property>
</Properties>
</file>