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F9AC8" w14:textId="06A449C1" w:rsidR="00070C38" w:rsidRPr="00E902E0" w:rsidRDefault="00582B7C" w:rsidP="00E902E0">
      <w:pPr>
        <w:pStyle w:val="Title"/>
      </w:pPr>
      <w:bookmarkStart w:id="0" w:name="_Hlk102474470"/>
      <w:bookmarkStart w:id="1" w:name="_Toc88641303"/>
      <w:r w:rsidRPr="00E902E0">
        <w:t xml:space="preserve">National Service Model: Head to Health </w:t>
      </w:r>
      <w:r w:rsidR="00A33C24" w:rsidRPr="00E902E0">
        <w:t>A</w:t>
      </w:r>
      <w:r w:rsidRPr="00E902E0">
        <w:t xml:space="preserve">ssessment and </w:t>
      </w:r>
      <w:r w:rsidR="00A33C24" w:rsidRPr="00E902E0">
        <w:t>R</w:t>
      </w:r>
      <w:r w:rsidRPr="00E902E0">
        <w:t xml:space="preserve">eferral </w:t>
      </w:r>
      <w:r w:rsidR="00A33C24" w:rsidRPr="00E902E0">
        <w:t>P</w:t>
      </w:r>
      <w:r w:rsidRPr="00E902E0">
        <w:t xml:space="preserve">hone </w:t>
      </w:r>
      <w:r w:rsidR="00A33C24" w:rsidRPr="00E902E0">
        <w:t>S</w:t>
      </w:r>
      <w:r w:rsidRPr="00E902E0">
        <w:t>ervice</w:t>
      </w:r>
    </w:p>
    <w:p w14:paraId="478D4928" w14:textId="6421BFED" w:rsidR="00582B7C" w:rsidRPr="00650EC2" w:rsidRDefault="00582B7C" w:rsidP="00E902E0">
      <w:pPr>
        <w:pStyle w:val="Subtitle"/>
      </w:pPr>
      <w:r w:rsidRPr="00650EC2">
        <w:t xml:space="preserve">June </w:t>
      </w:r>
      <w:r w:rsidRPr="00E902E0">
        <w:t>2022</w:t>
      </w:r>
    </w:p>
    <w:p w14:paraId="7DCCD47D" w14:textId="0E086E7D" w:rsidR="00582B7C" w:rsidRPr="00E902E0" w:rsidRDefault="00582B7C" w:rsidP="0099061F">
      <w:pPr>
        <w:pStyle w:val="Coverpagetext"/>
      </w:pPr>
      <w:r w:rsidRPr="00E902E0">
        <w:t>What’s on your mind today?</w:t>
      </w:r>
    </w:p>
    <w:p w14:paraId="74836D46" w14:textId="3086D25F" w:rsidR="00582B7C" w:rsidRPr="00E902E0" w:rsidRDefault="00582B7C" w:rsidP="00F4060D">
      <w:pPr>
        <w:pStyle w:val="Leadparagraph"/>
      </w:pPr>
      <w:r w:rsidRPr="00E902E0">
        <w:t>Get it out in the open</w:t>
      </w:r>
      <w:r w:rsidR="00F4060D" w:rsidRPr="00E902E0">
        <w:t>.</w:t>
      </w:r>
    </w:p>
    <w:bookmarkEnd w:id="1" w:displacedByCustomXml="next"/>
    <w:bookmarkStart w:id="2" w:name="_Toc88641304" w:displacedByCustomXml="next"/>
    <w:sdt>
      <w:sdtPr>
        <w:rPr>
          <w:rFonts w:asciiTheme="minorHAnsi" w:eastAsiaTheme="minorHAnsi" w:hAnsiTheme="minorHAnsi" w:cstheme="minorBidi"/>
          <w:sz w:val="22"/>
          <w:szCs w:val="20"/>
          <w:lang w:val="en-AU"/>
        </w:rPr>
        <w:id w:val="-395906161"/>
        <w:docPartObj>
          <w:docPartGallery w:val="Table of Contents"/>
          <w:docPartUnique/>
        </w:docPartObj>
      </w:sdtPr>
      <w:sdtEndPr>
        <w:rPr>
          <w:rStyle w:val="Strong"/>
          <w:b/>
          <w:bCs/>
        </w:rPr>
      </w:sdtEndPr>
      <w:sdtContent>
        <w:p w14:paraId="77C025DA" w14:textId="3E8AC171" w:rsidR="00DF7268" w:rsidRPr="00E902E0" w:rsidRDefault="00DF7268" w:rsidP="00E902E0">
          <w:pPr>
            <w:pStyle w:val="TOCHeading"/>
            <w:pageBreakBefore/>
          </w:pPr>
          <w:r w:rsidRPr="00650EC2">
            <w:t>Contents</w:t>
          </w:r>
        </w:p>
        <w:p w14:paraId="791C88E6" w14:textId="1DDFA549" w:rsidR="00650EC2" w:rsidRPr="00650EC2" w:rsidRDefault="00DF7268">
          <w:pPr>
            <w:pStyle w:val="TOC1"/>
            <w:rPr>
              <w:rFonts w:asciiTheme="majorHAnsi" w:eastAsiaTheme="minorEastAsia" w:hAnsiTheme="majorHAnsi" w:cstheme="minorBidi"/>
              <w:szCs w:val="22"/>
              <w:lang w:eastAsia="en-AU"/>
            </w:rPr>
          </w:pPr>
          <w:r w:rsidRPr="00650EC2">
            <w:rPr>
              <w:rFonts w:asciiTheme="majorHAnsi" w:hAnsiTheme="majorHAnsi"/>
            </w:rPr>
            <w:fldChar w:fldCharType="begin"/>
          </w:r>
          <w:r w:rsidRPr="00650EC2">
            <w:rPr>
              <w:rFonts w:asciiTheme="majorHAnsi" w:hAnsiTheme="majorHAnsi"/>
            </w:rPr>
            <w:instrText xml:space="preserve"> TOC \o "1-3" \h \z \u </w:instrText>
          </w:r>
          <w:r w:rsidRPr="00650EC2">
            <w:rPr>
              <w:rFonts w:asciiTheme="majorHAnsi" w:hAnsiTheme="majorHAnsi"/>
            </w:rPr>
            <w:fldChar w:fldCharType="separate"/>
          </w:r>
          <w:hyperlink w:anchor="_Toc108097469" w:history="1">
            <w:r w:rsidR="00650EC2" w:rsidRPr="00650EC2">
              <w:rPr>
                <w:rStyle w:val="Hyperlink"/>
                <w:rFonts w:asciiTheme="majorHAnsi" w:hAnsiTheme="majorHAnsi" w:cs="Times New Roman"/>
              </w:rPr>
              <w:t>Version history</w:t>
            </w:r>
            <w:r w:rsidR="00650EC2" w:rsidRPr="00650EC2">
              <w:rPr>
                <w:rFonts w:asciiTheme="majorHAnsi" w:hAnsiTheme="majorHAnsi"/>
                <w:webHidden/>
              </w:rPr>
              <w:tab/>
            </w:r>
            <w:r w:rsidR="00650EC2" w:rsidRPr="00650EC2">
              <w:rPr>
                <w:rFonts w:asciiTheme="majorHAnsi" w:hAnsiTheme="majorHAnsi"/>
                <w:webHidden/>
              </w:rPr>
              <w:fldChar w:fldCharType="begin"/>
            </w:r>
            <w:r w:rsidR="00650EC2" w:rsidRPr="00650EC2">
              <w:rPr>
                <w:rFonts w:asciiTheme="majorHAnsi" w:hAnsiTheme="majorHAnsi"/>
                <w:webHidden/>
              </w:rPr>
              <w:instrText xml:space="preserve"> PAGEREF _Toc108097469 \h </w:instrText>
            </w:r>
            <w:r w:rsidR="00650EC2" w:rsidRPr="00650EC2">
              <w:rPr>
                <w:rFonts w:asciiTheme="majorHAnsi" w:hAnsiTheme="majorHAnsi"/>
                <w:webHidden/>
              </w:rPr>
            </w:r>
            <w:r w:rsidR="00650EC2" w:rsidRPr="00650EC2">
              <w:rPr>
                <w:rFonts w:asciiTheme="majorHAnsi" w:hAnsiTheme="majorHAnsi"/>
                <w:webHidden/>
              </w:rPr>
              <w:fldChar w:fldCharType="separate"/>
            </w:r>
            <w:r w:rsidR="00E902E0">
              <w:rPr>
                <w:rFonts w:asciiTheme="majorHAnsi" w:hAnsiTheme="majorHAnsi"/>
                <w:webHidden/>
              </w:rPr>
              <w:t>3</w:t>
            </w:r>
            <w:r w:rsidR="00650EC2" w:rsidRPr="00650EC2">
              <w:rPr>
                <w:rFonts w:asciiTheme="majorHAnsi" w:hAnsiTheme="majorHAnsi"/>
                <w:webHidden/>
              </w:rPr>
              <w:fldChar w:fldCharType="end"/>
            </w:r>
          </w:hyperlink>
        </w:p>
        <w:p w14:paraId="56BCCB4D" w14:textId="030A4187" w:rsidR="00650EC2" w:rsidRPr="00650EC2" w:rsidRDefault="00787649">
          <w:pPr>
            <w:pStyle w:val="TOC1"/>
            <w:rPr>
              <w:rFonts w:asciiTheme="majorHAnsi" w:eastAsiaTheme="minorEastAsia" w:hAnsiTheme="majorHAnsi" w:cstheme="minorBidi"/>
              <w:szCs w:val="22"/>
              <w:lang w:eastAsia="en-AU"/>
            </w:rPr>
          </w:pPr>
          <w:hyperlink w:anchor="_Toc108097470" w:history="1">
            <w:r w:rsidR="00650EC2" w:rsidRPr="00650EC2">
              <w:rPr>
                <w:rStyle w:val="Hyperlink"/>
                <w:rFonts w:asciiTheme="majorHAnsi" w:hAnsiTheme="majorHAnsi" w:cs="Times New Roman"/>
              </w:rPr>
              <w:t>Key terms</w:t>
            </w:r>
            <w:r w:rsidR="00650EC2" w:rsidRPr="00650EC2">
              <w:rPr>
                <w:rFonts w:asciiTheme="majorHAnsi" w:hAnsiTheme="majorHAnsi"/>
                <w:webHidden/>
              </w:rPr>
              <w:tab/>
            </w:r>
            <w:r w:rsidR="00650EC2" w:rsidRPr="00650EC2">
              <w:rPr>
                <w:rFonts w:asciiTheme="majorHAnsi" w:hAnsiTheme="majorHAnsi"/>
                <w:webHidden/>
              </w:rPr>
              <w:fldChar w:fldCharType="begin"/>
            </w:r>
            <w:r w:rsidR="00650EC2" w:rsidRPr="00650EC2">
              <w:rPr>
                <w:rFonts w:asciiTheme="majorHAnsi" w:hAnsiTheme="majorHAnsi"/>
                <w:webHidden/>
              </w:rPr>
              <w:instrText xml:space="preserve"> PAGEREF _Toc108097470 \h </w:instrText>
            </w:r>
            <w:r w:rsidR="00650EC2" w:rsidRPr="00650EC2">
              <w:rPr>
                <w:rFonts w:asciiTheme="majorHAnsi" w:hAnsiTheme="majorHAnsi"/>
                <w:webHidden/>
              </w:rPr>
            </w:r>
            <w:r w:rsidR="00650EC2" w:rsidRPr="00650EC2">
              <w:rPr>
                <w:rFonts w:asciiTheme="majorHAnsi" w:hAnsiTheme="majorHAnsi"/>
                <w:webHidden/>
              </w:rPr>
              <w:fldChar w:fldCharType="separate"/>
            </w:r>
            <w:r w:rsidR="00E902E0">
              <w:rPr>
                <w:rFonts w:asciiTheme="majorHAnsi" w:hAnsiTheme="majorHAnsi"/>
                <w:webHidden/>
              </w:rPr>
              <w:t>3</w:t>
            </w:r>
            <w:r w:rsidR="00650EC2" w:rsidRPr="00650EC2">
              <w:rPr>
                <w:rFonts w:asciiTheme="majorHAnsi" w:hAnsiTheme="majorHAnsi"/>
                <w:webHidden/>
              </w:rPr>
              <w:fldChar w:fldCharType="end"/>
            </w:r>
          </w:hyperlink>
        </w:p>
        <w:p w14:paraId="23D02A9B" w14:textId="4B1A365F" w:rsidR="00650EC2" w:rsidRPr="00650EC2" w:rsidRDefault="00787649">
          <w:pPr>
            <w:pStyle w:val="TOC1"/>
            <w:rPr>
              <w:rFonts w:asciiTheme="majorHAnsi" w:eastAsiaTheme="minorEastAsia" w:hAnsiTheme="majorHAnsi" w:cstheme="minorBidi"/>
              <w:szCs w:val="22"/>
              <w:lang w:eastAsia="en-AU"/>
            </w:rPr>
          </w:pPr>
          <w:hyperlink w:anchor="_Toc108097471" w:history="1">
            <w:r w:rsidR="00650EC2" w:rsidRPr="00650EC2">
              <w:rPr>
                <w:rStyle w:val="Hyperlink"/>
                <w:rFonts w:asciiTheme="majorHAnsi" w:hAnsiTheme="majorHAnsi" w:cs="Times New Roman"/>
              </w:rPr>
              <w:t>Introduction</w:t>
            </w:r>
            <w:r w:rsidR="00650EC2" w:rsidRPr="00650EC2">
              <w:rPr>
                <w:rFonts w:asciiTheme="majorHAnsi" w:hAnsiTheme="majorHAnsi"/>
                <w:webHidden/>
              </w:rPr>
              <w:tab/>
            </w:r>
            <w:r w:rsidR="00650EC2" w:rsidRPr="00650EC2">
              <w:rPr>
                <w:rFonts w:asciiTheme="majorHAnsi" w:hAnsiTheme="majorHAnsi"/>
                <w:webHidden/>
              </w:rPr>
              <w:fldChar w:fldCharType="begin"/>
            </w:r>
            <w:r w:rsidR="00650EC2" w:rsidRPr="00650EC2">
              <w:rPr>
                <w:rFonts w:asciiTheme="majorHAnsi" w:hAnsiTheme="majorHAnsi"/>
                <w:webHidden/>
              </w:rPr>
              <w:instrText xml:space="preserve"> PAGEREF _Toc108097471 \h </w:instrText>
            </w:r>
            <w:r w:rsidR="00650EC2" w:rsidRPr="00650EC2">
              <w:rPr>
                <w:rFonts w:asciiTheme="majorHAnsi" w:hAnsiTheme="majorHAnsi"/>
                <w:webHidden/>
              </w:rPr>
            </w:r>
            <w:r w:rsidR="00650EC2" w:rsidRPr="00650EC2">
              <w:rPr>
                <w:rFonts w:asciiTheme="majorHAnsi" w:hAnsiTheme="majorHAnsi"/>
                <w:webHidden/>
              </w:rPr>
              <w:fldChar w:fldCharType="separate"/>
            </w:r>
            <w:r w:rsidR="00E902E0">
              <w:rPr>
                <w:rFonts w:asciiTheme="majorHAnsi" w:hAnsiTheme="majorHAnsi"/>
                <w:webHidden/>
              </w:rPr>
              <w:t>5</w:t>
            </w:r>
            <w:r w:rsidR="00650EC2" w:rsidRPr="00650EC2">
              <w:rPr>
                <w:rFonts w:asciiTheme="majorHAnsi" w:hAnsiTheme="majorHAnsi"/>
                <w:webHidden/>
              </w:rPr>
              <w:fldChar w:fldCharType="end"/>
            </w:r>
          </w:hyperlink>
        </w:p>
        <w:p w14:paraId="03FF49CA" w14:textId="493FD60A" w:rsidR="00650EC2" w:rsidRPr="00650EC2" w:rsidRDefault="00787649">
          <w:pPr>
            <w:pStyle w:val="TOC1"/>
            <w:rPr>
              <w:rFonts w:asciiTheme="majorHAnsi" w:eastAsiaTheme="minorEastAsia" w:hAnsiTheme="majorHAnsi" w:cstheme="minorBidi"/>
              <w:szCs w:val="22"/>
              <w:lang w:eastAsia="en-AU"/>
            </w:rPr>
          </w:pPr>
          <w:hyperlink w:anchor="_Toc108097472" w:history="1">
            <w:r w:rsidR="00650EC2" w:rsidRPr="00650EC2">
              <w:rPr>
                <w:rStyle w:val="Hyperlink"/>
                <w:rFonts w:asciiTheme="majorHAnsi" w:hAnsiTheme="majorHAnsi" w:cs="Times New Roman"/>
              </w:rPr>
              <w:t>What is the phone service aiming to achieve?</w:t>
            </w:r>
            <w:r w:rsidR="00650EC2" w:rsidRPr="00650EC2">
              <w:rPr>
                <w:rFonts w:asciiTheme="majorHAnsi" w:hAnsiTheme="majorHAnsi"/>
                <w:webHidden/>
              </w:rPr>
              <w:tab/>
            </w:r>
            <w:r w:rsidR="00650EC2" w:rsidRPr="00650EC2">
              <w:rPr>
                <w:rFonts w:asciiTheme="majorHAnsi" w:hAnsiTheme="majorHAnsi"/>
                <w:webHidden/>
              </w:rPr>
              <w:fldChar w:fldCharType="begin"/>
            </w:r>
            <w:r w:rsidR="00650EC2" w:rsidRPr="00650EC2">
              <w:rPr>
                <w:rFonts w:asciiTheme="majorHAnsi" w:hAnsiTheme="majorHAnsi"/>
                <w:webHidden/>
              </w:rPr>
              <w:instrText xml:space="preserve"> PAGEREF _Toc108097472 \h </w:instrText>
            </w:r>
            <w:r w:rsidR="00650EC2" w:rsidRPr="00650EC2">
              <w:rPr>
                <w:rFonts w:asciiTheme="majorHAnsi" w:hAnsiTheme="majorHAnsi"/>
                <w:webHidden/>
              </w:rPr>
            </w:r>
            <w:r w:rsidR="00650EC2" w:rsidRPr="00650EC2">
              <w:rPr>
                <w:rFonts w:asciiTheme="majorHAnsi" w:hAnsiTheme="majorHAnsi"/>
                <w:webHidden/>
              </w:rPr>
              <w:fldChar w:fldCharType="separate"/>
            </w:r>
            <w:r w:rsidR="00E902E0">
              <w:rPr>
                <w:rFonts w:asciiTheme="majorHAnsi" w:hAnsiTheme="majorHAnsi"/>
                <w:webHidden/>
              </w:rPr>
              <w:t>6</w:t>
            </w:r>
            <w:r w:rsidR="00650EC2" w:rsidRPr="00650EC2">
              <w:rPr>
                <w:rFonts w:asciiTheme="majorHAnsi" w:hAnsiTheme="majorHAnsi"/>
                <w:webHidden/>
              </w:rPr>
              <w:fldChar w:fldCharType="end"/>
            </w:r>
          </w:hyperlink>
        </w:p>
        <w:p w14:paraId="73BE76D0" w14:textId="213D6155" w:rsidR="00650EC2" w:rsidRPr="00650EC2" w:rsidRDefault="00787649">
          <w:pPr>
            <w:pStyle w:val="TOC1"/>
            <w:rPr>
              <w:rFonts w:asciiTheme="majorHAnsi" w:eastAsiaTheme="minorEastAsia" w:hAnsiTheme="majorHAnsi" w:cstheme="minorBidi"/>
              <w:szCs w:val="22"/>
              <w:lang w:eastAsia="en-AU"/>
            </w:rPr>
          </w:pPr>
          <w:hyperlink w:anchor="_Toc108097473" w:history="1">
            <w:r w:rsidR="00650EC2" w:rsidRPr="00650EC2">
              <w:rPr>
                <w:rStyle w:val="Hyperlink"/>
                <w:rFonts w:asciiTheme="majorHAnsi" w:hAnsiTheme="majorHAnsi" w:cs="Times New Roman"/>
              </w:rPr>
              <w:t>Assumptions underpinning the service model</w:t>
            </w:r>
            <w:r w:rsidR="00650EC2" w:rsidRPr="00650EC2">
              <w:rPr>
                <w:rFonts w:asciiTheme="majorHAnsi" w:hAnsiTheme="majorHAnsi"/>
                <w:webHidden/>
              </w:rPr>
              <w:tab/>
            </w:r>
            <w:r w:rsidR="00650EC2" w:rsidRPr="00650EC2">
              <w:rPr>
                <w:rFonts w:asciiTheme="majorHAnsi" w:hAnsiTheme="majorHAnsi"/>
                <w:webHidden/>
              </w:rPr>
              <w:fldChar w:fldCharType="begin"/>
            </w:r>
            <w:r w:rsidR="00650EC2" w:rsidRPr="00650EC2">
              <w:rPr>
                <w:rFonts w:asciiTheme="majorHAnsi" w:hAnsiTheme="majorHAnsi"/>
                <w:webHidden/>
              </w:rPr>
              <w:instrText xml:space="preserve"> PAGEREF _Toc108097473 \h </w:instrText>
            </w:r>
            <w:r w:rsidR="00650EC2" w:rsidRPr="00650EC2">
              <w:rPr>
                <w:rFonts w:asciiTheme="majorHAnsi" w:hAnsiTheme="majorHAnsi"/>
                <w:webHidden/>
              </w:rPr>
            </w:r>
            <w:r w:rsidR="00650EC2" w:rsidRPr="00650EC2">
              <w:rPr>
                <w:rFonts w:asciiTheme="majorHAnsi" w:hAnsiTheme="majorHAnsi"/>
                <w:webHidden/>
              </w:rPr>
              <w:fldChar w:fldCharType="separate"/>
            </w:r>
            <w:r w:rsidR="00E902E0">
              <w:rPr>
                <w:rFonts w:asciiTheme="majorHAnsi" w:hAnsiTheme="majorHAnsi"/>
                <w:webHidden/>
              </w:rPr>
              <w:t>7</w:t>
            </w:r>
            <w:r w:rsidR="00650EC2" w:rsidRPr="00650EC2">
              <w:rPr>
                <w:rFonts w:asciiTheme="majorHAnsi" w:hAnsiTheme="majorHAnsi"/>
                <w:webHidden/>
              </w:rPr>
              <w:fldChar w:fldCharType="end"/>
            </w:r>
          </w:hyperlink>
        </w:p>
        <w:p w14:paraId="6CE0FEBF" w14:textId="19B2DA8F" w:rsidR="00650EC2" w:rsidRPr="00650EC2" w:rsidRDefault="00787649">
          <w:pPr>
            <w:pStyle w:val="TOC1"/>
            <w:rPr>
              <w:rFonts w:asciiTheme="majorHAnsi" w:eastAsiaTheme="minorEastAsia" w:hAnsiTheme="majorHAnsi" w:cstheme="minorBidi"/>
              <w:szCs w:val="22"/>
              <w:lang w:eastAsia="en-AU"/>
            </w:rPr>
          </w:pPr>
          <w:hyperlink w:anchor="_Toc108097474" w:history="1">
            <w:r w:rsidR="00650EC2" w:rsidRPr="00650EC2">
              <w:rPr>
                <w:rStyle w:val="Hyperlink"/>
                <w:rFonts w:asciiTheme="majorHAnsi" w:hAnsiTheme="majorHAnsi" w:cs="Times New Roman"/>
              </w:rPr>
              <w:t>Core service elements</w:t>
            </w:r>
            <w:r w:rsidR="00650EC2" w:rsidRPr="00650EC2">
              <w:rPr>
                <w:rFonts w:asciiTheme="majorHAnsi" w:hAnsiTheme="majorHAnsi"/>
                <w:webHidden/>
              </w:rPr>
              <w:tab/>
            </w:r>
            <w:r w:rsidR="00650EC2" w:rsidRPr="00650EC2">
              <w:rPr>
                <w:rFonts w:asciiTheme="majorHAnsi" w:hAnsiTheme="majorHAnsi"/>
                <w:webHidden/>
              </w:rPr>
              <w:fldChar w:fldCharType="begin"/>
            </w:r>
            <w:r w:rsidR="00650EC2" w:rsidRPr="00650EC2">
              <w:rPr>
                <w:rFonts w:asciiTheme="majorHAnsi" w:hAnsiTheme="majorHAnsi"/>
                <w:webHidden/>
              </w:rPr>
              <w:instrText xml:space="preserve"> PAGEREF _Toc108097474 \h </w:instrText>
            </w:r>
            <w:r w:rsidR="00650EC2" w:rsidRPr="00650EC2">
              <w:rPr>
                <w:rFonts w:asciiTheme="majorHAnsi" w:hAnsiTheme="majorHAnsi"/>
                <w:webHidden/>
              </w:rPr>
            </w:r>
            <w:r w:rsidR="00650EC2" w:rsidRPr="00650EC2">
              <w:rPr>
                <w:rFonts w:asciiTheme="majorHAnsi" w:hAnsiTheme="majorHAnsi"/>
                <w:webHidden/>
              </w:rPr>
              <w:fldChar w:fldCharType="separate"/>
            </w:r>
            <w:r w:rsidR="00E902E0">
              <w:rPr>
                <w:rFonts w:asciiTheme="majorHAnsi" w:hAnsiTheme="majorHAnsi"/>
                <w:webHidden/>
              </w:rPr>
              <w:t>7</w:t>
            </w:r>
            <w:r w:rsidR="00650EC2" w:rsidRPr="00650EC2">
              <w:rPr>
                <w:rFonts w:asciiTheme="majorHAnsi" w:hAnsiTheme="majorHAnsi"/>
                <w:webHidden/>
              </w:rPr>
              <w:fldChar w:fldCharType="end"/>
            </w:r>
          </w:hyperlink>
        </w:p>
        <w:p w14:paraId="0E99E8E4" w14:textId="26AC1C96" w:rsidR="00650EC2" w:rsidRPr="00650EC2" w:rsidRDefault="00787649">
          <w:pPr>
            <w:pStyle w:val="TOC2"/>
            <w:rPr>
              <w:rFonts w:asciiTheme="majorHAnsi" w:eastAsiaTheme="minorEastAsia" w:hAnsiTheme="majorHAnsi" w:cstheme="minorBidi"/>
              <w:szCs w:val="22"/>
              <w:lang w:eastAsia="en-AU"/>
            </w:rPr>
          </w:pPr>
          <w:hyperlink w:anchor="_Toc108097475" w:history="1">
            <w:r w:rsidR="00650EC2" w:rsidRPr="00650EC2">
              <w:rPr>
                <w:rStyle w:val="Hyperlink"/>
                <w:rFonts w:asciiTheme="majorHAnsi" w:hAnsiTheme="majorHAnsi" w:cs="Times New Roman"/>
              </w:rPr>
              <w:t>Operating hours</w:t>
            </w:r>
            <w:r w:rsidR="00650EC2" w:rsidRPr="00650EC2">
              <w:rPr>
                <w:rFonts w:asciiTheme="majorHAnsi" w:hAnsiTheme="majorHAnsi"/>
                <w:webHidden/>
              </w:rPr>
              <w:tab/>
            </w:r>
            <w:r w:rsidR="00650EC2" w:rsidRPr="00650EC2">
              <w:rPr>
                <w:rFonts w:asciiTheme="majorHAnsi" w:hAnsiTheme="majorHAnsi"/>
                <w:webHidden/>
              </w:rPr>
              <w:fldChar w:fldCharType="begin"/>
            </w:r>
            <w:r w:rsidR="00650EC2" w:rsidRPr="00650EC2">
              <w:rPr>
                <w:rFonts w:asciiTheme="majorHAnsi" w:hAnsiTheme="majorHAnsi"/>
                <w:webHidden/>
              </w:rPr>
              <w:instrText xml:space="preserve"> PAGEREF _Toc108097475 \h </w:instrText>
            </w:r>
            <w:r w:rsidR="00650EC2" w:rsidRPr="00650EC2">
              <w:rPr>
                <w:rFonts w:asciiTheme="majorHAnsi" w:hAnsiTheme="majorHAnsi"/>
                <w:webHidden/>
              </w:rPr>
            </w:r>
            <w:r w:rsidR="00650EC2" w:rsidRPr="00650EC2">
              <w:rPr>
                <w:rFonts w:asciiTheme="majorHAnsi" w:hAnsiTheme="majorHAnsi"/>
                <w:webHidden/>
              </w:rPr>
              <w:fldChar w:fldCharType="separate"/>
            </w:r>
            <w:r w:rsidR="00E902E0">
              <w:rPr>
                <w:rFonts w:asciiTheme="majorHAnsi" w:hAnsiTheme="majorHAnsi"/>
                <w:webHidden/>
              </w:rPr>
              <w:t>8</w:t>
            </w:r>
            <w:r w:rsidR="00650EC2" w:rsidRPr="00650EC2">
              <w:rPr>
                <w:rFonts w:asciiTheme="majorHAnsi" w:hAnsiTheme="majorHAnsi"/>
                <w:webHidden/>
              </w:rPr>
              <w:fldChar w:fldCharType="end"/>
            </w:r>
          </w:hyperlink>
        </w:p>
        <w:p w14:paraId="41881DEA" w14:textId="79F5C9A0" w:rsidR="00650EC2" w:rsidRPr="00650EC2" w:rsidRDefault="00787649">
          <w:pPr>
            <w:pStyle w:val="TOC2"/>
            <w:rPr>
              <w:rFonts w:asciiTheme="majorHAnsi" w:eastAsiaTheme="minorEastAsia" w:hAnsiTheme="majorHAnsi" w:cstheme="minorBidi"/>
              <w:szCs w:val="22"/>
              <w:lang w:eastAsia="en-AU"/>
            </w:rPr>
          </w:pPr>
          <w:hyperlink w:anchor="_Toc108097476" w:history="1">
            <w:r w:rsidR="00650EC2" w:rsidRPr="00650EC2">
              <w:rPr>
                <w:rStyle w:val="Hyperlink"/>
                <w:rFonts w:asciiTheme="majorHAnsi" w:hAnsiTheme="majorHAnsi" w:cs="Times New Roman"/>
              </w:rPr>
              <w:t>National telephony infrastructure</w:t>
            </w:r>
            <w:r w:rsidR="00650EC2" w:rsidRPr="00650EC2">
              <w:rPr>
                <w:rFonts w:asciiTheme="majorHAnsi" w:hAnsiTheme="majorHAnsi"/>
                <w:webHidden/>
              </w:rPr>
              <w:tab/>
            </w:r>
            <w:r w:rsidR="00650EC2" w:rsidRPr="00650EC2">
              <w:rPr>
                <w:rFonts w:asciiTheme="majorHAnsi" w:hAnsiTheme="majorHAnsi"/>
                <w:webHidden/>
              </w:rPr>
              <w:fldChar w:fldCharType="begin"/>
            </w:r>
            <w:r w:rsidR="00650EC2" w:rsidRPr="00650EC2">
              <w:rPr>
                <w:rFonts w:asciiTheme="majorHAnsi" w:hAnsiTheme="majorHAnsi"/>
                <w:webHidden/>
              </w:rPr>
              <w:instrText xml:space="preserve"> PAGEREF _Toc108097476 \h </w:instrText>
            </w:r>
            <w:r w:rsidR="00650EC2" w:rsidRPr="00650EC2">
              <w:rPr>
                <w:rFonts w:asciiTheme="majorHAnsi" w:hAnsiTheme="majorHAnsi"/>
                <w:webHidden/>
              </w:rPr>
            </w:r>
            <w:r w:rsidR="00650EC2" w:rsidRPr="00650EC2">
              <w:rPr>
                <w:rFonts w:asciiTheme="majorHAnsi" w:hAnsiTheme="majorHAnsi"/>
                <w:webHidden/>
              </w:rPr>
              <w:fldChar w:fldCharType="separate"/>
            </w:r>
            <w:r w:rsidR="00E902E0">
              <w:rPr>
                <w:rFonts w:asciiTheme="majorHAnsi" w:hAnsiTheme="majorHAnsi"/>
                <w:webHidden/>
              </w:rPr>
              <w:t>8</w:t>
            </w:r>
            <w:r w:rsidR="00650EC2" w:rsidRPr="00650EC2">
              <w:rPr>
                <w:rFonts w:asciiTheme="majorHAnsi" w:hAnsiTheme="majorHAnsi"/>
                <w:webHidden/>
              </w:rPr>
              <w:fldChar w:fldCharType="end"/>
            </w:r>
          </w:hyperlink>
        </w:p>
        <w:p w14:paraId="1DF05E7F" w14:textId="0AEF69BA" w:rsidR="00650EC2" w:rsidRPr="00650EC2" w:rsidRDefault="00787649">
          <w:pPr>
            <w:pStyle w:val="TOC2"/>
            <w:rPr>
              <w:rFonts w:asciiTheme="majorHAnsi" w:eastAsiaTheme="minorEastAsia" w:hAnsiTheme="majorHAnsi" w:cstheme="minorBidi"/>
              <w:szCs w:val="22"/>
              <w:lang w:eastAsia="en-AU"/>
            </w:rPr>
          </w:pPr>
          <w:hyperlink w:anchor="_Toc108097477" w:history="1">
            <w:r w:rsidR="00650EC2" w:rsidRPr="00650EC2">
              <w:rPr>
                <w:rStyle w:val="Hyperlink"/>
                <w:rFonts w:asciiTheme="majorHAnsi" w:hAnsiTheme="majorHAnsi" w:cs="Times New Roman"/>
              </w:rPr>
              <w:t>Assessment</w:t>
            </w:r>
            <w:r w:rsidR="00650EC2" w:rsidRPr="00650EC2">
              <w:rPr>
                <w:rFonts w:asciiTheme="majorHAnsi" w:hAnsiTheme="majorHAnsi"/>
                <w:webHidden/>
              </w:rPr>
              <w:tab/>
            </w:r>
            <w:r w:rsidR="00650EC2" w:rsidRPr="00650EC2">
              <w:rPr>
                <w:rFonts w:asciiTheme="majorHAnsi" w:hAnsiTheme="majorHAnsi"/>
                <w:webHidden/>
              </w:rPr>
              <w:fldChar w:fldCharType="begin"/>
            </w:r>
            <w:r w:rsidR="00650EC2" w:rsidRPr="00650EC2">
              <w:rPr>
                <w:rFonts w:asciiTheme="majorHAnsi" w:hAnsiTheme="majorHAnsi"/>
                <w:webHidden/>
              </w:rPr>
              <w:instrText xml:space="preserve"> PAGEREF _Toc108097477 \h </w:instrText>
            </w:r>
            <w:r w:rsidR="00650EC2" w:rsidRPr="00650EC2">
              <w:rPr>
                <w:rFonts w:asciiTheme="majorHAnsi" w:hAnsiTheme="majorHAnsi"/>
                <w:webHidden/>
              </w:rPr>
            </w:r>
            <w:r w:rsidR="00650EC2" w:rsidRPr="00650EC2">
              <w:rPr>
                <w:rFonts w:asciiTheme="majorHAnsi" w:hAnsiTheme="majorHAnsi"/>
                <w:webHidden/>
              </w:rPr>
              <w:fldChar w:fldCharType="separate"/>
            </w:r>
            <w:r w:rsidR="00E902E0">
              <w:rPr>
                <w:rFonts w:asciiTheme="majorHAnsi" w:hAnsiTheme="majorHAnsi"/>
                <w:webHidden/>
              </w:rPr>
              <w:t>9</w:t>
            </w:r>
            <w:r w:rsidR="00650EC2" w:rsidRPr="00650EC2">
              <w:rPr>
                <w:rFonts w:asciiTheme="majorHAnsi" w:hAnsiTheme="majorHAnsi"/>
                <w:webHidden/>
              </w:rPr>
              <w:fldChar w:fldCharType="end"/>
            </w:r>
          </w:hyperlink>
        </w:p>
        <w:p w14:paraId="2965E25D" w14:textId="13861D6F" w:rsidR="00650EC2" w:rsidRPr="00650EC2" w:rsidRDefault="00787649">
          <w:pPr>
            <w:pStyle w:val="TOC2"/>
            <w:rPr>
              <w:rFonts w:asciiTheme="majorHAnsi" w:eastAsiaTheme="minorEastAsia" w:hAnsiTheme="majorHAnsi" w:cstheme="minorBidi"/>
              <w:szCs w:val="22"/>
              <w:lang w:eastAsia="en-AU"/>
            </w:rPr>
          </w:pPr>
          <w:hyperlink w:anchor="_Toc108097478" w:history="1">
            <w:r w:rsidR="00650EC2" w:rsidRPr="00650EC2">
              <w:rPr>
                <w:rStyle w:val="Hyperlink"/>
                <w:rFonts w:asciiTheme="majorHAnsi" w:hAnsiTheme="majorHAnsi" w:cs="Times New Roman"/>
              </w:rPr>
              <w:t>Warm referral</w:t>
            </w:r>
            <w:r w:rsidR="00650EC2" w:rsidRPr="00650EC2">
              <w:rPr>
                <w:rFonts w:asciiTheme="majorHAnsi" w:hAnsiTheme="majorHAnsi"/>
                <w:webHidden/>
              </w:rPr>
              <w:tab/>
            </w:r>
            <w:r w:rsidR="00650EC2" w:rsidRPr="00650EC2">
              <w:rPr>
                <w:rFonts w:asciiTheme="majorHAnsi" w:hAnsiTheme="majorHAnsi"/>
                <w:webHidden/>
              </w:rPr>
              <w:fldChar w:fldCharType="begin"/>
            </w:r>
            <w:r w:rsidR="00650EC2" w:rsidRPr="00650EC2">
              <w:rPr>
                <w:rFonts w:asciiTheme="majorHAnsi" w:hAnsiTheme="majorHAnsi"/>
                <w:webHidden/>
              </w:rPr>
              <w:instrText xml:space="preserve"> PAGEREF _Toc108097478 \h </w:instrText>
            </w:r>
            <w:r w:rsidR="00650EC2" w:rsidRPr="00650EC2">
              <w:rPr>
                <w:rFonts w:asciiTheme="majorHAnsi" w:hAnsiTheme="majorHAnsi"/>
                <w:webHidden/>
              </w:rPr>
            </w:r>
            <w:r w:rsidR="00650EC2" w:rsidRPr="00650EC2">
              <w:rPr>
                <w:rFonts w:asciiTheme="majorHAnsi" w:hAnsiTheme="majorHAnsi"/>
                <w:webHidden/>
              </w:rPr>
              <w:fldChar w:fldCharType="separate"/>
            </w:r>
            <w:r w:rsidR="00E902E0">
              <w:rPr>
                <w:rFonts w:asciiTheme="majorHAnsi" w:hAnsiTheme="majorHAnsi"/>
                <w:webHidden/>
              </w:rPr>
              <w:t>10</w:t>
            </w:r>
            <w:r w:rsidR="00650EC2" w:rsidRPr="00650EC2">
              <w:rPr>
                <w:rFonts w:asciiTheme="majorHAnsi" w:hAnsiTheme="majorHAnsi"/>
                <w:webHidden/>
              </w:rPr>
              <w:fldChar w:fldCharType="end"/>
            </w:r>
          </w:hyperlink>
        </w:p>
        <w:p w14:paraId="44A9D46A" w14:textId="1937276B" w:rsidR="00650EC2" w:rsidRPr="00650EC2" w:rsidRDefault="00787649">
          <w:pPr>
            <w:pStyle w:val="TOC2"/>
            <w:rPr>
              <w:rFonts w:asciiTheme="majorHAnsi" w:eastAsiaTheme="minorEastAsia" w:hAnsiTheme="majorHAnsi" w:cstheme="minorBidi"/>
              <w:szCs w:val="22"/>
              <w:lang w:eastAsia="en-AU"/>
            </w:rPr>
          </w:pPr>
          <w:hyperlink w:anchor="_Toc108097479" w:history="1">
            <w:r w:rsidR="00650EC2" w:rsidRPr="00650EC2">
              <w:rPr>
                <w:rStyle w:val="Hyperlink"/>
                <w:rFonts w:asciiTheme="majorHAnsi" w:hAnsiTheme="majorHAnsi" w:cs="Times New Roman"/>
              </w:rPr>
              <w:t>Crisis response</w:t>
            </w:r>
            <w:r w:rsidR="00650EC2" w:rsidRPr="00650EC2">
              <w:rPr>
                <w:rFonts w:asciiTheme="majorHAnsi" w:hAnsiTheme="majorHAnsi"/>
                <w:webHidden/>
              </w:rPr>
              <w:tab/>
            </w:r>
            <w:r w:rsidR="00650EC2" w:rsidRPr="00650EC2">
              <w:rPr>
                <w:rFonts w:asciiTheme="majorHAnsi" w:hAnsiTheme="majorHAnsi"/>
                <w:webHidden/>
              </w:rPr>
              <w:fldChar w:fldCharType="begin"/>
            </w:r>
            <w:r w:rsidR="00650EC2" w:rsidRPr="00650EC2">
              <w:rPr>
                <w:rFonts w:asciiTheme="majorHAnsi" w:hAnsiTheme="majorHAnsi"/>
                <w:webHidden/>
              </w:rPr>
              <w:instrText xml:space="preserve"> PAGEREF _Toc108097479 \h </w:instrText>
            </w:r>
            <w:r w:rsidR="00650EC2" w:rsidRPr="00650EC2">
              <w:rPr>
                <w:rFonts w:asciiTheme="majorHAnsi" w:hAnsiTheme="majorHAnsi"/>
                <w:webHidden/>
              </w:rPr>
            </w:r>
            <w:r w:rsidR="00650EC2" w:rsidRPr="00650EC2">
              <w:rPr>
                <w:rFonts w:asciiTheme="majorHAnsi" w:hAnsiTheme="majorHAnsi"/>
                <w:webHidden/>
              </w:rPr>
              <w:fldChar w:fldCharType="separate"/>
            </w:r>
            <w:r w:rsidR="00E902E0">
              <w:rPr>
                <w:rFonts w:asciiTheme="majorHAnsi" w:hAnsiTheme="majorHAnsi"/>
                <w:webHidden/>
              </w:rPr>
              <w:t>10</w:t>
            </w:r>
            <w:r w:rsidR="00650EC2" w:rsidRPr="00650EC2">
              <w:rPr>
                <w:rFonts w:asciiTheme="majorHAnsi" w:hAnsiTheme="majorHAnsi"/>
                <w:webHidden/>
              </w:rPr>
              <w:fldChar w:fldCharType="end"/>
            </w:r>
          </w:hyperlink>
        </w:p>
        <w:p w14:paraId="4246BD0D" w14:textId="31D89E99" w:rsidR="00650EC2" w:rsidRPr="00650EC2" w:rsidRDefault="00787649">
          <w:pPr>
            <w:pStyle w:val="TOC2"/>
            <w:rPr>
              <w:rFonts w:asciiTheme="majorHAnsi" w:eastAsiaTheme="minorEastAsia" w:hAnsiTheme="majorHAnsi" w:cstheme="minorBidi"/>
              <w:szCs w:val="22"/>
              <w:lang w:eastAsia="en-AU"/>
            </w:rPr>
          </w:pPr>
          <w:hyperlink w:anchor="_Toc108097480" w:history="1">
            <w:r w:rsidR="00650EC2" w:rsidRPr="00650EC2">
              <w:rPr>
                <w:rStyle w:val="Hyperlink"/>
                <w:rFonts w:asciiTheme="majorHAnsi" w:hAnsiTheme="majorHAnsi" w:cs="Times New Roman"/>
              </w:rPr>
              <w:t>Integration and planning</w:t>
            </w:r>
            <w:r w:rsidR="00650EC2" w:rsidRPr="00650EC2">
              <w:rPr>
                <w:rFonts w:asciiTheme="majorHAnsi" w:hAnsiTheme="majorHAnsi"/>
                <w:webHidden/>
              </w:rPr>
              <w:tab/>
            </w:r>
            <w:r w:rsidR="00650EC2" w:rsidRPr="00650EC2">
              <w:rPr>
                <w:rFonts w:asciiTheme="majorHAnsi" w:hAnsiTheme="majorHAnsi"/>
                <w:webHidden/>
              </w:rPr>
              <w:fldChar w:fldCharType="begin"/>
            </w:r>
            <w:r w:rsidR="00650EC2" w:rsidRPr="00650EC2">
              <w:rPr>
                <w:rFonts w:asciiTheme="majorHAnsi" w:hAnsiTheme="majorHAnsi"/>
                <w:webHidden/>
              </w:rPr>
              <w:instrText xml:space="preserve"> PAGEREF _Toc108097480 \h </w:instrText>
            </w:r>
            <w:r w:rsidR="00650EC2" w:rsidRPr="00650EC2">
              <w:rPr>
                <w:rFonts w:asciiTheme="majorHAnsi" w:hAnsiTheme="majorHAnsi"/>
                <w:webHidden/>
              </w:rPr>
            </w:r>
            <w:r w:rsidR="00650EC2" w:rsidRPr="00650EC2">
              <w:rPr>
                <w:rFonts w:asciiTheme="majorHAnsi" w:hAnsiTheme="majorHAnsi"/>
                <w:webHidden/>
              </w:rPr>
              <w:fldChar w:fldCharType="separate"/>
            </w:r>
            <w:r w:rsidR="00E902E0">
              <w:rPr>
                <w:rFonts w:asciiTheme="majorHAnsi" w:hAnsiTheme="majorHAnsi"/>
                <w:webHidden/>
              </w:rPr>
              <w:t>11</w:t>
            </w:r>
            <w:r w:rsidR="00650EC2" w:rsidRPr="00650EC2">
              <w:rPr>
                <w:rFonts w:asciiTheme="majorHAnsi" w:hAnsiTheme="majorHAnsi"/>
                <w:webHidden/>
              </w:rPr>
              <w:fldChar w:fldCharType="end"/>
            </w:r>
          </w:hyperlink>
        </w:p>
        <w:p w14:paraId="2ECF6DB2" w14:textId="77066CD7" w:rsidR="00650EC2" w:rsidRPr="00650EC2" w:rsidRDefault="00787649">
          <w:pPr>
            <w:pStyle w:val="TOC2"/>
            <w:rPr>
              <w:rFonts w:asciiTheme="majorHAnsi" w:eastAsiaTheme="minorEastAsia" w:hAnsiTheme="majorHAnsi" w:cstheme="minorBidi"/>
              <w:szCs w:val="22"/>
              <w:lang w:eastAsia="en-AU"/>
            </w:rPr>
          </w:pPr>
          <w:hyperlink w:anchor="_Toc108097481" w:history="1">
            <w:r w:rsidR="00650EC2" w:rsidRPr="00650EC2">
              <w:rPr>
                <w:rStyle w:val="Hyperlink"/>
                <w:rFonts w:asciiTheme="majorHAnsi" w:hAnsiTheme="majorHAnsi" w:cs="Times New Roman"/>
              </w:rPr>
              <w:t>Safety and quality</w:t>
            </w:r>
            <w:r w:rsidR="00650EC2" w:rsidRPr="00650EC2">
              <w:rPr>
                <w:rFonts w:asciiTheme="majorHAnsi" w:hAnsiTheme="majorHAnsi"/>
                <w:webHidden/>
              </w:rPr>
              <w:tab/>
            </w:r>
            <w:r w:rsidR="00650EC2" w:rsidRPr="00650EC2">
              <w:rPr>
                <w:rFonts w:asciiTheme="majorHAnsi" w:hAnsiTheme="majorHAnsi"/>
                <w:webHidden/>
              </w:rPr>
              <w:fldChar w:fldCharType="begin"/>
            </w:r>
            <w:r w:rsidR="00650EC2" w:rsidRPr="00650EC2">
              <w:rPr>
                <w:rFonts w:asciiTheme="majorHAnsi" w:hAnsiTheme="majorHAnsi"/>
                <w:webHidden/>
              </w:rPr>
              <w:instrText xml:space="preserve"> PAGEREF _Toc108097481 \h </w:instrText>
            </w:r>
            <w:r w:rsidR="00650EC2" w:rsidRPr="00650EC2">
              <w:rPr>
                <w:rFonts w:asciiTheme="majorHAnsi" w:hAnsiTheme="majorHAnsi"/>
                <w:webHidden/>
              </w:rPr>
            </w:r>
            <w:r w:rsidR="00650EC2" w:rsidRPr="00650EC2">
              <w:rPr>
                <w:rFonts w:asciiTheme="majorHAnsi" w:hAnsiTheme="majorHAnsi"/>
                <w:webHidden/>
              </w:rPr>
              <w:fldChar w:fldCharType="separate"/>
            </w:r>
            <w:r w:rsidR="00E902E0">
              <w:rPr>
                <w:rFonts w:asciiTheme="majorHAnsi" w:hAnsiTheme="majorHAnsi"/>
                <w:webHidden/>
              </w:rPr>
              <w:t>11</w:t>
            </w:r>
            <w:r w:rsidR="00650EC2" w:rsidRPr="00650EC2">
              <w:rPr>
                <w:rFonts w:asciiTheme="majorHAnsi" w:hAnsiTheme="majorHAnsi"/>
                <w:webHidden/>
              </w:rPr>
              <w:fldChar w:fldCharType="end"/>
            </w:r>
          </w:hyperlink>
        </w:p>
        <w:p w14:paraId="66B01490" w14:textId="15DC5797" w:rsidR="00650EC2" w:rsidRPr="00650EC2" w:rsidRDefault="00787649">
          <w:pPr>
            <w:pStyle w:val="TOC1"/>
            <w:rPr>
              <w:rFonts w:asciiTheme="majorHAnsi" w:eastAsiaTheme="minorEastAsia" w:hAnsiTheme="majorHAnsi" w:cstheme="minorBidi"/>
              <w:szCs w:val="22"/>
              <w:lang w:eastAsia="en-AU"/>
            </w:rPr>
          </w:pPr>
          <w:hyperlink w:anchor="_Toc108097482" w:history="1">
            <w:r w:rsidR="00650EC2" w:rsidRPr="00650EC2">
              <w:rPr>
                <w:rStyle w:val="Hyperlink"/>
                <w:rFonts w:asciiTheme="majorHAnsi" w:hAnsiTheme="majorHAnsi" w:cs="Times New Roman"/>
              </w:rPr>
              <w:t>Staged implementation</w:t>
            </w:r>
            <w:r w:rsidR="00650EC2" w:rsidRPr="00650EC2">
              <w:rPr>
                <w:rFonts w:asciiTheme="majorHAnsi" w:hAnsiTheme="majorHAnsi"/>
                <w:webHidden/>
              </w:rPr>
              <w:tab/>
            </w:r>
            <w:r w:rsidR="00650EC2" w:rsidRPr="00650EC2">
              <w:rPr>
                <w:rFonts w:asciiTheme="majorHAnsi" w:hAnsiTheme="majorHAnsi"/>
                <w:webHidden/>
              </w:rPr>
              <w:fldChar w:fldCharType="begin"/>
            </w:r>
            <w:r w:rsidR="00650EC2" w:rsidRPr="00650EC2">
              <w:rPr>
                <w:rFonts w:asciiTheme="majorHAnsi" w:hAnsiTheme="majorHAnsi"/>
                <w:webHidden/>
              </w:rPr>
              <w:instrText xml:space="preserve"> PAGEREF _Toc108097482 \h </w:instrText>
            </w:r>
            <w:r w:rsidR="00650EC2" w:rsidRPr="00650EC2">
              <w:rPr>
                <w:rFonts w:asciiTheme="majorHAnsi" w:hAnsiTheme="majorHAnsi"/>
                <w:webHidden/>
              </w:rPr>
            </w:r>
            <w:r w:rsidR="00650EC2" w:rsidRPr="00650EC2">
              <w:rPr>
                <w:rFonts w:asciiTheme="majorHAnsi" w:hAnsiTheme="majorHAnsi"/>
                <w:webHidden/>
              </w:rPr>
              <w:fldChar w:fldCharType="separate"/>
            </w:r>
            <w:r w:rsidR="00E902E0">
              <w:rPr>
                <w:rFonts w:asciiTheme="majorHAnsi" w:hAnsiTheme="majorHAnsi"/>
                <w:webHidden/>
              </w:rPr>
              <w:t>12</w:t>
            </w:r>
            <w:r w:rsidR="00650EC2" w:rsidRPr="00650EC2">
              <w:rPr>
                <w:rFonts w:asciiTheme="majorHAnsi" w:hAnsiTheme="majorHAnsi"/>
                <w:webHidden/>
              </w:rPr>
              <w:fldChar w:fldCharType="end"/>
            </w:r>
          </w:hyperlink>
        </w:p>
        <w:p w14:paraId="0C11BC6C" w14:textId="0ED08B6C" w:rsidR="00650EC2" w:rsidRPr="00650EC2" w:rsidRDefault="00787649">
          <w:pPr>
            <w:pStyle w:val="TOC1"/>
            <w:rPr>
              <w:rFonts w:asciiTheme="majorHAnsi" w:eastAsiaTheme="minorEastAsia" w:hAnsiTheme="majorHAnsi" w:cstheme="minorBidi"/>
              <w:szCs w:val="22"/>
              <w:lang w:eastAsia="en-AU"/>
            </w:rPr>
          </w:pPr>
          <w:hyperlink w:anchor="_Toc108097483" w:history="1">
            <w:r w:rsidR="00650EC2" w:rsidRPr="00650EC2">
              <w:rPr>
                <w:rStyle w:val="Hyperlink"/>
                <w:rFonts w:asciiTheme="majorHAnsi" w:hAnsiTheme="majorHAnsi" w:cs="Times New Roman"/>
              </w:rPr>
              <w:t>Communications and branding</w:t>
            </w:r>
            <w:r w:rsidR="00650EC2" w:rsidRPr="00650EC2">
              <w:rPr>
                <w:rFonts w:asciiTheme="majorHAnsi" w:hAnsiTheme="majorHAnsi"/>
                <w:webHidden/>
              </w:rPr>
              <w:tab/>
            </w:r>
            <w:r w:rsidR="00650EC2" w:rsidRPr="00650EC2">
              <w:rPr>
                <w:rFonts w:asciiTheme="majorHAnsi" w:hAnsiTheme="majorHAnsi"/>
                <w:webHidden/>
              </w:rPr>
              <w:fldChar w:fldCharType="begin"/>
            </w:r>
            <w:r w:rsidR="00650EC2" w:rsidRPr="00650EC2">
              <w:rPr>
                <w:rFonts w:asciiTheme="majorHAnsi" w:hAnsiTheme="majorHAnsi"/>
                <w:webHidden/>
              </w:rPr>
              <w:instrText xml:space="preserve"> PAGEREF _Toc108097483 \h </w:instrText>
            </w:r>
            <w:r w:rsidR="00650EC2" w:rsidRPr="00650EC2">
              <w:rPr>
                <w:rFonts w:asciiTheme="majorHAnsi" w:hAnsiTheme="majorHAnsi"/>
                <w:webHidden/>
              </w:rPr>
            </w:r>
            <w:r w:rsidR="00650EC2" w:rsidRPr="00650EC2">
              <w:rPr>
                <w:rFonts w:asciiTheme="majorHAnsi" w:hAnsiTheme="majorHAnsi"/>
                <w:webHidden/>
              </w:rPr>
              <w:fldChar w:fldCharType="separate"/>
            </w:r>
            <w:r w:rsidR="00E902E0">
              <w:rPr>
                <w:rFonts w:asciiTheme="majorHAnsi" w:hAnsiTheme="majorHAnsi"/>
                <w:webHidden/>
              </w:rPr>
              <w:t>12</w:t>
            </w:r>
            <w:r w:rsidR="00650EC2" w:rsidRPr="00650EC2">
              <w:rPr>
                <w:rFonts w:asciiTheme="majorHAnsi" w:hAnsiTheme="majorHAnsi"/>
                <w:webHidden/>
              </w:rPr>
              <w:fldChar w:fldCharType="end"/>
            </w:r>
          </w:hyperlink>
        </w:p>
        <w:p w14:paraId="1F762220" w14:textId="151C22B2" w:rsidR="00650EC2" w:rsidRPr="00650EC2" w:rsidRDefault="00787649">
          <w:pPr>
            <w:pStyle w:val="TOC1"/>
            <w:rPr>
              <w:rFonts w:asciiTheme="majorHAnsi" w:eastAsiaTheme="minorEastAsia" w:hAnsiTheme="majorHAnsi" w:cstheme="minorBidi"/>
              <w:szCs w:val="22"/>
              <w:lang w:eastAsia="en-AU"/>
            </w:rPr>
          </w:pPr>
          <w:hyperlink w:anchor="_Toc108097484" w:history="1">
            <w:r w:rsidR="00650EC2" w:rsidRPr="00650EC2">
              <w:rPr>
                <w:rStyle w:val="Hyperlink"/>
                <w:rFonts w:asciiTheme="majorHAnsi" w:hAnsiTheme="majorHAnsi" w:cs="Times New Roman"/>
              </w:rPr>
              <w:t>Monitoring and evaluation</w:t>
            </w:r>
            <w:r w:rsidR="00650EC2" w:rsidRPr="00650EC2">
              <w:rPr>
                <w:rFonts w:asciiTheme="majorHAnsi" w:hAnsiTheme="majorHAnsi"/>
                <w:webHidden/>
              </w:rPr>
              <w:tab/>
            </w:r>
            <w:r w:rsidR="00650EC2" w:rsidRPr="00650EC2">
              <w:rPr>
                <w:rFonts w:asciiTheme="majorHAnsi" w:hAnsiTheme="majorHAnsi"/>
                <w:webHidden/>
              </w:rPr>
              <w:fldChar w:fldCharType="begin"/>
            </w:r>
            <w:r w:rsidR="00650EC2" w:rsidRPr="00650EC2">
              <w:rPr>
                <w:rFonts w:asciiTheme="majorHAnsi" w:hAnsiTheme="majorHAnsi"/>
                <w:webHidden/>
              </w:rPr>
              <w:instrText xml:space="preserve"> PAGEREF _Toc108097484 \h </w:instrText>
            </w:r>
            <w:r w:rsidR="00650EC2" w:rsidRPr="00650EC2">
              <w:rPr>
                <w:rFonts w:asciiTheme="majorHAnsi" w:hAnsiTheme="majorHAnsi"/>
                <w:webHidden/>
              </w:rPr>
            </w:r>
            <w:r w:rsidR="00650EC2" w:rsidRPr="00650EC2">
              <w:rPr>
                <w:rFonts w:asciiTheme="majorHAnsi" w:hAnsiTheme="majorHAnsi"/>
                <w:webHidden/>
              </w:rPr>
              <w:fldChar w:fldCharType="separate"/>
            </w:r>
            <w:r w:rsidR="00E902E0">
              <w:rPr>
                <w:rFonts w:asciiTheme="majorHAnsi" w:hAnsiTheme="majorHAnsi"/>
                <w:webHidden/>
              </w:rPr>
              <w:t>13</w:t>
            </w:r>
            <w:r w:rsidR="00650EC2" w:rsidRPr="00650EC2">
              <w:rPr>
                <w:rFonts w:asciiTheme="majorHAnsi" w:hAnsiTheme="majorHAnsi"/>
                <w:webHidden/>
              </w:rPr>
              <w:fldChar w:fldCharType="end"/>
            </w:r>
          </w:hyperlink>
        </w:p>
        <w:p w14:paraId="1207E385" w14:textId="696B51B2" w:rsidR="00650EC2" w:rsidRPr="00650EC2" w:rsidRDefault="00787649">
          <w:pPr>
            <w:pStyle w:val="TOC2"/>
            <w:rPr>
              <w:rFonts w:asciiTheme="majorHAnsi" w:eastAsiaTheme="minorEastAsia" w:hAnsiTheme="majorHAnsi" w:cstheme="minorBidi"/>
              <w:szCs w:val="22"/>
              <w:lang w:eastAsia="en-AU"/>
            </w:rPr>
          </w:pPr>
          <w:hyperlink w:anchor="_Toc108097485" w:history="1">
            <w:r w:rsidR="00650EC2" w:rsidRPr="00650EC2">
              <w:rPr>
                <w:rStyle w:val="Hyperlink"/>
                <w:rFonts w:asciiTheme="majorHAnsi" w:hAnsiTheme="majorHAnsi" w:cs="Times New Roman"/>
              </w:rPr>
              <w:t>Head to Health intake services reporting requirements</w:t>
            </w:r>
            <w:r w:rsidR="00650EC2" w:rsidRPr="00650EC2">
              <w:rPr>
                <w:rFonts w:asciiTheme="majorHAnsi" w:hAnsiTheme="majorHAnsi"/>
                <w:webHidden/>
              </w:rPr>
              <w:tab/>
            </w:r>
            <w:r w:rsidR="00650EC2" w:rsidRPr="00650EC2">
              <w:rPr>
                <w:rFonts w:asciiTheme="majorHAnsi" w:hAnsiTheme="majorHAnsi"/>
                <w:webHidden/>
              </w:rPr>
              <w:fldChar w:fldCharType="begin"/>
            </w:r>
            <w:r w:rsidR="00650EC2" w:rsidRPr="00650EC2">
              <w:rPr>
                <w:rFonts w:asciiTheme="majorHAnsi" w:hAnsiTheme="majorHAnsi"/>
                <w:webHidden/>
              </w:rPr>
              <w:instrText xml:space="preserve"> PAGEREF _Toc108097485 \h </w:instrText>
            </w:r>
            <w:r w:rsidR="00650EC2" w:rsidRPr="00650EC2">
              <w:rPr>
                <w:rFonts w:asciiTheme="majorHAnsi" w:hAnsiTheme="majorHAnsi"/>
                <w:webHidden/>
              </w:rPr>
            </w:r>
            <w:r w:rsidR="00650EC2" w:rsidRPr="00650EC2">
              <w:rPr>
                <w:rFonts w:asciiTheme="majorHAnsi" w:hAnsiTheme="majorHAnsi"/>
                <w:webHidden/>
              </w:rPr>
              <w:fldChar w:fldCharType="separate"/>
            </w:r>
            <w:r w:rsidR="00E902E0">
              <w:rPr>
                <w:rFonts w:asciiTheme="majorHAnsi" w:hAnsiTheme="majorHAnsi"/>
                <w:webHidden/>
              </w:rPr>
              <w:t>13</w:t>
            </w:r>
            <w:r w:rsidR="00650EC2" w:rsidRPr="00650EC2">
              <w:rPr>
                <w:rFonts w:asciiTheme="majorHAnsi" w:hAnsiTheme="majorHAnsi"/>
                <w:webHidden/>
              </w:rPr>
              <w:fldChar w:fldCharType="end"/>
            </w:r>
          </w:hyperlink>
        </w:p>
        <w:p w14:paraId="53B01A24" w14:textId="682D515F" w:rsidR="00650EC2" w:rsidRPr="00650EC2" w:rsidRDefault="00787649">
          <w:pPr>
            <w:pStyle w:val="TOC3"/>
            <w:tabs>
              <w:tab w:val="right" w:leader="dot" w:pos="9346"/>
            </w:tabs>
            <w:rPr>
              <w:rFonts w:asciiTheme="majorHAnsi" w:eastAsiaTheme="minorEastAsia" w:hAnsiTheme="majorHAnsi"/>
              <w:noProof/>
              <w:szCs w:val="22"/>
              <w:lang w:eastAsia="en-AU"/>
            </w:rPr>
          </w:pPr>
          <w:hyperlink w:anchor="_Toc108097486" w:history="1">
            <w:r w:rsidR="00650EC2" w:rsidRPr="00650EC2">
              <w:rPr>
                <w:rStyle w:val="Hyperlink"/>
                <w:rFonts w:asciiTheme="majorHAnsi" w:hAnsiTheme="majorHAnsi" w:cs="Times New Roman"/>
                <w:noProof/>
              </w:rPr>
              <w:t>PMHC-MDS</w:t>
            </w:r>
            <w:r w:rsidR="00650EC2" w:rsidRPr="00650EC2">
              <w:rPr>
                <w:rFonts w:asciiTheme="majorHAnsi" w:hAnsiTheme="majorHAnsi"/>
                <w:noProof/>
                <w:webHidden/>
              </w:rPr>
              <w:tab/>
            </w:r>
            <w:r w:rsidR="00650EC2" w:rsidRPr="00650EC2">
              <w:rPr>
                <w:rFonts w:asciiTheme="majorHAnsi" w:hAnsiTheme="majorHAnsi"/>
                <w:noProof/>
                <w:webHidden/>
              </w:rPr>
              <w:fldChar w:fldCharType="begin"/>
            </w:r>
            <w:r w:rsidR="00650EC2" w:rsidRPr="00650EC2">
              <w:rPr>
                <w:rFonts w:asciiTheme="majorHAnsi" w:hAnsiTheme="majorHAnsi"/>
                <w:noProof/>
                <w:webHidden/>
              </w:rPr>
              <w:instrText xml:space="preserve"> PAGEREF _Toc108097486 \h </w:instrText>
            </w:r>
            <w:r w:rsidR="00650EC2" w:rsidRPr="00650EC2">
              <w:rPr>
                <w:rFonts w:asciiTheme="majorHAnsi" w:hAnsiTheme="majorHAnsi"/>
                <w:noProof/>
                <w:webHidden/>
              </w:rPr>
            </w:r>
            <w:r w:rsidR="00650EC2" w:rsidRPr="00650EC2">
              <w:rPr>
                <w:rFonts w:asciiTheme="majorHAnsi" w:hAnsiTheme="majorHAnsi"/>
                <w:noProof/>
                <w:webHidden/>
              </w:rPr>
              <w:fldChar w:fldCharType="separate"/>
            </w:r>
            <w:r w:rsidR="00E902E0">
              <w:rPr>
                <w:rFonts w:asciiTheme="majorHAnsi" w:hAnsiTheme="majorHAnsi"/>
                <w:noProof/>
                <w:webHidden/>
              </w:rPr>
              <w:t>13</w:t>
            </w:r>
            <w:r w:rsidR="00650EC2" w:rsidRPr="00650EC2">
              <w:rPr>
                <w:rFonts w:asciiTheme="majorHAnsi" w:hAnsiTheme="majorHAnsi"/>
                <w:noProof/>
                <w:webHidden/>
              </w:rPr>
              <w:fldChar w:fldCharType="end"/>
            </w:r>
          </w:hyperlink>
        </w:p>
        <w:p w14:paraId="25E7B318" w14:textId="10912783" w:rsidR="00650EC2" w:rsidRPr="00650EC2" w:rsidRDefault="00787649">
          <w:pPr>
            <w:pStyle w:val="TOC3"/>
            <w:tabs>
              <w:tab w:val="right" w:leader="dot" w:pos="9346"/>
            </w:tabs>
            <w:rPr>
              <w:rFonts w:asciiTheme="majorHAnsi" w:eastAsiaTheme="minorEastAsia" w:hAnsiTheme="majorHAnsi"/>
              <w:noProof/>
              <w:szCs w:val="22"/>
              <w:lang w:eastAsia="en-AU"/>
            </w:rPr>
          </w:pPr>
          <w:hyperlink w:anchor="_Toc108097487" w:history="1">
            <w:r w:rsidR="00650EC2" w:rsidRPr="00650EC2">
              <w:rPr>
                <w:rStyle w:val="Hyperlink"/>
                <w:rFonts w:asciiTheme="majorHAnsi" w:hAnsiTheme="majorHAnsi" w:cs="Times New Roman"/>
                <w:noProof/>
              </w:rPr>
              <w:t>Telephony data</w:t>
            </w:r>
            <w:r w:rsidR="00650EC2" w:rsidRPr="00650EC2">
              <w:rPr>
                <w:rFonts w:asciiTheme="majorHAnsi" w:hAnsiTheme="majorHAnsi"/>
                <w:noProof/>
                <w:webHidden/>
              </w:rPr>
              <w:tab/>
            </w:r>
            <w:r w:rsidR="00650EC2" w:rsidRPr="00650EC2">
              <w:rPr>
                <w:rFonts w:asciiTheme="majorHAnsi" w:hAnsiTheme="majorHAnsi"/>
                <w:noProof/>
                <w:webHidden/>
              </w:rPr>
              <w:fldChar w:fldCharType="begin"/>
            </w:r>
            <w:r w:rsidR="00650EC2" w:rsidRPr="00650EC2">
              <w:rPr>
                <w:rFonts w:asciiTheme="majorHAnsi" w:hAnsiTheme="majorHAnsi"/>
                <w:noProof/>
                <w:webHidden/>
              </w:rPr>
              <w:instrText xml:space="preserve"> PAGEREF _Toc108097487 \h </w:instrText>
            </w:r>
            <w:r w:rsidR="00650EC2" w:rsidRPr="00650EC2">
              <w:rPr>
                <w:rFonts w:asciiTheme="majorHAnsi" w:hAnsiTheme="majorHAnsi"/>
                <w:noProof/>
                <w:webHidden/>
              </w:rPr>
            </w:r>
            <w:r w:rsidR="00650EC2" w:rsidRPr="00650EC2">
              <w:rPr>
                <w:rFonts w:asciiTheme="majorHAnsi" w:hAnsiTheme="majorHAnsi"/>
                <w:noProof/>
                <w:webHidden/>
              </w:rPr>
              <w:fldChar w:fldCharType="separate"/>
            </w:r>
            <w:r w:rsidR="00E902E0">
              <w:rPr>
                <w:rFonts w:asciiTheme="majorHAnsi" w:hAnsiTheme="majorHAnsi"/>
                <w:noProof/>
                <w:webHidden/>
              </w:rPr>
              <w:t>13</w:t>
            </w:r>
            <w:r w:rsidR="00650EC2" w:rsidRPr="00650EC2">
              <w:rPr>
                <w:rFonts w:asciiTheme="majorHAnsi" w:hAnsiTheme="majorHAnsi"/>
                <w:noProof/>
                <w:webHidden/>
              </w:rPr>
              <w:fldChar w:fldCharType="end"/>
            </w:r>
          </w:hyperlink>
        </w:p>
        <w:p w14:paraId="44CE554B" w14:textId="7AA2AD05" w:rsidR="00650EC2" w:rsidRPr="00650EC2" w:rsidRDefault="00787649">
          <w:pPr>
            <w:pStyle w:val="TOC3"/>
            <w:tabs>
              <w:tab w:val="right" w:leader="dot" w:pos="9346"/>
            </w:tabs>
            <w:rPr>
              <w:rFonts w:asciiTheme="majorHAnsi" w:eastAsiaTheme="minorEastAsia" w:hAnsiTheme="majorHAnsi"/>
              <w:noProof/>
              <w:szCs w:val="22"/>
              <w:lang w:eastAsia="en-AU"/>
            </w:rPr>
          </w:pPr>
          <w:hyperlink w:anchor="_Toc108097488" w:history="1">
            <w:r w:rsidR="00650EC2" w:rsidRPr="00650EC2">
              <w:rPr>
                <w:rStyle w:val="Hyperlink"/>
                <w:rFonts w:asciiTheme="majorHAnsi" w:hAnsiTheme="majorHAnsi" w:cs="Times New Roman"/>
                <w:noProof/>
              </w:rPr>
              <w:t>Contacts</w:t>
            </w:r>
            <w:r w:rsidR="00650EC2" w:rsidRPr="00650EC2">
              <w:rPr>
                <w:rFonts w:asciiTheme="majorHAnsi" w:hAnsiTheme="majorHAnsi"/>
                <w:noProof/>
                <w:webHidden/>
              </w:rPr>
              <w:tab/>
            </w:r>
            <w:r w:rsidR="00650EC2" w:rsidRPr="00650EC2">
              <w:rPr>
                <w:rFonts w:asciiTheme="majorHAnsi" w:hAnsiTheme="majorHAnsi"/>
                <w:noProof/>
                <w:webHidden/>
              </w:rPr>
              <w:fldChar w:fldCharType="begin"/>
            </w:r>
            <w:r w:rsidR="00650EC2" w:rsidRPr="00650EC2">
              <w:rPr>
                <w:rFonts w:asciiTheme="majorHAnsi" w:hAnsiTheme="majorHAnsi"/>
                <w:noProof/>
                <w:webHidden/>
              </w:rPr>
              <w:instrText xml:space="preserve"> PAGEREF _Toc108097488 \h </w:instrText>
            </w:r>
            <w:r w:rsidR="00650EC2" w:rsidRPr="00650EC2">
              <w:rPr>
                <w:rFonts w:asciiTheme="majorHAnsi" w:hAnsiTheme="majorHAnsi"/>
                <w:noProof/>
                <w:webHidden/>
              </w:rPr>
            </w:r>
            <w:r w:rsidR="00650EC2" w:rsidRPr="00650EC2">
              <w:rPr>
                <w:rFonts w:asciiTheme="majorHAnsi" w:hAnsiTheme="majorHAnsi"/>
                <w:noProof/>
                <w:webHidden/>
              </w:rPr>
              <w:fldChar w:fldCharType="separate"/>
            </w:r>
            <w:r w:rsidR="00E902E0">
              <w:rPr>
                <w:rFonts w:asciiTheme="majorHAnsi" w:hAnsiTheme="majorHAnsi"/>
                <w:noProof/>
                <w:webHidden/>
              </w:rPr>
              <w:t>14</w:t>
            </w:r>
            <w:r w:rsidR="00650EC2" w:rsidRPr="00650EC2">
              <w:rPr>
                <w:rFonts w:asciiTheme="majorHAnsi" w:hAnsiTheme="majorHAnsi"/>
                <w:noProof/>
                <w:webHidden/>
              </w:rPr>
              <w:fldChar w:fldCharType="end"/>
            </w:r>
          </w:hyperlink>
        </w:p>
        <w:p w14:paraId="3AAAF337" w14:textId="62267A98" w:rsidR="00650EC2" w:rsidRPr="00650EC2" w:rsidRDefault="00787649">
          <w:pPr>
            <w:pStyle w:val="TOC3"/>
            <w:tabs>
              <w:tab w:val="right" w:leader="dot" w:pos="9346"/>
            </w:tabs>
            <w:rPr>
              <w:rFonts w:asciiTheme="majorHAnsi" w:eastAsiaTheme="minorEastAsia" w:hAnsiTheme="majorHAnsi"/>
              <w:noProof/>
              <w:szCs w:val="22"/>
              <w:lang w:eastAsia="en-AU"/>
            </w:rPr>
          </w:pPr>
          <w:hyperlink w:anchor="_Toc108097489" w:history="1">
            <w:r w:rsidR="00650EC2" w:rsidRPr="00650EC2">
              <w:rPr>
                <w:rStyle w:val="Hyperlink"/>
                <w:rFonts w:asciiTheme="majorHAnsi" w:hAnsiTheme="majorHAnsi" w:cs="Times New Roman"/>
                <w:noProof/>
              </w:rPr>
              <w:t>PHN Mental Health Performance Framework key performance indicators</w:t>
            </w:r>
            <w:r w:rsidR="00650EC2" w:rsidRPr="00650EC2">
              <w:rPr>
                <w:rFonts w:asciiTheme="majorHAnsi" w:hAnsiTheme="majorHAnsi"/>
                <w:noProof/>
                <w:webHidden/>
              </w:rPr>
              <w:tab/>
            </w:r>
            <w:r w:rsidR="00650EC2" w:rsidRPr="00650EC2">
              <w:rPr>
                <w:rFonts w:asciiTheme="majorHAnsi" w:hAnsiTheme="majorHAnsi"/>
                <w:noProof/>
                <w:webHidden/>
              </w:rPr>
              <w:fldChar w:fldCharType="begin"/>
            </w:r>
            <w:r w:rsidR="00650EC2" w:rsidRPr="00650EC2">
              <w:rPr>
                <w:rFonts w:asciiTheme="majorHAnsi" w:hAnsiTheme="majorHAnsi"/>
                <w:noProof/>
                <w:webHidden/>
              </w:rPr>
              <w:instrText xml:space="preserve"> PAGEREF _Toc108097489 \h </w:instrText>
            </w:r>
            <w:r w:rsidR="00650EC2" w:rsidRPr="00650EC2">
              <w:rPr>
                <w:rFonts w:asciiTheme="majorHAnsi" w:hAnsiTheme="majorHAnsi"/>
                <w:noProof/>
                <w:webHidden/>
              </w:rPr>
            </w:r>
            <w:r w:rsidR="00650EC2" w:rsidRPr="00650EC2">
              <w:rPr>
                <w:rFonts w:asciiTheme="majorHAnsi" w:hAnsiTheme="majorHAnsi"/>
                <w:noProof/>
                <w:webHidden/>
              </w:rPr>
              <w:fldChar w:fldCharType="separate"/>
            </w:r>
            <w:r w:rsidR="00E902E0">
              <w:rPr>
                <w:rFonts w:asciiTheme="majorHAnsi" w:hAnsiTheme="majorHAnsi"/>
                <w:noProof/>
                <w:webHidden/>
              </w:rPr>
              <w:t>14</w:t>
            </w:r>
            <w:r w:rsidR="00650EC2" w:rsidRPr="00650EC2">
              <w:rPr>
                <w:rFonts w:asciiTheme="majorHAnsi" w:hAnsiTheme="majorHAnsi"/>
                <w:noProof/>
                <w:webHidden/>
              </w:rPr>
              <w:fldChar w:fldCharType="end"/>
            </w:r>
          </w:hyperlink>
        </w:p>
        <w:p w14:paraId="4B415E12" w14:textId="207CA541" w:rsidR="00650EC2" w:rsidRPr="00650EC2" w:rsidRDefault="00787649">
          <w:pPr>
            <w:pStyle w:val="TOC1"/>
            <w:rPr>
              <w:rFonts w:asciiTheme="majorHAnsi" w:eastAsiaTheme="minorEastAsia" w:hAnsiTheme="majorHAnsi" w:cstheme="minorBidi"/>
              <w:szCs w:val="22"/>
              <w:lang w:eastAsia="en-AU"/>
            </w:rPr>
          </w:pPr>
          <w:hyperlink w:anchor="_Toc108097490" w:history="1">
            <w:r w:rsidR="00650EC2" w:rsidRPr="00650EC2">
              <w:rPr>
                <w:rStyle w:val="Hyperlink"/>
                <w:rFonts w:asciiTheme="majorHAnsi" w:hAnsiTheme="majorHAnsi" w:cs="Times New Roman"/>
              </w:rPr>
              <w:t>Appendices</w:t>
            </w:r>
            <w:r w:rsidR="00650EC2" w:rsidRPr="00650EC2">
              <w:rPr>
                <w:rFonts w:asciiTheme="majorHAnsi" w:hAnsiTheme="majorHAnsi"/>
                <w:webHidden/>
              </w:rPr>
              <w:tab/>
            </w:r>
            <w:r w:rsidR="00650EC2" w:rsidRPr="00650EC2">
              <w:rPr>
                <w:rFonts w:asciiTheme="majorHAnsi" w:hAnsiTheme="majorHAnsi"/>
                <w:webHidden/>
              </w:rPr>
              <w:fldChar w:fldCharType="begin"/>
            </w:r>
            <w:r w:rsidR="00650EC2" w:rsidRPr="00650EC2">
              <w:rPr>
                <w:rFonts w:asciiTheme="majorHAnsi" w:hAnsiTheme="majorHAnsi"/>
                <w:webHidden/>
              </w:rPr>
              <w:instrText xml:space="preserve"> PAGEREF _Toc108097490 \h </w:instrText>
            </w:r>
            <w:r w:rsidR="00650EC2" w:rsidRPr="00650EC2">
              <w:rPr>
                <w:rFonts w:asciiTheme="majorHAnsi" w:hAnsiTheme="majorHAnsi"/>
                <w:webHidden/>
              </w:rPr>
            </w:r>
            <w:r w:rsidR="00650EC2" w:rsidRPr="00650EC2">
              <w:rPr>
                <w:rFonts w:asciiTheme="majorHAnsi" w:hAnsiTheme="majorHAnsi"/>
                <w:webHidden/>
              </w:rPr>
              <w:fldChar w:fldCharType="separate"/>
            </w:r>
            <w:r w:rsidR="00E902E0">
              <w:rPr>
                <w:rFonts w:asciiTheme="majorHAnsi" w:hAnsiTheme="majorHAnsi"/>
                <w:webHidden/>
              </w:rPr>
              <w:t>15</w:t>
            </w:r>
            <w:r w:rsidR="00650EC2" w:rsidRPr="00650EC2">
              <w:rPr>
                <w:rFonts w:asciiTheme="majorHAnsi" w:hAnsiTheme="majorHAnsi"/>
                <w:webHidden/>
              </w:rPr>
              <w:fldChar w:fldCharType="end"/>
            </w:r>
          </w:hyperlink>
        </w:p>
        <w:p w14:paraId="25C2B142" w14:textId="2816EEBF" w:rsidR="00650EC2" w:rsidRPr="00650EC2" w:rsidRDefault="00787649">
          <w:pPr>
            <w:pStyle w:val="TOC2"/>
            <w:rPr>
              <w:rFonts w:asciiTheme="majorHAnsi" w:eastAsiaTheme="minorEastAsia" w:hAnsiTheme="majorHAnsi" w:cstheme="minorBidi"/>
              <w:szCs w:val="22"/>
              <w:lang w:eastAsia="en-AU"/>
            </w:rPr>
          </w:pPr>
          <w:hyperlink w:anchor="_Toc108097491" w:history="1">
            <w:r w:rsidR="00650EC2" w:rsidRPr="00650EC2">
              <w:rPr>
                <w:rStyle w:val="Hyperlink"/>
                <w:rFonts w:asciiTheme="majorHAnsi" w:hAnsiTheme="majorHAnsi" w:cs="Times New Roman"/>
              </w:rPr>
              <w:t>Appendix 1: HeadtoHelp and Head to Health Pop-Up Services – Lessons learnt</w:t>
            </w:r>
            <w:r w:rsidR="00650EC2" w:rsidRPr="00650EC2">
              <w:rPr>
                <w:rFonts w:asciiTheme="majorHAnsi" w:hAnsiTheme="majorHAnsi"/>
                <w:webHidden/>
              </w:rPr>
              <w:tab/>
            </w:r>
            <w:r w:rsidR="00650EC2" w:rsidRPr="00650EC2">
              <w:rPr>
                <w:rFonts w:asciiTheme="majorHAnsi" w:hAnsiTheme="majorHAnsi"/>
                <w:webHidden/>
              </w:rPr>
              <w:fldChar w:fldCharType="begin"/>
            </w:r>
            <w:r w:rsidR="00650EC2" w:rsidRPr="00650EC2">
              <w:rPr>
                <w:rFonts w:asciiTheme="majorHAnsi" w:hAnsiTheme="majorHAnsi"/>
                <w:webHidden/>
              </w:rPr>
              <w:instrText xml:space="preserve"> PAGEREF _Toc108097491 \h </w:instrText>
            </w:r>
            <w:r w:rsidR="00650EC2" w:rsidRPr="00650EC2">
              <w:rPr>
                <w:rFonts w:asciiTheme="majorHAnsi" w:hAnsiTheme="majorHAnsi"/>
                <w:webHidden/>
              </w:rPr>
            </w:r>
            <w:r w:rsidR="00650EC2" w:rsidRPr="00650EC2">
              <w:rPr>
                <w:rFonts w:asciiTheme="majorHAnsi" w:hAnsiTheme="majorHAnsi"/>
                <w:webHidden/>
              </w:rPr>
              <w:fldChar w:fldCharType="separate"/>
            </w:r>
            <w:r w:rsidR="00E902E0">
              <w:rPr>
                <w:rFonts w:asciiTheme="majorHAnsi" w:hAnsiTheme="majorHAnsi"/>
                <w:webHidden/>
              </w:rPr>
              <w:t>15</w:t>
            </w:r>
            <w:r w:rsidR="00650EC2" w:rsidRPr="00650EC2">
              <w:rPr>
                <w:rFonts w:asciiTheme="majorHAnsi" w:hAnsiTheme="majorHAnsi"/>
                <w:webHidden/>
              </w:rPr>
              <w:fldChar w:fldCharType="end"/>
            </w:r>
          </w:hyperlink>
        </w:p>
        <w:p w14:paraId="3916E6DA" w14:textId="01D6E459" w:rsidR="00650EC2" w:rsidRPr="00650EC2" w:rsidRDefault="00787649">
          <w:pPr>
            <w:pStyle w:val="TOC3"/>
            <w:tabs>
              <w:tab w:val="right" w:leader="dot" w:pos="9346"/>
            </w:tabs>
            <w:rPr>
              <w:rFonts w:asciiTheme="majorHAnsi" w:eastAsiaTheme="minorEastAsia" w:hAnsiTheme="majorHAnsi"/>
              <w:noProof/>
              <w:szCs w:val="22"/>
              <w:lang w:eastAsia="en-AU"/>
            </w:rPr>
          </w:pPr>
          <w:hyperlink w:anchor="_Toc108097492" w:history="1">
            <w:r w:rsidR="00650EC2" w:rsidRPr="00650EC2">
              <w:rPr>
                <w:rStyle w:val="Hyperlink"/>
                <w:rFonts w:asciiTheme="majorHAnsi" w:hAnsiTheme="majorHAnsi" w:cs="Times New Roman"/>
                <w:noProof/>
              </w:rPr>
              <w:t>HeadtoHelp (VIC)</w:t>
            </w:r>
            <w:r w:rsidR="00650EC2" w:rsidRPr="00650EC2">
              <w:rPr>
                <w:rFonts w:asciiTheme="majorHAnsi" w:hAnsiTheme="majorHAnsi"/>
                <w:noProof/>
                <w:webHidden/>
              </w:rPr>
              <w:tab/>
            </w:r>
            <w:r w:rsidR="00650EC2" w:rsidRPr="00650EC2">
              <w:rPr>
                <w:rFonts w:asciiTheme="majorHAnsi" w:hAnsiTheme="majorHAnsi"/>
                <w:noProof/>
                <w:webHidden/>
              </w:rPr>
              <w:fldChar w:fldCharType="begin"/>
            </w:r>
            <w:r w:rsidR="00650EC2" w:rsidRPr="00650EC2">
              <w:rPr>
                <w:rFonts w:asciiTheme="majorHAnsi" w:hAnsiTheme="majorHAnsi"/>
                <w:noProof/>
                <w:webHidden/>
              </w:rPr>
              <w:instrText xml:space="preserve"> PAGEREF _Toc108097492 \h </w:instrText>
            </w:r>
            <w:r w:rsidR="00650EC2" w:rsidRPr="00650EC2">
              <w:rPr>
                <w:rFonts w:asciiTheme="majorHAnsi" w:hAnsiTheme="majorHAnsi"/>
                <w:noProof/>
                <w:webHidden/>
              </w:rPr>
            </w:r>
            <w:r w:rsidR="00650EC2" w:rsidRPr="00650EC2">
              <w:rPr>
                <w:rFonts w:asciiTheme="majorHAnsi" w:hAnsiTheme="majorHAnsi"/>
                <w:noProof/>
                <w:webHidden/>
              </w:rPr>
              <w:fldChar w:fldCharType="separate"/>
            </w:r>
            <w:r w:rsidR="00E902E0">
              <w:rPr>
                <w:rFonts w:asciiTheme="majorHAnsi" w:hAnsiTheme="majorHAnsi"/>
                <w:noProof/>
                <w:webHidden/>
              </w:rPr>
              <w:t>15</w:t>
            </w:r>
            <w:r w:rsidR="00650EC2" w:rsidRPr="00650EC2">
              <w:rPr>
                <w:rFonts w:asciiTheme="majorHAnsi" w:hAnsiTheme="majorHAnsi"/>
                <w:noProof/>
                <w:webHidden/>
              </w:rPr>
              <w:fldChar w:fldCharType="end"/>
            </w:r>
          </w:hyperlink>
        </w:p>
        <w:p w14:paraId="3EA303AD" w14:textId="4DBD8609" w:rsidR="00650EC2" w:rsidRPr="00650EC2" w:rsidRDefault="00787649">
          <w:pPr>
            <w:pStyle w:val="TOC3"/>
            <w:tabs>
              <w:tab w:val="right" w:leader="dot" w:pos="9346"/>
            </w:tabs>
            <w:rPr>
              <w:rFonts w:asciiTheme="majorHAnsi" w:eastAsiaTheme="minorEastAsia" w:hAnsiTheme="majorHAnsi"/>
              <w:noProof/>
              <w:szCs w:val="22"/>
              <w:lang w:eastAsia="en-AU"/>
            </w:rPr>
          </w:pPr>
          <w:hyperlink w:anchor="_Toc108097493" w:history="1">
            <w:r w:rsidR="00650EC2" w:rsidRPr="00650EC2">
              <w:rPr>
                <w:rStyle w:val="Hyperlink"/>
                <w:rFonts w:asciiTheme="majorHAnsi" w:hAnsiTheme="majorHAnsi" w:cs="Times New Roman"/>
                <w:noProof/>
              </w:rPr>
              <w:t>Head to Health Pop Up Services (NSW &amp; ACT)</w:t>
            </w:r>
            <w:r w:rsidR="00650EC2" w:rsidRPr="00650EC2">
              <w:rPr>
                <w:rFonts w:asciiTheme="majorHAnsi" w:hAnsiTheme="majorHAnsi"/>
                <w:noProof/>
                <w:webHidden/>
              </w:rPr>
              <w:tab/>
            </w:r>
            <w:r w:rsidR="00650EC2" w:rsidRPr="00650EC2">
              <w:rPr>
                <w:rFonts w:asciiTheme="majorHAnsi" w:hAnsiTheme="majorHAnsi"/>
                <w:noProof/>
                <w:webHidden/>
              </w:rPr>
              <w:fldChar w:fldCharType="begin"/>
            </w:r>
            <w:r w:rsidR="00650EC2" w:rsidRPr="00650EC2">
              <w:rPr>
                <w:rFonts w:asciiTheme="majorHAnsi" w:hAnsiTheme="majorHAnsi"/>
                <w:noProof/>
                <w:webHidden/>
              </w:rPr>
              <w:instrText xml:space="preserve"> PAGEREF _Toc108097493 \h </w:instrText>
            </w:r>
            <w:r w:rsidR="00650EC2" w:rsidRPr="00650EC2">
              <w:rPr>
                <w:rFonts w:asciiTheme="majorHAnsi" w:hAnsiTheme="majorHAnsi"/>
                <w:noProof/>
                <w:webHidden/>
              </w:rPr>
            </w:r>
            <w:r w:rsidR="00650EC2" w:rsidRPr="00650EC2">
              <w:rPr>
                <w:rFonts w:asciiTheme="majorHAnsi" w:hAnsiTheme="majorHAnsi"/>
                <w:noProof/>
                <w:webHidden/>
              </w:rPr>
              <w:fldChar w:fldCharType="separate"/>
            </w:r>
            <w:r w:rsidR="00E902E0">
              <w:rPr>
                <w:rFonts w:asciiTheme="majorHAnsi" w:hAnsiTheme="majorHAnsi"/>
                <w:noProof/>
                <w:webHidden/>
              </w:rPr>
              <w:t>15</w:t>
            </w:r>
            <w:r w:rsidR="00650EC2" w:rsidRPr="00650EC2">
              <w:rPr>
                <w:rFonts w:asciiTheme="majorHAnsi" w:hAnsiTheme="majorHAnsi"/>
                <w:noProof/>
                <w:webHidden/>
              </w:rPr>
              <w:fldChar w:fldCharType="end"/>
            </w:r>
          </w:hyperlink>
        </w:p>
        <w:p w14:paraId="0ED0CC75" w14:textId="5C4F24B1" w:rsidR="00650EC2" w:rsidRPr="00650EC2" w:rsidRDefault="00787649">
          <w:pPr>
            <w:pStyle w:val="TOC2"/>
            <w:rPr>
              <w:rFonts w:asciiTheme="majorHAnsi" w:eastAsiaTheme="minorEastAsia" w:hAnsiTheme="majorHAnsi" w:cstheme="minorBidi"/>
              <w:szCs w:val="22"/>
              <w:lang w:eastAsia="en-AU"/>
            </w:rPr>
          </w:pPr>
          <w:hyperlink w:anchor="_Toc108097494" w:history="1">
            <w:r w:rsidR="00650EC2" w:rsidRPr="00650EC2">
              <w:rPr>
                <w:rStyle w:val="Hyperlink"/>
                <w:rFonts w:asciiTheme="majorHAnsi" w:hAnsiTheme="majorHAnsi" w:cs="Times New Roman"/>
              </w:rPr>
              <w:t>Appendix 2: National Head to Health Service Pathway</w:t>
            </w:r>
            <w:r w:rsidR="00650EC2" w:rsidRPr="00650EC2">
              <w:rPr>
                <w:rFonts w:asciiTheme="majorHAnsi" w:hAnsiTheme="majorHAnsi"/>
                <w:webHidden/>
              </w:rPr>
              <w:tab/>
            </w:r>
            <w:r w:rsidR="00650EC2" w:rsidRPr="00650EC2">
              <w:rPr>
                <w:rFonts w:asciiTheme="majorHAnsi" w:hAnsiTheme="majorHAnsi"/>
                <w:webHidden/>
              </w:rPr>
              <w:fldChar w:fldCharType="begin"/>
            </w:r>
            <w:r w:rsidR="00650EC2" w:rsidRPr="00650EC2">
              <w:rPr>
                <w:rFonts w:asciiTheme="majorHAnsi" w:hAnsiTheme="majorHAnsi"/>
                <w:webHidden/>
              </w:rPr>
              <w:instrText xml:space="preserve"> PAGEREF _Toc108097494 \h </w:instrText>
            </w:r>
            <w:r w:rsidR="00650EC2" w:rsidRPr="00650EC2">
              <w:rPr>
                <w:rFonts w:asciiTheme="majorHAnsi" w:hAnsiTheme="majorHAnsi"/>
                <w:webHidden/>
              </w:rPr>
            </w:r>
            <w:r w:rsidR="00650EC2" w:rsidRPr="00650EC2">
              <w:rPr>
                <w:rFonts w:asciiTheme="majorHAnsi" w:hAnsiTheme="majorHAnsi"/>
                <w:webHidden/>
              </w:rPr>
              <w:fldChar w:fldCharType="separate"/>
            </w:r>
            <w:r w:rsidR="00E902E0">
              <w:rPr>
                <w:rFonts w:asciiTheme="majorHAnsi" w:hAnsiTheme="majorHAnsi"/>
                <w:webHidden/>
              </w:rPr>
              <w:t>17</w:t>
            </w:r>
            <w:r w:rsidR="00650EC2" w:rsidRPr="00650EC2">
              <w:rPr>
                <w:rFonts w:asciiTheme="majorHAnsi" w:hAnsiTheme="majorHAnsi"/>
                <w:webHidden/>
              </w:rPr>
              <w:fldChar w:fldCharType="end"/>
            </w:r>
          </w:hyperlink>
        </w:p>
        <w:p w14:paraId="6209EED8" w14:textId="7B40585A" w:rsidR="008E0E3C" w:rsidRPr="00E902E0" w:rsidRDefault="00DF7268" w:rsidP="00E902E0">
          <w:pPr>
            <w:rPr>
              <w:rStyle w:val="Strong"/>
            </w:rPr>
          </w:pPr>
          <w:r w:rsidRPr="00650EC2">
            <w:rPr>
              <w:noProof/>
            </w:rPr>
            <w:fldChar w:fldCharType="end"/>
          </w:r>
        </w:p>
      </w:sdtContent>
    </w:sdt>
    <w:p w14:paraId="4518877C" w14:textId="2F655C5E" w:rsidR="003C2E8A" w:rsidRPr="00650EC2" w:rsidRDefault="003C2E8A" w:rsidP="00787649">
      <w:pPr>
        <w:pStyle w:val="Heading1"/>
        <w:pageBreakBefore/>
        <w:rPr>
          <w:rFonts w:cs="Times New Roman"/>
        </w:rPr>
      </w:pPr>
      <w:bookmarkStart w:id="3" w:name="_Toc108097469"/>
      <w:r w:rsidRPr="00650EC2">
        <w:rPr>
          <w:rFonts w:cs="Times New Roman"/>
        </w:rPr>
        <w:lastRenderedPageBreak/>
        <w:t xml:space="preserve">Version </w:t>
      </w:r>
      <w:r w:rsidR="00AF4C2B" w:rsidRPr="00650EC2">
        <w:rPr>
          <w:rFonts w:cs="Times New Roman"/>
        </w:rPr>
        <w:t>h</w:t>
      </w:r>
      <w:r w:rsidRPr="00650EC2">
        <w:rPr>
          <w:rFonts w:cs="Times New Roman"/>
        </w:rPr>
        <w:t>istory</w:t>
      </w:r>
      <w:bookmarkEnd w:id="3"/>
    </w:p>
    <w:tbl>
      <w:tblPr>
        <w:tblStyle w:val="TableGrid"/>
        <w:tblW w:w="9596" w:type="dxa"/>
        <w:tblLook w:val="04A0" w:firstRow="1" w:lastRow="0" w:firstColumn="1" w:lastColumn="0" w:noHBand="0" w:noVBand="1"/>
        <w:tblDescription w:val="version history"/>
      </w:tblPr>
      <w:tblGrid>
        <w:gridCol w:w="1271"/>
        <w:gridCol w:w="1843"/>
        <w:gridCol w:w="6482"/>
      </w:tblGrid>
      <w:tr w:rsidR="003C2E8A" w:rsidRPr="0099061F" w14:paraId="4A3CE74D" w14:textId="77777777" w:rsidTr="0099061F">
        <w:trPr>
          <w:cnfStyle w:val="100000000000" w:firstRow="1" w:lastRow="0" w:firstColumn="0" w:lastColumn="0" w:oddVBand="0" w:evenVBand="0" w:oddHBand="0" w:evenHBand="0" w:firstRowFirstColumn="0" w:firstRowLastColumn="0" w:lastRowFirstColumn="0" w:lastRowLastColumn="0"/>
          <w:trHeight w:val="227"/>
        </w:trPr>
        <w:tc>
          <w:tcPr>
            <w:tcW w:w="1271" w:type="dxa"/>
          </w:tcPr>
          <w:p w14:paraId="5912868C" w14:textId="77777777" w:rsidR="003C2E8A" w:rsidRPr="0099061F" w:rsidRDefault="003C2E8A" w:rsidP="0099061F">
            <w:r w:rsidRPr="0099061F">
              <w:t>Version</w:t>
            </w:r>
          </w:p>
        </w:tc>
        <w:tc>
          <w:tcPr>
            <w:tcW w:w="1843" w:type="dxa"/>
          </w:tcPr>
          <w:p w14:paraId="36C09548" w14:textId="77777777" w:rsidR="003C2E8A" w:rsidRPr="0099061F" w:rsidRDefault="003C2E8A" w:rsidP="0099061F">
            <w:r w:rsidRPr="0099061F">
              <w:t>Date</w:t>
            </w:r>
          </w:p>
        </w:tc>
        <w:tc>
          <w:tcPr>
            <w:tcW w:w="6482" w:type="dxa"/>
          </w:tcPr>
          <w:p w14:paraId="152BBEA1" w14:textId="77777777" w:rsidR="003C2E8A" w:rsidRPr="0099061F" w:rsidRDefault="003C2E8A" w:rsidP="0099061F">
            <w:r w:rsidRPr="0099061F">
              <w:t>Notes</w:t>
            </w:r>
          </w:p>
        </w:tc>
      </w:tr>
      <w:tr w:rsidR="003C2E8A" w:rsidRPr="0099061F" w14:paraId="35EA6208" w14:textId="77777777" w:rsidTr="0099061F">
        <w:trPr>
          <w:trHeight w:val="14"/>
        </w:trPr>
        <w:tc>
          <w:tcPr>
            <w:tcW w:w="1271" w:type="dxa"/>
          </w:tcPr>
          <w:p w14:paraId="1D825362" w14:textId="77777777" w:rsidR="003C2E8A" w:rsidRPr="0099061F" w:rsidRDefault="003C2E8A" w:rsidP="0099061F">
            <w:r w:rsidRPr="0099061F">
              <w:t>1.0 (Draft)</w:t>
            </w:r>
          </w:p>
        </w:tc>
        <w:tc>
          <w:tcPr>
            <w:tcW w:w="1843" w:type="dxa"/>
          </w:tcPr>
          <w:p w14:paraId="2BC5AB59" w14:textId="77777777" w:rsidR="003C2E8A" w:rsidRPr="0099061F" w:rsidRDefault="003C2E8A" w:rsidP="0099061F">
            <w:r w:rsidRPr="0099061F">
              <w:t>December 2021</w:t>
            </w:r>
          </w:p>
        </w:tc>
        <w:tc>
          <w:tcPr>
            <w:tcW w:w="6482" w:type="dxa"/>
          </w:tcPr>
          <w:p w14:paraId="594B3984" w14:textId="77777777" w:rsidR="003C2E8A" w:rsidRPr="0099061F" w:rsidRDefault="003C2E8A" w:rsidP="0099061F">
            <w:r w:rsidRPr="0099061F">
              <w:t>Released for first round of consultations with PHNs</w:t>
            </w:r>
          </w:p>
        </w:tc>
      </w:tr>
      <w:tr w:rsidR="003C2E8A" w:rsidRPr="0099061F" w14:paraId="16B1E8A7" w14:textId="77777777" w:rsidTr="0099061F">
        <w:trPr>
          <w:trHeight w:val="14"/>
        </w:trPr>
        <w:tc>
          <w:tcPr>
            <w:tcW w:w="1271" w:type="dxa"/>
          </w:tcPr>
          <w:p w14:paraId="7BBFA804" w14:textId="7C60056C" w:rsidR="003C2E8A" w:rsidRPr="0099061F" w:rsidRDefault="003C2E8A" w:rsidP="0099061F">
            <w:r w:rsidRPr="0099061F">
              <w:t>2.0</w:t>
            </w:r>
          </w:p>
        </w:tc>
        <w:tc>
          <w:tcPr>
            <w:tcW w:w="1843" w:type="dxa"/>
          </w:tcPr>
          <w:p w14:paraId="029D9CDD" w14:textId="77777777" w:rsidR="003C2E8A" w:rsidRPr="0099061F" w:rsidRDefault="003C2E8A" w:rsidP="0099061F">
            <w:r w:rsidRPr="0099061F">
              <w:t>June 2022</w:t>
            </w:r>
          </w:p>
        </w:tc>
        <w:tc>
          <w:tcPr>
            <w:tcW w:w="6482" w:type="dxa"/>
          </w:tcPr>
          <w:p w14:paraId="7397840D" w14:textId="77777777" w:rsidR="003C2E8A" w:rsidRPr="0099061F" w:rsidRDefault="003C2E8A" w:rsidP="0099061F">
            <w:r w:rsidRPr="0099061F">
              <w:t xml:space="preserve">Updates to incorporate PHN feedback and specify reporting requirements </w:t>
            </w:r>
          </w:p>
        </w:tc>
      </w:tr>
    </w:tbl>
    <w:p w14:paraId="7259CB42" w14:textId="42D6408F" w:rsidR="00C63411" w:rsidRPr="00E902E0" w:rsidRDefault="00C63411" w:rsidP="00E902E0">
      <w:pPr>
        <w:pStyle w:val="Heading1"/>
      </w:pPr>
      <w:bookmarkStart w:id="4" w:name="_Toc108097470"/>
      <w:r w:rsidRPr="00E902E0">
        <w:t>Key terms</w:t>
      </w:r>
      <w:bookmarkEnd w:id="4"/>
    </w:p>
    <w:p w14:paraId="16BBA5E4" w14:textId="362FABBC" w:rsidR="00F045AD" w:rsidRPr="00E902E0" w:rsidRDefault="00F045AD" w:rsidP="004700AA">
      <w:r w:rsidRPr="00E902E0">
        <w:rPr>
          <w:rStyle w:val="Strong"/>
        </w:rPr>
        <w:t xml:space="preserve">Appropriate care: </w:t>
      </w:r>
      <w:r w:rsidRPr="00E902E0">
        <w:t>Intervention or action provided is relevant to the person’s needs and is based on established standards.</w:t>
      </w:r>
    </w:p>
    <w:p w14:paraId="586AC7FD" w14:textId="77777777" w:rsidR="00F045AD" w:rsidRPr="00E902E0" w:rsidRDefault="00F045AD" w:rsidP="004700AA">
      <w:r w:rsidRPr="00E902E0">
        <w:rPr>
          <w:rStyle w:val="Strong"/>
        </w:rPr>
        <w:t>Carer:</w:t>
      </w:r>
      <w:r w:rsidRPr="00E902E0">
        <w:t xml:space="preserve"> A person who has a caring role for a person with a mental health problem or mental illness. They could be family, a friend or staff and be paid or unpaid. The role of the carer is not necessarily static or </w:t>
      </w:r>
      <w:proofErr w:type="gramStart"/>
      <w:r w:rsidRPr="00E902E0">
        <w:t>permanent, and</w:t>
      </w:r>
      <w:proofErr w:type="gramEnd"/>
      <w:r w:rsidRPr="00E902E0">
        <w:t xml:space="preserve"> may vary over time according to the needs of the person and carer.</w:t>
      </w:r>
    </w:p>
    <w:p w14:paraId="6A049B13" w14:textId="3AC9944A" w:rsidR="00F045AD" w:rsidRPr="00E902E0" w:rsidRDefault="00F045AD" w:rsidP="004700AA">
      <w:r w:rsidRPr="00E902E0">
        <w:rPr>
          <w:rStyle w:val="Strong"/>
        </w:rPr>
        <w:t>Clinician:</w:t>
      </w:r>
      <w:r w:rsidRPr="00E902E0">
        <w:t xml:space="preserve"> a healthcare practitioner who spends most of their total weekly working hours engaged in clinical practice (that is, in diagnosis and/or treatment of patients including recommending preventive action)</w:t>
      </w:r>
      <w:r w:rsidR="008E3EA1" w:rsidRPr="00E902E0">
        <w:t>.</w:t>
      </w:r>
    </w:p>
    <w:p w14:paraId="4DBE2721" w14:textId="718A9695" w:rsidR="00F045AD" w:rsidRPr="00E902E0" w:rsidRDefault="00F045AD" w:rsidP="004700AA">
      <w:r w:rsidRPr="00E902E0">
        <w:rPr>
          <w:rStyle w:val="Strong"/>
        </w:rPr>
        <w:t>Consumer:</w:t>
      </w:r>
      <w:r w:rsidRPr="00E902E0">
        <w:t xml:space="preserve"> A person who uses or has used a mental health service</w:t>
      </w:r>
      <w:r w:rsidR="008E3EA1" w:rsidRPr="00E902E0">
        <w:t>.</w:t>
      </w:r>
    </w:p>
    <w:p w14:paraId="6CBFC1D8" w14:textId="427FDBCA" w:rsidR="00825059" w:rsidRPr="00E902E0" w:rsidRDefault="00825059" w:rsidP="004700AA">
      <w:r w:rsidRPr="00E902E0">
        <w:rPr>
          <w:rStyle w:val="Strong"/>
        </w:rPr>
        <w:t xml:space="preserve">Contact: </w:t>
      </w:r>
      <w:r w:rsidR="00357F79" w:rsidRPr="00E902E0">
        <w:t xml:space="preserve">the first point of interaction for </w:t>
      </w:r>
      <w:r w:rsidR="00381B2C" w:rsidRPr="00E902E0">
        <w:t>any person who accesses</w:t>
      </w:r>
      <w:r w:rsidR="00357F79" w:rsidRPr="00E902E0">
        <w:t xml:space="preserve"> the</w:t>
      </w:r>
      <w:r w:rsidR="00381B2C" w:rsidRPr="00E902E0">
        <w:t xml:space="preserve"> Head to Health </w:t>
      </w:r>
      <w:r w:rsidR="00357F79" w:rsidRPr="00E902E0">
        <w:t xml:space="preserve">phone </w:t>
      </w:r>
      <w:r w:rsidR="00381B2C" w:rsidRPr="00E902E0">
        <w:t>service for their own needs, or on behalf of someone they care for, or are supporting</w:t>
      </w:r>
      <w:r w:rsidR="00357F79" w:rsidRPr="00E902E0">
        <w:t>.</w:t>
      </w:r>
    </w:p>
    <w:p w14:paraId="5D6AF9F1" w14:textId="68430086" w:rsidR="00F045AD" w:rsidRPr="00E902E0" w:rsidRDefault="00F045AD" w:rsidP="004700AA">
      <w:r w:rsidRPr="00E902E0">
        <w:rPr>
          <w:rStyle w:val="Strong"/>
        </w:rPr>
        <w:t>Follow up:</w:t>
      </w:r>
      <w:r w:rsidR="00E835F2" w:rsidRPr="00E902E0">
        <w:t xml:space="preserve"> the process of </w:t>
      </w:r>
      <w:r w:rsidR="009752EB" w:rsidRPr="00E902E0">
        <w:t xml:space="preserve">proactively </w:t>
      </w:r>
      <w:r w:rsidR="00E835F2" w:rsidRPr="00E902E0">
        <w:t>contacting a consumer and/or service after a referral has been made to confirm the referral is appropriate for both parties and will be acted upon</w:t>
      </w:r>
      <w:r w:rsidR="008E3EA1" w:rsidRPr="00E902E0">
        <w:t>.</w:t>
      </w:r>
    </w:p>
    <w:p w14:paraId="1D4F987F" w14:textId="77777777" w:rsidR="00F045AD" w:rsidRPr="00E902E0" w:rsidRDefault="00F045AD" w:rsidP="004700AA">
      <w:r w:rsidRPr="00E902E0">
        <w:rPr>
          <w:rStyle w:val="Strong"/>
        </w:rPr>
        <w:t>IAR:</w:t>
      </w:r>
      <w:r w:rsidRPr="00E902E0">
        <w:t xml:space="preserve"> Initial Assessment and Referral for Mental Healthcare. The IAR is an initiative of the Commonwealth Department of Health and brings together information from a range of sources including Australian and international evidence. The Guidance and Decision Support Tool (DST) was developed with expertise provided by an Expert Advisory Group including general practitioners, psychiatrists, psychologists, nurses, social workers, as well as people with lived experience.</w:t>
      </w:r>
    </w:p>
    <w:p w14:paraId="077377FA" w14:textId="6D77F0FD" w:rsidR="00C63411" w:rsidRPr="00E902E0" w:rsidRDefault="00C63411" w:rsidP="004700AA">
      <w:r w:rsidRPr="00E902E0">
        <w:rPr>
          <w:rStyle w:val="Strong"/>
        </w:rPr>
        <w:t>Intake</w:t>
      </w:r>
      <w:r w:rsidR="00B52228" w:rsidRPr="00E902E0">
        <w:rPr>
          <w:rStyle w:val="Strong"/>
        </w:rPr>
        <w:t>:</w:t>
      </w:r>
      <w:r w:rsidR="00B52228" w:rsidRPr="00E902E0">
        <w:t xml:space="preserve"> a service which </w:t>
      </w:r>
      <w:r w:rsidR="00B13789" w:rsidRPr="00E902E0">
        <w:t>acts as a first point of contact</w:t>
      </w:r>
      <w:r w:rsidR="00E835F2" w:rsidRPr="00E902E0">
        <w:t xml:space="preserve"> and</w:t>
      </w:r>
      <w:r w:rsidR="00B13789" w:rsidRPr="00E902E0">
        <w:t xml:space="preserve"> </w:t>
      </w:r>
      <w:r w:rsidR="00B52228" w:rsidRPr="00E902E0">
        <w:t>undertakes a welcoming process to understand a consumer’s mental health needs</w:t>
      </w:r>
      <w:r w:rsidR="008E3EA1" w:rsidRPr="00E902E0">
        <w:t>.</w:t>
      </w:r>
    </w:p>
    <w:p w14:paraId="08B989F9" w14:textId="2D6511B9" w:rsidR="00C63411" w:rsidRPr="00E902E0" w:rsidRDefault="00C63411" w:rsidP="004700AA">
      <w:r w:rsidRPr="00E902E0">
        <w:rPr>
          <w:rStyle w:val="Strong"/>
        </w:rPr>
        <w:t>Mental health professional</w:t>
      </w:r>
      <w:r w:rsidR="00B13789" w:rsidRPr="00E902E0">
        <w:rPr>
          <w:rStyle w:val="Strong"/>
        </w:rPr>
        <w:t>:</w:t>
      </w:r>
      <w:r w:rsidR="00F045AD" w:rsidRPr="00E902E0">
        <w:rPr>
          <w:rStyle w:val="Strong"/>
        </w:rPr>
        <w:t xml:space="preserve"> </w:t>
      </w:r>
      <w:r w:rsidR="00F045AD" w:rsidRPr="00E902E0">
        <w:t xml:space="preserve">A person who offers services for the purpose of improving an individual’s mental health or to treat mental illness. These professionals include (but are not limited to) psychiatrists, clinical psychologists, clinical social workers, occupational </w:t>
      </w:r>
      <w:proofErr w:type="gramStart"/>
      <w:r w:rsidR="00F045AD" w:rsidRPr="00E902E0">
        <w:t>therapists</w:t>
      </w:r>
      <w:proofErr w:type="gramEnd"/>
      <w:r w:rsidR="00F045AD" w:rsidRPr="00E902E0">
        <w:t xml:space="preserve"> and psychiatric nurses</w:t>
      </w:r>
      <w:r w:rsidR="008E3EA1" w:rsidRPr="00E902E0">
        <w:t>.</w:t>
      </w:r>
    </w:p>
    <w:p w14:paraId="61287E21" w14:textId="7921E1FF" w:rsidR="00C63411" w:rsidRPr="00E902E0" w:rsidRDefault="00C63411" w:rsidP="004700AA">
      <w:r w:rsidRPr="00E902E0">
        <w:rPr>
          <w:rStyle w:val="Strong"/>
        </w:rPr>
        <w:t>Service navigation</w:t>
      </w:r>
      <w:r w:rsidR="00B13789" w:rsidRPr="00E902E0">
        <w:rPr>
          <w:rStyle w:val="Strong"/>
        </w:rPr>
        <w:t>:</w:t>
      </w:r>
      <w:r w:rsidR="00F045AD" w:rsidRPr="00E902E0">
        <w:rPr>
          <w:rStyle w:val="Strong"/>
        </w:rPr>
        <w:t xml:space="preserve"> </w:t>
      </w:r>
      <w:r w:rsidR="00F045AD" w:rsidRPr="00E902E0">
        <w:t>support provided by a person or service in collaboration with consumers and carers to assist them in finding the most appropriate treatment, care or supports</w:t>
      </w:r>
      <w:r w:rsidR="008E3EA1" w:rsidRPr="00E902E0">
        <w:t>.</w:t>
      </w:r>
    </w:p>
    <w:p w14:paraId="062E6219" w14:textId="5A5C09D9" w:rsidR="00DC63BA" w:rsidRPr="00E902E0" w:rsidRDefault="00DC63BA" w:rsidP="004700AA">
      <w:r w:rsidRPr="00E902E0">
        <w:rPr>
          <w:rStyle w:val="Strong"/>
        </w:rPr>
        <w:lastRenderedPageBreak/>
        <w:t>Warm referral:</w:t>
      </w:r>
      <w:r w:rsidRPr="00E902E0">
        <w:t xml:space="preserve"> </w:t>
      </w:r>
      <w:r w:rsidR="00B52254" w:rsidRPr="00E902E0">
        <w:t>actively communicating with the service to which the individual is connected to provide essential information about their needs before transferring them. Support is maintained for the individual by the site until they are received by the service</w:t>
      </w:r>
      <w:r w:rsidR="00A33C24" w:rsidRPr="00E902E0">
        <w:t>.</w:t>
      </w:r>
      <w:r w:rsidRPr="00E902E0">
        <w:br w:type="page"/>
      </w:r>
    </w:p>
    <w:p w14:paraId="69EC3D2D" w14:textId="561DC387" w:rsidR="009E0F24" w:rsidRPr="00650EC2" w:rsidRDefault="009E0F24" w:rsidP="004700AA">
      <w:pPr>
        <w:pStyle w:val="Heading1"/>
        <w:rPr>
          <w:rFonts w:cs="Times New Roman"/>
        </w:rPr>
      </w:pPr>
      <w:bookmarkStart w:id="5" w:name="_Toc108097471"/>
      <w:r w:rsidRPr="00650EC2">
        <w:rPr>
          <w:rFonts w:cs="Times New Roman"/>
        </w:rPr>
        <w:lastRenderedPageBreak/>
        <w:t>Introduction</w:t>
      </w:r>
      <w:bookmarkEnd w:id="5"/>
    </w:p>
    <w:p w14:paraId="6720DE00" w14:textId="58514EAC" w:rsidR="00056C42" w:rsidRPr="00E902E0" w:rsidRDefault="009E0F24" w:rsidP="00E902E0">
      <w:r w:rsidRPr="00E902E0">
        <w:t>Announced as part of the Mental Health and Suicide Prevention package in the 2021-22 Budget, the Australian Government is investing $487.2 million over four years from 2021-22 to improve access to mental health services in the community through establishing the Head to Health network.</w:t>
      </w:r>
    </w:p>
    <w:p w14:paraId="05894853" w14:textId="4244071C" w:rsidR="00262561" w:rsidRPr="00E902E0" w:rsidRDefault="00262561" w:rsidP="00E902E0">
      <w:r w:rsidRPr="00E902E0">
        <w:t xml:space="preserve">The Head to Health network includes the establishment of a national assessment </w:t>
      </w:r>
      <w:r w:rsidR="002F3E3B" w:rsidRPr="00E902E0">
        <w:t xml:space="preserve">and referral </w:t>
      </w:r>
      <w:r w:rsidRPr="00E902E0">
        <w:t xml:space="preserve">phone service </w:t>
      </w:r>
      <w:r w:rsidR="00056C42" w:rsidRPr="00E902E0">
        <w:t xml:space="preserve">(the </w:t>
      </w:r>
      <w:r w:rsidR="002D65F3" w:rsidRPr="00E902E0">
        <w:t xml:space="preserve">Head to Health </w:t>
      </w:r>
      <w:r w:rsidR="00056C42" w:rsidRPr="00E902E0">
        <w:t xml:space="preserve">phone service) </w:t>
      </w:r>
      <w:r w:rsidRPr="00E902E0">
        <w:t xml:space="preserve">to promote consistent assessment and enable </w:t>
      </w:r>
      <w:r w:rsidR="00056C42" w:rsidRPr="00E902E0">
        <w:t xml:space="preserve">warm </w:t>
      </w:r>
      <w:r w:rsidRPr="00E902E0">
        <w:t xml:space="preserve">transfer and referral to the most appropriate services. </w:t>
      </w:r>
      <w:r w:rsidR="00056C42" w:rsidRPr="00E902E0">
        <w:t xml:space="preserve">Where appropriate, </w:t>
      </w:r>
      <w:r w:rsidR="002D65F3" w:rsidRPr="00E902E0">
        <w:t>it</w:t>
      </w:r>
      <w:r w:rsidRPr="00E902E0">
        <w:t xml:space="preserve"> will </w:t>
      </w:r>
      <w:r w:rsidR="00056C42" w:rsidRPr="00E902E0">
        <w:t>provide referrals into community-based mental health treatment services</w:t>
      </w:r>
      <w:r w:rsidRPr="00E902E0">
        <w:t xml:space="preserve"> </w:t>
      </w:r>
      <w:r w:rsidR="00056C42" w:rsidRPr="00E902E0">
        <w:t xml:space="preserve">to </w:t>
      </w:r>
      <w:r w:rsidRPr="00E902E0">
        <w:t xml:space="preserve">provide short to medium term </w:t>
      </w:r>
      <w:r w:rsidR="00056C42" w:rsidRPr="00E902E0">
        <w:t xml:space="preserve">care. The </w:t>
      </w:r>
      <w:r w:rsidR="002D65F3" w:rsidRPr="00E902E0">
        <w:t xml:space="preserve">Head to Health </w:t>
      </w:r>
      <w:r w:rsidR="00056C42" w:rsidRPr="00E902E0">
        <w:t>phone service will also be integrated with the</w:t>
      </w:r>
      <w:r w:rsidRPr="00E902E0">
        <w:t xml:space="preserve"> Head to Health website</w:t>
      </w:r>
      <w:r w:rsidR="00056C42" w:rsidRPr="00E902E0">
        <w:t xml:space="preserve"> to facilitate referrals and </w:t>
      </w:r>
      <w:r w:rsidR="002D65F3" w:rsidRPr="00E902E0">
        <w:t xml:space="preserve">provide </w:t>
      </w:r>
      <w:r w:rsidR="00056C42" w:rsidRPr="00E902E0">
        <w:t>access to digital support options</w:t>
      </w:r>
      <w:r w:rsidRPr="00E902E0">
        <w:t>.</w:t>
      </w:r>
    </w:p>
    <w:p w14:paraId="72AA29A1" w14:textId="2F92EFB7" w:rsidR="00056C42" w:rsidRPr="00E902E0" w:rsidRDefault="00056C42" w:rsidP="00E902E0">
      <w:r w:rsidRPr="00E902E0">
        <w:t xml:space="preserve">Both the Productivity Commission’s (PC) findings from its Inquiry into Mental Health and the response to the COVID-19 pandemic have informed the planning and development of </w:t>
      </w:r>
      <w:r w:rsidR="006C297C" w:rsidRPr="00E902E0">
        <w:t xml:space="preserve">new </w:t>
      </w:r>
      <w:r w:rsidRPr="00E902E0">
        <w:t xml:space="preserve">mental health services. The PC </w:t>
      </w:r>
      <w:r w:rsidR="006C297C" w:rsidRPr="00E902E0">
        <w:t xml:space="preserve">report </w:t>
      </w:r>
      <w:r w:rsidRPr="00E902E0">
        <w:t>found that the mental health system was complex and that many people who needed treatment and care were unable to access appropriate services that were well integrated with other parts of the system – both those funded through Commonwealth and state and territory services.</w:t>
      </w:r>
      <w:r w:rsidR="00373A07" w:rsidRPr="00650EC2">
        <w:rPr>
          <w:rStyle w:val="FootnoteReference"/>
          <w:rFonts w:asciiTheme="majorHAnsi" w:hAnsiTheme="majorHAnsi" w:cs="Poppins Light"/>
        </w:rPr>
        <w:footnoteReference w:id="2"/>
      </w:r>
    </w:p>
    <w:p w14:paraId="5D76C9A5" w14:textId="4C380DDC" w:rsidR="002D65F3" w:rsidRPr="00E902E0" w:rsidRDefault="002D65F3" w:rsidP="00E902E0">
      <w:r w:rsidRPr="00E902E0">
        <w:t>To address this, the Head to Health phone service is intended to provide initial clinical assessment where required and service navigation to connect people to the right mental health services to meet their identified needs. It is designed to complement, not replace</w:t>
      </w:r>
      <w:r w:rsidR="00F20747" w:rsidRPr="00E902E0">
        <w:t>,</w:t>
      </w:r>
      <w:r w:rsidRPr="00E902E0">
        <w:t xml:space="preserve"> or duplicate, mental health support lines and services already provided in the community, including crisis support lines and state-funded triage services facilitating intake into tertiary services.</w:t>
      </w:r>
    </w:p>
    <w:p w14:paraId="0BB99741" w14:textId="1A68C00D" w:rsidR="009E0F24" w:rsidRPr="00E902E0" w:rsidRDefault="009E0F24" w:rsidP="00E902E0">
      <w:r w:rsidRPr="00E902E0">
        <w:t xml:space="preserve">The Australian Government has already invested $5.1 million to establish state/territory-wide phone services as part of the </w:t>
      </w:r>
      <w:proofErr w:type="spellStart"/>
      <w:r w:rsidRPr="00407C9E">
        <w:rPr>
          <w:rStyle w:val="Emphasis"/>
        </w:rPr>
        <w:t>HeadtoHelp</w:t>
      </w:r>
      <w:proofErr w:type="spellEnd"/>
      <w:r w:rsidRPr="00E902E0">
        <w:t xml:space="preserve"> and Head to Health Pop Up COVID-19 response initiatives in Victoria, </w:t>
      </w:r>
      <w:proofErr w:type="gramStart"/>
      <w:r w:rsidRPr="00E902E0">
        <w:t>NSW</w:t>
      </w:r>
      <w:proofErr w:type="gramEnd"/>
      <w:r w:rsidRPr="00E902E0">
        <w:t xml:space="preserve"> and the ACT</w:t>
      </w:r>
      <w:r w:rsidR="000E654B" w:rsidRPr="00E902E0">
        <w:t xml:space="preserve"> (further detail provided in </w:t>
      </w:r>
      <w:hyperlink w:anchor="_Appendix_1:_HeadtoHelp_1" w:history="1">
        <w:r w:rsidR="000E654B" w:rsidRPr="00650EC2">
          <w:rPr>
            <w:rStyle w:val="Hyperlink"/>
            <w:rFonts w:asciiTheme="majorHAnsi" w:hAnsiTheme="majorHAnsi" w:cs="Poppins Light"/>
          </w:rPr>
          <w:t>Appendix 1</w:t>
        </w:r>
      </w:hyperlink>
      <w:r w:rsidR="000E654B" w:rsidRPr="00E902E0">
        <w:t>)</w:t>
      </w:r>
      <w:r w:rsidRPr="00E902E0">
        <w:t>. PHNs in Victoria, NSW and the ACT will leverage this initial investment, and these models will be enhanced and replicated across other jurisdictions to provide a nationally consistent approach.</w:t>
      </w:r>
    </w:p>
    <w:p w14:paraId="7A6C8C46" w14:textId="1EAA9DA9" w:rsidR="000B18CC" w:rsidRPr="00650EC2" w:rsidRDefault="000B18CC" w:rsidP="004700AA">
      <w:pPr>
        <w:pStyle w:val="Heading1"/>
        <w:rPr>
          <w:rFonts w:cs="Times New Roman"/>
        </w:rPr>
      </w:pPr>
      <w:bookmarkStart w:id="6" w:name="_Toc108097472"/>
      <w:r w:rsidRPr="00650EC2">
        <w:rPr>
          <w:rFonts w:cs="Times New Roman"/>
        </w:rPr>
        <w:t xml:space="preserve">What is the </w:t>
      </w:r>
      <w:r w:rsidR="00B277AF" w:rsidRPr="00650EC2">
        <w:rPr>
          <w:rFonts w:cs="Times New Roman"/>
        </w:rPr>
        <w:t>phone</w:t>
      </w:r>
      <w:r w:rsidR="008E3EA1" w:rsidRPr="00650EC2">
        <w:rPr>
          <w:rFonts w:cs="Times New Roman"/>
        </w:rPr>
        <w:t xml:space="preserve"> </w:t>
      </w:r>
      <w:r w:rsidRPr="00650EC2">
        <w:rPr>
          <w:rFonts w:cs="Times New Roman"/>
        </w:rPr>
        <w:t>service aiming to</w:t>
      </w:r>
      <w:r w:rsidR="00B277AF" w:rsidRPr="00650EC2">
        <w:rPr>
          <w:rFonts w:cs="Times New Roman"/>
        </w:rPr>
        <w:t xml:space="preserve"> </w:t>
      </w:r>
      <w:r w:rsidRPr="00650EC2">
        <w:rPr>
          <w:rFonts w:cs="Times New Roman"/>
        </w:rPr>
        <w:t>achieve?</w:t>
      </w:r>
      <w:bookmarkEnd w:id="6"/>
      <w:bookmarkEnd w:id="2"/>
    </w:p>
    <w:p w14:paraId="314E4F98" w14:textId="6800FE90" w:rsidR="000B18CC" w:rsidRPr="00E902E0" w:rsidRDefault="000B18CC" w:rsidP="00E902E0">
      <w:r w:rsidRPr="00E902E0">
        <w:t>The Head to Health phone service is designed to operate alongside Head to Health centres and satellites and the Head to Health digital platform to provide a suite of entry points to engagement, assessment</w:t>
      </w:r>
      <w:r w:rsidR="00F20747" w:rsidRPr="00E902E0">
        <w:t>,</w:t>
      </w:r>
      <w:r w:rsidRPr="00E902E0">
        <w:t xml:space="preserve"> and treatment for people with a range of mental health needs. Providing multiple entry pathways (website, phone, face-to-face) into mental health services under the consistent and trusted “Head to Health” brand will allow consumers to access the services that best meet their needs through their </w:t>
      </w:r>
      <w:r w:rsidRPr="00E902E0">
        <w:lastRenderedPageBreak/>
        <w:t>preferred platform.</w:t>
      </w:r>
      <w:r w:rsidR="00210E5D" w:rsidRPr="00E902E0">
        <w:t xml:space="preserve"> GPs, psychiatrists</w:t>
      </w:r>
      <w:r w:rsidR="00F20747" w:rsidRPr="00E902E0">
        <w:t>,</w:t>
      </w:r>
      <w:r w:rsidR="00210E5D" w:rsidRPr="00E902E0">
        <w:t xml:space="preserve"> and other health professionals may also use the </w:t>
      </w:r>
      <w:r w:rsidR="002D65F3" w:rsidRPr="00E902E0">
        <w:t xml:space="preserve">Head to Health </w:t>
      </w:r>
      <w:r w:rsidR="00210E5D" w:rsidRPr="00E902E0">
        <w:t xml:space="preserve">phone service to find service options for their </w:t>
      </w:r>
      <w:r w:rsidR="00B52228" w:rsidRPr="00E902E0">
        <w:t>patien</w:t>
      </w:r>
      <w:r w:rsidR="00210E5D" w:rsidRPr="00E902E0">
        <w:t>ts.</w:t>
      </w:r>
    </w:p>
    <w:p w14:paraId="24284161" w14:textId="7F070AD8" w:rsidR="00262561" w:rsidRPr="00E902E0" w:rsidRDefault="00262561" w:rsidP="00E902E0">
      <w:r w:rsidRPr="00E902E0">
        <w:t xml:space="preserve">A key objective of this investment is local service integration to address fragmentation and offer a seamless care pathway for consumers to receive the right level of care at the right time to meet their mental health needs. The </w:t>
      </w:r>
      <w:r w:rsidR="002D65F3" w:rsidRPr="00E902E0">
        <w:t xml:space="preserve">Head to Health </w:t>
      </w:r>
      <w:r w:rsidR="008E3EA1" w:rsidRPr="00E902E0">
        <w:t>phone</w:t>
      </w:r>
      <w:r w:rsidRPr="00E902E0">
        <w:t xml:space="preserve"> service will provide a free, easily accessible entry point into and between community mental health services, including Head to Health centres and satellites, headspace</w:t>
      </w:r>
      <w:r w:rsidR="00F20747" w:rsidRPr="00E902E0">
        <w:t>,</w:t>
      </w:r>
      <w:r w:rsidRPr="00E902E0">
        <w:t xml:space="preserve"> and other community-based mental health services, such as those provided by jurisdictions, NGOs</w:t>
      </w:r>
      <w:r w:rsidR="00F20747" w:rsidRPr="00E902E0">
        <w:t>,</w:t>
      </w:r>
      <w:r w:rsidRPr="00E902E0">
        <w:t xml:space="preserve"> and private providers.</w:t>
      </w:r>
    </w:p>
    <w:p w14:paraId="56402A49" w14:textId="4D38D42E" w:rsidR="00C63411" w:rsidRPr="00E902E0" w:rsidRDefault="000B18CC" w:rsidP="00E902E0">
      <w:r w:rsidRPr="00E902E0">
        <w:t xml:space="preserve">The </w:t>
      </w:r>
      <w:r w:rsidR="002D65F3" w:rsidRPr="00E902E0">
        <w:t xml:space="preserve">Head to Health </w:t>
      </w:r>
      <w:r w:rsidR="008E3EA1" w:rsidRPr="00E902E0">
        <w:t xml:space="preserve">phone </w:t>
      </w:r>
      <w:r w:rsidRPr="00E902E0">
        <w:t xml:space="preserve">service will be commissioned by Primary Health Networks (PHNs), </w:t>
      </w:r>
      <w:r w:rsidR="00066D98" w:rsidRPr="00E902E0">
        <w:t>consistent with the national service model</w:t>
      </w:r>
      <w:r w:rsidR="00F074DE" w:rsidRPr="00E902E0">
        <w:t xml:space="preserve"> outlined in this document</w:t>
      </w:r>
      <w:r w:rsidR="00066D98" w:rsidRPr="00E902E0">
        <w:t>, with flexibility for local needs</w:t>
      </w:r>
      <w:r w:rsidRPr="00E902E0">
        <w:t xml:space="preserve">. </w:t>
      </w:r>
      <w:r w:rsidR="00F074DE" w:rsidRPr="00E902E0">
        <w:t xml:space="preserve">Where possible, </w:t>
      </w:r>
      <w:r w:rsidRPr="00E902E0">
        <w:t xml:space="preserve">PHNs within each state and territory will work collaboratively to establish the </w:t>
      </w:r>
      <w:r w:rsidR="002F3E3B" w:rsidRPr="00E902E0">
        <w:t xml:space="preserve">phone </w:t>
      </w:r>
      <w:r w:rsidRPr="00E902E0">
        <w:t>service in a way that is well-integrated with services and systems operating within the</w:t>
      </w:r>
      <w:r w:rsidR="00E36238" w:rsidRPr="00E902E0">
        <w:t>ir</w:t>
      </w:r>
      <w:r w:rsidRPr="00E902E0">
        <w:t xml:space="preserve"> jurisdiction</w:t>
      </w:r>
      <w:r w:rsidR="00C63411" w:rsidRPr="00E902E0">
        <w:t xml:space="preserve"> and at the local and regional level</w:t>
      </w:r>
      <w:r w:rsidR="00F074DE" w:rsidRPr="00E902E0">
        <w:t>s</w:t>
      </w:r>
      <w:r w:rsidRPr="00E902E0">
        <w:t xml:space="preserve">. As part of their commissioning </w:t>
      </w:r>
      <w:r w:rsidR="00F074DE" w:rsidRPr="00E902E0">
        <w:t xml:space="preserve">and ongoing </w:t>
      </w:r>
      <w:r w:rsidR="009752EB" w:rsidRPr="00E902E0">
        <w:t>quality improvement</w:t>
      </w:r>
      <w:r w:rsidR="00F074DE" w:rsidRPr="00E902E0">
        <w:t xml:space="preserve"> </w:t>
      </w:r>
      <w:r w:rsidRPr="00E902E0">
        <w:t xml:space="preserve">processes, PHNs will undertake consultation at a local level, with consumers, carers, Local Hospital Networks (LHNs) or their equivalent and other local stakeholders to shape the service model to meet the </w:t>
      </w:r>
      <w:proofErr w:type="gramStart"/>
      <w:r w:rsidRPr="00E902E0">
        <w:t>particular needs</w:t>
      </w:r>
      <w:proofErr w:type="gramEnd"/>
      <w:r w:rsidRPr="00E902E0">
        <w:t xml:space="preserve"> of the area, within the framework presented by this model. Avoiding further fragmentation and ensuring sustainability will be key priorities in the </w:t>
      </w:r>
      <w:r w:rsidR="009752EB" w:rsidRPr="00E902E0">
        <w:t>delivery of this initiative,</w:t>
      </w:r>
      <w:r w:rsidRPr="00E902E0">
        <w:t xml:space="preserve"> as recommended by the PC report. </w:t>
      </w:r>
      <w:bookmarkStart w:id="7" w:name="_Hlk89161151"/>
    </w:p>
    <w:p w14:paraId="0F03C8B5" w14:textId="4AABB086" w:rsidR="00B52254" w:rsidRPr="00E902E0" w:rsidRDefault="000B18CC" w:rsidP="00E902E0">
      <w:r w:rsidRPr="00E902E0">
        <w:t xml:space="preserve">A key imperative will be ensuring the model of care offers a culturally safe response to the needs of Aboriginal and Torres Strait Islander people, in line with the principles of the </w:t>
      </w:r>
      <w:proofErr w:type="spellStart"/>
      <w:r w:rsidRPr="00E902E0">
        <w:t>Gayaa</w:t>
      </w:r>
      <w:proofErr w:type="spellEnd"/>
      <w:r w:rsidRPr="00E902E0">
        <w:t xml:space="preserve"> </w:t>
      </w:r>
      <w:proofErr w:type="spellStart"/>
      <w:r w:rsidRPr="00E902E0">
        <w:t>Dhuwi</w:t>
      </w:r>
      <w:proofErr w:type="spellEnd"/>
      <w:r w:rsidRPr="00E902E0">
        <w:t xml:space="preserve"> (Proud Spirit) Declaration</w:t>
      </w:r>
      <w:r w:rsidR="00373A07" w:rsidRPr="00650EC2">
        <w:rPr>
          <w:rStyle w:val="FootnoteReference"/>
          <w:rFonts w:asciiTheme="majorHAnsi" w:hAnsiTheme="majorHAnsi" w:cs="Poppins Light"/>
        </w:rPr>
        <w:footnoteReference w:id="3"/>
      </w:r>
      <w:r w:rsidR="00C63411" w:rsidRPr="00E902E0">
        <w:t xml:space="preserve"> and the diverse needs of </w:t>
      </w:r>
      <w:r w:rsidR="00B13789" w:rsidRPr="00E902E0">
        <w:t>Culturally and Linguistically Diverse (</w:t>
      </w:r>
      <w:r w:rsidR="00C63411" w:rsidRPr="00E902E0">
        <w:t>CALD</w:t>
      </w:r>
      <w:r w:rsidR="00B13789" w:rsidRPr="00E902E0">
        <w:t>)</w:t>
      </w:r>
      <w:r w:rsidR="00C63411" w:rsidRPr="00E902E0">
        <w:t xml:space="preserve"> and </w:t>
      </w:r>
      <w:r w:rsidR="00B13789" w:rsidRPr="00E902E0">
        <w:t>Lesbian, Gay, Bisexual, Trans, Intersex and Queer (</w:t>
      </w:r>
      <w:r w:rsidR="00C63411" w:rsidRPr="00E902E0">
        <w:t>LGBTIQ</w:t>
      </w:r>
      <w:r w:rsidR="009752EB" w:rsidRPr="00E902E0">
        <w:t>+</w:t>
      </w:r>
      <w:r w:rsidR="00B13789" w:rsidRPr="00E902E0">
        <w:t>)</w:t>
      </w:r>
      <w:r w:rsidR="00C63411" w:rsidRPr="00E902E0">
        <w:t xml:space="preserve"> people.</w:t>
      </w:r>
      <w:r w:rsidRPr="00E902E0">
        <w:t xml:space="preserve"> </w:t>
      </w:r>
      <w:bookmarkEnd w:id="7"/>
      <w:r w:rsidRPr="00E902E0">
        <w:t>Whilst working within the principles of this service model, phone services will differ in their service delivery approach which will be tailored to meet the needs of each region.</w:t>
      </w:r>
      <w:bookmarkStart w:id="8" w:name="_Toc88641305"/>
    </w:p>
    <w:p w14:paraId="3BEDB9E3" w14:textId="4F4E6EF7" w:rsidR="000B18CC" w:rsidRPr="00650EC2" w:rsidRDefault="000B18CC" w:rsidP="0099061F">
      <w:pPr>
        <w:pStyle w:val="Heading1"/>
        <w:pageBreakBefore/>
        <w:rPr>
          <w:rFonts w:cs="Times New Roman"/>
        </w:rPr>
      </w:pPr>
      <w:bookmarkStart w:id="9" w:name="_Toc108097473"/>
      <w:r w:rsidRPr="00650EC2">
        <w:rPr>
          <w:rFonts w:cs="Times New Roman"/>
        </w:rPr>
        <w:lastRenderedPageBreak/>
        <w:t>Assumptions underpinning the service model</w:t>
      </w:r>
      <w:bookmarkEnd w:id="8"/>
      <w:bookmarkEnd w:id="9"/>
    </w:p>
    <w:p w14:paraId="2A011747" w14:textId="64E884DD" w:rsidR="000B18CC" w:rsidRPr="00E902E0" w:rsidRDefault="000B18CC" w:rsidP="00E902E0">
      <w:r w:rsidRPr="00E902E0">
        <w:t xml:space="preserve">The Head to Health </w:t>
      </w:r>
      <w:r w:rsidR="008E3EA1" w:rsidRPr="00E902E0">
        <w:t xml:space="preserve">assessment and referral </w:t>
      </w:r>
      <w:r w:rsidRPr="00E902E0">
        <w:t>phone service will provide:</w:t>
      </w:r>
    </w:p>
    <w:p w14:paraId="06E6C228" w14:textId="150FA210" w:rsidR="000B18CC" w:rsidRPr="00650EC2" w:rsidRDefault="000B18CC" w:rsidP="00373A07">
      <w:pPr>
        <w:pStyle w:val="ListBullet"/>
        <w:rPr>
          <w:rFonts w:asciiTheme="majorHAnsi" w:hAnsiTheme="majorHAnsi" w:cs="Poppins Light"/>
        </w:rPr>
      </w:pPr>
      <w:r w:rsidRPr="00650EC2">
        <w:rPr>
          <w:rFonts w:asciiTheme="majorHAnsi" w:hAnsiTheme="majorHAnsi" w:cs="Poppins Light"/>
        </w:rPr>
        <w:t xml:space="preserve">a welcoming and accessible entry point for people experiencing emotional distress, mental ill health, and/or addiction, and their families and carers through a ‘no wrong door’ approach that is consistent with the </w:t>
      </w:r>
      <w:r w:rsidRPr="00407C9E">
        <w:rPr>
          <w:rStyle w:val="Emphasis"/>
        </w:rPr>
        <w:t>Mental Health Statement of Rights and Responsibilities</w:t>
      </w:r>
      <w:r w:rsidR="00373A07" w:rsidRPr="00E902E0">
        <w:rPr>
          <w:rStyle w:val="FootnoteReference"/>
        </w:rPr>
        <w:footnoteReference w:id="4"/>
      </w:r>
      <w:r w:rsidR="00373A07" w:rsidRPr="00407C9E">
        <w:rPr>
          <w:rStyle w:val="Emphasis"/>
        </w:rPr>
        <w:t xml:space="preserve"> </w:t>
      </w:r>
    </w:p>
    <w:p w14:paraId="5DB33752" w14:textId="26D743C6" w:rsidR="000B18CC" w:rsidRPr="00650EC2" w:rsidRDefault="000B18CC" w:rsidP="004700AA">
      <w:pPr>
        <w:pStyle w:val="ListBullet"/>
        <w:rPr>
          <w:rFonts w:asciiTheme="majorHAnsi" w:hAnsiTheme="majorHAnsi" w:cs="Poppins Light"/>
        </w:rPr>
      </w:pPr>
      <w:r w:rsidRPr="00650EC2">
        <w:rPr>
          <w:rFonts w:asciiTheme="majorHAnsi" w:hAnsiTheme="majorHAnsi" w:cs="Poppins Light"/>
        </w:rPr>
        <w:t xml:space="preserve">a holistic approach to care, including linking to services that address a broad range of </w:t>
      </w:r>
      <w:r w:rsidR="00B66301" w:rsidRPr="00650EC2">
        <w:rPr>
          <w:rFonts w:asciiTheme="majorHAnsi" w:hAnsiTheme="majorHAnsi" w:cs="Poppins Light"/>
        </w:rPr>
        <w:t xml:space="preserve">health, </w:t>
      </w:r>
      <w:r w:rsidRPr="00650EC2">
        <w:rPr>
          <w:rFonts w:asciiTheme="majorHAnsi" w:hAnsiTheme="majorHAnsi" w:cs="Poppins Light"/>
        </w:rPr>
        <w:t>social, physical</w:t>
      </w:r>
      <w:r w:rsidR="00F20747" w:rsidRPr="00650EC2">
        <w:rPr>
          <w:rFonts w:asciiTheme="majorHAnsi" w:hAnsiTheme="majorHAnsi" w:cs="Poppins Light"/>
        </w:rPr>
        <w:t>,</w:t>
      </w:r>
      <w:r w:rsidRPr="00650EC2">
        <w:rPr>
          <w:rFonts w:asciiTheme="majorHAnsi" w:hAnsiTheme="majorHAnsi" w:cs="Poppins Light"/>
        </w:rPr>
        <w:t xml:space="preserve"> and emotional needs, supported by best practice in evidence-based and evidence-informed care</w:t>
      </w:r>
    </w:p>
    <w:p w14:paraId="3F5E26DF" w14:textId="5A9BD215" w:rsidR="000B18CC" w:rsidRPr="00650EC2" w:rsidRDefault="000B18CC" w:rsidP="004700AA">
      <w:pPr>
        <w:pStyle w:val="ListBullet"/>
        <w:rPr>
          <w:rFonts w:asciiTheme="majorHAnsi" w:hAnsiTheme="majorHAnsi" w:cs="Poppins Light"/>
        </w:rPr>
      </w:pPr>
      <w:r w:rsidRPr="00650EC2">
        <w:rPr>
          <w:rFonts w:asciiTheme="majorHAnsi" w:hAnsiTheme="majorHAnsi" w:cs="Poppins Light"/>
        </w:rPr>
        <w:t>information and advice to consumers</w:t>
      </w:r>
      <w:r w:rsidR="00E36238" w:rsidRPr="00650EC2">
        <w:rPr>
          <w:rFonts w:asciiTheme="majorHAnsi" w:hAnsiTheme="majorHAnsi" w:cs="Poppins Light"/>
        </w:rPr>
        <w:t xml:space="preserve"> </w:t>
      </w:r>
      <w:r w:rsidRPr="00650EC2">
        <w:rPr>
          <w:rFonts w:asciiTheme="majorHAnsi" w:hAnsiTheme="majorHAnsi" w:cs="Poppins Light"/>
        </w:rPr>
        <w:t>in a way that is person-centred and prioritises self-determination, choice</w:t>
      </w:r>
      <w:r w:rsidR="00F20747" w:rsidRPr="00650EC2">
        <w:rPr>
          <w:rFonts w:asciiTheme="majorHAnsi" w:hAnsiTheme="majorHAnsi" w:cs="Poppins Light"/>
        </w:rPr>
        <w:t>,</w:t>
      </w:r>
      <w:r w:rsidRPr="00650EC2">
        <w:rPr>
          <w:rFonts w:asciiTheme="majorHAnsi" w:hAnsiTheme="majorHAnsi" w:cs="Poppins Light"/>
        </w:rPr>
        <w:t xml:space="preserve"> and agency</w:t>
      </w:r>
    </w:p>
    <w:p w14:paraId="7D22074A" w14:textId="644D2C89" w:rsidR="00E36238" w:rsidRPr="00650EC2" w:rsidRDefault="00E36238" w:rsidP="004700AA">
      <w:pPr>
        <w:pStyle w:val="ListBullet"/>
        <w:rPr>
          <w:rFonts w:asciiTheme="majorHAnsi" w:hAnsiTheme="majorHAnsi" w:cs="Poppins Light"/>
        </w:rPr>
      </w:pPr>
      <w:r w:rsidRPr="00650EC2">
        <w:rPr>
          <w:rFonts w:asciiTheme="majorHAnsi" w:hAnsiTheme="majorHAnsi" w:cs="Poppins Light"/>
        </w:rPr>
        <w:t>information, support and advice for carers and family members that acknowledges and validates their needs authentically and supports informed decision</w:t>
      </w:r>
      <w:r w:rsidR="00066D98" w:rsidRPr="00650EC2">
        <w:rPr>
          <w:rFonts w:asciiTheme="majorHAnsi" w:hAnsiTheme="majorHAnsi" w:cs="Poppins Light"/>
        </w:rPr>
        <w:t>-</w:t>
      </w:r>
      <w:r w:rsidRPr="00650EC2">
        <w:rPr>
          <w:rFonts w:asciiTheme="majorHAnsi" w:hAnsiTheme="majorHAnsi" w:cs="Poppins Light"/>
        </w:rPr>
        <w:t>making</w:t>
      </w:r>
    </w:p>
    <w:p w14:paraId="1A0609F0" w14:textId="7FB27043" w:rsidR="000B18CC" w:rsidRPr="00650EC2" w:rsidRDefault="000B18CC" w:rsidP="004700AA">
      <w:pPr>
        <w:pStyle w:val="ListBullet"/>
        <w:rPr>
          <w:rFonts w:asciiTheme="majorHAnsi" w:hAnsiTheme="majorHAnsi" w:cs="Poppins Light"/>
        </w:rPr>
      </w:pPr>
      <w:r w:rsidRPr="00650EC2">
        <w:rPr>
          <w:rFonts w:asciiTheme="majorHAnsi" w:hAnsiTheme="majorHAnsi" w:cs="Poppins Light"/>
        </w:rPr>
        <w:t>a service which complements and does not duplicate existing services, including crisis phone lines and state-based acute care intake services</w:t>
      </w:r>
    </w:p>
    <w:p w14:paraId="74B7F641" w14:textId="7B89BB23" w:rsidR="000B18CC" w:rsidRPr="00650EC2" w:rsidRDefault="000B18CC" w:rsidP="004700AA">
      <w:pPr>
        <w:pStyle w:val="ListBullet"/>
        <w:rPr>
          <w:rFonts w:asciiTheme="majorHAnsi" w:hAnsiTheme="majorHAnsi" w:cs="Poppins Light"/>
        </w:rPr>
      </w:pPr>
      <w:r w:rsidRPr="00650EC2">
        <w:rPr>
          <w:rFonts w:asciiTheme="majorHAnsi" w:hAnsiTheme="majorHAnsi" w:cs="Poppins Light"/>
        </w:rPr>
        <w:t>flexibility for regional variation to address local population needs and to make optimal use of already available services</w:t>
      </w:r>
    </w:p>
    <w:p w14:paraId="506F130C" w14:textId="55D33C48" w:rsidR="000B18CC" w:rsidRPr="00650EC2" w:rsidRDefault="000B18CC" w:rsidP="004700AA">
      <w:pPr>
        <w:pStyle w:val="ListBullet"/>
        <w:rPr>
          <w:rFonts w:asciiTheme="majorHAnsi" w:hAnsiTheme="majorHAnsi" w:cs="Poppins Light"/>
        </w:rPr>
      </w:pPr>
      <w:r w:rsidRPr="00650EC2">
        <w:rPr>
          <w:rFonts w:asciiTheme="majorHAnsi" w:hAnsiTheme="majorHAnsi" w:cs="Poppins Light"/>
        </w:rPr>
        <w:t xml:space="preserve">a seamless service pathway, by working collaboratively with local mental health service providers to develop strong working relationships, including shared or common information systems to allow smooth transfer of information and transition between providers </w:t>
      </w:r>
      <w:r w:rsidR="00B66301" w:rsidRPr="00650EC2">
        <w:rPr>
          <w:rFonts w:asciiTheme="majorHAnsi" w:hAnsiTheme="majorHAnsi" w:cs="Poppins Light"/>
        </w:rPr>
        <w:t xml:space="preserve">with consumer consent, </w:t>
      </w:r>
      <w:r w:rsidRPr="00650EC2">
        <w:rPr>
          <w:rFonts w:asciiTheme="majorHAnsi" w:hAnsiTheme="majorHAnsi" w:cs="Poppins Light"/>
        </w:rPr>
        <w:t>with the aim of a consumer only hav</w:t>
      </w:r>
      <w:r w:rsidR="00E36238" w:rsidRPr="00650EC2">
        <w:rPr>
          <w:rFonts w:asciiTheme="majorHAnsi" w:hAnsiTheme="majorHAnsi" w:cs="Poppins Light"/>
        </w:rPr>
        <w:t>ing</w:t>
      </w:r>
      <w:r w:rsidRPr="00650EC2">
        <w:rPr>
          <w:rFonts w:asciiTheme="majorHAnsi" w:hAnsiTheme="majorHAnsi" w:cs="Poppins Light"/>
        </w:rPr>
        <w:t xml:space="preserve"> to tell their story once and not requiring</w:t>
      </w:r>
      <w:r w:rsidR="00B12DB2" w:rsidRPr="00650EC2">
        <w:rPr>
          <w:rFonts w:asciiTheme="majorHAnsi" w:hAnsiTheme="majorHAnsi" w:cs="Poppins Light"/>
        </w:rPr>
        <w:t xml:space="preserve"> a full</w:t>
      </w:r>
      <w:r w:rsidRPr="00650EC2">
        <w:rPr>
          <w:rFonts w:asciiTheme="majorHAnsi" w:hAnsiTheme="majorHAnsi" w:cs="Poppins Light"/>
        </w:rPr>
        <w:t xml:space="preserve"> re-assessment when receiving treatment services</w:t>
      </w:r>
    </w:p>
    <w:p w14:paraId="503AA1E1" w14:textId="6DDD3735" w:rsidR="000B18CC" w:rsidRPr="00650EC2" w:rsidRDefault="000B18CC" w:rsidP="00C55EDB">
      <w:pPr>
        <w:pStyle w:val="ListBullet"/>
        <w:rPr>
          <w:rFonts w:asciiTheme="majorHAnsi" w:hAnsiTheme="majorHAnsi" w:cs="Poppins Light"/>
        </w:rPr>
      </w:pPr>
      <w:r w:rsidRPr="00650EC2">
        <w:rPr>
          <w:rFonts w:asciiTheme="majorHAnsi" w:hAnsiTheme="majorHAnsi" w:cs="Poppins Light"/>
        </w:rPr>
        <w:t>services within</w:t>
      </w:r>
      <w:r w:rsidR="00B66301" w:rsidRPr="00650EC2">
        <w:rPr>
          <w:rFonts w:asciiTheme="majorHAnsi" w:hAnsiTheme="majorHAnsi" w:cs="Poppins Light"/>
        </w:rPr>
        <w:t xml:space="preserve"> appropriate clinical governance and safety and quality frameworks</w:t>
      </w:r>
      <w:r w:rsidRPr="00650EC2">
        <w:rPr>
          <w:rFonts w:asciiTheme="majorHAnsi" w:hAnsiTheme="majorHAnsi" w:cs="Poppins Light"/>
        </w:rPr>
        <w:t>, including by ensuring the risks of supporting individuals who may be experiencing high</w:t>
      </w:r>
      <w:r w:rsidR="00C55EDB" w:rsidRPr="00650EC2">
        <w:rPr>
          <w:rFonts w:asciiTheme="majorHAnsi" w:hAnsiTheme="majorHAnsi" w:cs="Poppins Light"/>
        </w:rPr>
        <w:t xml:space="preserve"> </w:t>
      </w:r>
      <w:r w:rsidRPr="00650EC2">
        <w:rPr>
          <w:rFonts w:asciiTheme="majorHAnsi" w:hAnsiTheme="majorHAnsi" w:cs="Poppins Light"/>
        </w:rPr>
        <w:t xml:space="preserve">distress </w:t>
      </w:r>
      <w:r w:rsidR="00B66301" w:rsidRPr="00650EC2">
        <w:rPr>
          <w:rFonts w:asciiTheme="majorHAnsi" w:hAnsiTheme="majorHAnsi" w:cs="Poppins Light"/>
        </w:rPr>
        <w:t xml:space="preserve">or acute illness </w:t>
      </w:r>
      <w:r w:rsidRPr="00650EC2">
        <w:rPr>
          <w:rFonts w:asciiTheme="majorHAnsi" w:hAnsiTheme="majorHAnsi" w:cs="Poppins Light"/>
        </w:rPr>
        <w:t>are managed, and attending to appropriate ongoing support, supervision</w:t>
      </w:r>
      <w:r w:rsidR="00F20747" w:rsidRPr="00650EC2">
        <w:rPr>
          <w:rFonts w:asciiTheme="majorHAnsi" w:hAnsiTheme="majorHAnsi" w:cs="Poppins Light"/>
        </w:rPr>
        <w:t>,</w:t>
      </w:r>
      <w:r w:rsidRPr="00650EC2">
        <w:rPr>
          <w:rFonts w:asciiTheme="majorHAnsi" w:hAnsiTheme="majorHAnsi" w:cs="Poppins Light"/>
        </w:rPr>
        <w:t xml:space="preserve"> and training for all staff. </w:t>
      </w:r>
    </w:p>
    <w:p w14:paraId="74610B81" w14:textId="5FC15910" w:rsidR="000B18CC" w:rsidRPr="00650EC2" w:rsidRDefault="000B18CC" w:rsidP="004700AA">
      <w:pPr>
        <w:pStyle w:val="Heading1"/>
        <w:rPr>
          <w:rFonts w:cs="Times New Roman"/>
        </w:rPr>
      </w:pPr>
      <w:bookmarkStart w:id="10" w:name="_Toc88641306"/>
      <w:bookmarkStart w:id="11" w:name="_Toc108097474"/>
      <w:r w:rsidRPr="00650EC2">
        <w:rPr>
          <w:rFonts w:cs="Times New Roman"/>
        </w:rPr>
        <w:t xml:space="preserve">Core </w:t>
      </w:r>
      <w:r w:rsidR="00070C38" w:rsidRPr="00650EC2">
        <w:rPr>
          <w:rFonts w:cs="Times New Roman"/>
        </w:rPr>
        <w:t>s</w:t>
      </w:r>
      <w:r w:rsidRPr="00650EC2">
        <w:rPr>
          <w:rFonts w:cs="Times New Roman"/>
        </w:rPr>
        <w:t xml:space="preserve">ervice </w:t>
      </w:r>
      <w:r w:rsidR="00070C38" w:rsidRPr="00650EC2">
        <w:rPr>
          <w:rFonts w:cs="Times New Roman"/>
        </w:rPr>
        <w:t>e</w:t>
      </w:r>
      <w:r w:rsidRPr="00650EC2">
        <w:rPr>
          <w:rFonts w:cs="Times New Roman"/>
        </w:rPr>
        <w:t>lements</w:t>
      </w:r>
      <w:bookmarkEnd w:id="10"/>
      <w:bookmarkEnd w:id="11"/>
    </w:p>
    <w:p w14:paraId="4A033ABD" w14:textId="443A3ED7" w:rsidR="000B18CC" w:rsidRPr="00E902E0" w:rsidRDefault="000B18CC" w:rsidP="00E902E0">
      <w:r w:rsidRPr="00E902E0">
        <w:t xml:space="preserve">While allowing for local flexibility, the service model for </w:t>
      </w:r>
      <w:r w:rsidR="002D65F3" w:rsidRPr="00E902E0">
        <w:t>the Head to Health</w:t>
      </w:r>
      <w:r w:rsidR="008E3EA1" w:rsidRPr="00E902E0">
        <w:t xml:space="preserve"> </w:t>
      </w:r>
      <w:r w:rsidRPr="00E902E0">
        <w:t>phone service will address the following core service elements:</w:t>
      </w:r>
    </w:p>
    <w:p w14:paraId="78F14DA2" w14:textId="7115B983" w:rsidR="000B18CC" w:rsidRPr="00650EC2" w:rsidRDefault="00A33C24" w:rsidP="004700AA">
      <w:pPr>
        <w:pStyle w:val="ListBullet"/>
        <w:rPr>
          <w:rFonts w:asciiTheme="majorHAnsi" w:hAnsiTheme="majorHAnsi" w:cs="Poppins Light"/>
        </w:rPr>
      </w:pPr>
      <w:r w:rsidRPr="00650EC2">
        <w:rPr>
          <w:rFonts w:asciiTheme="majorHAnsi" w:hAnsiTheme="majorHAnsi" w:cs="Poppins Light"/>
        </w:rPr>
        <w:t>a</w:t>
      </w:r>
      <w:r w:rsidR="00A24560" w:rsidRPr="00650EC2">
        <w:rPr>
          <w:rFonts w:asciiTheme="majorHAnsi" w:hAnsiTheme="majorHAnsi" w:cs="Poppins Light"/>
        </w:rPr>
        <w:t>ct as</w:t>
      </w:r>
      <w:r w:rsidR="000B18CC" w:rsidRPr="00650EC2">
        <w:rPr>
          <w:rFonts w:asciiTheme="majorHAnsi" w:hAnsiTheme="majorHAnsi" w:cs="Poppins Light"/>
        </w:rPr>
        <w:t xml:space="preserve"> a central point </w:t>
      </w:r>
      <w:r w:rsidR="002D65F3" w:rsidRPr="00650EC2">
        <w:rPr>
          <w:rFonts w:asciiTheme="majorHAnsi" w:hAnsiTheme="majorHAnsi" w:cs="Poppins Light"/>
        </w:rPr>
        <w:t xml:space="preserve">for people to </w:t>
      </w:r>
      <w:r w:rsidR="00A24560" w:rsidRPr="00650EC2">
        <w:rPr>
          <w:rFonts w:asciiTheme="majorHAnsi" w:hAnsiTheme="majorHAnsi" w:cs="Poppins Light"/>
        </w:rPr>
        <w:t>speak to someone about mental health issues</w:t>
      </w:r>
      <w:r w:rsidR="000B18CC" w:rsidRPr="00650EC2">
        <w:rPr>
          <w:rFonts w:asciiTheme="majorHAnsi" w:hAnsiTheme="majorHAnsi" w:cs="Poppins Light"/>
        </w:rPr>
        <w:t xml:space="preserve"> </w:t>
      </w:r>
      <w:r w:rsidR="00A24560" w:rsidRPr="00650EC2">
        <w:rPr>
          <w:rFonts w:asciiTheme="majorHAnsi" w:hAnsiTheme="majorHAnsi" w:cs="Poppins Light"/>
        </w:rPr>
        <w:t>and receive</w:t>
      </w:r>
      <w:r w:rsidR="000B18CC" w:rsidRPr="00650EC2">
        <w:rPr>
          <w:rFonts w:asciiTheme="majorHAnsi" w:hAnsiTheme="majorHAnsi" w:cs="Poppins Light"/>
        </w:rPr>
        <w:t xml:space="preserve"> information and advice about mental health and AOD use</w:t>
      </w:r>
    </w:p>
    <w:p w14:paraId="5C3C2C0C" w14:textId="27A905D7" w:rsidR="000B18CC" w:rsidRPr="00650EC2" w:rsidRDefault="00A33C24" w:rsidP="004700AA">
      <w:pPr>
        <w:pStyle w:val="ListBullet"/>
        <w:rPr>
          <w:rFonts w:asciiTheme="majorHAnsi" w:hAnsiTheme="majorHAnsi" w:cs="Poppins Light"/>
        </w:rPr>
      </w:pPr>
      <w:r w:rsidRPr="00650EC2">
        <w:rPr>
          <w:rFonts w:asciiTheme="majorHAnsi" w:hAnsiTheme="majorHAnsi" w:cs="Poppins Light"/>
        </w:rPr>
        <w:t>p</w:t>
      </w:r>
      <w:r w:rsidR="00A24560" w:rsidRPr="00650EC2">
        <w:rPr>
          <w:rFonts w:asciiTheme="majorHAnsi" w:hAnsiTheme="majorHAnsi" w:cs="Poppins Light"/>
        </w:rPr>
        <w:t>rovide h</w:t>
      </w:r>
      <w:r w:rsidR="000B18CC" w:rsidRPr="00650EC2">
        <w:rPr>
          <w:rFonts w:asciiTheme="majorHAnsi" w:hAnsiTheme="majorHAnsi" w:cs="Poppins Light"/>
        </w:rPr>
        <w:t xml:space="preserve">olistic assessment of needs provided by a </w:t>
      </w:r>
      <w:r w:rsidR="00B66301" w:rsidRPr="00650EC2">
        <w:rPr>
          <w:rFonts w:asciiTheme="majorHAnsi" w:hAnsiTheme="majorHAnsi" w:cs="Poppins Light"/>
        </w:rPr>
        <w:t xml:space="preserve">trained professional </w:t>
      </w:r>
      <w:r w:rsidR="000B18CC" w:rsidRPr="00650EC2">
        <w:rPr>
          <w:rFonts w:asciiTheme="majorHAnsi" w:hAnsiTheme="majorHAnsi" w:cs="Poppins Light"/>
        </w:rPr>
        <w:t xml:space="preserve">using the Commonwealth’s Initial Assessment and Referral </w:t>
      </w:r>
      <w:r w:rsidR="00066D98" w:rsidRPr="00650EC2">
        <w:rPr>
          <w:rFonts w:asciiTheme="majorHAnsi" w:hAnsiTheme="majorHAnsi" w:cs="Poppins Light"/>
        </w:rPr>
        <w:t xml:space="preserve">(IAR) </w:t>
      </w:r>
      <w:r w:rsidR="000B18CC" w:rsidRPr="00650EC2">
        <w:rPr>
          <w:rFonts w:asciiTheme="majorHAnsi" w:hAnsiTheme="majorHAnsi" w:cs="Poppins Light"/>
        </w:rPr>
        <w:t xml:space="preserve">tool </w:t>
      </w:r>
    </w:p>
    <w:p w14:paraId="0B72AD4B" w14:textId="51205F3C" w:rsidR="000B18CC" w:rsidRPr="00650EC2" w:rsidRDefault="00A33C24" w:rsidP="004700AA">
      <w:pPr>
        <w:pStyle w:val="ListBullet"/>
        <w:rPr>
          <w:rFonts w:asciiTheme="majorHAnsi" w:hAnsiTheme="majorHAnsi" w:cs="Poppins Light"/>
        </w:rPr>
      </w:pPr>
      <w:r w:rsidRPr="00650EC2">
        <w:rPr>
          <w:rFonts w:asciiTheme="majorHAnsi" w:hAnsiTheme="majorHAnsi" w:cs="Poppins Light"/>
        </w:rPr>
        <w:t>c</w:t>
      </w:r>
      <w:r w:rsidR="000B18CC" w:rsidRPr="00650EC2">
        <w:rPr>
          <w:rFonts w:asciiTheme="majorHAnsi" w:hAnsiTheme="majorHAnsi" w:cs="Poppins Light"/>
        </w:rPr>
        <w:t>onnect people seamlessly to the most appropriate local service to meet their identified needs</w:t>
      </w:r>
    </w:p>
    <w:p w14:paraId="496EBD0F" w14:textId="2977D1CB" w:rsidR="000B18CC" w:rsidRPr="00650EC2" w:rsidRDefault="00A33C24" w:rsidP="00E902E0">
      <w:pPr>
        <w:pStyle w:val="ListBullet"/>
      </w:pPr>
      <w:r w:rsidRPr="00650EC2">
        <w:t>c</w:t>
      </w:r>
      <w:r w:rsidR="000B18CC" w:rsidRPr="00650EC2">
        <w:t xml:space="preserve">ollect data about </w:t>
      </w:r>
      <w:r w:rsidR="00B52AB2" w:rsidRPr="00650EC2">
        <w:t xml:space="preserve">phone call activity including </w:t>
      </w:r>
      <w:r w:rsidR="000B18CC" w:rsidRPr="00650EC2">
        <w:t xml:space="preserve">the number of callers, the IAR level of care, referrals </w:t>
      </w:r>
      <w:r w:rsidR="00B52AB2" w:rsidRPr="00650EC2">
        <w:t>to PHN commissioned services</w:t>
      </w:r>
      <w:r w:rsidR="000B18CC" w:rsidRPr="00650EC2">
        <w:t xml:space="preserve">, referral out destination, and </w:t>
      </w:r>
      <w:r w:rsidR="00E357CF" w:rsidRPr="00650EC2">
        <w:t>demographic characteristics of consumers</w:t>
      </w:r>
      <w:r w:rsidR="007963AA" w:rsidRPr="00650EC2">
        <w:t xml:space="preserve">, including reporting the required data to </w:t>
      </w:r>
      <w:r w:rsidR="007963AA" w:rsidRPr="00650EC2">
        <w:lastRenderedPageBreak/>
        <w:t xml:space="preserve">the </w:t>
      </w:r>
      <w:r w:rsidR="0013571A" w:rsidRPr="00650EC2">
        <w:t>Primary Mental Health Care Minimum Data Set (</w:t>
      </w:r>
      <w:r w:rsidR="007963AA" w:rsidRPr="00650EC2">
        <w:t>PMHC</w:t>
      </w:r>
      <w:r w:rsidR="008076D2" w:rsidRPr="00650EC2">
        <w:t>-</w:t>
      </w:r>
      <w:r w:rsidR="007963AA" w:rsidRPr="00650EC2">
        <w:t>MDS</w:t>
      </w:r>
      <w:r w:rsidR="0013571A" w:rsidRPr="00650EC2">
        <w:t>)</w:t>
      </w:r>
      <w:r w:rsidR="000B18CC" w:rsidRPr="00650EC2">
        <w:t>. This will provide a greater understanding of mental health need across Australia.</w:t>
      </w:r>
      <w:r w:rsidR="003603C6" w:rsidRPr="00650EC2">
        <w:t xml:space="preserve"> Please see the ‘</w:t>
      </w:r>
      <w:hyperlink w:anchor="_Monitoring_and_evaluation_1" w:history="1">
        <w:r w:rsidR="003553C3" w:rsidRPr="00650EC2">
          <w:rPr>
            <w:rStyle w:val="Hyperlink"/>
            <w:rFonts w:asciiTheme="majorHAnsi" w:hAnsiTheme="majorHAnsi" w:cs="Poppins Light"/>
          </w:rPr>
          <w:t>Monitoring and Evaluation</w:t>
        </w:r>
      </w:hyperlink>
      <w:r w:rsidR="003553C3" w:rsidRPr="00650EC2">
        <w:t>’</w:t>
      </w:r>
      <w:r w:rsidR="003603C6" w:rsidRPr="00650EC2">
        <w:t xml:space="preserve"> section for </w:t>
      </w:r>
      <w:r w:rsidR="007963AA" w:rsidRPr="00650EC2">
        <w:t xml:space="preserve">detailed </w:t>
      </w:r>
      <w:r w:rsidR="003603C6" w:rsidRPr="00650EC2">
        <w:t>data reporting</w:t>
      </w:r>
      <w:r w:rsidR="0013571A" w:rsidRPr="00650EC2">
        <w:t xml:space="preserve"> requirements</w:t>
      </w:r>
      <w:r w:rsidR="003603C6" w:rsidRPr="00650EC2">
        <w:t>.</w:t>
      </w:r>
    </w:p>
    <w:p w14:paraId="3857C5BC" w14:textId="77777777" w:rsidR="000B18CC" w:rsidRPr="00650EC2" w:rsidRDefault="000B18CC" w:rsidP="004700AA">
      <w:pPr>
        <w:pStyle w:val="Heading2"/>
        <w:rPr>
          <w:rFonts w:cs="Times New Roman"/>
        </w:rPr>
      </w:pPr>
      <w:bookmarkStart w:id="12" w:name="_Toc88641307"/>
      <w:bookmarkStart w:id="13" w:name="_Toc108097475"/>
      <w:r w:rsidRPr="00650EC2">
        <w:rPr>
          <w:rFonts w:cs="Times New Roman"/>
        </w:rPr>
        <w:t>Operating hours</w:t>
      </w:r>
      <w:bookmarkEnd w:id="12"/>
      <w:bookmarkEnd w:id="13"/>
    </w:p>
    <w:p w14:paraId="1A499C9C" w14:textId="5DEB85DB" w:rsidR="000B18CC" w:rsidRPr="00650EC2" w:rsidRDefault="00A24560" w:rsidP="00E902E0">
      <w:r w:rsidRPr="00650EC2">
        <w:t xml:space="preserve">The Head to Health </w:t>
      </w:r>
      <w:r w:rsidR="000B18CC" w:rsidRPr="00650EC2">
        <w:t xml:space="preserve">phone services </w:t>
      </w:r>
      <w:r w:rsidRPr="00650EC2">
        <w:t xml:space="preserve">will, at a minimum, </w:t>
      </w:r>
      <w:r w:rsidR="000B18CC" w:rsidRPr="00650EC2">
        <w:t xml:space="preserve">be staffed and operational during core business hours (8:30am to 5pm Monday to Friday). Over time, as demand for the service grows, extended opening hours </w:t>
      </w:r>
      <w:r w:rsidRPr="00650EC2">
        <w:t xml:space="preserve">should be offered </w:t>
      </w:r>
      <w:r w:rsidR="000B18CC" w:rsidRPr="00650EC2">
        <w:t>to best meet the needs of the</w:t>
      </w:r>
      <w:r w:rsidRPr="00650EC2">
        <w:t xml:space="preserve"> local</w:t>
      </w:r>
      <w:r w:rsidR="000B18CC" w:rsidRPr="00650EC2">
        <w:t xml:space="preserve"> community, including after hours and weekends, particularly in regions where a Head to Health centre is operational for extended hours. PHNs should ensure support and advice are available to the community seven days a week, and after hours, including through </w:t>
      </w:r>
      <w:r w:rsidRPr="00650EC2">
        <w:t>providing information about how to access another</w:t>
      </w:r>
      <w:r w:rsidR="000B18CC" w:rsidRPr="00650EC2">
        <w:t xml:space="preserve"> digital contact point for people experiencing distress</w:t>
      </w:r>
      <w:r w:rsidR="00143395" w:rsidRPr="00650EC2">
        <w:t xml:space="preserve"> (</w:t>
      </w:r>
      <w:proofErr w:type="gramStart"/>
      <w:r w:rsidR="00143395" w:rsidRPr="00650EC2">
        <w:t>e.g.</w:t>
      </w:r>
      <w:proofErr w:type="gramEnd"/>
      <w:r w:rsidR="00143395" w:rsidRPr="00650EC2">
        <w:t xml:space="preserve"> Lifeline, Beyond Blue)</w:t>
      </w:r>
      <w:r w:rsidR="000B18CC" w:rsidRPr="00650EC2">
        <w:t xml:space="preserve"> at times </w:t>
      </w:r>
      <w:r w:rsidRPr="00650EC2">
        <w:t xml:space="preserve">when </w:t>
      </w:r>
      <w:r w:rsidR="000B18CC" w:rsidRPr="00650EC2">
        <w:t xml:space="preserve">the </w:t>
      </w:r>
      <w:r w:rsidRPr="00650EC2">
        <w:t xml:space="preserve">Head to Health </w:t>
      </w:r>
      <w:r w:rsidR="000B18CC" w:rsidRPr="00650EC2">
        <w:t>phone service is not taking calls. Opening hours may be adjusted in response to demand and to complement availability of other regional services.</w:t>
      </w:r>
    </w:p>
    <w:p w14:paraId="68C5D651" w14:textId="246FB236" w:rsidR="005A220C" w:rsidRPr="00E902E0" w:rsidRDefault="006C297C" w:rsidP="00E902E0">
      <w:r w:rsidRPr="00E902E0">
        <w:t>C</w:t>
      </w:r>
      <w:r w:rsidR="00B52228" w:rsidRPr="00E902E0">
        <w:t>onsumer</w:t>
      </w:r>
      <w:r w:rsidR="000B18CC" w:rsidRPr="00E902E0">
        <w:t xml:space="preserve">s contacting the service out of hours </w:t>
      </w:r>
      <w:r w:rsidRPr="00E902E0">
        <w:t xml:space="preserve">should </w:t>
      </w:r>
      <w:r w:rsidR="000B18CC" w:rsidRPr="00E902E0">
        <w:t xml:space="preserve">have the </w:t>
      </w:r>
      <w:r w:rsidR="008076D2" w:rsidRPr="00E902E0">
        <w:t xml:space="preserve">option </w:t>
      </w:r>
      <w:r w:rsidR="000B18CC" w:rsidRPr="00E902E0">
        <w:t xml:space="preserve">to request a call back. All call back requests </w:t>
      </w:r>
      <w:r w:rsidR="00B12DB2" w:rsidRPr="00E902E0">
        <w:t>should</w:t>
      </w:r>
      <w:r w:rsidR="000B18CC" w:rsidRPr="00E902E0">
        <w:t xml:space="preserve"> be contacted within 24 </w:t>
      </w:r>
      <w:r w:rsidR="00B12DB2" w:rsidRPr="00E902E0">
        <w:t xml:space="preserve">business </w:t>
      </w:r>
      <w:r w:rsidR="000B18CC" w:rsidRPr="00E902E0">
        <w:t xml:space="preserve">hours. </w:t>
      </w:r>
    </w:p>
    <w:p w14:paraId="5DCFC9DA" w14:textId="4C047937" w:rsidR="005A220C" w:rsidRPr="00650EC2" w:rsidRDefault="005A220C" w:rsidP="004700AA">
      <w:pPr>
        <w:pStyle w:val="Heading2"/>
        <w:rPr>
          <w:rFonts w:cs="Times New Roman"/>
        </w:rPr>
      </w:pPr>
      <w:bookmarkStart w:id="14" w:name="_Toc108097476"/>
      <w:r w:rsidRPr="00650EC2">
        <w:rPr>
          <w:rFonts w:cs="Times New Roman"/>
        </w:rPr>
        <w:t>National telephony infrastructure</w:t>
      </w:r>
      <w:bookmarkEnd w:id="14"/>
    </w:p>
    <w:p w14:paraId="0CFA75C8" w14:textId="090D01C5" w:rsidR="005A220C" w:rsidRPr="00E902E0" w:rsidRDefault="005A220C" w:rsidP="00E902E0">
      <w:r w:rsidRPr="00650EC2">
        <w:t xml:space="preserve">North Western </w:t>
      </w:r>
      <w:r w:rsidRPr="00E902E0">
        <w:t xml:space="preserve">Melbourne PHN (NWMPHN) will administer the national telephony </w:t>
      </w:r>
      <w:r w:rsidR="0013571A" w:rsidRPr="00E902E0">
        <w:t xml:space="preserve">phone </w:t>
      </w:r>
      <w:r w:rsidRPr="00E902E0">
        <w:t xml:space="preserve">line (1800 595 212) across all PHN regions. All calls are routed </w:t>
      </w:r>
      <w:r w:rsidR="009D6466" w:rsidRPr="00E902E0">
        <w:t xml:space="preserve">based on client postcode </w:t>
      </w:r>
      <w:r w:rsidRPr="00E902E0">
        <w:t>to intake</w:t>
      </w:r>
      <w:r w:rsidR="00363237" w:rsidRPr="00E902E0">
        <w:t xml:space="preserve"> teams servicing each PHN region. Once calls have been routed from the central line</w:t>
      </w:r>
      <w:r w:rsidR="00DD0243" w:rsidRPr="00E902E0">
        <w:t>,</w:t>
      </w:r>
      <w:r w:rsidR="00826AA7" w:rsidRPr="00E902E0">
        <w:t xml:space="preserve"> </w:t>
      </w:r>
      <w:r w:rsidR="00363237" w:rsidRPr="00E902E0">
        <w:t xml:space="preserve">the call becomes the responsibility of </w:t>
      </w:r>
      <w:r w:rsidR="00826AA7" w:rsidRPr="00E902E0">
        <w:t xml:space="preserve">the receiving </w:t>
      </w:r>
      <w:r w:rsidR="00363237" w:rsidRPr="00E902E0">
        <w:t>intake team. This includes ensuring calls are answered, voice messages are on outside of operating hours</w:t>
      </w:r>
      <w:r w:rsidR="00D123E7" w:rsidRPr="00E902E0">
        <w:t>,</w:t>
      </w:r>
      <w:r w:rsidR="00363237" w:rsidRPr="00E902E0">
        <w:t xml:space="preserve"> and any </w:t>
      </w:r>
      <w:r w:rsidR="00B31C8B" w:rsidRPr="00E902E0">
        <w:t>callers requesting a call back are followed-up within the required timeframes.</w:t>
      </w:r>
    </w:p>
    <w:p w14:paraId="282D1F76" w14:textId="1A92A33C" w:rsidR="009B4FC7" w:rsidRPr="00E902E0" w:rsidRDefault="009B4FC7" w:rsidP="00E902E0">
      <w:r w:rsidRPr="00E902E0">
        <w:t>If an individual enters an invalid postcode</w:t>
      </w:r>
      <w:r w:rsidR="008076D2" w:rsidRPr="00E902E0">
        <w:t xml:space="preserve"> when prompted</w:t>
      </w:r>
      <w:r w:rsidRPr="00E902E0">
        <w:t xml:space="preserve">, they will be redirected to a default PHN intake team in their state or territory. PHNs in each </w:t>
      </w:r>
      <w:r w:rsidR="00AC575A" w:rsidRPr="00E902E0">
        <w:t>state and territory</w:t>
      </w:r>
      <w:r w:rsidRPr="00E902E0">
        <w:t xml:space="preserve"> will need to determine a protocol for these instances, including </w:t>
      </w:r>
      <w:r w:rsidR="00143395" w:rsidRPr="00E902E0">
        <w:t xml:space="preserve">either </w:t>
      </w:r>
      <w:r w:rsidR="00776519" w:rsidRPr="00E902E0">
        <w:t xml:space="preserve">routing these calls to a nominated default </w:t>
      </w:r>
      <w:r w:rsidRPr="00E902E0">
        <w:t>PHN intake team</w:t>
      </w:r>
      <w:r w:rsidR="00776519" w:rsidRPr="00E902E0">
        <w:t>, or to any of the intake teams via a round-robin</w:t>
      </w:r>
      <w:r w:rsidR="00143395" w:rsidRPr="00E902E0">
        <w:t xml:space="preserve"> proces</w:t>
      </w:r>
      <w:r w:rsidR="00752242" w:rsidRPr="00E902E0">
        <w:t>s (see</w:t>
      </w:r>
      <w:r w:rsidR="000E6BAB" w:rsidRPr="00E902E0">
        <w:t xml:space="preserve"> </w:t>
      </w:r>
      <w:r w:rsidR="008163E9" w:rsidRPr="00E902E0">
        <w:fldChar w:fldCharType="begin"/>
      </w:r>
      <w:r w:rsidR="008163E9" w:rsidRPr="00E902E0">
        <w:instrText xml:space="preserve"> REF _Ref108097130 \h  \* MERGEFORMAT </w:instrText>
      </w:r>
      <w:r w:rsidR="008163E9" w:rsidRPr="00E902E0">
        <w:fldChar w:fldCharType="separate"/>
      </w:r>
      <w:r w:rsidR="00650EC2" w:rsidRPr="00E902E0">
        <w:t>Figure 1</w:t>
      </w:r>
      <w:r w:rsidR="008163E9" w:rsidRPr="00E902E0">
        <w:fldChar w:fldCharType="end"/>
      </w:r>
      <w:r w:rsidR="000E6BAB" w:rsidRPr="00E902E0">
        <w:t>).</w:t>
      </w:r>
    </w:p>
    <w:p w14:paraId="7410AA22" w14:textId="193AF307" w:rsidR="00752242" w:rsidRPr="00650EC2" w:rsidRDefault="005B65B5" w:rsidP="00E902E0">
      <w:r w:rsidRPr="00E902E0">
        <w:t>NWMPHN will provide further guidance, including access to interactive voice response (IVR) phone message recordings before the service goes live. All PHNs must work with NWMPHN to provide relevant data, documentation</w:t>
      </w:r>
      <w:r w:rsidR="00F20747" w:rsidRPr="00E902E0">
        <w:t>,</w:t>
      </w:r>
      <w:r w:rsidRPr="00E902E0">
        <w:t xml:space="preserve"> and other information to support the implementation</w:t>
      </w:r>
      <w:r w:rsidRPr="00650EC2">
        <w:t xml:space="preserve"> of the telephony system nationally.</w:t>
      </w:r>
    </w:p>
    <w:p w14:paraId="6A06296B" w14:textId="77777777" w:rsidR="008163E9" w:rsidRPr="00E902E0" w:rsidRDefault="00752242" w:rsidP="00E902E0">
      <w:bookmarkStart w:id="15" w:name="_Ref106875656"/>
      <w:r w:rsidRPr="00E902E0">
        <w:rPr>
          <w:noProof/>
        </w:rPr>
        <w:lastRenderedPageBreak/>
        <w:drawing>
          <wp:inline distT="0" distB="0" distL="0" distR="0" wp14:anchorId="4FA28769" wp14:editId="7713BF9D">
            <wp:extent cx="5940463" cy="3168713"/>
            <wp:effectExtent l="0" t="0" r="3175" b="0"/>
            <wp:docPr id="4" name="Picture 4" descr="Figure 1 is flow chart showing the Head to Health phone service telephony pathway. The individual calls 1800 595 212, the caller is provided with a welcome message, then enters their postcode and is routed to the correct PHN intake team. The local intake team will assess and refer as appropri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1 is flow chart showing the Head to Health phone service telephony pathway. The individual calls 1800 595 212, the caller is provided with a welcome message, then enters their postcode and is routed to the correct PHN intake team. The local intake team will assess and refer as appropriate."/>
                    <pic:cNvPicPr/>
                  </pic:nvPicPr>
                  <pic:blipFill>
                    <a:blip r:embed="rId11"/>
                    <a:stretch>
                      <a:fillRect/>
                    </a:stretch>
                  </pic:blipFill>
                  <pic:spPr>
                    <a:xfrm>
                      <a:off x="0" y="0"/>
                      <a:ext cx="5949462" cy="3173513"/>
                    </a:xfrm>
                    <a:prstGeom prst="rect">
                      <a:avLst/>
                    </a:prstGeom>
                  </pic:spPr>
                </pic:pic>
              </a:graphicData>
            </a:graphic>
          </wp:inline>
        </w:drawing>
      </w:r>
      <w:bookmarkEnd w:id="15"/>
    </w:p>
    <w:p w14:paraId="60EE3898" w14:textId="5DBE56F4" w:rsidR="00752242" w:rsidRPr="00E902E0" w:rsidRDefault="008163E9" w:rsidP="008163E9">
      <w:pPr>
        <w:pStyle w:val="Caption"/>
      </w:pPr>
      <w:bookmarkStart w:id="16" w:name="_Ref108097130"/>
      <w:r w:rsidRPr="00E902E0">
        <w:t xml:space="preserve">Figure </w:t>
      </w:r>
      <w:r w:rsidRPr="00650EC2">
        <w:rPr>
          <w:rFonts w:asciiTheme="majorHAnsi" w:hAnsiTheme="majorHAnsi" w:cs="Poppins Light"/>
        </w:rPr>
        <w:fldChar w:fldCharType="begin"/>
      </w:r>
      <w:r w:rsidRPr="00650EC2">
        <w:rPr>
          <w:rFonts w:asciiTheme="majorHAnsi" w:hAnsiTheme="majorHAnsi" w:cs="Poppins Light"/>
        </w:rPr>
        <w:instrText xml:space="preserve"> SEQ Figure \* ARABIC </w:instrText>
      </w:r>
      <w:r w:rsidRPr="00650EC2">
        <w:rPr>
          <w:rFonts w:asciiTheme="majorHAnsi" w:hAnsiTheme="majorHAnsi" w:cs="Poppins Light"/>
        </w:rPr>
        <w:fldChar w:fldCharType="separate"/>
      </w:r>
      <w:r w:rsidR="00E902E0">
        <w:rPr>
          <w:rFonts w:asciiTheme="majorHAnsi" w:hAnsiTheme="majorHAnsi" w:cs="Poppins Light"/>
          <w:noProof/>
        </w:rPr>
        <w:t>1</w:t>
      </w:r>
      <w:r w:rsidRPr="00650EC2">
        <w:rPr>
          <w:rFonts w:asciiTheme="majorHAnsi" w:hAnsiTheme="majorHAnsi" w:cs="Poppins Light"/>
        </w:rPr>
        <w:fldChar w:fldCharType="end"/>
      </w:r>
      <w:bookmarkEnd w:id="16"/>
      <w:r w:rsidRPr="00E902E0">
        <w:t>: Head to Health phone service call pathway (national line to local intake team)</w:t>
      </w:r>
    </w:p>
    <w:p w14:paraId="32624060" w14:textId="77777777" w:rsidR="000B18CC" w:rsidRPr="00650EC2" w:rsidRDefault="000B18CC" w:rsidP="004700AA">
      <w:pPr>
        <w:pStyle w:val="Heading2"/>
        <w:rPr>
          <w:rFonts w:cs="Times New Roman"/>
        </w:rPr>
      </w:pPr>
      <w:bookmarkStart w:id="17" w:name="_Toc88641308"/>
      <w:bookmarkStart w:id="18" w:name="_Toc108097477"/>
      <w:r w:rsidRPr="00650EC2">
        <w:rPr>
          <w:rFonts w:cs="Times New Roman"/>
        </w:rPr>
        <w:t>Assessment</w:t>
      </w:r>
      <w:bookmarkEnd w:id="17"/>
      <w:bookmarkEnd w:id="18"/>
    </w:p>
    <w:p w14:paraId="6CCAFCF7" w14:textId="63C4BF98" w:rsidR="009E79E6" w:rsidRPr="00E902E0" w:rsidRDefault="00B66301" w:rsidP="00E902E0">
      <w:r w:rsidRPr="00E902E0">
        <w:t>The intake team will identify t</w:t>
      </w:r>
      <w:r w:rsidR="000B18CC" w:rsidRPr="00E902E0">
        <w:t xml:space="preserve">hose requiring more than information or assistance </w:t>
      </w:r>
      <w:r w:rsidR="0013571A" w:rsidRPr="00E902E0">
        <w:t xml:space="preserve">with </w:t>
      </w:r>
      <w:r w:rsidRPr="00E902E0">
        <w:t>identifying</w:t>
      </w:r>
      <w:r w:rsidR="000B18CC" w:rsidRPr="00E902E0">
        <w:t xml:space="preserve"> </w:t>
      </w:r>
      <w:r w:rsidRPr="00E902E0">
        <w:t>appropriate</w:t>
      </w:r>
      <w:r w:rsidR="000B18CC" w:rsidRPr="00E902E0">
        <w:t xml:space="preserve"> services</w:t>
      </w:r>
      <w:r w:rsidRPr="00E902E0">
        <w:t>, and</w:t>
      </w:r>
      <w:r w:rsidR="000B18CC" w:rsidRPr="00E902E0">
        <w:t xml:space="preserve"> will provide an assessment of their </w:t>
      </w:r>
      <w:r w:rsidRPr="00E902E0">
        <w:t xml:space="preserve">clinical </w:t>
      </w:r>
      <w:r w:rsidR="000B18CC" w:rsidRPr="00E902E0">
        <w:t xml:space="preserve">needs, to be undertaken using the Initial Assessment and Referral </w:t>
      </w:r>
      <w:r w:rsidR="00636C4B" w:rsidRPr="00E902E0">
        <w:t>D</w:t>
      </w:r>
      <w:r w:rsidR="000B18CC" w:rsidRPr="00E902E0">
        <w:t xml:space="preserve">ecisional </w:t>
      </w:r>
      <w:r w:rsidR="00636C4B" w:rsidRPr="00E902E0">
        <w:t>S</w:t>
      </w:r>
      <w:r w:rsidR="000B18CC" w:rsidRPr="00E902E0">
        <w:t xml:space="preserve">upport </w:t>
      </w:r>
      <w:r w:rsidR="00636C4B" w:rsidRPr="00E902E0">
        <w:t>T</w:t>
      </w:r>
      <w:r w:rsidR="000B18CC" w:rsidRPr="00E902E0">
        <w:t>ool</w:t>
      </w:r>
      <w:r w:rsidR="00636C4B" w:rsidRPr="00E902E0">
        <w:t xml:space="preserve"> (</w:t>
      </w:r>
      <w:r w:rsidR="0011746B" w:rsidRPr="00E902E0">
        <w:t>IAR-</w:t>
      </w:r>
      <w:r w:rsidR="00636C4B" w:rsidRPr="00E902E0">
        <w:t>DST)</w:t>
      </w:r>
      <w:r w:rsidR="000B18CC" w:rsidRPr="00E902E0">
        <w:t>.</w:t>
      </w:r>
      <w:r w:rsidR="009752EB" w:rsidRPr="00E902E0">
        <w:t xml:space="preserve"> </w:t>
      </w:r>
      <w:r w:rsidR="009E79E6" w:rsidRPr="00E902E0">
        <w:t>GPs and other health professionals, carers and family members can also contact the phone service to get advice or find additional supporting services for their patients or loved ones.</w:t>
      </w:r>
    </w:p>
    <w:p w14:paraId="40A0540E" w14:textId="6D6EC72F" w:rsidR="009752EB" w:rsidRPr="00E902E0" w:rsidRDefault="008E3EA1" w:rsidP="00E902E0">
      <w:r w:rsidRPr="00E902E0">
        <w:t xml:space="preserve">A comprehensive clinical governance framework will be required </w:t>
      </w:r>
      <w:r w:rsidR="008F2B92" w:rsidRPr="00E902E0">
        <w:t xml:space="preserve">to implement the service. </w:t>
      </w:r>
      <w:r w:rsidR="00784D70" w:rsidRPr="00E902E0">
        <w:t xml:space="preserve">The assessment process will be conducted by a trained professional to match people with the services they need. </w:t>
      </w:r>
      <w:r w:rsidR="008F2B92" w:rsidRPr="00E902E0">
        <w:t>All intake staff must be trained in the use of the IAR and suitably qualified to perform a mental health assessment</w:t>
      </w:r>
      <w:r w:rsidR="00F81746" w:rsidRPr="00650EC2">
        <w:rPr>
          <w:rStyle w:val="FootnoteReference"/>
          <w:rFonts w:asciiTheme="majorHAnsi" w:hAnsiTheme="majorHAnsi" w:cs="Poppins Light"/>
        </w:rPr>
        <w:footnoteReference w:id="5"/>
      </w:r>
      <w:r w:rsidR="008F2B92" w:rsidRPr="00E902E0">
        <w:t xml:space="preserve">. In addition, a </w:t>
      </w:r>
      <w:r w:rsidR="00820513" w:rsidRPr="00E902E0">
        <w:t xml:space="preserve">mental health </w:t>
      </w:r>
      <w:r w:rsidR="006C297C" w:rsidRPr="00E902E0">
        <w:t xml:space="preserve">clinician </w:t>
      </w:r>
      <w:r w:rsidR="008F2B92" w:rsidRPr="00E902E0">
        <w:t xml:space="preserve">must be available for the review and escalation of assessments </w:t>
      </w:r>
      <w:proofErr w:type="gramStart"/>
      <w:r w:rsidR="008F2B92" w:rsidRPr="00E902E0">
        <w:t>where</w:t>
      </w:r>
      <w:proofErr w:type="gramEnd"/>
      <w:r w:rsidR="008F2B92" w:rsidRPr="00E902E0">
        <w:t xml:space="preserve"> undertaken by a non-clinical intake team member. </w:t>
      </w:r>
      <w:r w:rsidR="009752EB" w:rsidRPr="00E902E0">
        <w:t>All staff involved in taking consumer phone calls should also be trained to recognise an individual who may need urgent support and who should be</w:t>
      </w:r>
      <w:r w:rsidR="00776519" w:rsidRPr="00E902E0">
        <w:t xml:space="preserve"> transferred immediately</w:t>
      </w:r>
      <w:r w:rsidR="009752EB" w:rsidRPr="00E902E0">
        <w:t xml:space="preserve"> to crisis or emergency care.</w:t>
      </w:r>
      <w:r w:rsidR="00143395" w:rsidRPr="00E902E0">
        <w:t xml:space="preserve"> It is at the discretion of clinical intake teams to determine instances </w:t>
      </w:r>
      <w:proofErr w:type="gramStart"/>
      <w:r w:rsidR="00143395" w:rsidRPr="00E902E0">
        <w:t>where</w:t>
      </w:r>
      <w:proofErr w:type="gramEnd"/>
      <w:r w:rsidR="00143395" w:rsidRPr="00E902E0">
        <w:t xml:space="preserve"> conducting an IAR may not be clinically appropriate. </w:t>
      </w:r>
    </w:p>
    <w:p w14:paraId="0CB0296F" w14:textId="47A5B14A" w:rsidR="009752EB" w:rsidRPr="00E902E0" w:rsidRDefault="000B18CC" w:rsidP="00E902E0">
      <w:r w:rsidRPr="00E902E0">
        <w:t xml:space="preserve">Individuals </w:t>
      </w:r>
      <w:r w:rsidR="009752EB" w:rsidRPr="00E902E0">
        <w:t>will</w:t>
      </w:r>
      <w:r w:rsidRPr="00E902E0">
        <w:t xml:space="preserve"> be referred into the most appropriate mental health service to meet their needs which may include a Head to Health centre or satellite, other available local PHN-commissioned service, jurisdictional services, or private services, including those offered on a fee-for-service basis, where this is most appropriate to meet individual </w:t>
      </w:r>
      <w:r w:rsidRPr="00E902E0">
        <w:lastRenderedPageBreak/>
        <w:t>needs. Connecting people to services will take account, among other things, of the cost of the service, wait list and eligibility criteria to minimise barriers to help seeking</w:t>
      </w:r>
      <w:r w:rsidR="0090370F" w:rsidRPr="00E902E0">
        <w:t>,</w:t>
      </w:r>
      <w:r w:rsidR="00B220A4" w:rsidRPr="00E902E0">
        <w:t xml:space="preserve"> in addition to assessed need</w:t>
      </w:r>
      <w:r w:rsidRPr="00E902E0">
        <w:t xml:space="preserve">. </w:t>
      </w:r>
      <w:r w:rsidR="009752EB" w:rsidRPr="00E902E0">
        <w:t>Choice and agency for consumers will be prioritised when connecting people to services.</w:t>
      </w:r>
    </w:p>
    <w:p w14:paraId="09E905F1" w14:textId="4A29256C" w:rsidR="000B18CC" w:rsidRPr="00E902E0" w:rsidRDefault="00C95861" w:rsidP="00E902E0">
      <w:r w:rsidRPr="00E902E0">
        <w:t>Where possible c</w:t>
      </w:r>
      <w:r w:rsidR="000B18CC" w:rsidRPr="00E902E0">
        <w:t>onsumers should not be required to go through two stages of assessment, nor tell their story more than once. Where consent is provided, the information a c</w:t>
      </w:r>
      <w:r w:rsidR="00B220A4" w:rsidRPr="00E902E0">
        <w:t>onsumer</w:t>
      </w:r>
      <w:r w:rsidR="000B18CC" w:rsidRPr="00E902E0">
        <w:t xml:space="preserve"> shares </w:t>
      </w:r>
      <w:r w:rsidR="0090370F" w:rsidRPr="00E902E0">
        <w:t xml:space="preserve">throughout the assessment process </w:t>
      </w:r>
      <w:r w:rsidR="000B18CC" w:rsidRPr="00E902E0">
        <w:t>will be recorded and securely shared with any referring service, and the outcome of the assessment shared with the c</w:t>
      </w:r>
      <w:r w:rsidR="00B220A4" w:rsidRPr="00E902E0">
        <w:t>onsumer</w:t>
      </w:r>
      <w:r w:rsidR="000B18CC" w:rsidRPr="00E902E0">
        <w:t>’s usual general practitioner</w:t>
      </w:r>
      <w:r w:rsidR="009752EB" w:rsidRPr="00E902E0">
        <w:t xml:space="preserve"> and/or referrer</w:t>
      </w:r>
      <w:r w:rsidR="008076D2" w:rsidRPr="00E902E0">
        <w:t xml:space="preserve"> (within 7 business days of initial assessment).</w:t>
      </w:r>
    </w:p>
    <w:p w14:paraId="4B95AFAA" w14:textId="77777777" w:rsidR="000B18CC" w:rsidRPr="00650EC2" w:rsidRDefault="000B18CC" w:rsidP="004700AA">
      <w:pPr>
        <w:pStyle w:val="Heading2"/>
        <w:rPr>
          <w:rFonts w:cs="Times New Roman"/>
        </w:rPr>
      </w:pPr>
      <w:bookmarkStart w:id="19" w:name="_Toc88641309"/>
      <w:bookmarkStart w:id="20" w:name="_Toc108097478"/>
      <w:r w:rsidRPr="00650EC2">
        <w:rPr>
          <w:rFonts w:cs="Times New Roman"/>
        </w:rPr>
        <w:t>Warm referral</w:t>
      </w:r>
      <w:bookmarkEnd w:id="19"/>
      <w:bookmarkEnd w:id="20"/>
    </w:p>
    <w:p w14:paraId="34240C03" w14:textId="77777777" w:rsidR="00B62421" w:rsidRPr="00E902E0" w:rsidRDefault="000B18CC" w:rsidP="00E902E0">
      <w:r w:rsidRPr="00E902E0">
        <w:t xml:space="preserve">Smooth referral pathways which are seamless for people requiring support will be essential to the effective operation of the </w:t>
      </w:r>
      <w:r w:rsidR="00820513" w:rsidRPr="00E902E0">
        <w:t>Head to Health</w:t>
      </w:r>
      <w:r w:rsidR="0013571A" w:rsidRPr="00E902E0">
        <w:t xml:space="preserve"> phone </w:t>
      </w:r>
      <w:r w:rsidRPr="00E902E0">
        <w:t xml:space="preserve">service. This must include capacity for warm </w:t>
      </w:r>
      <w:r w:rsidR="00820513" w:rsidRPr="00E902E0">
        <w:t>referral</w:t>
      </w:r>
      <w:r w:rsidRPr="00E902E0">
        <w:t xml:space="preserve">s, including for people experiencing high levels of distress </w:t>
      </w:r>
      <w:r w:rsidR="00B220A4" w:rsidRPr="00E902E0">
        <w:t>and/</w:t>
      </w:r>
      <w:r w:rsidRPr="00E902E0">
        <w:t xml:space="preserve">or who require long term care. </w:t>
      </w:r>
    </w:p>
    <w:p w14:paraId="4880EC2E" w14:textId="0611CE40" w:rsidR="000B18CC" w:rsidRPr="00E902E0" w:rsidRDefault="00820513" w:rsidP="00E902E0">
      <w:r w:rsidRPr="00E902E0">
        <w:t xml:space="preserve">Warm referral involves supporting the person to access the service and ensuring the service is suitable before handing over the relationship to the </w:t>
      </w:r>
      <w:r w:rsidR="00B62421" w:rsidRPr="00E902E0">
        <w:t>chosen</w:t>
      </w:r>
      <w:r w:rsidRPr="00E902E0">
        <w:t xml:space="preserve"> provider.</w:t>
      </w:r>
      <w:r w:rsidR="00B62421" w:rsidRPr="00E902E0">
        <w:t xml:space="preserve"> </w:t>
      </w:r>
      <w:r w:rsidR="000B18CC" w:rsidRPr="00E902E0">
        <w:t xml:space="preserve">Through warm transfers the </w:t>
      </w:r>
      <w:r w:rsidR="00B220A4" w:rsidRPr="00E902E0">
        <w:t>intake team</w:t>
      </w:r>
      <w:r w:rsidR="000B18CC" w:rsidRPr="00E902E0">
        <w:t xml:space="preserve"> actively communicates with the service to which the individual is referred to provide</w:t>
      </w:r>
      <w:r w:rsidR="00B62421" w:rsidRPr="00E902E0">
        <w:t>s</w:t>
      </w:r>
      <w:r w:rsidR="000B18CC" w:rsidRPr="00E902E0">
        <w:t xml:space="preserve"> essential information about their needs before transferring them. Support is maintained for the individual by phone service staff whilst they are waiting </w:t>
      </w:r>
      <w:r w:rsidR="00B220A4" w:rsidRPr="00E902E0">
        <w:t>to be accepted and contacted by the</w:t>
      </w:r>
      <w:r w:rsidR="000B18CC" w:rsidRPr="00E902E0">
        <w:t xml:space="preserve"> agency to which they have been referred.</w:t>
      </w:r>
    </w:p>
    <w:p w14:paraId="14F17396" w14:textId="7AFAEF7F" w:rsidR="000B18CC" w:rsidRPr="00E902E0" w:rsidRDefault="000B18CC" w:rsidP="00E902E0">
      <w:r w:rsidRPr="00E902E0">
        <w:t xml:space="preserve">Warm referral should ideally be supported through digital solutions to securely transfer </w:t>
      </w:r>
      <w:r w:rsidR="00B52228" w:rsidRPr="00E902E0">
        <w:t>patient</w:t>
      </w:r>
      <w:r w:rsidRPr="00E902E0">
        <w:t xml:space="preserve"> information to the treating service provider, have visibility of wait times, and allow for intake staff to make bookings </w:t>
      </w:r>
      <w:r w:rsidR="00B62421" w:rsidRPr="00E902E0">
        <w:t>on behalf of</w:t>
      </w:r>
      <w:r w:rsidRPr="00E902E0">
        <w:t xml:space="preserve"> c</w:t>
      </w:r>
      <w:r w:rsidR="00B52228" w:rsidRPr="00E902E0">
        <w:t>onsumers</w:t>
      </w:r>
      <w:r w:rsidRPr="00E902E0">
        <w:t xml:space="preserve">. </w:t>
      </w:r>
    </w:p>
    <w:p w14:paraId="0DEBF0ED" w14:textId="04AAA2B3" w:rsidR="000B18CC" w:rsidRPr="00E902E0" w:rsidRDefault="000B18CC" w:rsidP="00E902E0">
      <w:r w:rsidRPr="00E902E0">
        <w:t>All c</w:t>
      </w:r>
      <w:r w:rsidR="00B52228" w:rsidRPr="00E902E0">
        <w:t>onsumer</w:t>
      </w:r>
      <w:r w:rsidRPr="00E902E0">
        <w:t>s referred to services will be followed</w:t>
      </w:r>
      <w:r w:rsidR="00776519" w:rsidRPr="00E902E0">
        <w:t>-</w:t>
      </w:r>
      <w:r w:rsidRPr="00E902E0">
        <w:t xml:space="preserve">up </w:t>
      </w:r>
      <w:r w:rsidR="00776519" w:rsidRPr="00E902E0">
        <w:t xml:space="preserve">via </w:t>
      </w:r>
      <w:r w:rsidR="00143395" w:rsidRPr="00E902E0">
        <w:t xml:space="preserve">an </w:t>
      </w:r>
      <w:r w:rsidR="00776519" w:rsidRPr="00E902E0">
        <w:t xml:space="preserve">outbound </w:t>
      </w:r>
      <w:r w:rsidR="00143395" w:rsidRPr="00E902E0">
        <w:t>phone call or SMS</w:t>
      </w:r>
      <w:r w:rsidR="00776519" w:rsidRPr="00E902E0">
        <w:t xml:space="preserve"> </w:t>
      </w:r>
      <w:r w:rsidRPr="00E902E0">
        <w:t xml:space="preserve">within 7 </w:t>
      </w:r>
      <w:r w:rsidR="00C95861" w:rsidRPr="00E902E0">
        <w:t xml:space="preserve">business </w:t>
      </w:r>
      <w:r w:rsidRPr="00E902E0">
        <w:t xml:space="preserve">days of initial assessment. </w:t>
      </w:r>
    </w:p>
    <w:p w14:paraId="2F8666C0" w14:textId="77777777" w:rsidR="000B18CC" w:rsidRPr="00650EC2" w:rsidRDefault="000B18CC" w:rsidP="004700AA">
      <w:pPr>
        <w:pStyle w:val="Heading2"/>
        <w:rPr>
          <w:rFonts w:cs="Times New Roman"/>
        </w:rPr>
      </w:pPr>
      <w:bookmarkStart w:id="21" w:name="_Toc88641310"/>
      <w:bookmarkStart w:id="22" w:name="_Toc108097479"/>
      <w:r w:rsidRPr="00650EC2">
        <w:rPr>
          <w:rFonts w:cs="Times New Roman"/>
        </w:rPr>
        <w:t>Crisis response</w:t>
      </w:r>
      <w:bookmarkEnd w:id="21"/>
      <w:bookmarkEnd w:id="22"/>
    </w:p>
    <w:p w14:paraId="5220A57F" w14:textId="21B25DA8" w:rsidR="000B18CC" w:rsidRPr="00E902E0" w:rsidRDefault="000B18CC" w:rsidP="00E902E0">
      <w:r w:rsidRPr="00E902E0">
        <w:t>While not intended to be a crisis service, protocols for responding to people experiencing high levels of distress</w:t>
      </w:r>
      <w:r w:rsidR="00B220A4" w:rsidRPr="00E902E0">
        <w:t xml:space="preserve">, </w:t>
      </w:r>
      <w:r w:rsidRPr="00E902E0">
        <w:t xml:space="preserve">suicidal crisis </w:t>
      </w:r>
      <w:r w:rsidR="00B220A4" w:rsidRPr="00E902E0">
        <w:t xml:space="preserve">or acute mental illness </w:t>
      </w:r>
      <w:r w:rsidRPr="00E902E0">
        <w:t xml:space="preserve">must be in place including agreements with LHNs </w:t>
      </w:r>
      <w:r w:rsidR="0011746B" w:rsidRPr="00E902E0">
        <w:t xml:space="preserve">(or equivalent) </w:t>
      </w:r>
      <w:r w:rsidRPr="00E902E0">
        <w:t>and emergency departments to:</w:t>
      </w:r>
    </w:p>
    <w:p w14:paraId="4979D97F" w14:textId="249D0C5F" w:rsidR="000B18CC" w:rsidRPr="00650EC2" w:rsidRDefault="00A33C24" w:rsidP="004700AA">
      <w:pPr>
        <w:pStyle w:val="ListBullet"/>
        <w:rPr>
          <w:rFonts w:asciiTheme="majorHAnsi" w:hAnsiTheme="majorHAnsi" w:cs="Poppins Light"/>
        </w:rPr>
      </w:pPr>
      <w:r w:rsidRPr="00650EC2">
        <w:rPr>
          <w:rFonts w:asciiTheme="majorHAnsi" w:hAnsiTheme="majorHAnsi" w:cs="Poppins Light"/>
        </w:rPr>
        <w:t>e</w:t>
      </w:r>
      <w:r w:rsidR="000B18CC" w:rsidRPr="00650EC2">
        <w:rPr>
          <w:rFonts w:asciiTheme="majorHAnsi" w:hAnsiTheme="majorHAnsi" w:cs="Poppins Light"/>
        </w:rPr>
        <w:t>nsure swift identification of those individuals who are experiencing a crisis</w:t>
      </w:r>
      <w:r w:rsidR="00B220A4" w:rsidRPr="00650EC2">
        <w:rPr>
          <w:rFonts w:asciiTheme="majorHAnsi" w:hAnsiTheme="majorHAnsi" w:cs="Poppins Light"/>
        </w:rPr>
        <w:t>, are acutely unwell and in need of urgent treatment</w:t>
      </w:r>
      <w:r w:rsidR="000B18CC" w:rsidRPr="00650EC2">
        <w:rPr>
          <w:rFonts w:asciiTheme="majorHAnsi" w:hAnsiTheme="majorHAnsi" w:cs="Poppins Light"/>
        </w:rPr>
        <w:t xml:space="preserve"> or who are at risk of harm to themselves or others</w:t>
      </w:r>
    </w:p>
    <w:p w14:paraId="6299A73D" w14:textId="1DE41DEE" w:rsidR="000B18CC" w:rsidRPr="00650EC2" w:rsidRDefault="00A33C24" w:rsidP="004700AA">
      <w:pPr>
        <w:pStyle w:val="ListBullet"/>
        <w:rPr>
          <w:rFonts w:asciiTheme="majorHAnsi" w:hAnsiTheme="majorHAnsi" w:cs="Poppins Light"/>
        </w:rPr>
      </w:pPr>
      <w:r w:rsidRPr="00650EC2">
        <w:rPr>
          <w:rFonts w:asciiTheme="majorHAnsi" w:hAnsiTheme="majorHAnsi" w:cs="Poppins Light"/>
        </w:rPr>
        <w:t>p</w:t>
      </w:r>
      <w:r w:rsidR="000B18CC" w:rsidRPr="00650EC2">
        <w:rPr>
          <w:rFonts w:asciiTheme="majorHAnsi" w:hAnsiTheme="majorHAnsi" w:cs="Poppins Light"/>
        </w:rPr>
        <w:t>rovide immediate support over the phone to manage symptoms</w:t>
      </w:r>
    </w:p>
    <w:p w14:paraId="3BB1C1A7" w14:textId="31924EA4" w:rsidR="000B18CC" w:rsidRPr="00650EC2" w:rsidRDefault="00A33C24" w:rsidP="004700AA">
      <w:pPr>
        <w:pStyle w:val="ListBullet"/>
        <w:rPr>
          <w:rFonts w:asciiTheme="majorHAnsi" w:hAnsiTheme="majorHAnsi" w:cs="Poppins Light"/>
        </w:rPr>
      </w:pPr>
      <w:r w:rsidRPr="00650EC2">
        <w:rPr>
          <w:rFonts w:asciiTheme="majorHAnsi" w:hAnsiTheme="majorHAnsi" w:cs="Poppins Light"/>
        </w:rPr>
        <w:t>h</w:t>
      </w:r>
      <w:r w:rsidR="000B18CC" w:rsidRPr="00650EC2">
        <w:rPr>
          <w:rFonts w:asciiTheme="majorHAnsi" w:hAnsiTheme="majorHAnsi" w:cs="Poppins Light"/>
        </w:rPr>
        <w:t>ave in place clear arrangements for contacting ambulance services or arranging other transport to an emergency department if required, or connection to other immediate support services.</w:t>
      </w:r>
    </w:p>
    <w:p w14:paraId="2D5EEC20" w14:textId="6BC1F5E3" w:rsidR="000B18CC" w:rsidRPr="00E902E0" w:rsidRDefault="000B18CC" w:rsidP="00E902E0">
      <w:r w:rsidRPr="00E902E0">
        <w:t>Any c</w:t>
      </w:r>
      <w:r w:rsidR="00B52228" w:rsidRPr="00E902E0">
        <w:t>onsumer</w:t>
      </w:r>
      <w:r w:rsidRPr="00E902E0">
        <w:t xml:space="preserve">s who have contacted the </w:t>
      </w:r>
      <w:r w:rsidR="0013571A" w:rsidRPr="00E902E0">
        <w:t xml:space="preserve">assessment and referral </w:t>
      </w:r>
      <w:r w:rsidRPr="00E902E0">
        <w:t>service experiencing high levels of distress and any c</w:t>
      </w:r>
      <w:r w:rsidR="00B52228" w:rsidRPr="00E902E0">
        <w:t>onsumer</w:t>
      </w:r>
      <w:r w:rsidRPr="00E902E0">
        <w:t>s who are assessed as having an IAR score of 5, will be followed</w:t>
      </w:r>
      <w:r w:rsidR="00776519" w:rsidRPr="00E902E0">
        <w:t>-</w:t>
      </w:r>
      <w:r w:rsidRPr="00E902E0">
        <w:t xml:space="preserve">up by an intake staff member </w:t>
      </w:r>
      <w:r w:rsidR="00776519" w:rsidRPr="00E902E0">
        <w:t xml:space="preserve">via outbound call </w:t>
      </w:r>
      <w:r w:rsidRPr="00E902E0">
        <w:t xml:space="preserve">within 24 </w:t>
      </w:r>
      <w:r w:rsidR="00C95861" w:rsidRPr="00E902E0">
        <w:t xml:space="preserve">business </w:t>
      </w:r>
      <w:r w:rsidRPr="00E902E0">
        <w:t>hours of the initial call.</w:t>
      </w:r>
    </w:p>
    <w:p w14:paraId="025D663A" w14:textId="77777777" w:rsidR="000B18CC" w:rsidRPr="00650EC2" w:rsidRDefault="000B18CC" w:rsidP="004700AA">
      <w:pPr>
        <w:pStyle w:val="Heading2"/>
        <w:rPr>
          <w:rFonts w:cs="Times New Roman"/>
        </w:rPr>
      </w:pPr>
      <w:bookmarkStart w:id="23" w:name="_Toc88641312"/>
      <w:bookmarkStart w:id="24" w:name="_Toc108097480"/>
      <w:r w:rsidRPr="00650EC2">
        <w:rPr>
          <w:rFonts w:cs="Times New Roman"/>
        </w:rPr>
        <w:lastRenderedPageBreak/>
        <w:t>Integration and planning</w:t>
      </w:r>
      <w:bookmarkEnd w:id="23"/>
      <w:bookmarkEnd w:id="24"/>
    </w:p>
    <w:p w14:paraId="54277C23" w14:textId="0E0A3C91" w:rsidR="000B18CC" w:rsidRPr="00E902E0" w:rsidRDefault="000B18CC" w:rsidP="00E902E0">
      <w:r w:rsidRPr="00E902E0">
        <w:t xml:space="preserve">Each phone service will be established within a unique service landscape. The mix of state and territory government, non-government and PHN funded mental health and social support services available in each region will vary. Therefore, it is important that planning for the phone service includes comprehensive </w:t>
      </w:r>
      <w:r w:rsidR="007668E5" w:rsidRPr="00E902E0">
        <w:t xml:space="preserve">mapping </w:t>
      </w:r>
      <w:r w:rsidRPr="00E902E0">
        <w:t>of the local service landscape</w:t>
      </w:r>
      <w:r w:rsidR="00784D70" w:rsidRPr="00E902E0">
        <w:t>, accounting for existing and planned intake and treatment services,</w:t>
      </w:r>
      <w:r w:rsidRPr="00E902E0">
        <w:t xml:space="preserve"> to inform advice and referral pathways for consumers.</w:t>
      </w:r>
    </w:p>
    <w:p w14:paraId="09D225FC" w14:textId="52BFB62B" w:rsidR="000B18CC" w:rsidRPr="00E902E0" w:rsidRDefault="000B18CC" w:rsidP="00E902E0">
      <w:r w:rsidRPr="00E902E0">
        <w:t xml:space="preserve">Additionally, it will be critical to ensure that appropriate information is shared between the phone service and other agencies about roles and relationships, facilitated by shared information systems. </w:t>
      </w:r>
      <w:r w:rsidR="007668E5" w:rsidRPr="00E902E0">
        <w:t>PHNs, with support from the Commonwealth,</w:t>
      </w:r>
      <w:r w:rsidRPr="00E902E0">
        <w:t xml:space="preserve"> should identify any risk of service duplication or confusion where other mental health phone lines already exist and ensure the purpose of the Head to Health assessment </w:t>
      </w:r>
      <w:r w:rsidR="0013571A" w:rsidRPr="00E902E0">
        <w:t xml:space="preserve">and referral </w:t>
      </w:r>
      <w:r w:rsidRPr="00E902E0">
        <w:t>phone service is clearly promoted.</w:t>
      </w:r>
    </w:p>
    <w:p w14:paraId="5E07E1CD" w14:textId="77777777" w:rsidR="000B18CC" w:rsidRPr="00650EC2" w:rsidRDefault="000B18CC" w:rsidP="004700AA">
      <w:pPr>
        <w:pStyle w:val="Heading2"/>
        <w:rPr>
          <w:rFonts w:cs="Times New Roman"/>
        </w:rPr>
      </w:pPr>
      <w:bookmarkStart w:id="25" w:name="_Toc88641313"/>
      <w:bookmarkStart w:id="26" w:name="_Toc108097481"/>
      <w:r w:rsidRPr="00650EC2">
        <w:rPr>
          <w:rFonts w:cs="Times New Roman"/>
        </w:rPr>
        <w:t>Safety and quality</w:t>
      </w:r>
      <w:bookmarkEnd w:id="25"/>
      <w:bookmarkEnd w:id="26"/>
    </w:p>
    <w:p w14:paraId="6F6E6A95" w14:textId="39C23D99" w:rsidR="000B18CC" w:rsidRPr="00E902E0" w:rsidRDefault="000B18CC" w:rsidP="00E902E0">
      <w:r w:rsidRPr="00E902E0">
        <w:t>A comprehensive safety and quality framework will be required as part of the implementation of the phone service. This should include the following:</w:t>
      </w:r>
    </w:p>
    <w:p w14:paraId="79FBD2A8" w14:textId="24EEAD5A" w:rsidR="000B18CC" w:rsidRPr="00650EC2" w:rsidRDefault="00A33C24" w:rsidP="004700AA">
      <w:pPr>
        <w:pStyle w:val="ListBullet"/>
        <w:rPr>
          <w:rFonts w:asciiTheme="majorHAnsi" w:hAnsiTheme="majorHAnsi" w:cs="Poppins Light"/>
        </w:rPr>
      </w:pPr>
      <w:r w:rsidRPr="00650EC2">
        <w:rPr>
          <w:rFonts w:asciiTheme="majorHAnsi" w:hAnsiTheme="majorHAnsi" w:cs="Poppins Light"/>
        </w:rPr>
        <w:t>c</w:t>
      </w:r>
      <w:r w:rsidR="000B18CC" w:rsidRPr="00650EC2">
        <w:rPr>
          <w:rFonts w:asciiTheme="majorHAnsi" w:hAnsiTheme="majorHAnsi" w:cs="Poppins Light"/>
        </w:rPr>
        <w:t>ompliance with relevant safety and quality standards, including the National Safety and Quality Digital Mental Health Standards 2020</w:t>
      </w:r>
      <w:r w:rsidR="00F81746" w:rsidRPr="00650EC2">
        <w:rPr>
          <w:rStyle w:val="FootnoteReference"/>
          <w:rFonts w:asciiTheme="majorHAnsi" w:hAnsiTheme="majorHAnsi" w:cs="Poppins Light"/>
        </w:rPr>
        <w:footnoteReference w:id="6"/>
      </w:r>
    </w:p>
    <w:p w14:paraId="4CCD730A" w14:textId="1F514919" w:rsidR="000B18CC" w:rsidRPr="00650EC2" w:rsidRDefault="00A33C24" w:rsidP="004700AA">
      <w:pPr>
        <w:pStyle w:val="ListBullet"/>
        <w:rPr>
          <w:rFonts w:asciiTheme="majorHAnsi" w:hAnsiTheme="majorHAnsi" w:cs="Poppins Light"/>
        </w:rPr>
      </w:pPr>
      <w:r w:rsidRPr="00650EC2">
        <w:rPr>
          <w:rFonts w:asciiTheme="majorHAnsi" w:hAnsiTheme="majorHAnsi" w:cs="Poppins Light"/>
        </w:rPr>
        <w:t>i</w:t>
      </w:r>
      <w:r w:rsidR="000B18CC" w:rsidRPr="00650EC2">
        <w:rPr>
          <w:rFonts w:asciiTheme="majorHAnsi" w:hAnsiTheme="majorHAnsi" w:cs="Poppins Light"/>
        </w:rPr>
        <w:t xml:space="preserve">mplementing appropriate confidentiality and privacy arrangements in accordance with </w:t>
      </w:r>
      <w:r w:rsidR="00964335" w:rsidRPr="00650EC2">
        <w:rPr>
          <w:rFonts w:asciiTheme="majorHAnsi" w:hAnsiTheme="majorHAnsi" w:cs="Poppins Light"/>
        </w:rPr>
        <w:t xml:space="preserve">the </w:t>
      </w:r>
      <w:r w:rsidR="00964335" w:rsidRPr="00407C9E">
        <w:rPr>
          <w:rStyle w:val="Emphasis"/>
        </w:rPr>
        <w:t>Privacy Act 1988</w:t>
      </w:r>
      <w:r w:rsidR="00964335" w:rsidRPr="00650EC2">
        <w:rPr>
          <w:rFonts w:asciiTheme="majorHAnsi" w:hAnsiTheme="majorHAnsi" w:cs="Poppins Light"/>
        </w:rPr>
        <w:t xml:space="preserve">, the Australian Privacy Principles and other </w:t>
      </w:r>
      <w:r w:rsidR="000B18CC" w:rsidRPr="00650EC2">
        <w:rPr>
          <w:rFonts w:asciiTheme="majorHAnsi" w:hAnsiTheme="majorHAnsi" w:cs="Poppins Light"/>
        </w:rPr>
        <w:t xml:space="preserve">relevant </w:t>
      </w:r>
      <w:r w:rsidR="007668E5" w:rsidRPr="00650EC2">
        <w:rPr>
          <w:rFonts w:asciiTheme="majorHAnsi" w:hAnsiTheme="majorHAnsi" w:cs="Poppins Light"/>
        </w:rPr>
        <w:t xml:space="preserve">federal and state/territory </w:t>
      </w:r>
      <w:r w:rsidR="000B18CC" w:rsidRPr="00650EC2">
        <w:rPr>
          <w:rFonts w:asciiTheme="majorHAnsi" w:hAnsiTheme="majorHAnsi" w:cs="Poppins Light"/>
        </w:rPr>
        <w:t>legislation, whilst ensuring appropriate information sharing is in place between services involved in a care pathway to support quality care</w:t>
      </w:r>
      <w:r w:rsidR="00964335" w:rsidRPr="00650EC2">
        <w:rPr>
          <w:rFonts w:asciiTheme="majorHAnsi" w:hAnsiTheme="majorHAnsi" w:cs="Poppins Light"/>
        </w:rPr>
        <w:t xml:space="preserve"> and effective collaboration with consumers and carers</w:t>
      </w:r>
    </w:p>
    <w:p w14:paraId="00C311CA" w14:textId="73E1220C" w:rsidR="000B18CC" w:rsidRPr="00650EC2" w:rsidRDefault="00A33C24" w:rsidP="004700AA">
      <w:pPr>
        <w:pStyle w:val="ListBullet"/>
        <w:rPr>
          <w:rFonts w:asciiTheme="majorHAnsi" w:hAnsiTheme="majorHAnsi" w:cs="Poppins Light"/>
        </w:rPr>
      </w:pPr>
      <w:r w:rsidRPr="00650EC2">
        <w:rPr>
          <w:rFonts w:asciiTheme="majorHAnsi" w:hAnsiTheme="majorHAnsi" w:cs="Poppins Light"/>
        </w:rPr>
        <w:t>c</w:t>
      </w:r>
      <w:r w:rsidR="000B18CC" w:rsidRPr="00650EC2">
        <w:rPr>
          <w:rFonts w:asciiTheme="majorHAnsi" w:hAnsiTheme="majorHAnsi" w:cs="Poppins Light"/>
        </w:rPr>
        <w:t xml:space="preserve">linical governance to ensure that staff are appropriately </w:t>
      </w:r>
      <w:r w:rsidR="009752EB" w:rsidRPr="00650EC2">
        <w:rPr>
          <w:rFonts w:asciiTheme="majorHAnsi" w:hAnsiTheme="majorHAnsi" w:cs="Poppins Light"/>
        </w:rPr>
        <w:t>qualified</w:t>
      </w:r>
      <w:r w:rsidR="000B18CC" w:rsidRPr="00650EC2">
        <w:rPr>
          <w:rFonts w:asciiTheme="majorHAnsi" w:hAnsiTheme="majorHAnsi" w:cs="Poppins Light"/>
        </w:rPr>
        <w:t>, well supported and trained to provide high quality care. Protocols must be in place to guide review of the care provided and for responding to critical incidents and complaints. There should be clear lines of accountability and processes for escalation within the phone service</w:t>
      </w:r>
    </w:p>
    <w:p w14:paraId="568E2CFA" w14:textId="2F3B4FFF" w:rsidR="000B18CC" w:rsidRPr="00650EC2" w:rsidRDefault="00A33C24" w:rsidP="004700AA">
      <w:pPr>
        <w:pStyle w:val="ListBullet"/>
        <w:rPr>
          <w:rFonts w:asciiTheme="majorHAnsi" w:hAnsiTheme="majorHAnsi" w:cs="Poppins Light"/>
        </w:rPr>
      </w:pPr>
      <w:r w:rsidRPr="00650EC2">
        <w:rPr>
          <w:rFonts w:asciiTheme="majorHAnsi" w:hAnsiTheme="majorHAnsi" w:cs="Poppins Light"/>
        </w:rPr>
        <w:t>r</w:t>
      </w:r>
      <w:r w:rsidR="000B18CC" w:rsidRPr="00650EC2">
        <w:rPr>
          <w:rFonts w:asciiTheme="majorHAnsi" w:hAnsiTheme="majorHAnsi" w:cs="Poppins Light"/>
        </w:rPr>
        <w:t xml:space="preserve">egular data collection and reporting processes to ensure </w:t>
      </w:r>
      <w:r w:rsidR="00BE78CB" w:rsidRPr="00650EC2">
        <w:rPr>
          <w:rFonts w:asciiTheme="majorHAnsi" w:hAnsiTheme="majorHAnsi" w:cs="Poppins Light"/>
        </w:rPr>
        <w:t xml:space="preserve">continual service improvement, and quality outcomes for consumers of the </w:t>
      </w:r>
      <w:r w:rsidR="000B18CC" w:rsidRPr="00650EC2">
        <w:rPr>
          <w:rFonts w:asciiTheme="majorHAnsi" w:hAnsiTheme="majorHAnsi" w:cs="Poppins Light"/>
        </w:rPr>
        <w:t>phone service</w:t>
      </w:r>
    </w:p>
    <w:p w14:paraId="27604E50" w14:textId="5D553A81" w:rsidR="000B18CC" w:rsidRPr="00650EC2" w:rsidRDefault="00A33C24" w:rsidP="004700AA">
      <w:pPr>
        <w:pStyle w:val="ListBullet"/>
        <w:rPr>
          <w:rFonts w:asciiTheme="majorHAnsi" w:hAnsiTheme="majorHAnsi" w:cs="Poppins Light"/>
        </w:rPr>
      </w:pPr>
      <w:r w:rsidRPr="00650EC2">
        <w:rPr>
          <w:rFonts w:asciiTheme="majorHAnsi" w:hAnsiTheme="majorHAnsi" w:cs="Poppins Light"/>
        </w:rPr>
        <w:t>p</w:t>
      </w:r>
      <w:r w:rsidR="000B18CC" w:rsidRPr="00650EC2">
        <w:rPr>
          <w:rFonts w:asciiTheme="majorHAnsi" w:hAnsiTheme="majorHAnsi" w:cs="Poppins Light"/>
        </w:rPr>
        <w:t>rotocols with other relevant organisations, for example LHNs and their services, to ensure that offering alternative services to those offered in acute settings does not result in a delay in providing urgent services or otherwise risk the safety and wellbeing of individuals</w:t>
      </w:r>
    </w:p>
    <w:p w14:paraId="34A909B0" w14:textId="391DCBE5" w:rsidR="000B18CC" w:rsidRPr="00650EC2" w:rsidRDefault="00A33C24" w:rsidP="004700AA">
      <w:pPr>
        <w:pStyle w:val="ListBullet"/>
        <w:rPr>
          <w:rFonts w:asciiTheme="majorHAnsi" w:hAnsiTheme="majorHAnsi" w:cs="Poppins Light"/>
        </w:rPr>
      </w:pPr>
      <w:r w:rsidRPr="00650EC2">
        <w:rPr>
          <w:rFonts w:asciiTheme="majorHAnsi" w:hAnsiTheme="majorHAnsi" w:cs="Poppins Light"/>
        </w:rPr>
        <w:t>c</w:t>
      </w:r>
      <w:r w:rsidR="000B18CC" w:rsidRPr="00650EC2">
        <w:rPr>
          <w:rFonts w:asciiTheme="majorHAnsi" w:hAnsiTheme="majorHAnsi" w:cs="Poppins Light"/>
        </w:rPr>
        <w:t>onsideration in general of safety and quality priorities outlined in the Fifth National Mental Health and Suicide Prevention Plan</w:t>
      </w:r>
    </w:p>
    <w:p w14:paraId="53E5685F" w14:textId="48689FFB" w:rsidR="000B18CC" w:rsidRPr="00650EC2" w:rsidRDefault="00A33C24" w:rsidP="004700AA">
      <w:pPr>
        <w:pStyle w:val="ListBullet"/>
        <w:rPr>
          <w:rFonts w:asciiTheme="majorHAnsi" w:hAnsiTheme="majorHAnsi" w:cs="Poppins Light"/>
        </w:rPr>
      </w:pPr>
      <w:r w:rsidRPr="00650EC2">
        <w:rPr>
          <w:rFonts w:asciiTheme="majorHAnsi" w:hAnsiTheme="majorHAnsi" w:cs="Poppins Light"/>
        </w:rPr>
        <w:t>c</w:t>
      </w:r>
      <w:r w:rsidR="000B18CC" w:rsidRPr="00650EC2">
        <w:rPr>
          <w:rFonts w:asciiTheme="majorHAnsi" w:hAnsiTheme="majorHAnsi" w:cs="Poppins Light"/>
        </w:rPr>
        <w:t>ultural safety considerations to ensure that Aboriginal and Torres Strait Islander</w:t>
      </w:r>
      <w:r w:rsidR="009E79E6" w:rsidRPr="00650EC2">
        <w:rPr>
          <w:rFonts w:asciiTheme="majorHAnsi" w:hAnsiTheme="majorHAnsi" w:cs="Poppins Light"/>
        </w:rPr>
        <w:t>, CALD</w:t>
      </w:r>
      <w:r w:rsidR="00E36238" w:rsidRPr="00650EC2">
        <w:rPr>
          <w:rFonts w:asciiTheme="majorHAnsi" w:hAnsiTheme="majorHAnsi" w:cs="Poppins Light"/>
        </w:rPr>
        <w:t xml:space="preserve">, </w:t>
      </w:r>
      <w:r w:rsidR="009E79E6" w:rsidRPr="00650EC2">
        <w:rPr>
          <w:rFonts w:asciiTheme="majorHAnsi" w:hAnsiTheme="majorHAnsi" w:cs="Poppins Light"/>
        </w:rPr>
        <w:t>LGBTIQ</w:t>
      </w:r>
      <w:r w:rsidR="009752EB" w:rsidRPr="00650EC2">
        <w:rPr>
          <w:rFonts w:asciiTheme="majorHAnsi" w:hAnsiTheme="majorHAnsi" w:cs="Poppins Light"/>
        </w:rPr>
        <w:t>+</w:t>
      </w:r>
      <w:r w:rsidR="000B18CC" w:rsidRPr="00650EC2">
        <w:rPr>
          <w:rFonts w:asciiTheme="majorHAnsi" w:hAnsiTheme="majorHAnsi" w:cs="Poppins Light"/>
        </w:rPr>
        <w:t xml:space="preserve"> people </w:t>
      </w:r>
      <w:r w:rsidR="00E36238" w:rsidRPr="00650EC2">
        <w:rPr>
          <w:rFonts w:asciiTheme="majorHAnsi" w:hAnsiTheme="majorHAnsi" w:cs="Poppins Light"/>
        </w:rPr>
        <w:t xml:space="preserve">and people from other diverse backgrounds </w:t>
      </w:r>
      <w:r w:rsidR="000B18CC" w:rsidRPr="00650EC2">
        <w:rPr>
          <w:rFonts w:asciiTheme="majorHAnsi" w:hAnsiTheme="majorHAnsi" w:cs="Poppins Light"/>
        </w:rPr>
        <w:t>receive quality responses and equality of care</w:t>
      </w:r>
    </w:p>
    <w:p w14:paraId="22E1F0A3" w14:textId="35830819" w:rsidR="000B18CC" w:rsidRPr="00650EC2" w:rsidRDefault="00A33C24" w:rsidP="004700AA">
      <w:pPr>
        <w:pStyle w:val="ListBullet"/>
        <w:rPr>
          <w:rFonts w:asciiTheme="majorHAnsi" w:hAnsiTheme="majorHAnsi" w:cs="Poppins Light"/>
        </w:rPr>
      </w:pPr>
      <w:r w:rsidRPr="00650EC2">
        <w:rPr>
          <w:rFonts w:asciiTheme="majorHAnsi" w:hAnsiTheme="majorHAnsi" w:cs="Poppins Light"/>
        </w:rPr>
        <w:lastRenderedPageBreak/>
        <w:t>s</w:t>
      </w:r>
      <w:r w:rsidR="000B18CC" w:rsidRPr="00650EC2">
        <w:rPr>
          <w:rFonts w:asciiTheme="majorHAnsi" w:hAnsiTheme="majorHAnsi" w:cs="Poppins Light"/>
        </w:rPr>
        <w:t>upport for carers which is timely, responsive, appropriate</w:t>
      </w:r>
      <w:r w:rsidR="00F20747" w:rsidRPr="00650EC2">
        <w:rPr>
          <w:rFonts w:asciiTheme="majorHAnsi" w:hAnsiTheme="majorHAnsi" w:cs="Poppins Light"/>
        </w:rPr>
        <w:t>,</w:t>
      </w:r>
      <w:r w:rsidR="000B18CC" w:rsidRPr="00650EC2">
        <w:rPr>
          <w:rFonts w:asciiTheme="majorHAnsi" w:hAnsiTheme="majorHAnsi" w:cs="Poppins Light"/>
        </w:rPr>
        <w:t xml:space="preserve"> and accessible, in line with </w:t>
      </w:r>
      <w:r w:rsidR="000B18CC" w:rsidRPr="00407C9E">
        <w:rPr>
          <w:rStyle w:val="Emphasis"/>
        </w:rPr>
        <w:t>the Carer Recognition Act 2010</w:t>
      </w:r>
      <w:r w:rsidR="00964335" w:rsidRPr="00650EC2">
        <w:rPr>
          <w:rFonts w:asciiTheme="majorHAnsi" w:hAnsiTheme="majorHAnsi" w:cs="Poppins Light"/>
        </w:rPr>
        <w:t>.</w:t>
      </w:r>
    </w:p>
    <w:p w14:paraId="3F66AF14" w14:textId="77777777" w:rsidR="000F6AA5" w:rsidRPr="00650EC2" w:rsidRDefault="000B18CC" w:rsidP="004700AA">
      <w:pPr>
        <w:pStyle w:val="Heading1"/>
        <w:rPr>
          <w:rFonts w:cs="Times New Roman"/>
        </w:rPr>
      </w:pPr>
      <w:bookmarkStart w:id="27" w:name="_Toc88641314"/>
      <w:bookmarkStart w:id="28" w:name="_Toc108097482"/>
      <w:r w:rsidRPr="00650EC2">
        <w:rPr>
          <w:rFonts w:cs="Times New Roman"/>
        </w:rPr>
        <w:t>Staged implementation</w:t>
      </w:r>
      <w:bookmarkEnd w:id="27"/>
      <w:bookmarkEnd w:id="28"/>
    </w:p>
    <w:p w14:paraId="1659A2BE" w14:textId="4E693F4C" w:rsidR="004E2702" w:rsidRPr="00E902E0" w:rsidRDefault="000B18CC" w:rsidP="00E902E0">
      <w:r w:rsidRPr="00E902E0">
        <w:t xml:space="preserve">As existing intake systems vary considerably by PHN region and jurisdiction, a staged approach to implementation is necessary. </w:t>
      </w:r>
      <w:r w:rsidR="004E2702" w:rsidRPr="00E902E0">
        <w:t>At a minimum, a</w:t>
      </w:r>
      <w:r w:rsidRPr="00E902E0">
        <w:t>ll PHN regions are required to deliver the core service elements from July 2022</w:t>
      </w:r>
      <w:r w:rsidR="00B62421" w:rsidRPr="00E902E0">
        <w:t xml:space="preserve">. </w:t>
      </w:r>
      <w:r w:rsidR="004E2702" w:rsidRPr="00E902E0">
        <w:t>The Department recognises that</w:t>
      </w:r>
      <w:r w:rsidR="00B62421" w:rsidRPr="00E902E0">
        <w:t xml:space="preserve"> referral pathways will be </w:t>
      </w:r>
      <w:r w:rsidR="004E2702" w:rsidRPr="00E902E0">
        <w:t>limited</w:t>
      </w:r>
      <w:r w:rsidR="00B62421" w:rsidRPr="00E902E0">
        <w:t xml:space="preserve"> in some regions during</w:t>
      </w:r>
      <w:r w:rsidRPr="00E902E0">
        <w:t xml:space="preserve"> the initial establishment phase</w:t>
      </w:r>
      <w:r w:rsidR="00B62421" w:rsidRPr="00E902E0">
        <w:t xml:space="preserve">, </w:t>
      </w:r>
      <w:r w:rsidR="004E2702" w:rsidRPr="00E902E0">
        <w:t xml:space="preserve">with </w:t>
      </w:r>
      <w:r w:rsidR="00FF72B3" w:rsidRPr="00E902E0">
        <w:t xml:space="preserve">most </w:t>
      </w:r>
      <w:r w:rsidR="004E2702" w:rsidRPr="00E902E0">
        <w:t>referrals provided into other Head to Health services and PHN commissioned services.</w:t>
      </w:r>
    </w:p>
    <w:p w14:paraId="34BE5236" w14:textId="6EDD5692" w:rsidR="000B18CC" w:rsidRPr="00E902E0" w:rsidRDefault="004E2702" w:rsidP="00E902E0">
      <w:r w:rsidRPr="00E902E0">
        <w:t>Beyond this initial phase, and for PHN regions with established phone services in place, the</w:t>
      </w:r>
      <w:r w:rsidR="00B62421" w:rsidRPr="00E902E0">
        <w:t xml:space="preserve"> Head to Health phone service </w:t>
      </w:r>
      <w:r w:rsidRPr="00E902E0">
        <w:t>should</w:t>
      </w:r>
      <w:r w:rsidR="00B62421" w:rsidRPr="00E902E0">
        <w:t xml:space="preserve"> expand </w:t>
      </w:r>
      <w:r w:rsidRPr="00E902E0">
        <w:t xml:space="preserve">its </w:t>
      </w:r>
      <w:r w:rsidR="00B62421" w:rsidRPr="00E902E0">
        <w:t>referral pathways to link consumers into a broad</w:t>
      </w:r>
      <w:r w:rsidRPr="00E902E0">
        <w:t>er</w:t>
      </w:r>
      <w:r w:rsidR="00B62421" w:rsidRPr="00E902E0">
        <w:t xml:space="preserve"> range of community-based mental health and support services</w:t>
      </w:r>
      <w:r w:rsidR="000B18CC" w:rsidRPr="00E902E0">
        <w:t>.</w:t>
      </w:r>
      <w:r w:rsidRPr="00E902E0">
        <w:t xml:space="preserve"> This should include </w:t>
      </w:r>
      <w:r w:rsidR="000B18CC" w:rsidRPr="00E902E0">
        <w:t>enhance</w:t>
      </w:r>
      <w:r w:rsidRPr="00E902E0">
        <w:t>d</w:t>
      </w:r>
      <w:r w:rsidR="000B18CC" w:rsidRPr="00E902E0">
        <w:t xml:space="preserve"> integration with other digital platforms</w:t>
      </w:r>
      <w:r w:rsidR="0090370F" w:rsidRPr="00E902E0">
        <w:t xml:space="preserve"> and services</w:t>
      </w:r>
      <w:r w:rsidR="00AC01F8" w:rsidRPr="00E902E0">
        <w:t xml:space="preserve"> </w:t>
      </w:r>
      <w:r w:rsidRPr="00E902E0">
        <w:t xml:space="preserve">funded by the </w:t>
      </w:r>
      <w:r w:rsidR="00AC01F8" w:rsidRPr="00E902E0">
        <w:t>Commonwealth and state and territory governments</w:t>
      </w:r>
      <w:r w:rsidR="000B18CC" w:rsidRPr="00E902E0">
        <w:t>.</w:t>
      </w:r>
    </w:p>
    <w:p w14:paraId="0464AB80" w14:textId="77777777" w:rsidR="000B18CC" w:rsidRPr="00E902E0" w:rsidRDefault="000B18CC" w:rsidP="00E902E0">
      <w:r w:rsidRPr="00E902E0">
        <w:t xml:space="preserve">Opportunities for enhancement include: </w:t>
      </w:r>
    </w:p>
    <w:p w14:paraId="251404B9" w14:textId="694DD880" w:rsidR="000B18CC" w:rsidRPr="00650EC2" w:rsidRDefault="00A33C24" w:rsidP="004700AA">
      <w:pPr>
        <w:pStyle w:val="ListBullet"/>
        <w:rPr>
          <w:rFonts w:asciiTheme="majorHAnsi" w:hAnsiTheme="majorHAnsi" w:cs="Poppins Light"/>
        </w:rPr>
      </w:pPr>
      <w:r w:rsidRPr="00650EC2">
        <w:rPr>
          <w:rFonts w:asciiTheme="majorHAnsi" w:hAnsiTheme="majorHAnsi" w:cs="Poppins Light"/>
        </w:rPr>
        <w:t>d</w:t>
      </w:r>
      <w:r w:rsidR="000B18CC" w:rsidRPr="00650EC2">
        <w:rPr>
          <w:rFonts w:asciiTheme="majorHAnsi" w:hAnsiTheme="majorHAnsi" w:cs="Poppins Light"/>
        </w:rPr>
        <w:t xml:space="preserve">igital solutions to securely share </w:t>
      </w:r>
      <w:r w:rsidR="009E79E6" w:rsidRPr="00650EC2">
        <w:rPr>
          <w:rFonts w:asciiTheme="majorHAnsi" w:hAnsiTheme="majorHAnsi" w:cs="Poppins Light"/>
        </w:rPr>
        <w:t>consumer</w:t>
      </w:r>
      <w:r w:rsidR="000B18CC" w:rsidRPr="00650EC2">
        <w:rPr>
          <w:rFonts w:asciiTheme="majorHAnsi" w:hAnsiTheme="majorHAnsi" w:cs="Poppins Light"/>
        </w:rPr>
        <w:t xml:space="preserve"> information </w:t>
      </w:r>
    </w:p>
    <w:p w14:paraId="0C060208" w14:textId="072433FE" w:rsidR="000B18CC" w:rsidRPr="00650EC2" w:rsidRDefault="00A33C24" w:rsidP="004700AA">
      <w:pPr>
        <w:pStyle w:val="ListBullet"/>
        <w:rPr>
          <w:rFonts w:asciiTheme="majorHAnsi" w:hAnsiTheme="majorHAnsi" w:cs="Poppins Light"/>
        </w:rPr>
      </w:pPr>
      <w:r w:rsidRPr="00650EC2">
        <w:rPr>
          <w:rFonts w:asciiTheme="majorHAnsi" w:hAnsiTheme="majorHAnsi" w:cs="Poppins Light"/>
        </w:rPr>
        <w:t>t</w:t>
      </w:r>
      <w:r w:rsidR="000B18CC" w:rsidRPr="00650EC2">
        <w:rPr>
          <w:rFonts w:asciiTheme="majorHAnsi" w:hAnsiTheme="majorHAnsi" w:cs="Poppins Light"/>
        </w:rPr>
        <w:t>racking of patients through the system of care following referral to better understand treatment received</w:t>
      </w:r>
      <w:r w:rsidR="009E79E6" w:rsidRPr="00650EC2">
        <w:rPr>
          <w:rFonts w:asciiTheme="majorHAnsi" w:hAnsiTheme="majorHAnsi" w:cs="Poppins Light"/>
        </w:rPr>
        <w:t>, consumer and carer reported experiences of care,</w:t>
      </w:r>
      <w:r w:rsidR="000B18CC" w:rsidRPr="00650EC2">
        <w:rPr>
          <w:rFonts w:asciiTheme="majorHAnsi" w:hAnsiTheme="majorHAnsi" w:cs="Poppins Light"/>
        </w:rPr>
        <w:t xml:space="preserve"> and outcomes achieved</w:t>
      </w:r>
    </w:p>
    <w:p w14:paraId="5D8891B2" w14:textId="68CA6BF8" w:rsidR="000B18CC" w:rsidRPr="00650EC2" w:rsidRDefault="00A33C24" w:rsidP="004700AA">
      <w:pPr>
        <w:pStyle w:val="ListBullet"/>
        <w:rPr>
          <w:rFonts w:asciiTheme="majorHAnsi" w:hAnsiTheme="majorHAnsi" w:cs="Poppins Light"/>
        </w:rPr>
      </w:pPr>
      <w:r w:rsidRPr="00650EC2">
        <w:rPr>
          <w:rFonts w:asciiTheme="majorHAnsi" w:hAnsiTheme="majorHAnsi" w:cs="Poppins Light"/>
        </w:rPr>
        <w:t>i</w:t>
      </w:r>
      <w:r w:rsidR="000B18CC" w:rsidRPr="00650EC2">
        <w:rPr>
          <w:rFonts w:asciiTheme="majorHAnsi" w:hAnsiTheme="majorHAnsi" w:cs="Poppins Light"/>
        </w:rPr>
        <w:t xml:space="preserve">nterface with the Head to Health Digital Platform, to support online virtual assessment for people who choose to connect to services digitally </w:t>
      </w:r>
    </w:p>
    <w:p w14:paraId="4C9CBD8C" w14:textId="7A6C466F" w:rsidR="003A1782" w:rsidRPr="00650EC2" w:rsidRDefault="00A33C24" w:rsidP="004700AA">
      <w:pPr>
        <w:pStyle w:val="ListBullet"/>
        <w:rPr>
          <w:rFonts w:asciiTheme="majorHAnsi" w:hAnsiTheme="majorHAnsi" w:cs="Poppins Light"/>
        </w:rPr>
      </w:pPr>
      <w:r w:rsidRPr="00650EC2">
        <w:rPr>
          <w:rFonts w:asciiTheme="majorHAnsi" w:hAnsiTheme="majorHAnsi" w:cs="Poppins Light"/>
        </w:rPr>
        <w:t>i</w:t>
      </w:r>
      <w:r w:rsidR="000B18CC" w:rsidRPr="00650EC2">
        <w:rPr>
          <w:rFonts w:asciiTheme="majorHAnsi" w:hAnsiTheme="majorHAnsi" w:cs="Poppins Light"/>
        </w:rPr>
        <w:t>ntegration of real-time booking systems, providing visibility of service wait times to enable real-time demand management</w:t>
      </w:r>
    </w:p>
    <w:p w14:paraId="5B4A3A9F" w14:textId="2420571A" w:rsidR="000B18CC" w:rsidRPr="00650EC2" w:rsidRDefault="00A33C24" w:rsidP="004700AA">
      <w:pPr>
        <w:pStyle w:val="ListBullet"/>
        <w:rPr>
          <w:rFonts w:asciiTheme="majorHAnsi" w:hAnsiTheme="majorHAnsi" w:cs="Poppins Light"/>
        </w:rPr>
      </w:pPr>
      <w:r w:rsidRPr="00650EC2">
        <w:rPr>
          <w:rFonts w:asciiTheme="majorHAnsi" w:hAnsiTheme="majorHAnsi" w:cs="Poppins Light"/>
        </w:rPr>
        <w:t>e</w:t>
      </w:r>
      <w:r w:rsidR="003A1782" w:rsidRPr="00650EC2">
        <w:rPr>
          <w:rFonts w:asciiTheme="majorHAnsi" w:hAnsiTheme="majorHAnsi" w:cs="Poppins Light"/>
        </w:rPr>
        <w:t>valuating and elevating the experience of care from consumer and family/carer perspectives</w:t>
      </w:r>
      <w:r w:rsidR="00964335" w:rsidRPr="00650EC2">
        <w:rPr>
          <w:rFonts w:asciiTheme="majorHAnsi" w:hAnsiTheme="majorHAnsi" w:cs="Poppins Light"/>
        </w:rPr>
        <w:t>.</w:t>
      </w:r>
    </w:p>
    <w:p w14:paraId="64DA9A69" w14:textId="6A5862EE" w:rsidR="008142BF" w:rsidRPr="00650EC2" w:rsidRDefault="008142BF" w:rsidP="004700AA">
      <w:pPr>
        <w:pStyle w:val="Heading1"/>
        <w:rPr>
          <w:rFonts w:cs="Times New Roman"/>
        </w:rPr>
      </w:pPr>
      <w:bookmarkStart w:id="29" w:name="_Monitoring_and_Evaluation"/>
      <w:bookmarkStart w:id="30" w:name="_Toc108097483"/>
      <w:bookmarkStart w:id="31" w:name="_Toc88641315"/>
      <w:bookmarkEnd w:id="29"/>
      <w:r w:rsidRPr="00650EC2">
        <w:rPr>
          <w:rFonts w:cs="Times New Roman"/>
        </w:rPr>
        <w:t>Communications and branding</w:t>
      </w:r>
      <w:bookmarkEnd w:id="30"/>
    </w:p>
    <w:p w14:paraId="17752D41" w14:textId="24E34175" w:rsidR="008142BF" w:rsidRPr="00E902E0" w:rsidRDefault="008142BF" w:rsidP="00E902E0">
      <w:r w:rsidRPr="00E902E0">
        <w:t>It is expected that all branding and communications materials created and disseminated by PHNs and lead agencies will follow the Department’s Head to Health brand identity guidelines</w:t>
      </w:r>
      <w:r w:rsidR="007D2EB4" w:rsidRPr="00E902E0">
        <w:t>, including following guidance around colours, logos, fonts</w:t>
      </w:r>
      <w:r w:rsidR="00F20747" w:rsidRPr="00E902E0">
        <w:t>,</w:t>
      </w:r>
      <w:r w:rsidR="007D2EB4" w:rsidRPr="00E902E0">
        <w:t xml:space="preserve"> and design elements</w:t>
      </w:r>
      <w:r w:rsidRPr="00E902E0">
        <w:t xml:space="preserve">. </w:t>
      </w:r>
    </w:p>
    <w:p w14:paraId="2CD52703" w14:textId="0EFEB462" w:rsidR="008142BF" w:rsidRPr="00E902E0" w:rsidRDefault="00FF3C2D" w:rsidP="00E902E0">
      <w:r w:rsidRPr="00E902E0">
        <w:t xml:space="preserve">Once the phone service is established and operational, </w:t>
      </w:r>
      <w:r w:rsidR="008142BF" w:rsidRPr="00E902E0">
        <w:t xml:space="preserve">communications and branding materials should reference the national Head to Health 1800 </w:t>
      </w:r>
      <w:r w:rsidR="00964335" w:rsidRPr="00E902E0">
        <w:t xml:space="preserve">phone </w:t>
      </w:r>
      <w:r w:rsidR="008142BF" w:rsidRPr="00E902E0">
        <w:t>number (1800 595 212)</w:t>
      </w:r>
      <w:r w:rsidR="008E533F" w:rsidRPr="00E902E0">
        <w:t xml:space="preserve"> as </w:t>
      </w:r>
      <w:r w:rsidRPr="00E902E0">
        <w:t xml:space="preserve">a key </w:t>
      </w:r>
      <w:r w:rsidR="008E533F" w:rsidRPr="00E902E0">
        <w:t>entry point for IAR assessment and referral into Head to Health, and other PHN commissioned services</w:t>
      </w:r>
      <w:r w:rsidR="008142BF" w:rsidRPr="00E902E0">
        <w:t>.</w:t>
      </w:r>
    </w:p>
    <w:p w14:paraId="49B7C140" w14:textId="31628D58" w:rsidR="000B18CC" w:rsidRPr="00650EC2" w:rsidRDefault="000B18CC" w:rsidP="004700AA">
      <w:pPr>
        <w:pStyle w:val="Heading1"/>
        <w:rPr>
          <w:rFonts w:cs="Times New Roman"/>
        </w:rPr>
      </w:pPr>
      <w:bookmarkStart w:id="32" w:name="_Monitoring_and_evaluation_1"/>
      <w:bookmarkStart w:id="33" w:name="_Toc108097484"/>
      <w:bookmarkEnd w:id="32"/>
      <w:r w:rsidRPr="00650EC2">
        <w:rPr>
          <w:rFonts w:cs="Times New Roman"/>
        </w:rPr>
        <w:t xml:space="preserve">Monitoring and </w:t>
      </w:r>
      <w:r w:rsidR="009E0F24" w:rsidRPr="00650EC2">
        <w:rPr>
          <w:rFonts w:cs="Times New Roman"/>
        </w:rPr>
        <w:t>e</w:t>
      </w:r>
      <w:r w:rsidRPr="00650EC2">
        <w:rPr>
          <w:rFonts w:cs="Times New Roman"/>
        </w:rPr>
        <w:t>valuation</w:t>
      </w:r>
      <w:bookmarkEnd w:id="31"/>
      <w:bookmarkEnd w:id="33"/>
    </w:p>
    <w:p w14:paraId="297D85C6" w14:textId="00042118" w:rsidR="000B18CC" w:rsidRPr="00E902E0" w:rsidRDefault="002F2EF1" w:rsidP="00E902E0">
      <w:r w:rsidRPr="00E902E0">
        <w:t>T</w:t>
      </w:r>
      <w:r w:rsidR="000B18CC" w:rsidRPr="00E902E0">
        <w:t xml:space="preserve">he following outcomes </w:t>
      </w:r>
      <w:r w:rsidR="000049FD" w:rsidRPr="00E902E0">
        <w:t xml:space="preserve">from the phone service </w:t>
      </w:r>
      <w:r w:rsidR="000B18CC" w:rsidRPr="00E902E0">
        <w:t>for consumers and carers are expected:</w:t>
      </w:r>
    </w:p>
    <w:p w14:paraId="4F81C862" w14:textId="0B3B2102" w:rsidR="000B18CC" w:rsidRPr="00650EC2" w:rsidRDefault="00A33C24" w:rsidP="004700AA">
      <w:pPr>
        <w:pStyle w:val="ListBullet"/>
        <w:rPr>
          <w:rFonts w:asciiTheme="majorHAnsi" w:hAnsiTheme="majorHAnsi" w:cs="Poppins Light"/>
        </w:rPr>
      </w:pPr>
      <w:r w:rsidRPr="00650EC2">
        <w:rPr>
          <w:rFonts w:asciiTheme="majorHAnsi" w:hAnsiTheme="majorHAnsi" w:cs="Poppins Light"/>
        </w:rPr>
        <w:t>p</w:t>
      </w:r>
      <w:r w:rsidR="000B18CC" w:rsidRPr="00650EC2">
        <w:rPr>
          <w:rFonts w:asciiTheme="majorHAnsi" w:hAnsiTheme="majorHAnsi" w:cs="Poppins Light"/>
        </w:rPr>
        <w:t>eople requiring support will recognise Head to Health as an accessible entry point to the mental health care system for the services and information they need</w:t>
      </w:r>
    </w:p>
    <w:p w14:paraId="40F12E12" w14:textId="72727E43" w:rsidR="000B18CC" w:rsidRPr="00650EC2" w:rsidRDefault="00A33C24" w:rsidP="004700AA">
      <w:pPr>
        <w:pStyle w:val="ListBullet"/>
        <w:rPr>
          <w:rFonts w:asciiTheme="majorHAnsi" w:hAnsiTheme="majorHAnsi" w:cs="Poppins Light"/>
        </w:rPr>
      </w:pPr>
      <w:r w:rsidRPr="00650EC2">
        <w:rPr>
          <w:rFonts w:asciiTheme="majorHAnsi" w:hAnsiTheme="majorHAnsi" w:cs="Poppins Light"/>
        </w:rPr>
        <w:t>p</w:t>
      </w:r>
      <w:r w:rsidR="000B18CC" w:rsidRPr="00650EC2">
        <w:rPr>
          <w:rFonts w:asciiTheme="majorHAnsi" w:hAnsiTheme="majorHAnsi" w:cs="Poppins Light"/>
        </w:rPr>
        <w:t xml:space="preserve">eople will be able to access, or be connected to, the </w:t>
      </w:r>
      <w:proofErr w:type="gramStart"/>
      <w:r w:rsidR="000B18CC" w:rsidRPr="00650EC2">
        <w:rPr>
          <w:rFonts w:asciiTheme="majorHAnsi" w:hAnsiTheme="majorHAnsi" w:cs="Poppins Light"/>
        </w:rPr>
        <w:t>particular mental</w:t>
      </w:r>
      <w:proofErr w:type="gramEnd"/>
      <w:r w:rsidR="000B18CC" w:rsidRPr="00650EC2">
        <w:rPr>
          <w:rFonts w:asciiTheme="majorHAnsi" w:hAnsiTheme="majorHAnsi" w:cs="Poppins Light"/>
        </w:rPr>
        <w:t xml:space="preserve"> health and related services they are assessed as needing</w:t>
      </w:r>
    </w:p>
    <w:p w14:paraId="318FFF5A" w14:textId="4012D6D5" w:rsidR="0005062D" w:rsidRPr="00650EC2" w:rsidRDefault="00A33C24" w:rsidP="004700AA">
      <w:pPr>
        <w:pStyle w:val="ListBullet"/>
        <w:rPr>
          <w:rFonts w:asciiTheme="majorHAnsi" w:hAnsiTheme="majorHAnsi" w:cs="Poppins Light"/>
        </w:rPr>
      </w:pPr>
      <w:r w:rsidRPr="00650EC2">
        <w:rPr>
          <w:rFonts w:asciiTheme="majorHAnsi" w:hAnsiTheme="majorHAnsi" w:cs="Poppins Light"/>
        </w:rPr>
        <w:lastRenderedPageBreak/>
        <w:t>p</w:t>
      </w:r>
      <w:r w:rsidR="0005062D" w:rsidRPr="00650EC2">
        <w:rPr>
          <w:rFonts w:asciiTheme="majorHAnsi" w:hAnsiTheme="majorHAnsi" w:cs="Poppins Light"/>
        </w:rPr>
        <w:t>eople will receive the most appropriate service for their individual needs</w:t>
      </w:r>
    </w:p>
    <w:p w14:paraId="7F81338A" w14:textId="01C05D1D" w:rsidR="000B18CC" w:rsidRPr="00650EC2" w:rsidRDefault="00A33C24" w:rsidP="004700AA">
      <w:pPr>
        <w:pStyle w:val="ListBullet"/>
        <w:rPr>
          <w:rFonts w:asciiTheme="majorHAnsi" w:hAnsiTheme="majorHAnsi" w:cs="Poppins Light"/>
        </w:rPr>
      </w:pPr>
      <w:r w:rsidRPr="00650EC2">
        <w:rPr>
          <w:rFonts w:asciiTheme="majorHAnsi" w:hAnsiTheme="majorHAnsi" w:cs="Poppins Light"/>
        </w:rPr>
        <w:t>d</w:t>
      </w:r>
      <w:r w:rsidR="000B18CC" w:rsidRPr="00650EC2">
        <w:rPr>
          <w:rFonts w:asciiTheme="majorHAnsi" w:hAnsiTheme="majorHAnsi" w:cs="Poppins Light"/>
        </w:rPr>
        <w:t xml:space="preserve">emand for services </w:t>
      </w:r>
      <w:r w:rsidR="0005062D" w:rsidRPr="00650EC2">
        <w:rPr>
          <w:rFonts w:asciiTheme="majorHAnsi" w:hAnsiTheme="majorHAnsi" w:cs="Poppins Light"/>
        </w:rPr>
        <w:t xml:space="preserve">and waitlists are </w:t>
      </w:r>
      <w:r w:rsidR="000B18CC" w:rsidRPr="00650EC2">
        <w:rPr>
          <w:rFonts w:asciiTheme="majorHAnsi" w:hAnsiTheme="majorHAnsi" w:cs="Poppins Light"/>
        </w:rPr>
        <w:t>actively monitored at a national level</w:t>
      </w:r>
      <w:r w:rsidR="0005062D" w:rsidRPr="00650EC2">
        <w:rPr>
          <w:rFonts w:asciiTheme="majorHAnsi" w:hAnsiTheme="majorHAnsi" w:cs="Poppins Light"/>
        </w:rPr>
        <w:t xml:space="preserve"> with the aim to connect people to a level of care based on their assessed needs</w:t>
      </w:r>
      <w:r w:rsidR="000B18CC" w:rsidRPr="00650EC2">
        <w:rPr>
          <w:rFonts w:asciiTheme="majorHAnsi" w:hAnsiTheme="majorHAnsi" w:cs="Poppins Light"/>
        </w:rPr>
        <w:t xml:space="preserve">. </w:t>
      </w:r>
    </w:p>
    <w:p w14:paraId="74BF7BF0" w14:textId="6F45ED3E" w:rsidR="00D7749F" w:rsidRPr="00E902E0" w:rsidRDefault="000B18CC" w:rsidP="00E902E0">
      <w:r w:rsidRPr="00E902E0">
        <w:t xml:space="preserve">Head to Health </w:t>
      </w:r>
      <w:r w:rsidR="002F3E3B" w:rsidRPr="00E902E0">
        <w:t xml:space="preserve">phone </w:t>
      </w:r>
      <w:r w:rsidRPr="00E902E0">
        <w:t>service</w:t>
      </w:r>
      <w:r w:rsidR="00C44E7D" w:rsidRPr="00E902E0">
        <w:t>s</w:t>
      </w:r>
      <w:r w:rsidRPr="00E902E0">
        <w:t xml:space="preserve"> will need to collect data to inform </w:t>
      </w:r>
      <w:r w:rsidR="00A61178" w:rsidRPr="00E902E0">
        <w:t>a</w:t>
      </w:r>
      <w:r w:rsidR="00285F4B" w:rsidRPr="00E902E0">
        <w:t>n</w:t>
      </w:r>
      <w:r w:rsidR="00A61178" w:rsidRPr="00E902E0">
        <w:t xml:space="preserve"> </w:t>
      </w:r>
      <w:r w:rsidRPr="00E902E0">
        <w:t>evaluation of the service</w:t>
      </w:r>
      <w:r w:rsidR="00285F4B" w:rsidRPr="00E902E0">
        <w:t xml:space="preserve">, and to contribute to continual quality improvement of the service to </w:t>
      </w:r>
      <w:r w:rsidR="00A61178" w:rsidRPr="00E902E0">
        <w:t xml:space="preserve">ensure </w:t>
      </w:r>
      <w:r w:rsidR="00285F4B" w:rsidRPr="00E902E0">
        <w:t>it</w:t>
      </w:r>
      <w:r w:rsidRPr="00E902E0">
        <w:t xml:space="preserve"> is meeting community needs.</w:t>
      </w:r>
      <w:r w:rsidR="00BE006F" w:rsidRPr="00E902E0">
        <w:t xml:space="preserve"> </w:t>
      </w:r>
      <w:r w:rsidR="00B229A2" w:rsidRPr="00E902E0">
        <w:t>This includes collecting and</w:t>
      </w:r>
      <w:r w:rsidR="00BE006F" w:rsidRPr="00E902E0">
        <w:t xml:space="preserve"> report</w:t>
      </w:r>
      <w:r w:rsidR="00B229A2" w:rsidRPr="00E902E0">
        <w:t>ing</w:t>
      </w:r>
      <w:r w:rsidR="00BE006F" w:rsidRPr="00E902E0">
        <w:t xml:space="preserve"> </w:t>
      </w:r>
      <w:r w:rsidR="00A61178" w:rsidRPr="00E902E0">
        <w:t>to</w:t>
      </w:r>
      <w:r w:rsidR="00BE006F" w:rsidRPr="00E902E0">
        <w:t xml:space="preserve"> the PMHC</w:t>
      </w:r>
      <w:r w:rsidR="007D2EB4" w:rsidRPr="00E902E0">
        <w:t>-</w:t>
      </w:r>
      <w:r w:rsidR="00BE006F" w:rsidRPr="00E902E0">
        <w:t>MDS</w:t>
      </w:r>
      <w:r w:rsidR="00A61178" w:rsidRPr="00E902E0">
        <w:t xml:space="preserve"> for all Head to Health intake activity.</w:t>
      </w:r>
    </w:p>
    <w:p w14:paraId="367B25A2" w14:textId="383BD666" w:rsidR="005A12EF" w:rsidRPr="00650EC2" w:rsidRDefault="005A12EF" w:rsidP="004700AA">
      <w:pPr>
        <w:pStyle w:val="Heading2"/>
        <w:rPr>
          <w:rFonts w:cs="Times New Roman"/>
        </w:rPr>
      </w:pPr>
      <w:bookmarkStart w:id="34" w:name="_Toc108097485"/>
      <w:r w:rsidRPr="00650EC2">
        <w:rPr>
          <w:rFonts w:cs="Times New Roman"/>
        </w:rPr>
        <w:t>Head to Health intake services reporting requirements</w:t>
      </w:r>
      <w:bookmarkEnd w:id="34"/>
    </w:p>
    <w:p w14:paraId="59C84856" w14:textId="647CCA6B" w:rsidR="000543F2" w:rsidRPr="00650EC2" w:rsidRDefault="000543F2" w:rsidP="004700AA">
      <w:pPr>
        <w:pStyle w:val="Heading3"/>
        <w:rPr>
          <w:rFonts w:cs="Times New Roman"/>
        </w:rPr>
      </w:pPr>
      <w:bookmarkStart w:id="35" w:name="_Toc108097486"/>
      <w:r w:rsidRPr="00650EC2">
        <w:rPr>
          <w:rFonts w:cs="Times New Roman"/>
        </w:rPr>
        <w:t>PMHC-MDS</w:t>
      </w:r>
      <w:bookmarkEnd w:id="35"/>
      <w:r w:rsidRPr="00650EC2">
        <w:rPr>
          <w:rFonts w:cs="Times New Roman"/>
        </w:rPr>
        <w:t xml:space="preserve"> </w:t>
      </w:r>
    </w:p>
    <w:p w14:paraId="161EA02A" w14:textId="043750DB" w:rsidR="005E438F" w:rsidRPr="00E902E0" w:rsidRDefault="005A12EF" w:rsidP="00E902E0">
      <w:r w:rsidRPr="00E902E0">
        <w:t xml:space="preserve">Individual PHNs are required to report </w:t>
      </w:r>
      <w:r w:rsidR="00E85DA5" w:rsidRPr="00E902E0">
        <w:t>via</w:t>
      </w:r>
      <w:r w:rsidR="00BE78CB" w:rsidRPr="00E902E0">
        <w:t xml:space="preserve"> the PMHC-MDS </w:t>
      </w:r>
      <w:r w:rsidRPr="00E902E0">
        <w:t>on the</w:t>
      </w:r>
      <w:r w:rsidR="00964335" w:rsidRPr="00E902E0">
        <w:t>ir</w:t>
      </w:r>
      <w:r w:rsidRPr="00E902E0">
        <w:t xml:space="preserve"> intake</w:t>
      </w:r>
      <w:r w:rsidR="002F3E3B" w:rsidRPr="00E902E0">
        <w:t>, assessment</w:t>
      </w:r>
      <w:r w:rsidR="00F20747" w:rsidRPr="00E902E0">
        <w:t>,</w:t>
      </w:r>
      <w:r w:rsidR="002F3E3B" w:rsidRPr="00E902E0">
        <w:t xml:space="preserve"> and referral</w:t>
      </w:r>
      <w:r w:rsidRPr="00E902E0">
        <w:t xml:space="preserve"> activity</w:t>
      </w:r>
      <w:r w:rsidR="002F3E3B" w:rsidRPr="00E902E0">
        <w:t xml:space="preserve"> </w:t>
      </w:r>
      <w:r w:rsidR="00134164" w:rsidRPr="00E902E0">
        <w:t xml:space="preserve">in line with </w:t>
      </w:r>
      <w:r w:rsidR="00CB3EB7" w:rsidRPr="00E902E0">
        <w:t xml:space="preserve">the </w:t>
      </w:r>
      <w:r w:rsidR="00134164" w:rsidRPr="00E902E0">
        <w:t>specifications of the PMHC-M</w:t>
      </w:r>
      <w:r w:rsidR="000049FD" w:rsidRPr="00E902E0">
        <w:t>DS</w:t>
      </w:r>
      <w:r w:rsidR="00F81746" w:rsidRPr="00650EC2">
        <w:rPr>
          <w:rStyle w:val="FootnoteReference"/>
          <w:rFonts w:asciiTheme="majorHAnsi" w:hAnsiTheme="majorHAnsi" w:cs="Poppins Light"/>
        </w:rPr>
        <w:footnoteReference w:id="7"/>
      </w:r>
      <w:r w:rsidR="00B21E73" w:rsidRPr="00E902E0">
        <w:t>.</w:t>
      </w:r>
      <w:r w:rsidR="00134164" w:rsidRPr="00E902E0">
        <w:t xml:space="preserve"> </w:t>
      </w:r>
      <w:r w:rsidR="00CB3EB7" w:rsidRPr="00E902E0">
        <w:t>All PHNs are responsible for complying with the reporting requirements of the PMHC-MDS.</w:t>
      </w:r>
    </w:p>
    <w:p w14:paraId="37AEF88B" w14:textId="3976490C" w:rsidR="00554E7B" w:rsidRPr="00E902E0" w:rsidRDefault="00554E7B" w:rsidP="00E902E0">
      <w:r w:rsidRPr="00E902E0">
        <w:t>The Department is working to implement Version 4 of the PMHC-MDS. Version 4 includes data collection for Intake and IAR-DST data. Supplementary guidance, including reporting specifications for Version 4, will be provided in due course.</w:t>
      </w:r>
    </w:p>
    <w:p w14:paraId="79E5C2E7" w14:textId="6EA077A0" w:rsidR="00CB3EB7" w:rsidRPr="00E902E0" w:rsidRDefault="000049FD" w:rsidP="00E902E0">
      <w:r w:rsidRPr="00E902E0">
        <w:t xml:space="preserve">To support PHNs to collect </w:t>
      </w:r>
      <w:r w:rsidR="00CB3EB7" w:rsidRPr="00E902E0">
        <w:t>i</w:t>
      </w:r>
      <w:r w:rsidRPr="00E902E0">
        <w:t>ntake and IAR-DST assessment data and upload that data to the PMHC-MDS, NWMPHN has developed a National Intake, Assessment and Referral (IAR) data management system that will be available for use by all PHNs without charge.</w:t>
      </w:r>
      <w:r w:rsidR="00CB3EB7" w:rsidRPr="00E902E0">
        <w:t xml:space="preserve"> PHNs may opt-in to </w:t>
      </w:r>
      <w:r w:rsidR="002130BA" w:rsidRPr="00E902E0">
        <w:t xml:space="preserve">using </w:t>
      </w:r>
      <w:r w:rsidR="00CB3EB7" w:rsidRPr="00E902E0">
        <w:t>the National IAR data management system</w:t>
      </w:r>
      <w:r w:rsidR="002130BA" w:rsidRPr="00E902E0">
        <w:t xml:space="preserve"> to collect their phone service data in line with PMHC-MDS requirements</w:t>
      </w:r>
      <w:r w:rsidR="00CB3EB7" w:rsidRPr="00E902E0">
        <w:t xml:space="preserve">, or </w:t>
      </w:r>
      <w:r w:rsidR="002130BA" w:rsidRPr="00E902E0">
        <w:t xml:space="preserve">they </w:t>
      </w:r>
      <w:r w:rsidR="00CB3EB7" w:rsidRPr="00E902E0">
        <w:t xml:space="preserve">may choose to </w:t>
      </w:r>
      <w:r w:rsidR="002130BA" w:rsidRPr="00E902E0">
        <w:t xml:space="preserve">use their </w:t>
      </w:r>
      <w:r w:rsidR="00CB3EB7" w:rsidRPr="00E902E0">
        <w:t xml:space="preserve">own </w:t>
      </w:r>
      <w:r w:rsidR="002130BA" w:rsidRPr="00E902E0">
        <w:t xml:space="preserve">data collection </w:t>
      </w:r>
      <w:r w:rsidR="005739AE" w:rsidRPr="00E902E0">
        <w:t>systems</w:t>
      </w:r>
      <w:r w:rsidR="00CB3EB7" w:rsidRPr="00E902E0">
        <w:t>.</w:t>
      </w:r>
    </w:p>
    <w:p w14:paraId="1FECEE05" w14:textId="77777777" w:rsidR="000A6FE4" w:rsidRPr="00650EC2" w:rsidRDefault="00395E8C" w:rsidP="004700AA">
      <w:pPr>
        <w:pStyle w:val="Heading3"/>
        <w:rPr>
          <w:rFonts w:cs="Times New Roman"/>
        </w:rPr>
      </w:pPr>
      <w:bookmarkStart w:id="36" w:name="_Toc108097487"/>
      <w:r w:rsidRPr="00650EC2">
        <w:rPr>
          <w:rFonts w:cs="Times New Roman"/>
        </w:rPr>
        <w:t xml:space="preserve">Telephony </w:t>
      </w:r>
      <w:r w:rsidR="000A6FE4" w:rsidRPr="00650EC2">
        <w:rPr>
          <w:rFonts w:cs="Times New Roman"/>
        </w:rPr>
        <w:t>data</w:t>
      </w:r>
      <w:bookmarkEnd w:id="36"/>
    </w:p>
    <w:p w14:paraId="76D1AA10" w14:textId="32D4EBCC" w:rsidR="000049FD" w:rsidRPr="00E902E0" w:rsidRDefault="002130BA" w:rsidP="00E902E0">
      <w:r w:rsidRPr="00E902E0">
        <w:t>A</w:t>
      </w:r>
      <w:r w:rsidR="000049FD" w:rsidRPr="00E902E0">
        <w:t xml:space="preserve">s manager of the national telephony infrastructure, NWMPHN will provide </w:t>
      </w:r>
      <w:r w:rsidRPr="00E902E0">
        <w:t xml:space="preserve">the Department and PHNs </w:t>
      </w:r>
      <w:r w:rsidR="000049FD" w:rsidRPr="00E902E0">
        <w:t xml:space="preserve">the telephony-specific data </w:t>
      </w:r>
      <w:r w:rsidRPr="00E902E0">
        <w:t xml:space="preserve">reporting that is </w:t>
      </w:r>
      <w:r w:rsidR="000049FD" w:rsidRPr="00E902E0">
        <w:t xml:space="preserve">required to monitor the initial establishment of the national phone line. This will include metrics on call volumes and times, location of callers, and the PHN intake team a call is routed to. </w:t>
      </w:r>
      <w:r w:rsidR="008F4F67" w:rsidRPr="00E902E0">
        <w:t>Individual PHNs will therefore not need to provide their own telephony reporting.</w:t>
      </w:r>
    </w:p>
    <w:p w14:paraId="5323D6D5" w14:textId="27C3AF63" w:rsidR="00490024" w:rsidRPr="00650EC2" w:rsidRDefault="00490024" w:rsidP="004700AA">
      <w:pPr>
        <w:pStyle w:val="Heading3"/>
        <w:rPr>
          <w:rFonts w:cs="Times New Roman"/>
        </w:rPr>
      </w:pPr>
      <w:bookmarkStart w:id="37" w:name="_Toc108097488"/>
      <w:r w:rsidRPr="00650EC2">
        <w:rPr>
          <w:rFonts w:cs="Times New Roman"/>
        </w:rPr>
        <w:t>C</w:t>
      </w:r>
      <w:r w:rsidR="00395E8C" w:rsidRPr="00650EC2">
        <w:rPr>
          <w:rFonts w:cs="Times New Roman"/>
        </w:rPr>
        <w:t>o</w:t>
      </w:r>
      <w:r w:rsidRPr="00650EC2">
        <w:rPr>
          <w:rFonts w:cs="Times New Roman"/>
        </w:rPr>
        <w:t>nt</w:t>
      </w:r>
      <w:r w:rsidR="00395E8C" w:rsidRPr="00650EC2">
        <w:rPr>
          <w:rFonts w:cs="Times New Roman"/>
        </w:rPr>
        <w:t>acts</w:t>
      </w:r>
      <w:bookmarkEnd w:id="37"/>
    </w:p>
    <w:p w14:paraId="18509275" w14:textId="6B964C70" w:rsidR="00357F79" w:rsidRPr="00E902E0" w:rsidRDefault="005E438F" w:rsidP="00E902E0">
      <w:r w:rsidRPr="00E902E0">
        <w:t>Individual PHNs are also required to report on all contact activity</w:t>
      </w:r>
      <w:r w:rsidR="001027C2" w:rsidRPr="00E902E0">
        <w:t xml:space="preserve">. </w:t>
      </w:r>
      <w:r w:rsidR="00357F79" w:rsidRPr="00E902E0">
        <w:t>Contact</w:t>
      </w:r>
      <w:r w:rsidRPr="00E902E0">
        <w:t xml:space="preserve"> data informs how the phone service is being used and is valuable for service analysis and enhancement. </w:t>
      </w:r>
      <w:r w:rsidR="00357F79" w:rsidRPr="00E902E0">
        <w:t>Not all people who call the Head to Health phone service need to be assessed or referred for treatment services. However, for service analysis and clinical governance reasons it is helpful to understand the nature of these calls. This includes knowing the type of person calling (for example, consumer, carer, or healthcare professional), and the outcome of the contact.</w:t>
      </w:r>
    </w:p>
    <w:p w14:paraId="4D1FED8E" w14:textId="07C47F34" w:rsidR="005E438F" w:rsidRPr="00E902E0" w:rsidRDefault="00FF3C2D" w:rsidP="00E902E0">
      <w:r w:rsidRPr="00E902E0">
        <w:t xml:space="preserve">Contact activity data must be reported to the Department each month, alongside all other phone service reporting requirements. The Department encourages PHNs to report this data through the National IAR data management system, or if PHNs choose it </w:t>
      </w:r>
      <w:r w:rsidRPr="00E902E0">
        <w:lastRenderedPageBreak/>
        <w:t xml:space="preserve">can be reported separately in line with Departmental requirements. </w:t>
      </w:r>
      <w:r w:rsidR="005E438F" w:rsidRPr="00E902E0">
        <w:t>Contact data specifications, including field descriptions</w:t>
      </w:r>
      <w:r w:rsidR="00CE1A1F" w:rsidRPr="00E902E0">
        <w:t>/values and reporting timeframes,</w:t>
      </w:r>
      <w:r w:rsidR="005E438F" w:rsidRPr="00E902E0">
        <w:t xml:space="preserve"> will be </w:t>
      </w:r>
      <w:r w:rsidR="00CE1A1F" w:rsidRPr="00E902E0">
        <w:t>provided</w:t>
      </w:r>
      <w:r w:rsidR="005E438F" w:rsidRPr="00E902E0">
        <w:t xml:space="preserve"> </w:t>
      </w:r>
      <w:r w:rsidR="00CE1A1F" w:rsidRPr="00E902E0">
        <w:t>in due course</w:t>
      </w:r>
      <w:r w:rsidR="005E438F" w:rsidRPr="00E902E0">
        <w:t xml:space="preserve">. </w:t>
      </w:r>
    </w:p>
    <w:p w14:paraId="4565C51A" w14:textId="66A0B2F5" w:rsidR="00395E8C" w:rsidRPr="00650EC2" w:rsidRDefault="00395E8C" w:rsidP="004700AA">
      <w:pPr>
        <w:pStyle w:val="Heading3"/>
        <w:rPr>
          <w:rFonts w:cs="Times New Roman"/>
        </w:rPr>
      </w:pPr>
      <w:bookmarkStart w:id="38" w:name="_Toc108097489"/>
      <w:r w:rsidRPr="00650EC2">
        <w:rPr>
          <w:rFonts w:cs="Times New Roman"/>
        </w:rPr>
        <w:t>PHN Mental Health Performance Framework key performance indicators</w:t>
      </w:r>
      <w:bookmarkEnd w:id="38"/>
    </w:p>
    <w:p w14:paraId="5391E3D9" w14:textId="254F85ED" w:rsidR="00593D27" w:rsidRPr="00E902E0" w:rsidRDefault="00593D27" w:rsidP="00E902E0">
      <w:r w:rsidRPr="00E902E0">
        <w:t>The current PHN Mental Health Performance Framework key performance indicators will continue to apply in relation to mental health service activity.</w:t>
      </w:r>
    </w:p>
    <w:p w14:paraId="61EADC34" w14:textId="60B3C810" w:rsidR="00B6793D" w:rsidRPr="00E902E0" w:rsidRDefault="00205AEB" w:rsidP="00E902E0">
      <w:r w:rsidRPr="00E902E0">
        <w:t>Further development of performance indicators will be led by the Department in consultation with PHNs</w:t>
      </w:r>
      <w:r w:rsidR="00291E79" w:rsidRPr="00E902E0">
        <w:t xml:space="preserve"> </w:t>
      </w:r>
      <w:r w:rsidRPr="00E902E0">
        <w:t xml:space="preserve">and </w:t>
      </w:r>
      <w:r w:rsidR="00964335" w:rsidRPr="00E902E0">
        <w:t xml:space="preserve">will </w:t>
      </w:r>
      <w:r w:rsidRPr="00E902E0">
        <w:t xml:space="preserve">be informed by the </w:t>
      </w:r>
      <w:r w:rsidR="008F3653" w:rsidRPr="00E902E0">
        <w:t>s</w:t>
      </w:r>
      <w:r w:rsidR="0010052E" w:rsidRPr="00E902E0">
        <w:t xml:space="preserve">taged roll-out and </w:t>
      </w:r>
      <w:r w:rsidR="00291E79" w:rsidRPr="00E902E0">
        <w:t xml:space="preserve">expansion of the phone service and </w:t>
      </w:r>
      <w:r w:rsidR="003C3E2C" w:rsidRPr="00E902E0">
        <w:t>use</w:t>
      </w:r>
      <w:r w:rsidRPr="00E902E0">
        <w:t xml:space="preserve"> of the PMHC</w:t>
      </w:r>
      <w:r w:rsidR="007D2EB4" w:rsidRPr="00E902E0">
        <w:t>-</w:t>
      </w:r>
      <w:r w:rsidRPr="00E902E0">
        <w:t xml:space="preserve">MDS </w:t>
      </w:r>
      <w:r w:rsidR="00291E79" w:rsidRPr="00E902E0">
        <w:t>and</w:t>
      </w:r>
      <w:r w:rsidR="003C3E2C" w:rsidRPr="00E902E0">
        <w:t xml:space="preserve"> National IAR data management</w:t>
      </w:r>
      <w:r w:rsidR="00291E79" w:rsidRPr="00E902E0">
        <w:t xml:space="preserve"> system to support data collection. </w:t>
      </w:r>
      <w:r w:rsidR="003C3E2C" w:rsidRPr="00E902E0">
        <w:t xml:space="preserve">PHNs </w:t>
      </w:r>
      <w:r w:rsidR="00291E79" w:rsidRPr="00E902E0">
        <w:t xml:space="preserve">are expected to </w:t>
      </w:r>
      <w:r w:rsidR="007963AA" w:rsidRPr="00E902E0">
        <w:t xml:space="preserve">collaborate with the Department </w:t>
      </w:r>
      <w:r w:rsidR="00291E79" w:rsidRPr="00E902E0">
        <w:t xml:space="preserve">in the development of </w:t>
      </w:r>
      <w:r w:rsidR="0010052E" w:rsidRPr="00E902E0">
        <w:t xml:space="preserve">any additional </w:t>
      </w:r>
      <w:r w:rsidR="009356A4" w:rsidRPr="00E902E0">
        <w:t>performance</w:t>
      </w:r>
      <w:r w:rsidR="00291E79" w:rsidRPr="00E902E0">
        <w:t xml:space="preserve"> </w:t>
      </w:r>
      <w:r w:rsidR="003C3E2C" w:rsidRPr="00E902E0">
        <w:t>indicators</w:t>
      </w:r>
      <w:r w:rsidR="00291E79" w:rsidRPr="00E902E0">
        <w:t xml:space="preserve"> </w:t>
      </w:r>
      <w:r w:rsidR="0010052E" w:rsidRPr="00E902E0">
        <w:t xml:space="preserve">over time </w:t>
      </w:r>
      <w:r w:rsidR="00291E79" w:rsidRPr="00E902E0">
        <w:t xml:space="preserve">to allow better assessment of the outcomes of the phone service in connecting people to appropriate mental health care in the community. </w:t>
      </w:r>
      <w:bookmarkStart w:id="39" w:name="_Appendix_1:_HeadtoHelp"/>
      <w:bookmarkStart w:id="40" w:name="_Toc88641317"/>
      <w:bookmarkEnd w:id="39"/>
    </w:p>
    <w:p w14:paraId="00ACCBAE" w14:textId="0F3B0660" w:rsidR="00B6793D" w:rsidRPr="00650EC2" w:rsidRDefault="00B6793D" w:rsidP="0073293E">
      <w:pPr>
        <w:pStyle w:val="Heading1"/>
        <w:pageBreakBefore/>
        <w:rPr>
          <w:rFonts w:cs="Times New Roman"/>
        </w:rPr>
      </w:pPr>
      <w:bookmarkStart w:id="41" w:name="_Toc108097490"/>
      <w:r w:rsidRPr="00650EC2">
        <w:rPr>
          <w:rFonts w:cs="Times New Roman"/>
        </w:rPr>
        <w:lastRenderedPageBreak/>
        <w:t>Appendices</w:t>
      </w:r>
      <w:bookmarkEnd w:id="41"/>
    </w:p>
    <w:p w14:paraId="03DC829C" w14:textId="44BF79B4" w:rsidR="000E654B" w:rsidRPr="00650EC2" w:rsidRDefault="000E654B" w:rsidP="00B6793D">
      <w:pPr>
        <w:pStyle w:val="Heading2"/>
        <w:rPr>
          <w:rFonts w:cs="Times New Roman"/>
        </w:rPr>
      </w:pPr>
      <w:bookmarkStart w:id="42" w:name="_Appendix_1:_HeadtoHelp_1"/>
      <w:bookmarkStart w:id="43" w:name="_Toc108097491"/>
      <w:bookmarkEnd w:id="42"/>
      <w:r w:rsidRPr="00650EC2">
        <w:rPr>
          <w:rFonts w:cs="Times New Roman"/>
        </w:rPr>
        <w:t xml:space="preserve">Appendix 1: </w:t>
      </w:r>
      <w:proofErr w:type="spellStart"/>
      <w:r w:rsidRPr="00650EC2">
        <w:rPr>
          <w:rFonts w:cs="Times New Roman"/>
        </w:rPr>
        <w:t>HeadtoHelp</w:t>
      </w:r>
      <w:proofErr w:type="spellEnd"/>
      <w:r w:rsidRPr="00650EC2">
        <w:rPr>
          <w:rFonts w:cs="Times New Roman"/>
        </w:rPr>
        <w:t xml:space="preserve"> and Head to Health Pop-Up </w:t>
      </w:r>
      <w:r w:rsidR="00EE6A2F" w:rsidRPr="00650EC2">
        <w:rPr>
          <w:rFonts w:cs="Times New Roman"/>
        </w:rPr>
        <w:t xml:space="preserve">Services – Lessons </w:t>
      </w:r>
      <w:r w:rsidR="00B6793D" w:rsidRPr="00650EC2">
        <w:rPr>
          <w:rFonts w:cs="Times New Roman"/>
        </w:rPr>
        <w:t>learnt</w:t>
      </w:r>
      <w:bookmarkEnd w:id="43"/>
    </w:p>
    <w:p w14:paraId="3FF786C4" w14:textId="16DBA884" w:rsidR="000B18CC" w:rsidRPr="00650EC2" w:rsidRDefault="000B18CC" w:rsidP="004700AA">
      <w:pPr>
        <w:pStyle w:val="Heading3"/>
        <w:rPr>
          <w:rFonts w:cs="Times New Roman"/>
        </w:rPr>
      </w:pPr>
      <w:bookmarkStart w:id="44" w:name="_Toc108097492"/>
      <w:proofErr w:type="spellStart"/>
      <w:r w:rsidRPr="00650EC2">
        <w:rPr>
          <w:rFonts w:cs="Times New Roman"/>
        </w:rPr>
        <w:t>HeadtoHelp</w:t>
      </w:r>
      <w:proofErr w:type="spellEnd"/>
      <w:r w:rsidRPr="00650EC2">
        <w:rPr>
          <w:rFonts w:cs="Times New Roman"/>
        </w:rPr>
        <w:t xml:space="preserve"> (VIC)</w:t>
      </w:r>
      <w:bookmarkEnd w:id="40"/>
      <w:bookmarkEnd w:id="44"/>
    </w:p>
    <w:p w14:paraId="6596A9B2" w14:textId="09E33039" w:rsidR="00026BCB" w:rsidRPr="00E902E0" w:rsidRDefault="000B18CC" w:rsidP="00E902E0">
      <w:proofErr w:type="spellStart"/>
      <w:r w:rsidRPr="00650EC2">
        <w:rPr>
          <w:i/>
          <w:iCs/>
        </w:rPr>
        <w:t>HeadtoHelp</w:t>
      </w:r>
      <w:proofErr w:type="spellEnd"/>
      <w:r w:rsidRPr="00E902E0">
        <w:t xml:space="preserve"> was designed as a rapid response to the rising mental health challenge occurring in Victoria </w:t>
      </w:r>
      <w:proofErr w:type="gramStart"/>
      <w:r w:rsidRPr="00E902E0">
        <w:t>as a result of</w:t>
      </w:r>
      <w:proofErr w:type="gramEnd"/>
      <w:r w:rsidRPr="00E902E0">
        <w:t xml:space="preserve"> COVID 19</w:t>
      </w:r>
      <w:r w:rsidR="00026BCB" w:rsidRPr="00E902E0">
        <w:t>,</w:t>
      </w:r>
      <w:r w:rsidRPr="00E902E0">
        <w:t xml:space="preserve"> with the dual aim of improved service navigation and additional system capacity. As part of the </w:t>
      </w:r>
      <w:proofErr w:type="spellStart"/>
      <w:r w:rsidRPr="00650EC2">
        <w:rPr>
          <w:i/>
          <w:iCs/>
        </w:rPr>
        <w:t>HeadtoHelp</w:t>
      </w:r>
      <w:proofErr w:type="spellEnd"/>
      <w:r w:rsidRPr="00E902E0">
        <w:t xml:space="preserve"> program</w:t>
      </w:r>
      <w:r w:rsidR="00026BCB" w:rsidRPr="00E902E0">
        <w:t>,</w:t>
      </w:r>
      <w:r w:rsidRPr="00E902E0">
        <w:t xml:space="preserve"> PHNs in Victoria operate a state-wide intake phone service across three hubs. The phone service has been operational since September 2020 and has received over </w:t>
      </w:r>
      <w:r w:rsidR="00026BCB" w:rsidRPr="00E902E0">
        <w:t>22</w:t>
      </w:r>
      <w:r w:rsidRPr="00E902E0">
        <w:t>,</w:t>
      </w:r>
      <w:r w:rsidR="00026BCB" w:rsidRPr="00E902E0">
        <w:t>8</w:t>
      </w:r>
      <w:r w:rsidRPr="00E902E0">
        <w:t>00 contacts</w:t>
      </w:r>
      <w:r w:rsidR="00BE6E34" w:rsidRPr="00E902E0">
        <w:t xml:space="preserve"> (as </w:t>
      </w:r>
      <w:proofErr w:type="gramStart"/>
      <w:r w:rsidR="00BE6E34" w:rsidRPr="00E902E0">
        <w:t>at</w:t>
      </w:r>
      <w:proofErr w:type="gramEnd"/>
      <w:r w:rsidR="00BE6E34" w:rsidRPr="00E902E0">
        <w:t xml:space="preserve"> </w:t>
      </w:r>
      <w:r w:rsidR="00026BCB" w:rsidRPr="00E902E0">
        <w:t>24 April</w:t>
      </w:r>
      <w:r w:rsidR="00BE6E34" w:rsidRPr="00E902E0">
        <w:t xml:space="preserve"> 2022)</w:t>
      </w:r>
      <w:r w:rsidRPr="00E902E0">
        <w:t>.</w:t>
      </w:r>
    </w:p>
    <w:p w14:paraId="15F9DCC8" w14:textId="1408BCF4" w:rsidR="000B18CC" w:rsidRPr="00E902E0" w:rsidRDefault="000B18CC" w:rsidP="00E902E0">
      <w:r w:rsidRPr="00E902E0">
        <w:t xml:space="preserve">The Department of Health commissioned Nous to undertake an evaluation of </w:t>
      </w:r>
      <w:proofErr w:type="spellStart"/>
      <w:r w:rsidRPr="00650EC2">
        <w:rPr>
          <w:i/>
          <w:iCs/>
        </w:rPr>
        <w:t>HeadtoHelp</w:t>
      </w:r>
      <w:proofErr w:type="spellEnd"/>
      <w:r w:rsidRPr="00E902E0">
        <w:t xml:space="preserve"> which commenced in January 2021 and conclude</w:t>
      </w:r>
      <w:r w:rsidR="00026BCB" w:rsidRPr="00E902E0">
        <w:t>d</w:t>
      </w:r>
      <w:r w:rsidRPr="00E902E0">
        <w:t xml:space="preserve"> in March 2022. </w:t>
      </w:r>
      <w:r w:rsidR="00E315AE" w:rsidRPr="00E902E0">
        <w:t>F</w:t>
      </w:r>
      <w:r w:rsidRPr="00E902E0">
        <w:t>indings from the evaluation that relate to the phone service component include:</w:t>
      </w:r>
    </w:p>
    <w:p w14:paraId="5B879802" w14:textId="59258A3E" w:rsidR="004700AA" w:rsidRPr="00650EC2" w:rsidRDefault="00E315AE" w:rsidP="004700AA">
      <w:pPr>
        <w:pStyle w:val="ListBullet"/>
        <w:rPr>
          <w:rFonts w:asciiTheme="majorHAnsi" w:hAnsiTheme="majorHAnsi" w:cs="Poppins Light"/>
        </w:rPr>
      </w:pPr>
      <w:bookmarkStart w:id="45" w:name="_Hlk104367525"/>
      <w:r w:rsidRPr="00650EC2">
        <w:rPr>
          <w:rFonts w:asciiTheme="majorHAnsi" w:hAnsiTheme="majorHAnsi" w:cs="Poppins Light"/>
        </w:rPr>
        <w:t>A</w:t>
      </w:r>
      <w:r w:rsidR="00DF28E9" w:rsidRPr="00650EC2">
        <w:rPr>
          <w:rFonts w:asciiTheme="majorHAnsi" w:hAnsiTheme="majorHAnsi" w:cs="Poppins Light"/>
        </w:rPr>
        <w:t>n</w:t>
      </w:r>
      <w:r w:rsidRPr="00650EC2">
        <w:rPr>
          <w:rFonts w:asciiTheme="majorHAnsi" w:hAnsiTheme="majorHAnsi" w:cs="Poppins Light"/>
        </w:rPr>
        <w:t xml:space="preserve"> e</w:t>
      </w:r>
      <w:r w:rsidR="000B18CC" w:rsidRPr="00650EC2">
        <w:rPr>
          <w:rFonts w:asciiTheme="majorHAnsi" w:hAnsiTheme="majorHAnsi" w:cs="Poppins Light"/>
        </w:rPr>
        <w:t>ffective Commonwealth/State governance mechanism</w:t>
      </w:r>
      <w:r w:rsidRPr="00650EC2">
        <w:rPr>
          <w:rFonts w:asciiTheme="majorHAnsi" w:hAnsiTheme="majorHAnsi" w:cs="Poppins Light"/>
        </w:rPr>
        <w:t>,</w:t>
      </w:r>
      <w:r w:rsidR="000B18CC" w:rsidRPr="00650EC2">
        <w:rPr>
          <w:rFonts w:asciiTheme="majorHAnsi" w:hAnsiTheme="majorHAnsi" w:cs="Poppins Light"/>
        </w:rPr>
        <w:t xml:space="preserve"> and deep PHN collaboration</w:t>
      </w:r>
      <w:r w:rsidRPr="00650EC2">
        <w:rPr>
          <w:rFonts w:asciiTheme="majorHAnsi" w:hAnsiTheme="majorHAnsi" w:cs="Poppins Light"/>
        </w:rPr>
        <w:t xml:space="preserve">, </w:t>
      </w:r>
      <w:r w:rsidR="00DF28E9" w:rsidRPr="00650EC2">
        <w:rPr>
          <w:rFonts w:asciiTheme="majorHAnsi" w:hAnsiTheme="majorHAnsi" w:cs="Poppins Light"/>
        </w:rPr>
        <w:t>are</w:t>
      </w:r>
      <w:r w:rsidRPr="00650EC2">
        <w:rPr>
          <w:rFonts w:asciiTheme="majorHAnsi" w:hAnsiTheme="majorHAnsi" w:cs="Poppins Light"/>
        </w:rPr>
        <w:t xml:space="preserve"> critical components for establishment </w:t>
      </w:r>
      <w:r w:rsidR="00DF28E9" w:rsidRPr="00650EC2">
        <w:rPr>
          <w:rFonts w:asciiTheme="majorHAnsi" w:hAnsiTheme="majorHAnsi" w:cs="Poppins Light"/>
        </w:rPr>
        <w:t>success</w:t>
      </w:r>
      <w:bookmarkEnd w:id="45"/>
    </w:p>
    <w:p w14:paraId="2F53FF1D" w14:textId="10355E91" w:rsidR="004700AA" w:rsidRPr="00650EC2" w:rsidRDefault="000B18CC" w:rsidP="004700AA">
      <w:pPr>
        <w:pStyle w:val="ListBullet"/>
        <w:rPr>
          <w:rFonts w:asciiTheme="majorHAnsi" w:hAnsiTheme="majorHAnsi" w:cs="Poppins Light"/>
        </w:rPr>
      </w:pPr>
      <w:proofErr w:type="spellStart"/>
      <w:r w:rsidRPr="00407C9E">
        <w:rPr>
          <w:rStyle w:val="Emphasis"/>
        </w:rPr>
        <w:t>HeadtoHelp</w:t>
      </w:r>
      <w:proofErr w:type="spellEnd"/>
      <w:r w:rsidRPr="00407C9E">
        <w:rPr>
          <w:rStyle w:val="Emphasis"/>
        </w:rPr>
        <w:t xml:space="preserve"> </w:t>
      </w:r>
      <w:r w:rsidRPr="00650EC2">
        <w:rPr>
          <w:rFonts w:asciiTheme="majorHAnsi" w:hAnsiTheme="majorHAnsi" w:cs="Poppins Light"/>
        </w:rPr>
        <w:t xml:space="preserve">appears to be appropriately designed to respond to long-standing issues of service navigation and service provision for the ‘missing middle’ </w:t>
      </w:r>
    </w:p>
    <w:p w14:paraId="5DBB5E46" w14:textId="6A79A5AF" w:rsidR="004700AA" w:rsidRPr="00650EC2" w:rsidRDefault="000B18CC" w:rsidP="004700AA">
      <w:pPr>
        <w:pStyle w:val="ListBullet"/>
        <w:rPr>
          <w:rFonts w:asciiTheme="majorHAnsi" w:hAnsiTheme="majorHAnsi" w:cs="Poppins Light"/>
        </w:rPr>
      </w:pPr>
      <w:proofErr w:type="spellStart"/>
      <w:r w:rsidRPr="00407C9E">
        <w:rPr>
          <w:rStyle w:val="Emphasis"/>
        </w:rPr>
        <w:t>HeadtoHelp</w:t>
      </w:r>
      <w:proofErr w:type="spellEnd"/>
      <w:r w:rsidRPr="00407C9E">
        <w:rPr>
          <w:rStyle w:val="Emphasis"/>
        </w:rPr>
        <w:t xml:space="preserve"> </w:t>
      </w:r>
      <w:r w:rsidRPr="00650EC2">
        <w:rPr>
          <w:rFonts w:asciiTheme="majorHAnsi" w:hAnsiTheme="majorHAnsi" w:cs="Poppins Light"/>
        </w:rPr>
        <w:t>was the first large scale roll-out of the IAR tool</w:t>
      </w:r>
      <w:r w:rsidR="00E315AE" w:rsidRPr="00650EC2">
        <w:rPr>
          <w:rFonts w:asciiTheme="majorHAnsi" w:hAnsiTheme="majorHAnsi" w:cs="Poppins Light"/>
        </w:rPr>
        <w:t>, and feedback was largely positive across all stakeholder groups</w:t>
      </w:r>
    </w:p>
    <w:p w14:paraId="001C1A21" w14:textId="66DF0D97" w:rsidR="000B18CC" w:rsidRPr="00650EC2" w:rsidRDefault="000B18CC" w:rsidP="004700AA">
      <w:pPr>
        <w:pStyle w:val="ListBullet"/>
        <w:rPr>
          <w:rFonts w:asciiTheme="majorHAnsi" w:hAnsiTheme="majorHAnsi" w:cs="Poppins Light"/>
        </w:rPr>
      </w:pPr>
      <w:r w:rsidRPr="00650EC2">
        <w:rPr>
          <w:rFonts w:asciiTheme="majorHAnsi" w:hAnsiTheme="majorHAnsi" w:cs="Poppins Light"/>
        </w:rPr>
        <w:t xml:space="preserve">The level of integration between </w:t>
      </w:r>
      <w:proofErr w:type="spellStart"/>
      <w:r w:rsidRPr="00407C9E">
        <w:rPr>
          <w:rStyle w:val="Emphasis"/>
        </w:rPr>
        <w:t>HeadtoHelp</w:t>
      </w:r>
      <w:proofErr w:type="spellEnd"/>
      <w:r w:rsidRPr="00407C9E">
        <w:rPr>
          <w:rStyle w:val="Emphasis"/>
        </w:rPr>
        <w:t xml:space="preserve"> </w:t>
      </w:r>
      <w:r w:rsidRPr="00650EC2">
        <w:rPr>
          <w:rFonts w:asciiTheme="majorHAnsi" w:hAnsiTheme="majorHAnsi" w:cs="Poppins Light"/>
        </w:rPr>
        <w:t>and local services appears variable between locations and is likely to be critical to its success</w:t>
      </w:r>
    </w:p>
    <w:p w14:paraId="51232001" w14:textId="16193A4B" w:rsidR="000B18CC" w:rsidRPr="00650EC2" w:rsidRDefault="000B18CC" w:rsidP="004700AA">
      <w:pPr>
        <w:pStyle w:val="ListBullet"/>
        <w:rPr>
          <w:rFonts w:asciiTheme="majorHAnsi" w:hAnsiTheme="majorHAnsi" w:cs="Poppins Light"/>
        </w:rPr>
      </w:pPr>
      <w:r w:rsidRPr="00650EC2">
        <w:rPr>
          <w:rFonts w:asciiTheme="majorHAnsi" w:hAnsiTheme="majorHAnsi" w:cs="Poppins Light"/>
        </w:rPr>
        <w:t>Multiple entry pathways (</w:t>
      </w:r>
      <w:proofErr w:type="spellStart"/>
      <w:r w:rsidRPr="00650EC2">
        <w:rPr>
          <w:rFonts w:asciiTheme="majorHAnsi" w:hAnsiTheme="majorHAnsi" w:cs="Poppins Light"/>
        </w:rPr>
        <w:t>eg.</w:t>
      </w:r>
      <w:proofErr w:type="spellEnd"/>
      <w:r w:rsidRPr="00650EC2">
        <w:rPr>
          <w:rFonts w:asciiTheme="majorHAnsi" w:hAnsiTheme="majorHAnsi" w:cs="Poppins Light"/>
        </w:rPr>
        <w:t xml:space="preserve"> phone call, walk-in) into the service allows participants to access the service in a way that meets their preferences. Importantly, </w:t>
      </w:r>
      <w:proofErr w:type="spellStart"/>
      <w:r w:rsidRPr="00407C9E">
        <w:rPr>
          <w:rStyle w:val="Emphasis"/>
        </w:rPr>
        <w:t>HeadtoHelp</w:t>
      </w:r>
      <w:proofErr w:type="spellEnd"/>
      <w:r w:rsidRPr="00650EC2">
        <w:rPr>
          <w:rFonts w:asciiTheme="majorHAnsi" w:hAnsiTheme="majorHAnsi" w:cs="Poppins Light"/>
        </w:rPr>
        <w:t xml:space="preserve"> does not require participants to first consult with a GP to develop a mental health plan, which participants have previously reported to the Royal Commission can be a barrier to seeking help</w:t>
      </w:r>
      <w:r w:rsidR="00F81746" w:rsidRPr="00650EC2">
        <w:rPr>
          <w:rStyle w:val="FootnoteReference"/>
          <w:rFonts w:asciiTheme="majorHAnsi" w:hAnsiTheme="majorHAnsi" w:cs="Poppins Light"/>
        </w:rPr>
        <w:footnoteReference w:id="8"/>
      </w:r>
    </w:p>
    <w:p w14:paraId="4B8FB329" w14:textId="60DDF9F4" w:rsidR="000B18CC" w:rsidRPr="00650EC2" w:rsidRDefault="000B18CC" w:rsidP="004700AA">
      <w:pPr>
        <w:pStyle w:val="ListBullet"/>
        <w:rPr>
          <w:rFonts w:asciiTheme="majorHAnsi" w:hAnsiTheme="majorHAnsi" w:cs="Poppins Light"/>
        </w:rPr>
      </w:pPr>
      <w:r w:rsidRPr="00650EC2">
        <w:rPr>
          <w:rFonts w:asciiTheme="majorHAnsi" w:hAnsiTheme="majorHAnsi" w:cs="Poppins Light"/>
        </w:rPr>
        <w:t xml:space="preserve">There is a need for a consistent approach to intake to support the </w:t>
      </w:r>
      <w:r w:rsidR="0026508E" w:rsidRPr="00650EC2">
        <w:rPr>
          <w:rFonts w:asciiTheme="majorHAnsi" w:hAnsiTheme="majorHAnsi" w:cs="Poppins Light"/>
        </w:rPr>
        <w:t>simple, accessible</w:t>
      </w:r>
      <w:r w:rsidRPr="00650EC2">
        <w:rPr>
          <w:rFonts w:asciiTheme="majorHAnsi" w:hAnsiTheme="majorHAnsi" w:cs="Poppins Light"/>
        </w:rPr>
        <w:t xml:space="preserve"> ‘front door’ into the mental health service system, and </w:t>
      </w:r>
      <w:proofErr w:type="spellStart"/>
      <w:r w:rsidRPr="00407C9E">
        <w:rPr>
          <w:rStyle w:val="Emphasis"/>
        </w:rPr>
        <w:t>HeadtoHelp</w:t>
      </w:r>
      <w:proofErr w:type="spellEnd"/>
      <w:r w:rsidRPr="00407C9E">
        <w:rPr>
          <w:rStyle w:val="Emphasis"/>
        </w:rPr>
        <w:t xml:space="preserve"> </w:t>
      </w:r>
      <w:r w:rsidRPr="00650EC2">
        <w:rPr>
          <w:rFonts w:asciiTheme="majorHAnsi" w:hAnsiTheme="majorHAnsi" w:cs="Poppins Light"/>
        </w:rPr>
        <w:t>should maintain a centralised intake approach</w:t>
      </w:r>
      <w:r w:rsidR="00DF28E9" w:rsidRPr="00650EC2">
        <w:rPr>
          <w:rFonts w:asciiTheme="majorHAnsi" w:hAnsiTheme="majorHAnsi" w:cs="Poppins Light"/>
        </w:rPr>
        <w:t xml:space="preserve"> at the PHN level</w:t>
      </w:r>
    </w:p>
    <w:p w14:paraId="62D90A3A" w14:textId="1DB79502" w:rsidR="000B18CC" w:rsidRPr="00650EC2" w:rsidRDefault="000B18CC" w:rsidP="004700AA">
      <w:pPr>
        <w:pStyle w:val="ListBullet"/>
        <w:rPr>
          <w:rFonts w:asciiTheme="majorHAnsi" w:hAnsiTheme="majorHAnsi" w:cs="Poppins Light"/>
        </w:rPr>
      </w:pPr>
      <w:r w:rsidRPr="00650EC2">
        <w:rPr>
          <w:rFonts w:asciiTheme="majorHAnsi" w:hAnsiTheme="majorHAnsi" w:cs="Poppins Light"/>
        </w:rPr>
        <w:t>Investing in recruiting the right clinicians, with the right qualifications for the intake service, and providing consistent training</w:t>
      </w:r>
      <w:r w:rsidR="00DF28E9" w:rsidRPr="00650EC2">
        <w:rPr>
          <w:rFonts w:asciiTheme="majorHAnsi" w:hAnsiTheme="majorHAnsi" w:cs="Poppins Light"/>
        </w:rPr>
        <w:t>,</w:t>
      </w:r>
      <w:r w:rsidRPr="00650EC2">
        <w:rPr>
          <w:rFonts w:asciiTheme="majorHAnsi" w:hAnsiTheme="majorHAnsi" w:cs="Poppins Light"/>
        </w:rPr>
        <w:t xml:space="preserve"> will support participants having positive experiences at intake.</w:t>
      </w:r>
    </w:p>
    <w:p w14:paraId="773AAAEC" w14:textId="049DBAAD" w:rsidR="000B18CC" w:rsidRPr="00E902E0" w:rsidRDefault="000B18CC" w:rsidP="004700AA">
      <w:r w:rsidRPr="00E902E0">
        <w:t xml:space="preserve">*These findings were provided in the </w:t>
      </w:r>
      <w:r w:rsidRPr="00407C9E">
        <w:rPr>
          <w:rStyle w:val="Emphasis"/>
        </w:rPr>
        <w:t xml:space="preserve">Evaluation of </w:t>
      </w:r>
      <w:proofErr w:type="spellStart"/>
      <w:r w:rsidRPr="00407C9E">
        <w:rPr>
          <w:rStyle w:val="Emphasis"/>
        </w:rPr>
        <w:t>HeadtoHelp</w:t>
      </w:r>
      <w:proofErr w:type="spellEnd"/>
      <w:r w:rsidRPr="00407C9E">
        <w:rPr>
          <w:rStyle w:val="Emphasis"/>
        </w:rPr>
        <w:t xml:space="preserve"> and AMHC Early Findings Report </w:t>
      </w:r>
      <w:r w:rsidRPr="00E902E0">
        <w:t xml:space="preserve">(May 2021) and the </w:t>
      </w:r>
      <w:r w:rsidRPr="00407C9E">
        <w:rPr>
          <w:rStyle w:val="Emphasis"/>
        </w:rPr>
        <w:t xml:space="preserve">Independent Evaluation of </w:t>
      </w:r>
      <w:proofErr w:type="spellStart"/>
      <w:r w:rsidRPr="00407C9E">
        <w:rPr>
          <w:rStyle w:val="Emphasis"/>
        </w:rPr>
        <w:t>HeadtoHelp</w:t>
      </w:r>
      <w:proofErr w:type="spellEnd"/>
      <w:r w:rsidRPr="00407C9E">
        <w:rPr>
          <w:rStyle w:val="Emphasis"/>
        </w:rPr>
        <w:t xml:space="preserve"> and AMHCs: </w:t>
      </w:r>
      <w:r w:rsidR="00DF28E9" w:rsidRPr="00407C9E">
        <w:rPr>
          <w:rStyle w:val="Emphasis"/>
        </w:rPr>
        <w:t xml:space="preserve">Final Evaluation </w:t>
      </w:r>
      <w:r w:rsidRPr="00407C9E">
        <w:rPr>
          <w:rStyle w:val="Emphasis"/>
        </w:rPr>
        <w:t>Report</w:t>
      </w:r>
      <w:r w:rsidRPr="00E902E0">
        <w:t xml:space="preserve"> (</w:t>
      </w:r>
      <w:r w:rsidR="00DF28E9" w:rsidRPr="00E902E0">
        <w:t>1 March 2022</w:t>
      </w:r>
      <w:r w:rsidRPr="00E902E0">
        <w:t xml:space="preserve">) produced by Nous. </w:t>
      </w:r>
    </w:p>
    <w:p w14:paraId="68031B52" w14:textId="57BC983A" w:rsidR="000B18CC" w:rsidRPr="00650EC2" w:rsidRDefault="000B18CC" w:rsidP="004700AA">
      <w:pPr>
        <w:pStyle w:val="Heading3"/>
        <w:rPr>
          <w:rFonts w:cs="Times New Roman"/>
        </w:rPr>
      </w:pPr>
      <w:bookmarkStart w:id="46" w:name="_Toc88641318"/>
      <w:bookmarkStart w:id="47" w:name="_Toc108097493"/>
      <w:r w:rsidRPr="00650EC2">
        <w:rPr>
          <w:rFonts w:cs="Times New Roman"/>
        </w:rPr>
        <w:t xml:space="preserve">Head to Health Pop Up </w:t>
      </w:r>
      <w:r w:rsidR="000E654B" w:rsidRPr="00650EC2">
        <w:rPr>
          <w:rFonts w:cs="Times New Roman"/>
        </w:rPr>
        <w:t>S</w:t>
      </w:r>
      <w:r w:rsidRPr="00650EC2">
        <w:rPr>
          <w:rFonts w:cs="Times New Roman"/>
        </w:rPr>
        <w:t>ervices (NSW &amp; ACT)</w:t>
      </w:r>
      <w:bookmarkEnd w:id="46"/>
      <w:bookmarkEnd w:id="47"/>
    </w:p>
    <w:p w14:paraId="5A3C0270" w14:textId="7EF62863" w:rsidR="000B18CC" w:rsidRPr="00E902E0" w:rsidRDefault="000B18CC" w:rsidP="00E902E0">
      <w:r w:rsidRPr="00E902E0">
        <w:t xml:space="preserve">The </w:t>
      </w:r>
      <w:proofErr w:type="spellStart"/>
      <w:r w:rsidRPr="00650EC2">
        <w:rPr>
          <w:i/>
          <w:iCs/>
        </w:rPr>
        <w:t>HeadtoHelp</w:t>
      </w:r>
      <w:proofErr w:type="spellEnd"/>
      <w:r w:rsidRPr="00E902E0">
        <w:t xml:space="preserve"> model has been replicated in NSW and ACT to support intake and assessment for the</w:t>
      </w:r>
      <w:r w:rsidR="009F729C" w:rsidRPr="00E902E0">
        <w:t xml:space="preserve"> </w:t>
      </w:r>
      <w:r w:rsidRPr="00E902E0">
        <w:t xml:space="preserve">COVID-19 </w:t>
      </w:r>
      <w:r w:rsidR="007050C1" w:rsidRPr="00E902E0">
        <w:t xml:space="preserve">Head to Health </w:t>
      </w:r>
      <w:r w:rsidRPr="00E902E0">
        <w:t>Pop Up Clinics</w:t>
      </w:r>
      <w:r w:rsidR="007050C1" w:rsidRPr="00E902E0">
        <w:t xml:space="preserve"> across both jurisdictions</w:t>
      </w:r>
      <w:r w:rsidRPr="00E902E0">
        <w:t xml:space="preserve">. The same 1800 phone number </w:t>
      </w:r>
      <w:r w:rsidR="007050C1" w:rsidRPr="00E902E0">
        <w:t xml:space="preserve">(1800 595 212) </w:t>
      </w:r>
      <w:r w:rsidRPr="00E902E0">
        <w:t>used in Victoria has been adopted in NSW and the ACT</w:t>
      </w:r>
      <w:r w:rsidR="007050C1" w:rsidRPr="00E902E0">
        <w:t>,</w:t>
      </w:r>
      <w:r w:rsidRPr="00E902E0">
        <w:t xml:space="preserve"> </w:t>
      </w:r>
      <w:r w:rsidR="007050C1" w:rsidRPr="00E902E0">
        <w:t xml:space="preserve">however </w:t>
      </w:r>
      <w:r w:rsidRPr="00E902E0">
        <w:t xml:space="preserve">the implementation approach in NSW has differed slightly. In </w:t>
      </w:r>
      <w:r w:rsidRPr="00E902E0">
        <w:lastRenderedPageBreak/>
        <w:t>NSW</w:t>
      </w:r>
      <w:r w:rsidR="007050C1" w:rsidRPr="00E902E0">
        <w:t>,</w:t>
      </w:r>
      <w:r w:rsidRPr="00E902E0">
        <w:t xml:space="preserve"> eight PHNs have contracted a lead organisation to operate the phone service on their behalf, one PHN has contracted the same lead organisation that is operating the </w:t>
      </w:r>
      <w:proofErr w:type="gramStart"/>
      <w:r w:rsidRPr="00E902E0">
        <w:t>Pop Up</w:t>
      </w:r>
      <w:proofErr w:type="gramEnd"/>
      <w:r w:rsidRPr="00E902E0">
        <w:t xml:space="preserve"> clinic to deliver the phone service</w:t>
      </w:r>
      <w:r w:rsidR="007050C1" w:rsidRPr="00E902E0">
        <w:t>,</w:t>
      </w:r>
      <w:r w:rsidRPr="00E902E0">
        <w:t xml:space="preserve"> and one PHN is operating their phone service in-house.</w:t>
      </w:r>
    </w:p>
    <w:p w14:paraId="77AF0E0C" w14:textId="153E297E" w:rsidR="008D60D8" w:rsidRPr="00650EC2" w:rsidRDefault="000B18CC" w:rsidP="00E902E0">
      <w:pPr>
        <w:rPr>
          <w:i/>
          <w:iCs/>
        </w:rPr>
        <w:sectPr w:rsidR="008D60D8" w:rsidRPr="00650EC2" w:rsidSect="005C56DE">
          <w:footerReference w:type="default" r:id="rId12"/>
          <w:headerReference w:type="first" r:id="rId13"/>
          <w:pgSz w:w="11900" w:h="16840"/>
          <w:pgMar w:top="-1843" w:right="1410" w:bottom="1418" w:left="1134" w:header="680" w:footer="454" w:gutter="0"/>
          <w:cols w:space="708"/>
          <w:titlePg/>
          <w:docGrid w:linePitch="360"/>
        </w:sectPr>
      </w:pPr>
      <w:r w:rsidRPr="00E902E0">
        <w:t xml:space="preserve">The NSW intake service has been operational since September 2021 and the ACT service commenced in mid-October </w:t>
      </w:r>
      <w:r w:rsidR="00B451DE" w:rsidRPr="00E902E0">
        <w:t>2021,</w:t>
      </w:r>
      <w:r w:rsidRPr="00E902E0">
        <w:t xml:space="preserve"> so both are in the early stages of operation and outcomes data </w:t>
      </w:r>
      <w:r w:rsidR="00C44E7D" w:rsidRPr="00E902E0">
        <w:t>is</w:t>
      </w:r>
      <w:r w:rsidRPr="00E902E0">
        <w:t xml:space="preserve"> limited.</w:t>
      </w:r>
      <w:bookmarkStart w:id="48" w:name="_Toc88641319"/>
    </w:p>
    <w:p w14:paraId="5A92E8F0" w14:textId="7EF323AB" w:rsidR="00070C38" w:rsidRPr="00650EC2" w:rsidRDefault="0006177D" w:rsidP="00C55EDB">
      <w:pPr>
        <w:pStyle w:val="Heading2"/>
        <w:rPr>
          <w:rFonts w:cs="Times New Roman"/>
        </w:rPr>
      </w:pPr>
      <w:bookmarkStart w:id="49" w:name="_Toc108097494"/>
      <w:bookmarkEnd w:id="0"/>
      <w:bookmarkEnd w:id="48"/>
      <w:r w:rsidRPr="00650EC2">
        <w:rPr>
          <w:rFonts w:cs="Times New Roman"/>
        </w:rPr>
        <w:lastRenderedPageBreak/>
        <w:t>Appendix 2: National Head to Health Service Pathway</w:t>
      </w:r>
      <w:bookmarkEnd w:id="49"/>
    </w:p>
    <w:p w14:paraId="69276868" w14:textId="7DC56A4A" w:rsidR="00070C38" w:rsidRPr="00E902E0" w:rsidRDefault="008E0079" w:rsidP="00E902E0">
      <w:r w:rsidRPr="00E902E0">
        <w:rPr>
          <w:noProof/>
        </w:rPr>
        <w:drawing>
          <wp:inline distT="0" distB="0" distL="0" distR="0" wp14:anchorId="198BA12E" wp14:editId="3CF2F5C2">
            <wp:extent cx="9279058" cy="5219700"/>
            <wp:effectExtent l="0" t="0" r="0" b="0"/>
            <wp:docPr id="1" name="Picture 1" descr="Appendix 2 is a flow chart of the Head to Health service pathway from intake to assessment, triage, referral and treatment. A person can access Head to Health services via phone, walk-in, referral from a health professional or online via headtohealth.gov.au. More information about the service pathway can be found in the Core service elements section of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endix 2 is a flow chart of the Head to Health service pathway from intake to assessment, triage, referral and treatment. A person can access Head to Health services via phone, walk-in, referral from a health professional or online via headtohealth.gov.au. More information about the service pathway can be found in the Core service elements section of this document."/>
                    <pic:cNvPicPr/>
                  </pic:nvPicPr>
                  <pic:blipFill>
                    <a:blip r:embed="rId14"/>
                    <a:stretch>
                      <a:fillRect/>
                    </a:stretch>
                  </pic:blipFill>
                  <pic:spPr>
                    <a:xfrm>
                      <a:off x="0" y="0"/>
                      <a:ext cx="9281349" cy="5220989"/>
                    </a:xfrm>
                    <a:prstGeom prst="rect">
                      <a:avLst/>
                    </a:prstGeom>
                  </pic:spPr>
                </pic:pic>
              </a:graphicData>
            </a:graphic>
          </wp:inline>
        </w:drawing>
      </w:r>
    </w:p>
    <w:sectPr w:rsidR="00070C38" w:rsidRPr="00E902E0" w:rsidSect="00E902E0">
      <w:headerReference w:type="first" r:id="rId15"/>
      <w:footerReference w:type="first" r:id="rId16"/>
      <w:pgSz w:w="16840" w:h="11900" w:orient="landscape"/>
      <w:pgMar w:top="1134" w:right="1134" w:bottom="1701" w:left="1701" w:header="680" w:footer="8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30D52" w14:textId="77777777" w:rsidR="00211F96" w:rsidRDefault="00211F96" w:rsidP="000C2616">
      <w:r>
        <w:separator/>
      </w:r>
    </w:p>
  </w:endnote>
  <w:endnote w:type="continuationSeparator" w:id="0">
    <w:p w14:paraId="0EBA150E" w14:textId="77777777" w:rsidR="00211F96" w:rsidRDefault="00211F96" w:rsidP="000C2616">
      <w:r>
        <w:continuationSeparator/>
      </w:r>
    </w:p>
  </w:endnote>
  <w:endnote w:type="continuationNotice" w:id="1">
    <w:p w14:paraId="3E68DEDB" w14:textId="77777777" w:rsidR="00211F96" w:rsidRDefault="00211F9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Poppins">
    <w:charset w:val="00"/>
    <w:family w:val="auto"/>
    <w:pitch w:val="variable"/>
    <w:sig w:usb0="00008007" w:usb1="00000000"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Light">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Poppins Light" w:hAnsi="Poppins Light" w:cs="Poppins Light"/>
      </w:rPr>
      <w:id w:val="902408577"/>
      <w:docPartObj>
        <w:docPartGallery w:val="Page Numbers (Bottom of Page)"/>
        <w:docPartUnique/>
      </w:docPartObj>
    </w:sdtPr>
    <w:sdtEndPr/>
    <w:sdtContent>
      <w:p w14:paraId="24BA4925" w14:textId="4B7E1A5D" w:rsidR="005B65B5" w:rsidRPr="00070C38" w:rsidRDefault="005B65B5" w:rsidP="00070C38">
        <w:pPr>
          <w:pStyle w:val="Footer"/>
          <w:tabs>
            <w:tab w:val="center" w:pos="4513"/>
            <w:tab w:val="right" w:pos="9026"/>
          </w:tabs>
          <w:spacing w:after="0"/>
          <w:jc w:val="right"/>
          <w:rPr>
            <w:rFonts w:ascii="Poppins Light" w:hAnsi="Poppins Light" w:cs="Poppins Light"/>
          </w:rPr>
        </w:pPr>
        <w:r w:rsidRPr="00323A40">
          <w:rPr>
            <w:rFonts w:ascii="Poppins Light" w:hAnsi="Poppins Light" w:cs="Poppins Light"/>
            <w:noProof/>
            <w:lang w:eastAsia="en-AU"/>
          </w:rPr>
          <mc:AlternateContent>
            <mc:Choice Requires="wps">
              <w:drawing>
                <wp:anchor distT="0" distB="0" distL="114300" distR="114300" simplePos="0" relativeHeight="251658243" behindDoc="1" locked="0" layoutInCell="1" allowOverlap="1" wp14:anchorId="7D151BA4" wp14:editId="16F52A79">
                  <wp:simplePos x="0" y="0"/>
                  <wp:positionH relativeFrom="page">
                    <wp:posOffset>-117695</wp:posOffset>
                  </wp:positionH>
                  <wp:positionV relativeFrom="page">
                    <wp:posOffset>10022186</wp:posOffset>
                  </wp:positionV>
                  <wp:extent cx="7677150" cy="664141"/>
                  <wp:effectExtent l="0" t="0" r="0" b="3175"/>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77150" cy="664141"/>
                          </a:xfrm>
                          <a:prstGeom prst="rect">
                            <a:avLst/>
                          </a:prstGeom>
                          <a:solidFill>
                            <a:srgbClr val="F9F5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E8EAE" id="Rectangle 7" o:spid="_x0000_s1026" alt="&quot;&quot;" style="position:absolute;margin-left:-9.25pt;margin-top:789.15pt;width:604.5pt;height:52.3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" fillcolor="#f9f5f0" stroked="f" strokeweight="1pt">
                  <w10:wrap anchorx="page" anchory="page"/>
                </v:rect>
              </w:pict>
            </mc:Fallback>
          </mc:AlternateContent>
        </w:r>
        <w:r w:rsidRPr="00323A40">
          <w:rPr>
            <w:rFonts w:ascii="Poppins Light" w:hAnsi="Poppins Light" w:cs="Poppins Light"/>
            <w:noProof/>
            <w:lang w:eastAsia="en-AU"/>
          </w:rPr>
          <w:drawing>
            <wp:anchor distT="0" distB="0" distL="114300" distR="114300" simplePos="0" relativeHeight="251658244" behindDoc="1" locked="0" layoutInCell="1" allowOverlap="1" wp14:anchorId="01875681" wp14:editId="44C328CA">
              <wp:simplePos x="0" y="0"/>
              <wp:positionH relativeFrom="column">
                <wp:posOffset>-425450</wp:posOffset>
              </wp:positionH>
              <wp:positionV relativeFrom="paragraph">
                <wp:posOffset>-9939</wp:posOffset>
              </wp:positionV>
              <wp:extent cx="350520" cy="343535"/>
              <wp:effectExtent l="0" t="0" r="0" b="0"/>
              <wp:wrapTight wrapText="bothSides">
                <wp:wrapPolygon edited="0">
                  <wp:start x="3522" y="0"/>
                  <wp:lineTo x="0" y="3593"/>
                  <wp:lineTo x="0" y="20362"/>
                  <wp:lineTo x="19957" y="20362"/>
                  <wp:lineTo x="19957" y="3593"/>
                  <wp:lineTo x="16435" y="0"/>
                  <wp:lineTo x="3522" y="0"/>
                </wp:wrapPolygon>
              </wp:wrapTight>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50520" cy="343535"/>
                      </a:xfrm>
                      <a:prstGeom prst="rect">
                        <a:avLst/>
                      </a:prstGeom>
                    </pic:spPr>
                  </pic:pic>
                </a:graphicData>
              </a:graphic>
              <wp14:sizeRelH relativeFrom="margin">
                <wp14:pctWidth>0</wp14:pctWidth>
              </wp14:sizeRelH>
              <wp14:sizeRelV relativeFrom="margin">
                <wp14:pctHeight>0</wp14:pctHeight>
              </wp14:sizeRelV>
            </wp:anchor>
          </w:drawing>
        </w:r>
        <w:r w:rsidRPr="00323A40">
          <w:rPr>
            <w:rFonts w:ascii="Poppins Light" w:hAnsi="Poppins Light" w:cs="Poppins Light"/>
          </w:rPr>
          <w:t xml:space="preserve">Page | </w:t>
        </w:r>
        <w:r w:rsidRPr="00323A40">
          <w:rPr>
            <w:rFonts w:ascii="Poppins Light" w:hAnsi="Poppins Light" w:cs="Poppins Light"/>
          </w:rPr>
          <w:fldChar w:fldCharType="begin"/>
        </w:r>
        <w:r w:rsidRPr="00323A40">
          <w:rPr>
            <w:rFonts w:ascii="Poppins Light" w:hAnsi="Poppins Light" w:cs="Poppins Light"/>
          </w:rPr>
          <w:instrText xml:space="preserve"> PAGE   \* MERGEFORMAT </w:instrText>
        </w:r>
        <w:r w:rsidRPr="00323A40">
          <w:rPr>
            <w:rFonts w:ascii="Poppins Light" w:hAnsi="Poppins Light" w:cs="Poppins Light"/>
          </w:rPr>
          <w:fldChar w:fldCharType="separate"/>
        </w:r>
        <w:r>
          <w:rPr>
            <w:rFonts w:ascii="Poppins Light" w:hAnsi="Poppins Light" w:cs="Poppins Light"/>
          </w:rPr>
          <w:t>2</w:t>
        </w:r>
        <w:r w:rsidRPr="00323A40">
          <w:rPr>
            <w:rFonts w:ascii="Poppins Light" w:hAnsi="Poppins Light" w:cs="Poppins Light"/>
            <w:noProof/>
          </w:rPr>
          <w:fldChar w:fldCharType="end"/>
        </w:r>
        <w:r w:rsidRPr="00323A40">
          <w:rPr>
            <w:rFonts w:ascii="Poppins Light" w:hAnsi="Poppins Light" w:cs="Poppins Light"/>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2B74B" w14:textId="180C31DD" w:rsidR="005B65B5" w:rsidRPr="00E902E0" w:rsidRDefault="005B65B5" w:rsidP="00E902E0">
    <w:pPr>
      <w:pStyle w:val="Footer"/>
      <w:ind w:left="0"/>
      <w:rPr>
        <w:rFonts w:ascii="Poppins Light" w:hAnsi="Poppins Light" w:cs="Poppins Light"/>
      </w:rPr>
    </w:pPr>
    <w:r w:rsidRPr="0036615D">
      <w:rPr>
        <w:noProof/>
      </w:rPr>
      <mc:AlternateContent>
        <mc:Choice Requires="wps">
          <w:drawing>
            <wp:anchor distT="0" distB="0" distL="114300" distR="114300" simplePos="0" relativeHeight="251658245" behindDoc="1" locked="0" layoutInCell="1" allowOverlap="1" wp14:anchorId="3C7BD6A4" wp14:editId="1C213444">
              <wp:simplePos x="0" y="0"/>
              <wp:positionH relativeFrom="page">
                <wp:posOffset>-18107</wp:posOffset>
              </wp:positionH>
              <wp:positionV relativeFrom="page">
                <wp:posOffset>6672403</wp:posOffset>
              </wp:positionV>
              <wp:extent cx="10715625" cy="866593"/>
              <wp:effectExtent l="0" t="0" r="9525" b="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715625" cy="866593"/>
                      </a:xfrm>
                      <a:prstGeom prst="rect">
                        <a:avLst/>
                      </a:prstGeom>
                      <a:solidFill>
                        <a:srgbClr val="F9F5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9A290" id="Rectangle 18" o:spid="_x0000_s1026" alt="&quot;&quot;" style="position:absolute;margin-left:-1.45pt;margin-top:525.4pt;width:843.75pt;height:68.2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" fillcolor="#f9f5f0" stroked="f" strokeweight="1pt">
              <w10:wrap anchorx="page" anchory="page"/>
            </v:rect>
          </w:pict>
        </mc:Fallback>
      </mc:AlternateContent>
    </w:r>
    <w:r w:rsidRPr="0036615D">
      <w:rPr>
        <w:noProof/>
      </w:rPr>
      <w:drawing>
        <wp:anchor distT="0" distB="0" distL="114300" distR="114300" simplePos="0" relativeHeight="251658246" behindDoc="1" locked="0" layoutInCell="1" allowOverlap="1" wp14:anchorId="1B728A28" wp14:editId="0ED629FB">
          <wp:simplePos x="0" y="0"/>
          <wp:positionH relativeFrom="column">
            <wp:posOffset>-543560</wp:posOffset>
          </wp:positionH>
          <wp:positionV relativeFrom="paragraph">
            <wp:posOffset>410210</wp:posOffset>
          </wp:positionV>
          <wp:extent cx="350520" cy="343535"/>
          <wp:effectExtent l="0" t="0" r="0" b="0"/>
          <wp:wrapTight wrapText="bothSides">
            <wp:wrapPolygon edited="0">
              <wp:start x="3522" y="0"/>
              <wp:lineTo x="0" y="3593"/>
              <wp:lineTo x="0" y="20362"/>
              <wp:lineTo x="19957" y="20362"/>
              <wp:lineTo x="19957" y="3593"/>
              <wp:lineTo x="16435" y="0"/>
              <wp:lineTo x="3522" y="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50520" cy="343535"/>
                  </a:xfrm>
                  <a:prstGeom prst="rect">
                    <a:avLst/>
                  </a:prstGeom>
                </pic:spPr>
              </pic:pic>
            </a:graphicData>
          </a:graphic>
          <wp14:sizeRelH relativeFrom="margin">
            <wp14:pctWidth>0</wp14:pctWidth>
          </wp14:sizeRelH>
          <wp14:sizeRelV relativeFrom="margin">
            <wp14:pctHeight>0</wp14:pctHeight>
          </wp14:sizeRelV>
        </wp:anchor>
      </w:drawing>
    </w:r>
    <w:r>
      <w:tab/>
    </w:r>
    <w:sdt>
      <w:sdtPr>
        <w:rPr>
          <w:rFonts w:ascii="Poppins Light" w:hAnsi="Poppins Light" w:cs="Poppins Light"/>
        </w:rPr>
        <w:id w:val="-222984617"/>
        <w:docPartObj>
          <w:docPartGallery w:val="Page Numbers (Bottom of Page)"/>
          <w:docPartUnique/>
        </w:docPartObj>
      </w:sdtPr>
      <w:sdtEndPr/>
      <w:sdtContent>
        <w:r w:rsidRPr="00323A40">
          <w:rPr>
            <w:rFonts w:ascii="Poppins Light" w:hAnsi="Poppins Light" w:cs="Poppins Light"/>
          </w:rPr>
          <w:t xml:space="preserve">Page | </w:t>
        </w:r>
        <w:r w:rsidRPr="00323A40">
          <w:rPr>
            <w:rFonts w:ascii="Poppins Light" w:hAnsi="Poppins Light" w:cs="Poppins Light"/>
          </w:rPr>
          <w:fldChar w:fldCharType="begin"/>
        </w:r>
        <w:r w:rsidRPr="00323A40">
          <w:rPr>
            <w:rFonts w:ascii="Poppins Light" w:hAnsi="Poppins Light" w:cs="Poppins Light"/>
          </w:rPr>
          <w:instrText xml:space="preserve"> PAGE   \* MERGEFORMAT </w:instrText>
        </w:r>
        <w:r w:rsidRPr="00323A40">
          <w:rPr>
            <w:rFonts w:ascii="Poppins Light" w:hAnsi="Poppins Light" w:cs="Poppins Light"/>
          </w:rPr>
          <w:fldChar w:fldCharType="separate"/>
        </w:r>
        <w:r>
          <w:rPr>
            <w:rFonts w:ascii="Poppins Light" w:hAnsi="Poppins Light" w:cs="Poppins Light"/>
          </w:rPr>
          <w:t>14</w:t>
        </w:r>
        <w:r w:rsidRPr="00323A40">
          <w:rPr>
            <w:rFonts w:ascii="Poppins Light" w:hAnsi="Poppins Light" w:cs="Poppins Light"/>
            <w:noProof/>
          </w:rPr>
          <w:fldChar w:fldCharType="end"/>
        </w:r>
        <w:r w:rsidRPr="00323A40">
          <w:rPr>
            <w:rFonts w:ascii="Poppins Light" w:hAnsi="Poppins Light" w:cs="Poppins Light"/>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97216" w14:textId="77777777" w:rsidR="00211F96" w:rsidRDefault="00211F96" w:rsidP="000C2616">
      <w:r>
        <w:separator/>
      </w:r>
    </w:p>
  </w:footnote>
  <w:footnote w:type="continuationSeparator" w:id="0">
    <w:p w14:paraId="2FE3D8B4" w14:textId="77777777" w:rsidR="00211F96" w:rsidRDefault="00211F96" w:rsidP="000C2616">
      <w:r>
        <w:continuationSeparator/>
      </w:r>
    </w:p>
  </w:footnote>
  <w:footnote w:type="continuationNotice" w:id="1">
    <w:p w14:paraId="57A9A5B8" w14:textId="77777777" w:rsidR="00211F96" w:rsidRDefault="00211F96">
      <w:pPr>
        <w:spacing w:before="0" w:after="0"/>
      </w:pPr>
    </w:p>
  </w:footnote>
  <w:footnote w:id="2">
    <w:p w14:paraId="33031D71" w14:textId="5696CA61" w:rsidR="00373A07" w:rsidRPr="00A33C24" w:rsidRDefault="00373A07">
      <w:pPr>
        <w:pStyle w:val="FootnoteText"/>
        <w:rPr>
          <w:rFonts w:ascii="Poppins Light" w:hAnsi="Poppins Light" w:cs="Poppins Light"/>
        </w:rPr>
      </w:pPr>
      <w:r w:rsidRPr="00A33C24">
        <w:rPr>
          <w:rStyle w:val="FootnoteReference"/>
          <w:rFonts w:ascii="Poppins Light" w:hAnsi="Poppins Light" w:cs="Poppins Light"/>
        </w:rPr>
        <w:footnoteRef/>
      </w:r>
      <w:r w:rsidRPr="00A33C24">
        <w:rPr>
          <w:rFonts w:ascii="Poppins Light" w:hAnsi="Poppins Light" w:cs="Poppins Light"/>
        </w:rPr>
        <w:t xml:space="preserve"> Productivity Commission 2020, Mental Health, Report no. 95, Canberra – Recommendation 15.</w:t>
      </w:r>
    </w:p>
  </w:footnote>
  <w:footnote w:id="3">
    <w:p w14:paraId="581E92C8" w14:textId="58CE8604" w:rsidR="00373A07" w:rsidRPr="00A33C24" w:rsidRDefault="00373A07">
      <w:pPr>
        <w:pStyle w:val="FootnoteText"/>
        <w:rPr>
          <w:rFonts w:ascii="Poppins Light" w:hAnsi="Poppins Light" w:cs="Poppins Light"/>
        </w:rPr>
      </w:pPr>
      <w:r w:rsidRPr="00A33C24">
        <w:rPr>
          <w:rStyle w:val="FootnoteReference"/>
          <w:rFonts w:ascii="Poppins Light" w:hAnsi="Poppins Light" w:cs="Poppins Light"/>
        </w:rPr>
        <w:footnoteRef/>
      </w:r>
      <w:r w:rsidRPr="00A33C24">
        <w:rPr>
          <w:rFonts w:ascii="Poppins Light" w:hAnsi="Poppins Light" w:cs="Poppins Light"/>
        </w:rPr>
        <w:t xml:space="preserve"> The </w:t>
      </w:r>
      <w:r w:rsidRPr="00A33C24">
        <w:rPr>
          <w:rFonts w:ascii="Poppins Light" w:hAnsi="Poppins Light" w:cs="Poppins Light"/>
        </w:rPr>
        <w:t xml:space="preserve">Gayaa Dhuwi (Proud Spirit) Declaration. Available from: </w:t>
      </w:r>
      <w:hyperlink r:id="rId1" w:history="1">
        <w:r w:rsidR="00A33C24" w:rsidRPr="009A540D">
          <w:rPr>
            <w:rStyle w:val="Hyperlink"/>
            <w:rFonts w:ascii="Poppins Light" w:hAnsi="Poppins Light" w:cs="Poppins Light"/>
          </w:rPr>
          <w:t>https://www.gayaadhuwi.org.au/resources/the-gayaa-dhuwi-proud-spirit-declaration/</w:t>
        </w:r>
      </w:hyperlink>
      <w:r w:rsidRPr="00A33C24">
        <w:rPr>
          <w:rFonts w:ascii="Poppins Light" w:hAnsi="Poppins Light" w:cs="Poppins Light"/>
        </w:rPr>
        <w:t>.</w:t>
      </w:r>
    </w:p>
  </w:footnote>
  <w:footnote w:id="4">
    <w:p w14:paraId="7B725945" w14:textId="51F3C820" w:rsidR="00373A07" w:rsidRPr="00A33C24" w:rsidRDefault="00373A07">
      <w:pPr>
        <w:pStyle w:val="FootnoteText"/>
        <w:rPr>
          <w:rFonts w:ascii="Poppins Light" w:hAnsi="Poppins Light" w:cs="Poppins Light"/>
        </w:rPr>
      </w:pPr>
      <w:r w:rsidRPr="00A33C24">
        <w:rPr>
          <w:rStyle w:val="FootnoteReference"/>
          <w:rFonts w:ascii="Poppins Light" w:hAnsi="Poppins Light" w:cs="Poppins Light"/>
        </w:rPr>
        <w:footnoteRef/>
      </w:r>
      <w:r w:rsidRPr="00A33C24">
        <w:rPr>
          <w:rFonts w:ascii="Poppins Light" w:hAnsi="Poppins Light" w:cs="Poppins Light"/>
        </w:rPr>
        <w:t xml:space="preserve"> Standing Council on Health (2012), Mental health statement of rights and responsibilities. Available from: </w:t>
      </w:r>
      <w:hyperlink r:id="rId2" w:history="1">
        <w:r w:rsidRPr="00A33C24">
          <w:rPr>
            <w:rStyle w:val="Hyperlink"/>
            <w:rFonts w:ascii="Poppins Light" w:hAnsi="Poppins Light" w:cs="Poppins Light"/>
          </w:rPr>
          <w:t>https://www.health.gov.au/resources/publications/mental-health-statement-of-rights-and-responsibilities-2012</w:t>
        </w:r>
      </w:hyperlink>
      <w:r w:rsidRPr="00A33C24">
        <w:rPr>
          <w:rFonts w:ascii="Poppins Light" w:hAnsi="Poppins Light" w:cs="Poppins Light"/>
        </w:rPr>
        <w:t>.</w:t>
      </w:r>
    </w:p>
  </w:footnote>
  <w:footnote w:id="5">
    <w:p w14:paraId="4DDC536E" w14:textId="4C22B7DA" w:rsidR="00F81746" w:rsidRPr="00A33C24" w:rsidRDefault="00F81746">
      <w:pPr>
        <w:pStyle w:val="FootnoteText"/>
        <w:rPr>
          <w:rFonts w:ascii="Poppins Light" w:hAnsi="Poppins Light" w:cs="Poppins Light"/>
        </w:rPr>
      </w:pPr>
      <w:r w:rsidRPr="00A33C24">
        <w:rPr>
          <w:rStyle w:val="FootnoteReference"/>
          <w:rFonts w:ascii="Poppins Light" w:hAnsi="Poppins Light" w:cs="Poppins Light"/>
        </w:rPr>
        <w:footnoteRef/>
      </w:r>
      <w:r w:rsidRPr="00A33C24">
        <w:rPr>
          <w:rFonts w:ascii="Poppins Light" w:hAnsi="Poppins Light" w:cs="Poppins Light"/>
        </w:rPr>
        <w:t xml:space="preserve"> Commonwealth Department of Health 2021, National PHN Guidance – Initial Assessment and Referral for Mental Health Care – version 1.05. Available from: </w:t>
      </w:r>
      <w:hyperlink r:id="rId3" w:history="1">
        <w:r w:rsidRPr="00A33C24">
          <w:rPr>
            <w:rStyle w:val="Hyperlink"/>
            <w:rFonts w:ascii="Poppins Light" w:hAnsi="Poppins Light" w:cs="Poppins Light"/>
          </w:rPr>
          <w:t>https://www.health.gov.au/resources/publications/primary-health-networks-phn-mental-health-care-guidance-initial-assessment-and-referral-for-mental-health-care</w:t>
        </w:r>
      </w:hyperlink>
      <w:r w:rsidRPr="00A33C24">
        <w:rPr>
          <w:rFonts w:ascii="Poppins Light" w:hAnsi="Poppins Light" w:cs="Poppins Light"/>
        </w:rPr>
        <w:t>.</w:t>
      </w:r>
    </w:p>
  </w:footnote>
  <w:footnote w:id="6">
    <w:p w14:paraId="709C5D40" w14:textId="2B12D1D5" w:rsidR="00F81746" w:rsidRPr="00A33C24" w:rsidRDefault="00F81746">
      <w:pPr>
        <w:pStyle w:val="FootnoteText"/>
        <w:rPr>
          <w:rFonts w:ascii="Poppins Light" w:hAnsi="Poppins Light" w:cs="Poppins Light"/>
        </w:rPr>
      </w:pPr>
      <w:r w:rsidRPr="00A33C24">
        <w:rPr>
          <w:rStyle w:val="FootnoteReference"/>
          <w:rFonts w:ascii="Poppins Light" w:hAnsi="Poppins Light" w:cs="Poppins Light"/>
        </w:rPr>
        <w:footnoteRef/>
      </w:r>
      <w:r w:rsidRPr="00A33C24">
        <w:rPr>
          <w:rFonts w:ascii="Poppins Light" w:hAnsi="Poppins Light" w:cs="Poppins Light"/>
        </w:rPr>
        <w:t xml:space="preserve"> Australian Commission on Safety and Quality in Health Care (2020) National Safety and Quality Digital Mental Health Standards. Sydney: ACSQHC. Available from: </w:t>
      </w:r>
      <w:hyperlink r:id="rId4" w:history="1">
        <w:r w:rsidRPr="00A33C24">
          <w:rPr>
            <w:rStyle w:val="Hyperlink"/>
            <w:rFonts w:ascii="Poppins Light" w:hAnsi="Poppins Light" w:cs="Poppins Light"/>
          </w:rPr>
          <w:t>https://www.safetyandquality.gov.au/publications-and-resources/resource-library/national-safety-and-quality-digital-mental-health-standards</w:t>
        </w:r>
      </w:hyperlink>
      <w:r w:rsidRPr="00A33C24">
        <w:rPr>
          <w:rFonts w:ascii="Poppins Light" w:hAnsi="Poppins Light" w:cs="Poppins Light"/>
        </w:rPr>
        <w:t>.</w:t>
      </w:r>
    </w:p>
  </w:footnote>
  <w:footnote w:id="7">
    <w:p w14:paraId="44D9D26A" w14:textId="5BDAFDF4" w:rsidR="00F81746" w:rsidRPr="00A33C24" w:rsidRDefault="00F81746">
      <w:pPr>
        <w:pStyle w:val="FootnoteText"/>
        <w:rPr>
          <w:rFonts w:ascii="Poppins Light" w:hAnsi="Poppins Light" w:cs="Poppins Light"/>
        </w:rPr>
      </w:pPr>
      <w:r w:rsidRPr="00A33C24">
        <w:rPr>
          <w:rStyle w:val="FootnoteReference"/>
          <w:rFonts w:ascii="Poppins Light" w:hAnsi="Poppins Light" w:cs="Poppins Light"/>
        </w:rPr>
        <w:footnoteRef/>
      </w:r>
      <w:r w:rsidRPr="00A33C24">
        <w:rPr>
          <w:rFonts w:ascii="Poppins Light" w:hAnsi="Poppins Light" w:cs="Poppins Light"/>
        </w:rPr>
        <w:t xml:space="preserve"> Data specifications for the PMHC-MDS are available from: </w:t>
      </w:r>
      <w:hyperlink r:id="rId5" w:history="1">
        <w:r w:rsidRPr="00A33C24">
          <w:rPr>
            <w:rStyle w:val="Hyperlink"/>
            <w:rFonts w:ascii="Poppins Light" w:hAnsi="Poppins Light" w:cs="Poppins Light"/>
          </w:rPr>
          <w:t>https://docs.pmhc-mds.com/</w:t>
        </w:r>
      </w:hyperlink>
    </w:p>
  </w:footnote>
  <w:footnote w:id="8">
    <w:p w14:paraId="131B3585" w14:textId="07CB9EB8" w:rsidR="00F81746" w:rsidRPr="00A33C24" w:rsidRDefault="00F81746">
      <w:pPr>
        <w:pStyle w:val="FootnoteText"/>
        <w:rPr>
          <w:rFonts w:ascii="Poppins Light" w:hAnsi="Poppins Light" w:cs="Poppins Light"/>
        </w:rPr>
      </w:pPr>
      <w:r w:rsidRPr="00A33C24">
        <w:rPr>
          <w:rStyle w:val="FootnoteReference"/>
          <w:rFonts w:ascii="Poppins Light" w:hAnsi="Poppins Light" w:cs="Poppins Light"/>
        </w:rPr>
        <w:footnoteRef/>
      </w:r>
      <w:r w:rsidRPr="00A33C24">
        <w:rPr>
          <w:rFonts w:ascii="Poppins Light" w:hAnsi="Poppins Light" w:cs="Poppins Light"/>
        </w:rPr>
        <w:t xml:space="preserve"> Anonymous. 2019 Submission – Royal Commission into Victoria’s Mental Health System. Accessed April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85ED1" w14:textId="6BA20B27" w:rsidR="00582B7C" w:rsidRDefault="00582B7C">
    <w:pPr>
      <w:pStyle w:val="Header"/>
    </w:pPr>
    <w:r>
      <w:rPr>
        <w:noProof/>
      </w:rPr>
      <w:drawing>
        <wp:inline distT="0" distB="0" distL="0" distR="0" wp14:anchorId="4292B521" wp14:editId="49B2D6E0">
          <wp:extent cx="6337109" cy="9029700"/>
          <wp:effectExtent l="0" t="0" r="6985"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Picture 173">
                    <a:extLst>
                      <a:ext uri="{C183D7F6-B498-43B3-948B-1728B52AA6E4}">
                        <adec:decorative xmlns:adec="http://schemas.microsoft.com/office/drawing/2017/decorative" val="1"/>
                      </a:ext>
                    </a:extLst>
                  </pic:cNvPr>
                  <pic:cNvPicPr/>
                </pic:nvPicPr>
                <pic:blipFill>
                  <a:blip r:embed="rId1"/>
                  <a:stretch>
                    <a:fillRect/>
                  </a:stretch>
                </pic:blipFill>
                <pic:spPr>
                  <a:xfrm>
                    <a:off x="0" y="0"/>
                    <a:ext cx="6353574" cy="905316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7F007" w14:textId="5411ACA0" w:rsidR="005B65B5" w:rsidRDefault="005B65B5" w:rsidP="000C2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80" type="#_x0000_t75" alt="Icon&#10;&#10;Description automatically generated" style="width:283.5pt;height:278.25pt;visibility:visible" o:bullet="t">
        <v:imagedata r:id="rId1" o:title="Icon&#10;&#10;Description automatically generated"/>
      </v:shape>
    </w:pict>
  </w:numPicBullet>
  <w:abstractNum w:abstractNumId="0" w15:restartNumberingAfterBreak="0">
    <w:nsid w:val="FFFFFF7C"/>
    <w:multiLevelType w:val="singleLevel"/>
    <w:tmpl w:val="C862FC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7A11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2255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0E14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D281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20D8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6678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E204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B464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5677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70E0E"/>
    <w:multiLevelType w:val="multilevel"/>
    <w:tmpl w:val="83C481B6"/>
    <w:styleLink w:val="StyleBulletedSymbolsymbol8ptCustomColorRGB47349"/>
    <w:lvl w:ilvl="0">
      <w:start w:val="1"/>
      <w:numFmt w:val="bullet"/>
      <w:lvlText w:val=""/>
      <w:lvlJc w:val="left"/>
      <w:pPr>
        <w:ind w:left="720" w:hanging="360"/>
      </w:pPr>
      <w:rPr>
        <w:rFonts w:ascii="Symbol" w:hAnsi="Symbol"/>
        <w:color w:val="2F0331"/>
        <w:sz w:val="16"/>
      </w:rPr>
    </w:lvl>
    <w:lvl w:ilvl="1">
      <w:start w:val="1"/>
      <w:numFmt w:val="bullet"/>
      <w:lvlText w:val="–"/>
      <w:lvlJc w:val="left"/>
      <w:pPr>
        <w:ind w:left="1440" w:hanging="360"/>
      </w:pPr>
      <w:rPr>
        <w:rFonts w:ascii="Arial" w:hAnsi="Arial" w:hint="default"/>
        <w:color w:val="2F0331"/>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F322D0"/>
    <w:multiLevelType w:val="hybridMultilevel"/>
    <w:tmpl w:val="83E4377A"/>
    <w:lvl w:ilvl="0" w:tplc="A9DABEE0">
      <w:start w:val="1"/>
      <w:numFmt w:val="bullet"/>
      <w:lvlText w:val=""/>
      <w:lvlJc w:val="left"/>
      <w:pPr>
        <w:ind w:left="1440" w:hanging="360"/>
      </w:pPr>
      <w:rPr>
        <w:rFonts w:ascii="Symbol" w:hAnsi="Symbol" w:hint="default"/>
        <w:color w:val="2F0331"/>
        <w:sz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0A1A3FDB"/>
    <w:multiLevelType w:val="multilevel"/>
    <w:tmpl w:val="6868B95C"/>
    <w:numStyleLink w:val="Style1"/>
  </w:abstractNum>
  <w:abstractNum w:abstractNumId="13" w15:restartNumberingAfterBreak="0">
    <w:nsid w:val="0BD80532"/>
    <w:multiLevelType w:val="hybridMultilevel"/>
    <w:tmpl w:val="E2789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D5B0EE7"/>
    <w:multiLevelType w:val="hybridMultilevel"/>
    <w:tmpl w:val="BC1C0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4674F9"/>
    <w:multiLevelType w:val="hybridMultilevel"/>
    <w:tmpl w:val="83C481B6"/>
    <w:lvl w:ilvl="0" w:tplc="36AE087E">
      <w:start w:val="1"/>
      <w:numFmt w:val="bullet"/>
      <w:lvlText w:val=""/>
      <w:lvlJc w:val="left"/>
      <w:pPr>
        <w:ind w:left="720" w:hanging="360"/>
      </w:pPr>
      <w:rPr>
        <w:rFonts w:ascii="Symbol" w:hAnsi="Symbol" w:hint="default"/>
        <w:color w:val="2F0331"/>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4F4895"/>
    <w:multiLevelType w:val="multilevel"/>
    <w:tmpl w:val="6868B95C"/>
    <w:styleLink w:val="Style1"/>
    <w:lvl w:ilvl="0">
      <w:start w:val="1"/>
      <w:numFmt w:val="bullet"/>
      <w:lvlText w:val="•"/>
      <w:lvlJc w:val="left"/>
      <w:pPr>
        <w:ind w:left="284" w:hanging="284"/>
      </w:pPr>
      <w:rPr>
        <w:rFonts w:ascii="Arial" w:hAnsi="Arial" w:hint="default"/>
        <w:b w:val="0"/>
        <w:i w:val="0"/>
        <w:caps w:val="0"/>
        <w:strike w:val="0"/>
        <w:dstrike w:val="0"/>
        <w:vanish w:val="0"/>
        <w:color w:val="auto"/>
        <w:sz w:val="24"/>
        <w:u w:val="none"/>
        <w:vertAlign w:val="baseline"/>
      </w:rPr>
    </w:lvl>
    <w:lvl w:ilvl="1">
      <w:start w:val="1"/>
      <w:numFmt w:val="bullet"/>
      <w:lvlText w:val="-"/>
      <w:lvlJc w:val="left"/>
      <w:pPr>
        <w:ind w:left="567" w:hanging="283"/>
      </w:pPr>
      <w:rPr>
        <w:rFonts w:ascii="Arial" w:hAnsi="Arial" w:hint="default"/>
        <w:b w:val="0"/>
        <w:i w:val="0"/>
      </w:rPr>
    </w:lvl>
    <w:lvl w:ilvl="2">
      <w:start w:val="1"/>
      <w:numFmt w:val="bullet"/>
      <w:lvlText w:val="&gt;"/>
      <w:lvlJc w:val="left"/>
      <w:pPr>
        <w:ind w:left="851" w:hanging="284"/>
      </w:pPr>
      <w:rPr>
        <w:rFonts w:ascii="Arial" w:hAnsi="Arial" w:hint="default"/>
        <w:b w:val="0"/>
        <w:i w:val="0"/>
        <w:color w:val="auto"/>
        <w:sz w:val="20"/>
        <w:u w:val="none"/>
      </w:rPr>
    </w:lvl>
    <w:lvl w:ilvl="3">
      <w:start w:val="1"/>
      <w:numFmt w:val="bullet"/>
      <w:lvlText w:val="-"/>
      <w:lvlJc w:val="left"/>
      <w:pPr>
        <w:ind w:left="1134" w:hanging="283"/>
      </w:pPr>
      <w:rPr>
        <w:rFonts w:ascii="Arial" w:hAnsi="Arial" w:hint="default"/>
      </w:rPr>
    </w:lvl>
    <w:lvl w:ilvl="4">
      <w:start w:val="1"/>
      <w:numFmt w:val="bullet"/>
      <w:lvlText w:val="-"/>
      <w:lvlJc w:val="left"/>
      <w:pPr>
        <w:ind w:left="1418" w:hanging="284"/>
      </w:pPr>
      <w:rPr>
        <w:rFonts w:ascii="Arial" w:hAnsi="Arial" w:hint="default"/>
        <w:b w:val="0"/>
        <w:i w:val="0"/>
        <w:color w:val="auto"/>
      </w:rPr>
    </w:lvl>
    <w:lvl w:ilvl="5">
      <w:start w:val="1"/>
      <w:numFmt w:val="bullet"/>
      <w:lvlText w:val="-"/>
      <w:lvlJc w:val="left"/>
      <w:pPr>
        <w:ind w:left="1701" w:hanging="283"/>
      </w:pPr>
      <w:rPr>
        <w:rFonts w:ascii="Arial" w:hAnsi="Arial" w:hint="default"/>
        <w:b w:val="0"/>
        <w:i w:val="0"/>
      </w:rPr>
    </w:lvl>
    <w:lvl w:ilvl="6">
      <w:start w:val="1"/>
      <w:numFmt w:val="bullet"/>
      <w:lvlText w:val="-"/>
      <w:lvlJc w:val="left"/>
      <w:pPr>
        <w:ind w:left="1985" w:hanging="284"/>
      </w:pPr>
      <w:rPr>
        <w:rFonts w:ascii="Arial" w:hAnsi="Arial" w:hint="default"/>
      </w:rPr>
    </w:lvl>
    <w:lvl w:ilvl="7">
      <w:start w:val="1"/>
      <w:numFmt w:val="bullet"/>
      <w:lvlText w:val="-"/>
      <w:lvlJc w:val="left"/>
      <w:pPr>
        <w:ind w:left="2268" w:hanging="283"/>
      </w:pPr>
      <w:rPr>
        <w:rFonts w:ascii="Arial" w:hAnsi="Arial" w:hint="default"/>
        <w:color w:val="auto"/>
      </w:rPr>
    </w:lvl>
    <w:lvl w:ilvl="8">
      <w:start w:val="1"/>
      <w:numFmt w:val="bullet"/>
      <w:lvlText w:val="-"/>
      <w:lvlJc w:val="left"/>
      <w:pPr>
        <w:ind w:left="2552" w:hanging="284"/>
      </w:pPr>
      <w:rPr>
        <w:rFonts w:ascii="Arial" w:hAnsi="Arial" w:hint="default"/>
        <w:color w:val="auto"/>
      </w:rPr>
    </w:lvl>
  </w:abstractNum>
  <w:abstractNum w:abstractNumId="17" w15:restartNumberingAfterBreak="0">
    <w:nsid w:val="1AE86670"/>
    <w:multiLevelType w:val="hybridMultilevel"/>
    <w:tmpl w:val="46D82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0124EB"/>
    <w:multiLevelType w:val="hybridMultilevel"/>
    <w:tmpl w:val="133EB60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245D450E"/>
    <w:multiLevelType w:val="hybridMultilevel"/>
    <w:tmpl w:val="F3721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29042D"/>
    <w:multiLevelType w:val="hybridMultilevel"/>
    <w:tmpl w:val="D6CA8096"/>
    <w:lvl w:ilvl="0" w:tplc="2A00C47C">
      <w:start w:val="1"/>
      <w:numFmt w:val="bullet"/>
      <w:lvlText w:val="–"/>
      <w:lvlJc w:val="left"/>
      <w:pPr>
        <w:ind w:left="1800" w:hanging="360"/>
      </w:pPr>
      <w:rPr>
        <w:rFonts w:ascii="Century Gothic" w:hAnsi="Century Gothic" w:hint="default"/>
        <w:color w:val="2F0331"/>
        <w:sz w:val="16"/>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2F382F17"/>
    <w:multiLevelType w:val="multilevel"/>
    <w:tmpl w:val="83C481B6"/>
    <w:numStyleLink w:val="StyleBulletedSymbolsymbol8ptCustomColorRGB47349"/>
  </w:abstractNum>
  <w:abstractNum w:abstractNumId="22" w15:restartNumberingAfterBreak="0">
    <w:nsid w:val="338A6293"/>
    <w:multiLevelType w:val="hybridMultilevel"/>
    <w:tmpl w:val="FA123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F45838"/>
    <w:multiLevelType w:val="hybridMultilevel"/>
    <w:tmpl w:val="53B83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A54E3A"/>
    <w:multiLevelType w:val="hybridMultilevel"/>
    <w:tmpl w:val="A59E18B2"/>
    <w:lvl w:ilvl="0" w:tplc="CC7A2316">
      <w:start w:val="1"/>
      <w:numFmt w:val="bullet"/>
      <w:lvlText w:val=""/>
      <w:lvlPicBulletId w:val="0"/>
      <w:lvlJc w:val="left"/>
      <w:pPr>
        <w:tabs>
          <w:tab w:val="num" w:pos="720"/>
        </w:tabs>
        <w:ind w:left="720" w:hanging="360"/>
      </w:pPr>
      <w:rPr>
        <w:rFonts w:ascii="Symbol" w:hAnsi="Symbol" w:hint="default"/>
      </w:rPr>
    </w:lvl>
    <w:lvl w:ilvl="1" w:tplc="4502CE08" w:tentative="1">
      <w:start w:val="1"/>
      <w:numFmt w:val="bullet"/>
      <w:lvlText w:val=""/>
      <w:lvlJc w:val="left"/>
      <w:pPr>
        <w:tabs>
          <w:tab w:val="num" w:pos="1440"/>
        </w:tabs>
        <w:ind w:left="1440" w:hanging="360"/>
      </w:pPr>
      <w:rPr>
        <w:rFonts w:ascii="Symbol" w:hAnsi="Symbol" w:hint="default"/>
      </w:rPr>
    </w:lvl>
    <w:lvl w:ilvl="2" w:tplc="8E748746" w:tentative="1">
      <w:start w:val="1"/>
      <w:numFmt w:val="bullet"/>
      <w:lvlText w:val=""/>
      <w:lvlJc w:val="left"/>
      <w:pPr>
        <w:tabs>
          <w:tab w:val="num" w:pos="2160"/>
        </w:tabs>
        <w:ind w:left="2160" w:hanging="360"/>
      </w:pPr>
      <w:rPr>
        <w:rFonts w:ascii="Symbol" w:hAnsi="Symbol" w:hint="default"/>
      </w:rPr>
    </w:lvl>
    <w:lvl w:ilvl="3" w:tplc="EBAE3A6A" w:tentative="1">
      <w:start w:val="1"/>
      <w:numFmt w:val="bullet"/>
      <w:lvlText w:val=""/>
      <w:lvlJc w:val="left"/>
      <w:pPr>
        <w:tabs>
          <w:tab w:val="num" w:pos="2880"/>
        </w:tabs>
        <w:ind w:left="2880" w:hanging="360"/>
      </w:pPr>
      <w:rPr>
        <w:rFonts w:ascii="Symbol" w:hAnsi="Symbol" w:hint="default"/>
      </w:rPr>
    </w:lvl>
    <w:lvl w:ilvl="4" w:tplc="84B0E9CC" w:tentative="1">
      <w:start w:val="1"/>
      <w:numFmt w:val="bullet"/>
      <w:lvlText w:val=""/>
      <w:lvlJc w:val="left"/>
      <w:pPr>
        <w:tabs>
          <w:tab w:val="num" w:pos="3600"/>
        </w:tabs>
        <w:ind w:left="3600" w:hanging="360"/>
      </w:pPr>
      <w:rPr>
        <w:rFonts w:ascii="Symbol" w:hAnsi="Symbol" w:hint="default"/>
      </w:rPr>
    </w:lvl>
    <w:lvl w:ilvl="5" w:tplc="F2206FEC" w:tentative="1">
      <w:start w:val="1"/>
      <w:numFmt w:val="bullet"/>
      <w:lvlText w:val=""/>
      <w:lvlJc w:val="left"/>
      <w:pPr>
        <w:tabs>
          <w:tab w:val="num" w:pos="4320"/>
        </w:tabs>
        <w:ind w:left="4320" w:hanging="360"/>
      </w:pPr>
      <w:rPr>
        <w:rFonts w:ascii="Symbol" w:hAnsi="Symbol" w:hint="default"/>
      </w:rPr>
    </w:lvl>
    <w:lvl w:ilvl="6" w:tplc="35EE493C" w:tentative="1">
      <w:start w:val="1"/>
      <w:numFmt w:val="bullet"/>
      <w:lvlText w:val=""/>
      <w:lvlJc w:val="left"/>
      <w:pPr>
        <w:tabs>
          <w:tab w:val="num" w:pos="5040"/>
        </w:tabs>
        <w:ind w:left="5040" w:hanging="360"/>
      </w:pPr>
      <w:rPr>
        <w:rFonts w:ascii="Symbol" w:hAnsi="Symbol" w:hint="default"/>
      </w:rPr>
    </w:lvl>
    <w:lvl w:ilvl="7" w:tplc="DEC6FD84" w:tentative="1">
      <w:start w:val="1"/>
      <w:numFmt w:val="bullet"/>
      <w:lvlText w:val=""/>
      <w:lvlJc w:val="left"/>
      <w:pPr>
        <w:tabs>
          <w:tab w:val="num" w:pos="5760"/>
        </w:tabs>
        <w:ind w:left="5760" w:hanging="360"/>
      </w:pPr>
      <w:rPr>
        <w:rFonts w:ascii="Symbol" w:hAnsi="Symbol" w:hint="default"/>
      </w:rPr>
    </w:lvl>
    <w:lvl w:ilvl="8" w:tplc="74903E02"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10A6228"/>
    <w:multiLevelType w:val="hybridMultilevel"/>
    <w:tmpl w:val="DAB865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8A573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CC903F6"/>
    <w:multiLevelType w:val="hybridMultilevel"/>
    <w:tmpl w:val="4EE88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A10777"/>
    <w:multiLevelType w:val="multilevel"/>
    <w:tmpl w:val="2BBC3F30"/>
    <w:lvl w:ilvl="0">
      <w:start w:val="1"/>
      <w:numFmt w:val="decimal"/>
      <w:lvlText w:val="%1."/>
      <w:lvlJc w:val="left"/>
      <w:pPr>
        <w:tabs>
          <w:tab w:val="num" w:pos="454"/>
        </w:tabs>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57755CF0"/>
    <w:multiLevelType w:val="hybridMultilevel"/>
    <w:tmpl w:val="7CC03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A4008C"/>
    <w:multiLevelType w:val="multilevel"/>
    <w:tmpl w:val="27065FB0"/>
    <w:numStyleLink w:val="1ai"/>
  </w:abstractNum>
  <w:abstractNum w:abstractNumId="31" w15:restartNumberingAfterBreak="0">
    <w:nsid w:val="5E6B6894"/>
    <w:multiLevelType w:val="hybridMultilevel"/>
    <w:tmpl w:val="2FFAE614"/>
    <w:lvl w:ilvl="0" w:tplc="B0BE1AB0">
      <w:start w:val="1"/>
      <w:numFmt w:val="bullet"/>
      <w:lvlText w:val="-"/>
      <w:lvlJc w:val="left"/>
      <w:pPr>
        <w:ind w:left="720" w:hanging="36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E453FB"/>
    <w:multiLevelType w:val="hybridMultilevel"/>
    <w:tmpl w:val="ECBA4504"/>
    <w:lvl w:ilvl="0" w:tplc="6EFA0646">
      <w:start w:val="1"/>
      <w:numFmt w:val="bullet"/>
      <w:lvlText w:val="-"/>
      <w:lvlJc w:val="left"/>
      <w:pPr>
        <w:ind w:left="720" w:hanging="36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555E95"/>
    <w:multiLevelType w:val="hybridMultilevel"/>
    <w:tmpl w:val="8CAC3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3A0203"/>
    <w:multiLevelType w:val="hybridMultilevel"/>
    <w:tmpl w:val="BD5A9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DD49EF"/>
    <w:multiLevelType w:val="multilevel"/>
    <w:tmpl w:val="27065FB0"/>
    <w:styleLink w:val="1ai"/>
    <w:lvl w:ilvl="0">
      <w:start w:val="1"/>
      <w:numFmt w:val="decimal"/>
      <w:lvlText w:val="%1."/>
      <w:lvlJc w:val="left"/>
      <w:pPr>
        <w:ind w:left="425" w:hanging="425"/>
      </w:pPr>
      <w:rPr>
        <w:rFonts w:asciiTheme="minorHAnsi" w:hAnsiTheme="minorHAnsi" w:hint="default"/>
        <w:color w:val="2F0331" w:themeColor="text1"/>
        <w:sz w:val="20"/>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B862586"/>
    <w:multiLevelType w:val="multilevel"/>
    <w:tmpl w:val="83C481B6"/>
    <w:numStyleLink w:val="StyleBulletedSymbolsymbol8ptCustomColorRGB47349"/>
  </w:abstractNum>
  <w:abstractNum w:abstractNumId="37" w15:restartNumberingAfterBreak="0">
    <w:nsid w:val="7F96018C"/>
    <w:multiLevelType w:val="hybridMultilevel"/>
    <w:tmpl w:val="97CCE6EE"/>
    <w:lvl w:ilvl="0" w:tplc="0C090001">
      <w:start w:val="1"/>
      <w:numFmt w:val="bullet"/>
      <w:lvlText w:val=""/>
      <w:lvlJc w:val="left"/>
      <w:pPr>
        <w:ind w:left="720" w:hanging="360"/>
      </w:pPr>
      <w:rPr>
        <w:rFonts w:ascii="Symbol" w:hAnsi="Symbol" w:hint="default"/>
      </w:rPr>
    </w:lvl>
    <w:lvl w:ilvl="1" w:tplc="C48CD674">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35"/>
  </w:num>
  <w:num w:numId="3">
    <w:abstractNumId w:val="16"/>
  </w:num>
  <w:num w:numId="4">
    <w:abstractNumId w:val="30"/>
  </w:num>
  <w:num w:numId="5">
    <w:abstractNumId w:val="9"/>
  </w:num>
  <w:num w:numId="6">
    <w:abstractNumId w:val="12"/>
  </w:num>
  <w:num w:numId="7">
    <w:abstractNumId w:val="28"/>
  </w:num>
  <w:num w:numId="8">
    <w:abstractNumId w:val="30"/>
  </w:num>
  <w:num w:numId="9">
    <w:abstractNumId w:val="28"/>
  </w:num>
  <w:num w:numId="10">
    <w:abstractNumId w:val="28"/>
  </w:num>
  <w:num w:numId="11">
    <w:abstractNumId w:val="28"/>
  </w:num>
  <w:num w:numId="12">
    <w:abstractNumId w:val="12"/>
  </w:num>
  <w:num w:numId="13">
    <w:abstractNumId w:val="0"/>
  </w:num>
  <w:num w:numId="14">
    <w:abstractNumId w:val="1"/>
  </w:num>
  <w:num w:numId="15">
    <w:abstractNumId w:val="2"/>
  </w:num>
  <w:num w:numId="16">
    <w:abstractNumId w:val="3"/>
  </w:num>
  <w:num w:numId="17">
    <w:abstractNumId w:val="8"/>
  </w:num>
  <w:num w:numId="18">
    <w:abstractNumId w:val="4"/>
  </w:num>
  <w:num w:numId="19">
    <w:abstractNumId w:val="5"/>
  </w:num>
  <w:num w:numId="20">
    <w:abstractNumId w:val="6"/>
  </w:num>
  <w:num w:numId="21">
    <w:abstractNumId w:val="7"/>
  </w:num>
  <w:num w:numId="22">
    <w:abstractNumId w:val="37"/>
  </w:num>
  <w:num w:numId="23">
    <w:abstractNumId w:val="15"/>
  </w:num>
  <w:num w:numId="24">
    <w:abstractNumId w:val="10"/>
  </w:num>
  <w:num w:numId="25">
    <w:abstractNumId w:val="36"/>
  </w:num>
  <w:num w:numId="26">
    <w:abstractNumId w:val="21"/>
  </w:num>
  <w:num w:numId="27">
    <w:abstractNumId w:val="11"/>
  </w:num>
  <w:num w:numId="28">
    <w:abstractNumId w:val="20"/>
  </w:num>
  <w:num w:numId="29">
    <w:abstractNumId w:val="23"/>
  </w:num>
  <w:num w:numId="30">
    <w:abstractNumId w:val="13"/>
  </w:num>
  <w:num w:numId="31">
    <w:abstractNumId w:val="29"/>
  </w:num>
  <w:num w:numId="32">
    <w:abstractNumId w:val="34"/>
  </w:num>
  <w:num w:numId="33">
    <w:abstractNumId w:val="22"/>
  </w:num>
  <w:num w:numId="34">
    <w:abstractNumId w:val="27"/>
  </w:num>
  <w:num w:numId="35">
    <w:abstractNumId w:val="33"/>
  </w:num>
  <w:num w:numId="36">
    <w:abstractNumId w:val="19"/>
  </w:num>
  <w:num w:numId="37">
    <w:abstractNumId w:val="17"/>
  </w:num>
  <w:num w:numId="38">
    <w:abstractNumId w:val="14"/>
  </w:num>
  <w:num w:numId="39">
    <w:abstractNumId w:val="25"/>
  </w:num>
  <w:num w:numId="40">
    <w:abstractNumId w:val="18"/>
  </w:num>
  <w:num w:numId="41">
    <w:abstractNumId w:val="24"/>
  </w:num>
  <w:num w:numId="42">
    <w:abstractNumId w:val="31"/>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77E"/>
    <w:rsid w:val="000049FD"/>
    <w:rsid w:val="0002121D"/>
    <w:rsid w:val="00022F35"/>
    <w:rsid w:val="00023C78"/>
    <w:rsid w:val="00023E67"/>
    <w:rsid w:val="00025DF4"/>
    <w:rsid w:val="00026BCB"/>
    <w:rsid w:val="00030F88"/>
    <w:rsid w:val="000319E8"/>
    <w:rsid w:val="000326F4"/>
    <w:rsid w:val="00032D1C"/>
    <w:rsid w:val="0003320E"/>
    <w:rsid w:val="000335E4"/>
    <w:rsid w:val="000505F9"/>
    <w:rsid w:val="0005062D"/>
    <w:rsid w:val="000543F2"/>
    <w:rsid w:val="00054891"/>
    <w:rsid w:val="00056C42"/>
    <w:rsid w:val="0006177D"/>
    <w:rsid w:val="00066D98"/>
    <w:rsid w:val="000707E4"/>
    <w:rsid w:val="00070C38"/>
    <w:rsid w:val="00071E7D"/>
    <w:rsid w:val="00081D86"/>
    <w:rsid w:val="0008252E"/>
    <w:rsid w:val="00086428"/>
    <w:rsid w:val="00090706"/>
    <w:rsid w:val="00096B1D"/>
    <w:rsid w:val="000A6635"/>
    <w:rsid w:val="000A6FE4"/>
    <w:rsid w:val="000B18CC"/>
    <w:rsid w:val="000B1C3F"/>
    <w:rsid w:val="000B3EAF"/>
    <w:rsid w:val="000B4F45"/>
    <w:rsid w:val="000C2616"/>
    <w:rsid w:val="000C42FB"/>
    <w:rsid w:val="000C53B2"/>
    <w:rsid w:val="000D7D4B"/>
    <w:rsid w:val="000E17F6"/>
    <w:rsid w:val="000E654B"/>
    <w:rsid w:val="000E6BAB"/>
    <w:rsid w:val="000E7627"/>
    <w:rsid w:val="000F21B3"/>
    <w:rsid w:val="000F6AA5"/>
    <w:rsid w:val="0010052E"/>
    <w:rsid w:val="00101F98"/>
    <w:rsid w:val="001027C2"/>
    <w:rsid w:val="0010732B"/>
    <w:rsid w:val="0011746B"/>
    <w:rsid w:val="00134164"/>
    <w:rsid w:val="0013571A"/>
    <w:rsid w:val="00143395"/>
    <w:rsid w:val="00156BFC"/>
    <w:rsid w:val="001769F7"/>
    <w:rsid w:val="00180D6B"/>
    <w:rsid w:val="00185EA2"/>
    <w:rsid w:val="001C44FE"/>
    <w:rsid w:val="001C46E8"/>
    <w:rsid w:val="001C7FB9"/>
    <w:rsid w:val="001D54FE"/>
    <w:rsid w:val="00205AEB"/>
    <w:rsid w:val="00210E5D"/>
    <w:rsid w:val="00211F96"/>
    <w:rsid w:val="002130BA"/>
    <w:rsid w:val="00213A7E"/>
    <w:rsid w:val="002159FF"/>
    <w:rsid w:val="00227656"/>
    <w:rsid w:val="00235206"/>
    <w:rsid w:val="002412C1"/>
    <w:rsid w:val="00242E3B"/>
    <w:rsid w:val="00246778"/>
    <w:rsid w:val="00251AC3"/>
    <w:rsid w:val="00262561"/>
    <w:rsid w:val="0026508E"/>
    <w:rsid w:val="00267A59"/>
    <w:rsid w:val="00273847"/>
    <w:rsid w:val="00274B8B"/>
    <w:rsid w:val="002825C9"/>
    <w:rsid w:val="00285F4B"/>
    <w:rsid w:val="0028658C"/>
    <w:rsid w:val="00291E79"/>
    <w:rsid w:val="00297592"/>
    <w:rsid w:val="002A7E70"/>
    <w:rsid w:val="002B2D22"/>
    <w:rsid w:val="002B4F0B"/>
    <w:rsid w:val="002D65F3"/>
    <w:rsid w:val="002D7B0E"/>
    <w:rsid w:val="002F043C"/>
    <w:rsid w:val="002F2EF1"/>
    <w:rsid w:val="002F3E3B"/>
    <w:rsid w:val="0030683F"/>
    <w:rsid w:val="00326620"/>
    <w:rsid w:val="00335391"/>
    <w:rsid w:val="003553C3"/>
    <w:rsid w:val="00357F79"/>
    <w:rsid w:val="00357FEA"/>
    <w:rsid w:val="003603C6"/>
    <w:rsid w:val="00363237"/>
    <w:rsid w:val="0036615D"/>
    <w:rsid w:val="0037032D"/>
    <w:rsid w:val="00370F4A"/>
    <w:rsid w:val="00373A07"/>
    <w:rsid w:val="00381B2C"/>
    <w:rsid w:val="00382A93"/>
    <w:rsid w:val="00395E8C"/>
    <w:rsid w:val="003A1782"/>
    <w:rsid w:val="003A7B9F"/>
    <w:rsid w:val="003B527E"/>
    <w:rsid w:val="003B649E"/>
    <w:rsid w:val="003C2E8A"/>
    <w:rsid w:val="003C3E2C"/>
    <w:rsid w:val="003C59FB"/>
    <w:rsid w:val="003D5A90"/>
    <w:rsid w:val="003D6EF8"/>
    <w:rsid w:val="003E0018"/>
    <w:rsid w:val="003F2ADB"/>
    <w:rsid w:val="004033D2"/>
    <w:rsid w:val="0040434D"/>
    <w:rsid w:val="00407C9E"/>
    <w:rsid w:val="00411249"/>
    <w:rsid w:val="00417645"/>
    <w:rsid w:val="0042117A"/>
    <w:rsid w:val="004231D3"/>
    <w:rsid w:val="004324AA"/>
    <w:rsid w:val="00432FA1"/>
    <w:rsid w:val="004336EF"/>
    <w:rsid w:val="004353BE"/>
    <w:rsid w:val="00435922"/>
    <w:rsid w:val="00435E54"/>
    <w:rsid w:val="00441EC2"/>
    <w:rsid w:val="004467AF"/>
    <w:rsid w:val="004662C3"/>
    <w:rsid w:val="004700AA"/>
    <w:rsid w:val="00477638"/>
    <w:rsid w:val="00490024"/>
    <w:rsid w:val="0049701A"/>
    <w:rsid w:val="00497C5F"/>
    <w:rsid w:val="004A04B5"/>
    <w:rsid w:val="004A383D"/>
    <w:rsid w:val="004B4F8F"/>
    <w:rsid w:val="004B556E"/>
    <w:rsid w:val="004C473E"/>
    <w:rsid w:val="004D5A03"/>
    <w:rsid w:val="004E2100"/>
    <w:rsid w:val="004E2702"/>
    <w:rsid w:val="004E6035"/>
    <w:rsid w:val="00500985"/>
    <w:rsid w:val="00504A19"/>
    <w:rsid w:val="0052537F"/>
    <w:rsid w:val="005257F6"/>
    <w:rsid w:val="0052763D"/>
    <w:rsid w:val="00532A95"/>
    <w:rsid w:val="005339F1"/>
    <w:rsid w:val="005342A8"/>
    <w:rsid w:val="005460F7"/>
    <w:rsid w:val="00546797"/>
    <w:rsid w:val="005469AB"/>
    <w:rsid w:val="00554E7B"/>
    <w:rsid w:val="00560D13"/>
    <w:rsid w:val="0056769B"/>
    <w:rsid w:val="005739AE"/>
    <w:rsid w:val="00582B7C"/>
    <w:rsid w:val="00584041"/>
    <w:rsid w:val="00593D27"/>
    <w:rsid w:val="00596475"/>
    <w:rsid w:val="00596FD8"/>
    <w:rsid w:val="005A12EF"/>
    <w:rsid w:val="005A220C"/>
    <w:rsid w:val="005B65B5"/>
    <w:rsid w:val="005C56DE"/>
    <w:rsid w:val="005E2478"/>
    <w:rsid w:val="005E438F"/>
    <w:rsid w:val="005E5F4A"/>
    <w:rsid w:val="005F2E88"/>
    <w:rsid w:val="00614D22"/>
    <w:rsid w:val="006358FC"/>
    <w:rsid w:val="00636C4B"/>
    <w:rsid w:val="00645E44"/>
    <w:rsid w:val="00650EC2"/>
    <w:rsid w:val="00651DF3"/>
    <w:rsid w:val="00652EA3"/>
    <w:rsid w:val="0066398A"/>
    <w:rsid w:val="006653A3"/>
    <w:rsid w:val="006703A9"/>
    <w:rsid w:val="006A0DCB"/>
    <w:rsid w:val="006A1347"/>
    <w:rsid w:val="006C297C"/>
    <w:rsid w:val="006D0000"/>
    <w:rsid w:val="006D026A"/>
    <w:rsid w:val="006E03DF"/>
    <w:rsid w:val="00704241"/>
    <w:rsid w:val="007050C1"/>
    <w:rsid w:val="00710B42"/>
    <w:rsid w:val="0073293E"/>
    <w:rsid w:val="007338B7"/>
    <w:rsid w:val="007362AC"/>
    <w:rsid w:val="00743152"/>
    <w:rsid w:val="00745CEB"/>
    <w:rsid w:val="00747A52"/>
    <w:rsid w:val="00752242"/>
    <w:rsid w:val="00763AE1"/>
    <w:rsid w:val="00764CA9"/>
    <w:rsid w:val="007668E5"/>
    <w:rsid w:val="00776519"/>
    <w:rsid w:val="00776B78"/>
    <w:rsid w:val="00784D70"/>
    <w:rsid w:val="00785ECB"/>
    <w:rsid w:val="007862D5"/>
    <w:rsid w:val="00787649"/>
    <w:rsid w:val="00787853"/>
    <w:rsid w:val="00790E18"/>
    <w:rsid w:val="00791A2C"/>
    <w:rsid w:val="00791C22"/>
    <w:rsid w:val="007963AA"/>
    <w:rsid w:val="007A0595"/>
    <w:rsid w:val="007A0B09"/>
    <w:rsid w:val="007B0BB9"/>
    <w:rsid w:val="007B6364"/>
    <w:rsid w:val="007D2EB4"/>
    <w:rsid w:val="007E1B68"/>
    <w:rsid w:val="007E5933"/>
    <w:rsid w:val="007F24CB"/>
    <w:rsid w:val="00806C87"/>
    <w:rsid w:val="008076D2"/>
    <w:rsid w:val="008142BF"/>
    <w:rsid w:val="00815263"/>
    <w:rsid w:val="008163E9"/>
    <w:rsid w:val="00820513"/>
    <w:rsid w:val="00825059"/>
    <w:rsid w:val="00826AA7"/>
    <w:rsid w:val="00830B38"/>
    <w:rsid w:val="00865B80"/>
    <w:rsid w:val="008744D0"/>
    <w:rsid w:val="00876482"/>
    <w:rsid w:val="00880765"/>
    <w:rsid w:val="00881BAA"/>
    <w:rsid w:val="00890691"/>
    <w:rsid w:val="00893CD6"/>
    <w:rsid w:val="00897EF1"/>
    <w:rsid w:val="008A0ABE"/>
    <w:rsid w:val="008A63A6"/>
    <w:rsid w:val="008C04B4"/>
    <w:rsid w:val="008C2156"/>
    <w:rsid w:val="008D00D3"/>
    <w:rsid w:val="008D033F"/>
    <w:rsid w:val="008D60D8"/>
    <w:rsid w:val="008E0079"/>
    <w:rsid w:val="008E0E3C"/>
    <w:rsid w:val="008E2D0E"/>
    <w:rsid w:val="008E3EA1"/>
    <w:rsid w:val="008E533F"/>
    <w:rsid w:val="008F1A7F"/>
    <w:rsid w:val="008F2B92"/>
    <w:rsid w:val="008F3653"/>
    <w:rsid w:val="008F4F67"/>
    <w:rsid w:val="008F6B59"/>
    <w:rsid w:val="009027E4"/>
    <w:rsid w:val="00903335"/>
    <w:rsid w:val="0090370F"/>
    <w:rsid w:val="0091183A"/>
    <w:rsid w:val="00911F90"/>
    <w:rsid w:val="0092142A"/>
    <w:rsid w:val="00922D1E"/>
    <w:rsid w:val="009246DA"/>
    <w:rsid w:val="00927B64"/>
    <w:rsid w:val="009349E4"/>
    <w:rsid w:val="009356A4"/>
    <w:rsid w:val="00941648"/>
    <w:rsid w:val="00942689"/>
    <w:rsid w:val="00950DE2"/>
    <w:rsid w:val="009535A2"/>
    <w:rsid w:val="00964335"/>
    <w:rsid w:val="00965D5F"/>
    <w:rsid w:val="009752EB"/>
    <w:rsid w:val="0097653A"/>
    <w:rsid w:val="00977EEB"/>
    <w:rsid w:val="0098457B"/>
    <w:rsid w:val="0099061F"/>
    <w:rsid w:val="00991766"/>
    <w:rsid w:val="00993B03"/>
    <w:rsid w:val="00996D0B"/>
    <w:rsid w:val="009976DA"/>
    <w:rsid w:val="009A61D2"/>
    <w:rsid w:val="009B4FC7"/>
    <w:rsid w:val="009C30CA"/>
    <w:rsid w:val="009C32F4"/>
    <w:rsid w:val="009D6466"/>
    <w:rsid w:val="009E0F24"/>
    <w:rsid w:val="009E79E6"/>
    <w:rsid w:val="009F0D35"/>
    <w:rsid w:val="009F729C"/>
    <w:rsid w:val="00A02DED"/>
    <w:rsid w:val="00A041B4"/>
    <w:rsid w:val="00A0677E"/>
    <w:rsid w:val="00A06A7A"/>
    <w:rsid w:val="00A10671"/>
    <w:rsid w:val="00A11EE2"/>
    <w:rsid w:val="00A13CD2"/>
    <w:rsid w:val="00A24560"/>
    <w:rsid w:val="00A33A26"/>
    <w:rsid w:val="00A33C24"/>
    <w:rsid w:val="00A61178"/>
    <w:rsid w:val="00A644F4"/>
    <w:rsid w:val="00A71036"/>
    <w:rsid w:val="00A74409"/>
    <w:rsid w:val="00A80D26"/>
    <w:rsid w:val="00A8426F"/>
    <w:rsid w:val="00AA075C"/>
    <w:rsid w:val="00AA22F2"/>
    <w:rsid w:val="00AA30B4"/>
    <w:rsid w:val="00AB1CC7"/>
    <w:rsid w:val="00AC01F8"/>
    <w:rsid w:val="00AC575A"/>
    <w:rsid w:val="00AE4CBB"/>
    <w:rsid w:val="00AF4C2B"/>
    <w:rsid w:val="00AF4EE3"/>
    <w:rsid w:val="00B02861"/>
    <w:rsid w:val="00B10898"/>
    <w:rsid w:val="00B12022"/>
    <w:rsid w:val="00B1298C"/>
    <w:rsid w:val="00B12DB2"/>
    <w:rsid w:val="00B13789"/>
    <w:rsid w:val="00B21E73"/>
    <w:rsid w:val="00B220A4"/>
    <w:rsid w:val="00B229A2"/>
    <w:rsid w:val="00B23029"/>
    <w:rsid w:val="00B26883"/>
    <w:rsid w:val="00B26BE8"/>
    <w:rsid w:val="00B277AF"/>
    <w:rsid w:val="00B30FCB"/>
    <w:rsid w:val="00B31BEE"/>
    <w:rsid w:val="00B31C8B"/>
    <w:rsid w:val="00B34B3D"/>
    <w:rsid w:val="00B401BE"/>
    <w:rsid w:val="00B43FED"/>
    <w:rsid w:val="00B451DE"/>
    <w:rsid w:val="00B45A2F"/>
    <w:rsid w:val="00B52228"/>
    <w:rsid w:val="00B52254"/>
    <w:rsid w:val="00B52AB2"/>
    <w:rsid w:val="00B54CB3"/>
    <w:rsid w:val="00B60216"/>
    <w:rsid w:val="00B62421"/>
    <w:rsid w:val="00B65225"/>
    <w:rsid w:val="00B658D5"/>
    <w:rsid w:val="00B66301"/>
    <w:rsid w:val="00B6793D"/>
    <w:rsid w:val="00B70C90"/>
    <w:rsid w:val="00B73F68"/>
    <w:rsid w:val="00B863C1"/>
    <w:rsid w:val="00B87AD6"/>
    <w:rsid w:val="00B952DF"/>
    <w:rsid w:val="00B97AAA"/>
    <w:rsid w:val="00BA5C55"/>
    <w:rsid w:val="00BC31BD"/>
    <w:rsid w:val="00BD0C7B"/>
    <w:rsid w:val="00BD25F2"/>
    <w:rsid w:val="00BD2880"/>
    <w:rsid w:val="00BD49CE"/>
    <w:rsid w:val="00BD4E5F"/>
    <w:rsid w:val="00BE006F"/>
    <w:rsid w:val="00BE62D0"/>
    <w:rsid w:val="00BE6E34"/>
    <w:rsid w:val="00BE78CB"/>
    <w:rsid w:val="00C11385"/>
    <w:rsid w:val="00C210CA"/>
    <w:rsid w:val="00C2114D"/>
    <w:rsid w:val="00C24D4C"/>
    <w:rsid w:val="00C25682"/>
    <w:rsid w:val="00C304FF"/>
    <w:rsid w:val="00C315B6"/>
    <w:rsid w:val="00C3312F"/>
    <w:rsid w:val="00C33BCA"/>
    <w:rsid w:val="00C34A80"/>
    <w:rsid w:val="00C44E7D"/>
    <w:rsid w:val="00C47ED9"/>
    <w:rsid w:val="00C536A2"/>
    <w:rsid w:val="00C55EDB"/>
    <w:rsid w:val="00C604D6"/>
    <w:rsid w:val="00C63411"/>
    <w:rsid w:val="00C83427"/>
    <w:rsid w:val="00C90893"/>
    <w:rsid w:val="00C94EF9"/>
    <w:rsid w:val="00C95861"/>
    <w:rsid w:val="00CA0894"/>
    <w:rsid w:val="00CA29A2"/>
    <w:rsid w:val="00CA5586"/>
    <w:rsid w:val="00CB3EB7"/>
    <w:rsid w:val="00CD1133"/>
    <w:rsid w:val="00CE0801"/>
    <w:rsid w:val="00CE1A1F"/>
    <w:rsid w:val="00CF04A9"/>
    <w:rsid w:val="00D00D71"/>
    <w:rsid w:val="00D0187C"/>
    <w:rsid w:val="00D04A32"/>
    <w:rsid w:val="00D05709"/>
    <w:rsid w:val="00D123E7"/>
    <w:rsid w:val="00D3206F"/>
    <w:rsid w:val="00D330B2"/>
    <w:rsid w:val="00D3373A"/>
    <w:rsid w:val="00D36080"/>
    <w:rsid w:val="00D41770"/>
    <w:rsid w:val="00D440DC"/>
    <w:rsid w:val="00D70BF8"/>
    <w:rsid w:val="00D741AF"/>
    <w:rsid w:val="00D7749F"/>
    <w:rsid w:val="00D865E4"/>
    <w:rsid w:val="00DB2810"/>
    <w:rsid w:val="00DB787F"/>
    <w:rsid w:val="00DC63BA"/>
    <w:rsid w:val="00DD0243"/>
    <w:rsid w:val="00DD7528"/>
    <w:rsid w:val="00DE267A"/>
    <w:rsid w:val="00DE6519"/>
    <w:rsid w:val="00DF28E9"/>
    <w:rsid w:val="00DF3156"/>
    <w:rsid w:val="00DF440F"/>
    <w:rsid w:val="00DF585B"/>
    <w:rsid w:val="00DF59F5"/>
    <w:rsid w:val="00DF7268"/>
    <w:rsid w:val="00E07FC6"/>
    <w:rsid w:val="00E3019D"/>
    <w:rsid w:val="00E315AE"/>
    <w:rsid w:val="00E357CF"/>
    <w:rsid w:val="00E36238"/>
    <w:rsid w:val="00E36A2D"/>
    <w:rsid w:val="00E41A09"/>
    <w:rsid w:val="00E41AD5"/>
    <w:rsid w:val="00E45A50"/>
    <w:rsid w:val="00E55724"/>
    <w:rsid w:val="00E70B7A"/>
    <w:rsid w:val="00E758A3"/>
    <w:rsid w:val="00E7764B"/>
    <w:rsid w:val="00E835F2"/>
    <w:rsid w:val="00E85DA5"/>
    <w:rsid w:val="00E902E0"/>
    <w:rsid w:val="00EB4734"/>
    <w:rsid w:val="00EB4918"/>
    <w:rsid w:val="00EC42BE"/>
    <w:rsid w:val="00EC58E5"/>
    <w:rsid w:val="00EC77D6"/>
    <w:rsid w:val="00ED4ACE"/>
    <w:rsid w:val="00ED6E6A"/>
    <w:rsid w:val="00EE6A2F"/>
    <w:rsid w:val="00F03EF5"/>
    <w:rsid w:val="00F045AD"/>
    <w:rsid w:val="00F074DE"/>
    <w:rsid w:val="00F10B42"/>
    <w:rsid w:val="00F20747"/>
    <w:rsid w:val="00F4060D"/>
    <w:rsid w:val="00F446DF"/>
    <w:rsid w:val="00F51C6B"/>
    <w:rsid w:val="00F57398"/>
    <w:rsid w:val="00F61D7E"/>
    <w:rsid w:val="00F81746"/>
    <w:rsid w:val="00F938DB"/>
    <w:rsid w:val="00FA0366"/>
    <w:rsid w:val="00FC1760"/>
    <w:rsid w:val="00FC5B21"/>
    <w:rsid w:val="00FD6B01"/>
    <w:rsid w:val="00FF39AE"/>
    <w:rsid w:val="00FF3C2D"/>
    <w:rsid w:val="00FF72B3"/>
    <w:rsid w:val="100AE4F2"/>
    <w:rsid w:val="54FB473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E57A68"/>
  <w14:defaultImageDpi w14:val="330"/>
  <w15:chartTrackingRefBased/>
  <w15:docId w15:val="{F9DDF33E-DFE7-4F61-B5D9-590E7BE7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61F"/>
    <w:pPr>
      <w:spacing w:before="160" w:after="160"/>
    </w:pPr>
    <w:rPr>
      <w:sz w:val="22"/>
      <w:szCs w:val="20"/>
    </w:rPr>
  </w:style>
  <w:style w:type="paragraph" w:styleId="Heading1">
    <w:name w:val="heading 1"/>
    <w:next w:val="Normal"/>
    <w:link w:val="Heading1Char"/>
    <w:uiPriority w:val="99"/>
    <w:qFormat/>
    <w:rsid w:val="0099061F"/>
    <w:pPr>
      <w:keepNext/>
      <w:tabs>
        <w:tab w:val="num" w:pos="454"/>
      </w:tabs>
      <w:spacing w:before="120" w:after="120"/>
      <w:ind w:left="454" w:hanging="454"/>
      <w:outlineLvl w:val="0"/>
    </w:pPr>
    <w:rPr>
      <w:rFonts w:ascii="Times New Roman" w:hAnsi="Times New Roman" w:cs="Times New Roman (Body CS)"/>
      <w:color w:val="2F0331"/>
      <w:spacing w:val="-14"/>
      <w:sz w:val="40"/>
      <w:szCs w:val="64"/>
    </w:rPr>
  </w:style>
  <w:style w:type="paragraph" w:styleId="Heading2">
    <w:name w:val="heading 2"/>
    <w:basedOn w:val="Heading1"/>
    <w:next w:val="Normal"/>
    <w:link w:val="Heading2Char"/>
    <w:uiPriority w:val="9"/>
    <w:qFormat/>
    <w:rsid w:val="00C55EDB"/>
    <w:pPr>
      <w:tabs>
        <w:tab w:val="left" w:pos="851"/>
      </w:tabs>
      <w:spacing w:before="240"/>
      <w:ind w:left="0" w:firstLine="0"/>
      <w:outlineLvl w:val="1"/>
    </w:pPr>
    <w:rPr>
      <w:rFonts w:eastAsiaTheme="majorEastAsia" w:cstheme="majorBidi"/>
      <w:sz w:val="32"/>
      <w:szCs w:val="28"/>
      <w:lang w:val="en-GB"/>
    </w:rPr>
  </w:style>
  <w:style w:type="paragraph" w:styleId="Heading3">
    <w:name w:val="heading 3"/>
    <w:basedOn w:val="Heading2"/>
    <w:next w:val="Normal"/>
    <w:link w:val="Heading3Char"/>
    <w:uiPriority w:val="9"/>
    <w:qFormat/>
    <w:rsid w:val="00C55EDB"/>
    <w:pPr>
      <w:spacing w:before="120" w:after="60"/>
      <w:outlineLvl w:val="2"/>
    </w:pPr>
    <w:rPr>
      <w:sz w:val="28"/>
    </w:rPr>
  </w:style>
  <w:style w:type="paragraph" w:styleId="Heading4">
    <w:name w:val="heading 4"/>
    <w:basedOn w:val="Normal"/>
    <w:next w:val="Normal"/>
    <w:link w:val="Heading4Char"/>
    <w:uiPriority w:val="6"/>
    <w:qFormat/>
    <w:rsid w:val="00EC42BE"/>
    <w:pPr>
      <w:keepNext/>
      <w:spacing w:before="180" w:line="260" w:lineRule="exact"/>
      <w:outlineLvl w:val="3"/>
    </w:pPr>
    <w:rPr>
      <w:rFonts w:ascii="Times New Roman" w:eastAsiaTheme="majorEastAsia" w:hAnsi="Times New Roman" w:cstheme="minorHAnsi"/>
      <w:bCs/>
      <w:color w:val="2F0331"/>
      <w:sz w:val="24"/>
      <w:szCs w:val="28"/>
    </w:rPr>
  </w:style>
  <w:style w:type="paragraph" w:styleId="Heading5">
    <w:name w:val="heading 5"/>
    <w:basedOn w:val="Normal"/>
    <w:next w:val="Normal"/>
    <w:link w:val="Heading5Char"/>
    <w:uiPriority w:val="9"/>
    <w:semiHidden/>
    <w:unhideWhenUsed/>
    <w:qFormat/>
    <w:rsid w:val="002A7E70"/>
    <w:pPr>
      <w:keepNext/>
      <w:spacing w:before="40"/>
      <w:outlineLvl w:val="4"/>
    </w:pPr>
    <w:rPr>
      <w:rFonts w:asciiTheme="majorHAnsi" w:eastAsiaTheme="majorEastAsia" w:hAnsiTheme="majorHAnsi" w:cstheme="majorBidi"/>
      <w:color w:val="9272E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5B">
    <w:name w:val="Table 5B"/>
    <w:basedOn w:val="TableNormal"/>
    <w:uiPriority w:val="99"/>
    <w:rsid w:val="00B12022"/>
    <w:pPr>
      <w:spacing w:line="240" w:lineRule="exact"/>
    </w:pPr>
    <w:rPr>
      <w:sz w:val="22"/>
    </w:rPr>
    <w:tblPr>
      <w:tblStyleRowBandSize w:val="1"/>
    </w:tblPr>
    <w:tcPr>
      <w:tcMar>
        <w:top w:w="57" w:type="dxa"/>
        <w:bottom w:w="57" w:type="dxa"/>
      </w:tcMar>
    </w:tcPr>
    <w:tblStylePr w:type="firstRow">
      <w:rPr>
        <w:b/>
      </w:rPr>
      <w:tblPr/>
      <w:trPr>
        <w:cantSplit/>
        <w:tblHeader/>
      </w:trPr>
      <w:tcPr>
        <w:shd w:val="clear" w:color="auto" w:fill="B5E4F9"/>
      </w:tcPr>
    </w:tblStylePr>
    <w:tblStylePr w:type="band1Horz">
      <w:tblPr/>
      <w:tcPr>
        <w:shd w:val="clear" w:color="auto" w:fill="F1F9FE"/>
      </w:tcPr>
    </w:tblStylePr>
  </w:style>
  <w:style w:type="numbering" w:styleId="1ai">
    <w:name w:val="Outline List 1"/>
    <w:basedOn w:val="NoList"/>
    <w:uiPriority w:val="99"/>
    <w:semiHidden/>
    <w:unhideWhenUsed/>
    <w:rsid w:val="00DF440F"/>
    <w:pPr>
      <w:numPr>
        <w:numId w:val="2"/>
      </w:numPr>
    </w:pPr>
  </w:style>
  <w:style w:type="numbering" w:customStyle="1" w:styleId="Style1">
    <w:name w:val="Style1"/>
    <w:uiPriority w:val="99"/>
    <w:rsid w:val="00DF440F"/>
    <w:pPr>
      <w:numPr>
        <w:numId w:val="3"/>
      </w:numPr>
    </w:pPr>
  </w:style>
  <w:style w:type="paragraph" w:customStyle="1" w:styleId="BasicParagraph">
    <w:name w:val="[Basic Paragraph]"/>
    <w:basedOn w:val="Normal"/>
    <w:uiPriority w:val="99"/>
    <w:rsid w:val="000C2616"/>
    <w:pPr>
      <w:autoSpaceDE w:val="0"/>
      <w:autoSpaceDN w:val="0"/>
      <w:adjustRightInd w:val="0"/>
      <w:textAlignment w:val="center"/>
    </w:pPr>
    <w:rPr>
      <w:rFonts w:ascii="MinionPro-Regular" w:hAnsi="MinionPro-Regular" w:cs="MinionPro-Regular"/>
      <w:color w:val="000000"/>
      <w:sz w:val="24"/>
      <w:szCs w:val="24"/>
      <w:lang w:val="en-US"/>
    </w:rPr>
  </w:style>
  <w:style w:type="paragraph" w:styleId="NormalWeb">
    <w:name w:val="Normal (Web)"/>
    <w:basedOn w:val="Normal"/>
    <w:uiPriority w:val="99"/>
    <w:unhideWhenUsed/>
    <w:rsid w:val="002A7E70"/>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9"/>
    <w:rsid w:val="0099061F"/>
    <w:rPr>
      <w:rFonts w:ascii="Times New Roman" w:hAnsi="Times New Roman" w:cs="Times New Roman (Body CS)"/>
      <w:color w:val="2F0331"/>
      <w:spacing w:val="-14"/>
      <w:sz w:val="40"/>
      <w:szCs w:val="64"/>
    </w:rPr>
  </w:style>
  <w:style w:type="table" w:customStyle="1" w:styleId="SLP2">
    <w:name w:val="SLP 2"/>
    <w:basedOn w:val="TableNormal"/>
    <w:uiPriority w:val="99"/>
    <w:rsid w:val="00763AE1"/>
    <w:pPr>
      <w:spacing w:before="120" w:after="40" w:line="200" w:lineRule="exact"/>
    </w:pPr>
    <w:rPr>
      <w:rFonts w:cs="Times New Roman (Body CS)"/>
      <w:color w:val="2F0331" w:themeColor="text1"/>
      <w:sz w:val="16"/>
    </w:rPr>
    <w:tblPr>
      <w:tblStyleRowBandSize w:val="1"/>
      <w:tblBorders>
        <w:left w:val="single" w:sz="4" w:space="0" w:color="DED4F7" w:themeColor="accent1"/>
        <w:right w:val="single" w:sz="4" w:space="0" w:color="DED4F7" w:themeColor="accent1"/>
        <w:insideH w:val="single" w:sz="6" w:space="0" w:color="DED4F7" w:themeColor="accent1"/>
        <w:insideV w:val="single" w:sz="6" w:space="0" w:color="DED4F7" w:themeColor="accent1"/>
      </w:tblBorders>
      <w:tblCellMar>
        <w:top w:w="113" w:type="dxa"/>
        <w:left w:w="113" w:type="dxa"/>
        <w:bottom w:w="113" w:type="dxa"/>
        <w:right w:w="113" w:type="dxa"/>
      </w:tblCellMar>
    </w:tblPr>
    <w:trPr>
      <w:cantSplit/>
    </w:trPr>
    <w:tblStylePr w:type="firstRow">
      <w:pPr>
        <w:wordWrap/>
        <w:spacing w:beforeLines="0" w:before="240" w:beforeAutospacing="0" w:afterLines="0" w:after="0" w:afterAutospacing="0" w:line="210" w:lineRule="exact"/>
      </w:pPr>
      <w:rPr>
        <w:rFonts w:asciiTheme="minorHAnsi" w:hAnsiTheme="minorHAnsi"/>
        <w:b/>
        <w:color w:val="auto"/>
        <w:sz w:val="16"/>
      </w:rPr>
      <w:tblPr/>
      <w:tcPr>
        <w:tcBorders>
          <w:top w:val="single" w:sz="4" w:space="0" w:color="DED4F7" w:themeColor="accent1"/>
          <w:left w:val="single" w:sz="4" w:space="0" w:color="DED4F7" w:themeColor="accent1"/>
          <w:bottom w:val="single" w:sz="4" w:space="0" w:color="DED4F7" w:themeColor="accent1"/>
          <w:right w:val="single" w:sz="4" w:space="0" w:color="DED4F7" w:themeColor="accent1"/>
          <w:insideH w:val="nil"/>
          <w:insideV w:val="single" w:sz="4" w:space="0" w:color="F9F5F0" w:themeColor="background1"/>
          <w:tl2br w:val="nil"/>
          <w:tr2bl w:val="nil"/>
        </w:tcBorders>
        <w:shd w:val="clear" w:color="auto" w:fill="DED4F7" w:themeFill="accent1"/>
      </w:tcPr>
    </w:tblStylePr>
    <w:tblStylePr w:type="band1Horz">
      <w:rPr>
        <w:rFonts w:asciiTheme="minorHAnsi" w:hAnsiTheme="minorHAnsi"/>
      </w:rPr>
    </w:tblStylePr>
  </w:style>
  <w:style w:type="character" w:customStyle="1" w:styleId="Heading5Char">
    <w:name w:val="Heading 5 Char"/>
    <w:basedOn w:val="DefaultParagraphFont"/>
    <w:link w:val="Heading5"/>
    <w:uiPriority w:val="9"/>
    <w:semiHidden/>
    <w:rsid w:val="002A7E70"/>
    <w:rPr>
      <w:rFonts w:asciiTheme="majorHAnsi" w:eastAsiaTheme="majorEastAsia" w:hAnsiTheme="majorHAnsi" w:cstheme="majorBidi"/>
      <w:color w:val="9272E5" w:themeColor="accent1" w:themeShade="BF"/>
      <w:sz w:val="20"/>
      <w:szCs w:val="20"/>
    </w:rPr>
  </w:style>
  <w:style w:type="character" w:styleId="Hyperlink">
    <w:name w:val="Hyperlink"/>
    <w:basedOn w:val="DefaultParagraphFont"/>
    <w:uiPriority w:val="99"/>
    <w:unhideWhenUsed/>
    <w:rsid w:val="002A7E70"/>
    <w:rPr>
      <w:color w:val="0000FF"/>
      <w:u w:val="single"/>
    </w:rPr>
  </w:style>
  <w:style w:type="character" w:customStyle="1" w:styleId="Heading4Char">
    <w:name w:val="Heading 4 Char"/>
    <w:basedOn w:val="DefaultParagraphFont"/>
    <w:link w:val="Heading4"/>
    <w:uiPriority w:val="6"/>
    <w:rsid w:val="00EC42BE"/>
    <w:rPr>
      <w:rFonts w:ascii="Times New Roman" w:eastAsiaTheme="majorEastAsia" w:hAnsi="Times New Roman" w:cstheme="minorHAnsi"/>
      <w:bCs/>
      <w:color w:val="2F0331"/>
      <w:szCs w:val="28"/>
    </w:rPr>
  </w:style>
  <w:style w:type="character" w:customStyle="1" w:styleId="Heading2Char">
    <w:name w:val="Heading 2 Char"/>
    <w:basedOn w:val="DefaultParagraphFont"/>
    <w:link w:val="Heading2"/>
    <w:uiPriority w:val="9"/>
    <w:rsid w:val="00C55EDB"/>
    <w:rPr>
      <w:rFonts w:ascii="Poppins" w:eastAsiaTheme="majorEastAsia" w:hAnsi="Poppins" w:cstheme="majorBidi"/>
      <w:color w:val="2F0331"/>
      <w:spacing w:val="-14"/>
      <w:sz w:val="32"/>
      <w:szCs w:val="28"/>
      <w:lang w:val="en-GB"/>
    </w:rPr>
  </w:style>
  <w:style w:type="character" w:customStyle="1" w:styleId="Heading3Char">
    <w:name w:val="Heading 3 Char"/>
    <w:basedOn w:val="DefaultParagraphFont"/>
    <w:link w:val="Heading3"/>
    <w:uiPriority w:val="9"/>
    <w:rsid w:val="00C55EDB"/>
    <w:rPr>
      <w:rFonts w:ascii="Poppins" w:eastAsiaTheme="majorEastAsia" w:hAnsi="Poppins" w:cstheme="majorBidi"/>
      <w:color w:val="2F0331"/>
      <w:spacing w:val="-14"/>
      <w:sz w:val="28"/>
      <w:szCs w:val="28"/>
      <w:lang w:val="en-GB"/>
    </w:rPr>
  </w:style>
  <w:style w:type="paragraph" w:styleId="Footer">
    <w:name w:val="footer"/>
    <w:basedOn w:val="Normal"/>
    <w:link w:val="FooterChar"/>
    <w:uiPriority w:val="99"/>
    <w:unhideWhenUsed/>
    <w:rsid w:val="006A1347"/>
    <w:pPr>
      <w:tabs>
        <w:tab w:val="right" w:pos="9639"/>
      </w:tabs>
      <w:ind w:left="-567" w:right="-851"/>
    </w:pPr>
    <w:rPr>
      <w:bCs/>
      <w:sz w:val="16"/>
      <w:szCs w:val="24"/>
      <w:lang w:val="en-GB"/>
    </w:rPr>
  </w:style>
  <w:style w:type="character" w:customStyle="1" w:styleId="FooterChar">
    <w:name w:val="Footer Char"/>
    <w:basedOn w:val="DefaultParagraphFont"/>
    <w:link w:val="Footer"/>
    <w:uiPriority w:val="99"/>
    <w:rsid w:val="006A1347"/>
    <w:rPr>
      <w:bCs/>
      <w:color w:val="2F0331" w:themeColor="text1"/>
      <w:sz w:val="16"/>
      <w:lang w:val="en-GB"/>
    </w:rPr>
  </w:style>
  <w:style w:type="paragraph" w:styleId="FootnoteText">
    <w:name w:val="footnote text"/>
    <w:basedOn w:val="Normal"/>
    <w:link w:val="FootnoteTextChar"/>
    <w:uiPriority w:val="99"/>
    <w:unhideWhenUsed/>
    <w:rsid w:val="00DF440F"/>
    <w:pPr>
      <w:spacing w:before="80"/>
    </w:pPr>
    <w:rPr>
      <w:rFonts w:ascii="Arial" w:hAnsi="Arial" w:cs="Times New Roman (Body CS)"/>
      <w:sz w:val="16"/>
    </w:rPr>
  </w:style>
  <w:style w:type="character" w:customStyle="1" w:styleId="FootnoteTextChar">
    <w:name w:val="Footnote Text Char"/>
    <w:basedOn w:val="DefaultParagraphFont"/>
    <w:link w:val="FootnoteText"/>
    <w:uiPriority w:val="99"/>
    <w:rsid w:val="00DF440F"/>
    <w:rPr>
      <w:rFonts w:ascii="Arial" w:hAnsi="Arial" w:cs="Times New Roman (Body CS)"/>
      <w:color w:val="2F0331" w:themeColor="text1"/>
      <w:sz w:val="16"/>
      <w:szCs w:val="20"/>
    </w:rPr>
  </w:style>
  <w:style w:type="paragraph" w:styleId="Header">
    <w:name w:val="header"/>
    <w:basedOn w:val="Normal"/>
    <w:link w:val="HeaderChar"/>
    <w:uiPriority w:val="99"/>
    <w:unhideWhenUsed/>
    <w:rsid w:val="00DF440F"/>
    <w:pPr>
      <w:tabs>
        <w:tab w:val="right" w:pos="8505"/>
      </w:tabs>
    </w:pPr>
    <w:rPr>
      <w:sz w:val="15"/>
    </w:rPr>
  </w:style>
  <w:style w:type="character" w:customStyle="1" w:styleId="HeaderChar">
    <w:name w:val="Header Char"/>
    <w:basedOn w:val="DefaultParagraphFont"/>
    <w:link w:val="Header"/>
    <w:uiPriority w:val="99"/>
    <w:rsid w:val="00DF440F"/>
    <w:rPr>
      <w:color w:val="2F0331" w:themeColor="text1"/>
      <w:sz w:val="15"/>
    </w:rPr>
  </w:style>
  <w:style w:type="table" w:customStyle="1" w:styleId="SLP20">
    <w:name w:val="SLP2"/>
    <w:basedOn w:val="TableNormal"/>
    <w:uiPriority w:val="99"/>
    <w:rsid w:val="00763AE1"/>
    <w:pPr>
      <w:spacing w:before="120" w:after="40" w:line="200" w:lineRule="exact"/>
    </w:pPr>
    <w:rPr>
      <w:rFonts w:cs="Times New Roman (Body CS)"/>
      <w:color w:val="2F0331" w:themeColor="text1"/>
      <w:sz w:val="16"/>
    </w:rPr>
    <w:tblPr>
      <w:tblStyleRowBandSize w:val="1"/>
      <w:tblBorders>
        <w:top w:val="single" w:sz="4" w:space="0" w:color="DED4F7" w:themeColor="accent1"/>
        <w:left w:val="single" w:sz="4" w:space="0" w:color="DED4F7" w:themeColor="accent1"/>
        <w:bottom w:val="single" w:sz="4" w:space="0" w:color="DED4F7" w:themeColor="accent1"/>
        <w:right w:val="single" w:sz="4" w:space="0" w:color="DED4F7" w:themeColor="accent1"/>
        <w:insideH w:val="single" w:sz="4" w:space="0" w:color="DED4F7" w:themeColor="accent1"/>
        <w:insideV w:val="single" w:sz="4" w:space="0" w:color="DED4F7" w:themeColor="accent1"/>
      </w:tblBorders>
      <w:tblCellMar>
        <w:top w:w="113" w:type="dxa"/>
        <w:left w:w="113" w:type="dxa"/>
        <w:bottom w:w="113" w:type="dxa"/>
        <w:right w:w="113" w:type="dxa"/>
      </w:tblCellMar>
    </w:tblPr>
    <w:trPr>
      <w:cantSplit/>
    </w:trPr>
    <w:tcPr>
      <w:shd w:val="clear" w:color="auto" w:fill="auto"/>
    </w:tcPr>
    <w:tblStylePr w:type="firstRow">
      <w:pPr>
        <w:wordWrap/>
        <w:spacing w:beforeLines="0" w:before="240" w:beforeAutospacing="0" w:afterLines="0" w:after="0" w:afterAutospacing="0" w:line="210" w:lineRule="exact"/>
      </w:pPr>
      <w:rPr>
        <w:rFonts w:asciiTheme="minorHAnsi" w:hAnsiTheme="minorHAnsi"/>
        <w:b/>
        <w:color w:val="auto"/>
        <w:sz w:val="16"/>
      </w:rPr>
      <w:tblPr/>
      <w:tcPr>
        <w:tcBorders>
          <w:top w:val="single" w:sz="4" w:space="0" w:color="DED4F7" w:themeColor="accent1"/>
          <w:left w:val="single" w:sz="4" w:space="0" w:color="DED4F7" w:themeColor="accent1"/>
          <w:bottom w:val="single" w:sz="4" w:space="0" w:color="DED4F7" w:themeColor="accent1"/>
          <w:right w:val="single" w:sz="4" w:space="0" w:color="DED4F7" w:themeColor="accent1"/>
          <w:insideH w:val="single" w:sz="4" w:space="0" w:color="DED4F7" w:themeColor="accent1"/>
          <w:insideV w:val="single" w:sz="4" w:space="0" w:color="F9F5F0" w:themeColor="background1"/>
          <w:tl2br w:val="nil"/>
          <w:tr2bl w:val="nil"/>
        </w:tcBorders>
        <w:shd w:val="clear" w:color="auto" w:fill="DED4F7" w:themeFill="accent1"/>
      </w:tcPr>
    </w:tblStylePr>
    <w:tblStylePr w:type="band1Horz">
      <w:rPr>
        <w:rFonts w:asciiTheme="minorHAnsi" w:hAnsiTheme="minorHAnsi"/>
      </w:rPr>
    </w:tblStylePr>
  </w:style>
  <w:style w:type="paragraph" w:styleId="Title">
    <w:name w:val="Title"/>
    <w:next w:val="Normal"/>
    <w:link w:val="TitleChar"/>
    <w:uiPriority w:val="10"/>
    <w:qFormat/>
    <w:rsid w:val="00407C9E"/>
    <w:pPr>
      <w:spacing w:before="600" w:after="120"/>
      <w:ind w:left="397"/>
    </w:pPr>
    <w:rPr>
      <w:rFonts w:ascii="Times New Roman" w:eastAsiaTheme="majorEastAsia" w:hAnsi="Times New Roman" w:cstheme="majorBidi"/>
      <w:spacing w:val="-10"/>
      <w:kern w:val="28"/>
      <w:sz w:val="56"/>
      <w:szCs w:val="56"/>
    </w:rPr>
  </w:style>
  <w:style w:type="character" w:customStyle="1" w:styleId="TitleChar">
    <w:name w:val="Title Char"/>
    <w:basedOn w:val="DefaultParagraphFont"/>
    <w:link w:val="Title"/>
    <w:uiPriority w:val="10"/>
    <w:rsid w:val="00407C9E"/>
    <w:rPr>
      <w:rFonts w:ascii="Times New Roman" w:eastAsiaTheme="majorEastAsia" w:hAnsi="Times New Roman" w:cstheme="majorBidi"/>
      <w:spacing w:val="-10"/>
      <w:kern w:val="28"/>
      <w:sz w:val="56"/>
      <w:szCs w:val="56"/>
    </w:rPr>
  </w:style>
  <w:style w:type="paragraph" w:customStyle="1" w:styleId="Coverpagetext">
    <w:name w:val="Cover page text"/>
    <w:basedOn w:val="Subtitle"/>
    <w:link w:val="CoverpagetextChar"/>
    <w:qFormat/>
    <w:rsid w:val="0099061F"/>
    <w:pPr>
      <w:spacing w:before="4520"/>
    </w:pPr>
    <w:rPr>
      <w:rFonts w:ascii="Times New Roman" w:hAnsi="Times New Roman"/>
    </w:rPr>
  </w:style>
  <w:style w:type="numbering" w:customStyle="1" w:styleId="StyleBulletedSymbolsymbol8ptCustomColorRGB47349">
    <w:name w:val="Style Bulleted Symbol (symbol) 8 pt Custom Color(RGB(47349)) ..."/>
    <w:basedOn w:val="NoList"/>
    <w:rsid w:val="002159FF"/>
    <w:pPr>
      <w:numPr>
        <w:numId w:val="24"/>
      </w:numPr>
    </w:pPr>
  </w:style>
  <w:style w:type="paragraph" w:customStyle="1" w:styleId="Leadparagraph">
    <w:name w:val="Lead paragraph"/>
    <w:qFormat/>
    <w:rsid w:val="00E902E0"/>
    <w:pPr>
      <w:spacing w:before="120" w:after="120"/>
      <w:ind w:left="1247"/>
    </w:pPr>
    <w:rPr>
      <w:rFonts w:ascii="Times New Roman" w:hAnsi="Times New Roman"/>
      <w:b/>
      <w:noProof/>
      <w:sz w:val="40"/>
      <w:szCs w:val="20"/>
    </w:rPr>
  </w:style>
  <w:style w:type="paragraph" w:styleId="Subtitle">
    <w:name w:val="Subtitle"/>
    <w:basedOn w:val="Title"/>
    <w:next w:val="Normal"/>
    <w:link w:val="SubtitleChar"/>
    <w:uiPriority w:val="11"/>
    <w:qFormat/>
    <w:rsid w:val="00407C9E"/>
    <w:pPr>
      <w:numPr>
        <w:ilvl w:val="1"/>
      </w:numPr>
      <w:spacing w:before="120"/>
      <w:ind w:left="397"/>
    </w:pPr>
    <w:rPr>
      <w:rFonts w:asciiTheme="minorHAnsi" w:eastAsiaTheme="minorEastAsia" w:hAnsiTheme="minorHAnsi"/>
      <w:spacing w:val="0"/>
      <w:sz w:val="40"/>
      <w:szCs w:val="22"/>
    </w:rPr>
  </w:style>
  <w:style w:type="character" w:customStyle="1" w:styleId="SubtitleChar">
    <w:name w:val="Subtitle Char"/>
    <w:basedOn w:val="DefaultParagraphFont"/>
    <w:link w:val="Subtitle"/>
    <w:uiPriority w:val="11"/>
    <w:rsid w:val="00407C9E"/>
    <w:rPr>
      <w:rFonts w:eastAsiaTheme="minorEastAsia" w:cstheme="majorBidi"/>
      <w:kern w:val="28"/>
      <w:sz w:val="40"/>
      <w:szCs w:val="22"/>
    </w:rPr>
  </w:style>
  <w:style w:type="character" w:styleId="SubtleEmphasis">
    <w:name w:val="Subtle Emphasis"/>
    <w:basedOn w:val="DefaultParagraphFont"/>
    <w:uiPriority w:val="19"/>
    <w:qFormat/>
    <w:rsid w:val="00D70BF8"/>
    <w:rPr>
      <w:i/>
      <w:iCs/>
      <w:color w:val="auto"/>
    </w:rPr>
  </w:style>
  <w:style w:type="paragraph" w:styleId="Quote">
    <w:name w:val="Quote"/>
    <w:basedOn w:val="Normal"/>
    <w:next w:val="Normal"/>
    <w:link w:val="QuoteChar"/>
    <w:uiPriority w:val="29"/>
    <w:qFormat/>
    <w:rsid w:val="00D70BF8"/>
    <w:pPr>
      <w:spacing w:before="200"/>
      <w:ind w:left="864" w:right="864"/>
      <w:jc w:val="center"/>
    </w:pPr>
    <w:rPr>
      <w:i/>
      <w:iCs/>
      <w:color w:val="2F0331"/>
    </w:rPr>
  </w:style>
  <w:style w:type="character" w:customStyle="1" w:styleId="QuoteChar">
    <w:name w:val="Quote Char"/>
    <w:basedOn w:val="DefaultParagraphFont"/>
    <w:link w:val="Quote"/>
    <w:uiPriority w:val="29"/>
    <w:rsid w:val="00D70BF8"/>
    <w:rPr>
      <w:i/>
      <w:iCs/>
      <w:color w:val="2F0331"/>
      <w:sz w:val="20"/>
      <w:szCs w:val="20"/>
    </w:rPr>
  </w:style>
  <w:style w:type="character" w:styleId="SubtleReference">
    <w:name w:val="Subtle Reference"/>
    <w:basedOn w:val="DefaultParagraphFont"/>
    <w:uiPriority w:val="31"/>
    <w:qFormat/>
    <w:rsid w:val="00D70BF8"/>
    <w:rPr>
      <w:smallCaps/>
      <w:color w:val="auto"/>
    </w:rPr>
  </w:style>
  <w:style w:type="character" w:styleId="FootnoteReference">
    <w:name w:val="footnote reference"/>
    <w:basedOn w:val="DefaultParagraphFont"/>
    <w:uiPriority w:val="99"/>
    <w:unhideWhenUsed/>
    <w:rsid w:val="00E902E0"/>
    <w:rPr>
      <w:rFonts w:ascii="Times New Roman" w:hAnsi="Times New Roman"/>
      <w:sz w:val="22"/>
      <w:vertAlign w:val="superscript"/>
    </w:rPr>
  </w:style>
  <w:style w:type="paragraph" w:customStyle="1" w:styleId="Default">
    <w:name w:val="Default"/>
    <w:rsid w:val="000B18CC"/>
    <w:pPr>
      <w:autoSpaceDE w:val="0"/>
      <w:autoSpaceDN w:val="0"/>
      <w:adjustRightInd w:val="0"/>
    </w:pPr>
    <w:rPr>
      <w:rFonts w:ascii="Segoe UI" w:hAnsi="Segoe UI" w:cs="Segoe UI"/>
      <w:color w:val="000000"/>
    </w:rPr>
  </w:style>
  <w:style w:type="character" w:styleId="UnresolvedMention">
    <w:name w:val="Unresolved Mention"/>
    <w:basedOn w:val="DefaultParagraphFont"/>
    <w:uiPriority w:val="99"/>
    <w:unhideWhenUsed/>
    <w:rsid w:val="00B66301"/>
    <w:rPr>
      <w:color w:val="605E5C"/>
      <w:shd w:val="clear" w:color="auto" w:fill="E1DFDD"/>
    </w:rPr>
  </w:style>
  <w:style w:type="character" w:styleId="CommentReference">
    <w:name w:val="annotation reference"/>
    <w:basedOn w:val="DefaultParagraphFont"/>
    <w:uiPriority w:val="99"/>
    <w:semiHidden/>
    <w:unhideWhenUsed/>
    <w:rsid w:val="0026508E"/>
    <w:rPr>
      <w:sz w:val="16"/>
      <w:szCs w:val="16"/>
    </w:rPr>
  </w:style>
  <w:style w:type="paragraph" w:styleId="CommentText">
    <w:name w:val="annotation text"/>
    <w:basedOn w:val="Normal"/>
    <w:link w:val="CommentTextChar"/>
    <w:uiPriority w:val="99"/>
    <w:unhideWhenUsed/>
    <w:rsid w:val="0026508E"/>
  </w:style>
  <w:style w:type="character" w:customStyle="1" w:styleId="CommentTextChar">
    <w:name w:val="Comment Text Char"/>
    <w:basedOn w:val="DefaultParagraphFont"/>
    <w:link w:val="CommentText"/>
    <w:uiPriority w:val="99"/>
    <w:rsid w:val="0026508E"/>
    <w:rPr>
      <w:sz w:val="20"/>
      <w:szCs w:val="20"/>
    </w:rPr>
  </w:style>
  <w:style w:type="paragraph" w:styleId="CommentSubject">
    <w:name w:val="annotation subject"/>
    <w:basedOn w:val="CommentText"/>
    <w:next w:val="CommentText"/>
    <w:link w:val="CommentSubjectChar"/>
    <w:uiPriority w:val="99"/>
    <w:semiHidden/>
    <w:unhideWhenUsed/>
    <w:rsid w:val="0026508E"/>
    <w:rPr>
      <w:b/>
      <w:bCs/>
    </w:rPr>
  </w:style>
  <w:style w:type="character" w:customStyle="1" w:styleId="CommentSubjectChar">
    <w:name w:val="Comment Subject Char"/>
    <w:basedOn w:val="CommentTextChar"/>
    <w:link w:val="CommentSubject"/>
    <w:uiPriority w:val="99"/>
    <w:semiHidden/>
    <w:rsid w:val="0026508E"/>
    <w:rPr>
      <w:b/>
      <w:bCs/>
      <w:sz w:val="20"/>
      <w:szCs w:val="20"/>
    </w:rPr>
  </w:style>
  <w:style w:type="table" w:styleId="TableGrid">
    <w:name w:val="Table Grid"/>
    <w:basedOn w:val="TableNormal"/>
    <w:uiPriority w:val="39"/>
    <w:rsid w:val="00990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StylePr>
  </w:style>
  <w:style w:type="paragraph" w:styleId="TOCHeading">
    <w:name w:val="TOC Heading"/>
    <w:basedOn w:val="Heading1"/>
    <w:next w:val="Normal"/>
    <w:uiPriority w:val="39"/>
    <w:unhideWhenUsed/>
    <w:qFormat/>
    <w:rsid w:val="00E902E0"/>
    <w:pPr>
      <w:tabs>
        <w:tab w:val="clear" w:pos="454"/>
      </w:tabs>
      <w:spacing w:before="240" w:after="0" w:line="259" w:lineRule="auto"/>
      <w:ind w:left="0" w:firstLine="0"/>
      <w:outlineLvl w:val="9"/>
    </w:pPr>
    <w:rPr>
      <w:rFonts w:eastAsiaTheme="majorEastAsia" w:cstheme="majorBidi"/>
      <w:color w:val="auto"/>
      <w:spacing w:val="0"/>
      <w:szCs w:val="32"/>
      <w:lang w:val="en-US"/>
    </w:rPr>
  </w:style>
  <w:style w:type="paragraph" w:styleId="TOC1">
    <w:name w:val="toc 1"/>
    <w:basedOn w:val="Normal"/>
    <w:next w:val="Normal"/>
    <w:autoRedefine/>
    <w:uiPriority w:val="39"/>
    <w:unhideWhenUsed/>
    <w:rsid w:val="00C47ED9"/>
    <w:pPr>
      <w:tabs>
        <w:tab w:val="right" w:leader="dot" w:pos="9055"/>
      </w:tabs>
      <w:spacing w:after="100"/>
    </w:pPr>
    <w:rPr>
      <w:rFonts w:cs="Poppins Light"/>
      <w:noProof/>
    </w:rPr>
  </w:style>
  <w:style w:type="paragraph" w:styleId="TOC2">
    <w:name w:val="toc 2"/>
    <w:basedOn w:val="Normal"/>
    <w:next w:val="Normal"/>
    <w:autoRedefine/>
    <w:uiPriority w:val="39"/>
    <w:unhideWhenUsed/>
    <w:rsid w:val="00C47ED9"/>
    <w:pPr>
      <w:tabs>
        <w:tab w:val="right" w:leader="dot" w:pos="9055"/>
      </w:tabs>
      <w:spacing w:after="100"/>
      <w:ind w:left="200"/>
    </w:pPr>
    <w:rPr>
      <w:rFonts w:cs="Poppins Light"/>
      <w:noProof/>
    </w:rPr>
  </w:style>
  <w:style w:type="paragraph" w:styleId="Revision">
    <w:name w:val="Revision"/>
    <w:hidden/>
    <w:uiPriority w:val="99"/>
    <w:semiHidden/>
    <w:rsid w:val="003553C3"/>
    <w:rPr>
      <w:sz w:val="20"/>
      <w:szCs w:val="20"/>
    </w:rPr>
  </w:style>
  <w:style w:type="paragraph" w:styleId="TOC3">
    <w:name w:val="toc 3"/>
    <w:basedOn w:val="Normal"/>
    <w:next w:val="Normal"/>
    <w:autoRedefine/>
    <w:uiPriority w:val="39"/>
    <w:unhideWhenUsed/>
    <w:rsid w:val="0052537F"/>
    <w:pPr>
      <w:spacing w:after="100"/>
      <w:ind w:left="400"/>
    </w:pPr>
  </w:style>
  <w:style w:type="character" w:styleId="FollowedHyperlink">
    <w:name w:val="FollowedHyperlink"/>
    <w:basedOn w:val="DefaultParagraphFont"/>
    <w:uiPriority w:val="99"/>
    <w:semiHidden/>
    <w:unhideWhenUsed/>
    <w:rsid w:val="00DE6519"/>
    <w:rPr>
      <w:color w:val="954F72" w:themeColor="followedHyperlink"/>
      <w:u w:val="single"/>
    </w:rPr>
  </w:style>
  <w:style w:type="character" w:styleId="Mention">
    <w:name w:val="Mention"/>
    <w:basedOn w:val="DefaultParagraphFont"/>
    <w:uiPriority w:val="99"/>
    <w:unhideWhenUsed/>
    <w:rsid w:val="00F10B42"/>
    <w:rPr>
      <w:color w:val="2B579A"/>
      <w:shd w:val="clear" w:color="auto" w:fill="E1DFDD"/>
    </w:rPr>
  </w:style>
  <w:style w:type="character" w:styleId="Emphasis">
    <w:name w:val="Emphasis"/>
    <w:basedOn w:val="DefaultParagraphFont"/>
    <w:uiPriority w:val="20"/>
    <w:qFormat/>
    <w:rsid w:val="00407C9E"/>
    <w:rPr>
      <w:rFonts w:asciiTheme="minorHAnsi" w:hAnsiTheme="minorHAnsi"/>
      <w:i/>
      <w:iCs/>
      <w:sz w:val="22"/>
    </w:rPr>
  </w:style>
  <w:style w:type="paragraph" w:styleId="ListBullet">
    <w:name w:val="List Bullet"/>
    <w:basedOn w:val="Normal"/>
    <w:uiPriority w:val="99"/>
    <w:unhideWhenUsed/>
    <w:qFormat/>
    <w:rsid w:val="00C55EDB"/>
    <w:pPr>
      <w:numPr>
        <w:numId w:val="5"/>
      </w:numPr>
      <w:spacing w:before="40" w:after="40"/>
      <w:ind w:left="357" w:hanging="357"/>
    </w:pPr>
  </w:style>
  <w:style w:type="paragraph" w:styleId="Caption">
    <w:name w:val="caption"/>
    <w:next w:val="Normal"/>
    <w:uiPriority w:val="99"/>
    <w:unhideWhenUsed/>
    <w:qFormat/>
    <w:rsid w:val="0099061F"/>
    <w:pPr>
      <w:spacing w:before="60" w:after="60"/>
    </w:pPr>
    <w:rPr>
      <w:iCs/>
      <w:color w:val="2F0331" w:themeColor="text2"/>
      <w:sz w:val="22"/>
      <w:szCs w:val="18"/>
    </w:rPr>
  </w:style>
  <w:style w:type="paragraph" w:customStyle="1" w:styleId="Superscript">
    <w:name w:val="Superscript"/>
    <w:basedOn w:val="Normal"/>
    <w:link w:val="SuperscriptChar"/>
    <w:qFormat/>
    <w:rsid w:val="00373A07"/>
    <w:rPr>
      <w:vertAlign w:val="superscript"/>
    </w:rPr>
  </w:style>
  <w:style w:type="character" w:customStyle="1" w:styleId="SuperscriptChar">
    <w:name w:val="Superscript Char"/>
    <w:basedOn w:val="DefaultParagraphFont"/>
    <w:link w:val="Superscript"/>
    <w:rsid w:val="00373A07"/>
    <w:rPr>
      <w:rFonts w:ascii="Poppins" w:hAnsi="Poppins"/>
      <w:sz w:val="20"/>
      <w:szCs w:val="20"/>
      <w:vertAlign w:val="superscript"/>
    </w:rPr>
  </w:style>
  <w:style w:type="character" w:styleId="Strong">
    <w:name w:val="Strong"/>
    <w:basedOn w:val="DefaultParagraphFont"/>
    <w:uiPriority w:val="22"/>
    <w:qFormat/>
    <w:rsid w:val="00E902E0"/>
    <w:rPr>
      <w:rFonts w:asciiTheme="minorHAnsi" w:hAnsiTheme="minorHAnsi"/>
      <w:b/>
      <w:bCs/>
      <w:sz w:val="22"/>
    </w:rPr>
  </w:style>
  <w:style w:type="character" w:customStyle="1" w:styleId="CoverpagetextChar">
    <w:name w:val="Cover page text Char"/>
    <w:basedOn w:val="SubtitleChar"/>
    <w:link w:val="Coverpagetext"/>
    <w:rsid w:val="0099061F"/>
    <w:rPr>
      <w:rFonts w:ascii="Times New Roman" w:eastAsiaTheme="minorEastAsia" w:hAnsi="Times New Roman" w:cstheme="majorBidi"/>
      <w:kern w:val="28"/>
      <w:sz w:val="4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529730">
      <w:bodyDiv w:val="1"/>
      <w:marLeft w:val="0"/>
      <w:marRight w:val="0"/>
      <w:marTop w:val="0"/>
      <w:marBottom w:val="0"/>
      <w:divBdr>
        <w:top w:val="none" w:sz="0" w:space="0" w:color="auto"/>
        <w:left w:val="none" w:sz="0" w:space="0" w:color="auto"/>
        <w:bottom w:val="none" w:sz="0" w:space="0" w:color="auto"/>
        <w:right w:val="none" w:sz="0" w:space="0" w:color="auto"/>
      </w:divBdr>
    </w:div>
    <w:div w:id="513499910">
      <w:bodyDiv w:val="1"/>
      <w:marLeft w:val="0"/>
      <w:marRight w:val="0"/>
      <w:marTop w:val="0"/>
      <w:marBottom w:val="0"/>
      <w:divBdr>
        <w:top w:val="none" w:sz="0" w:space="0" w:color="auto"/>
        <w:left w:val="none" w:sz="0" w:space="0" w:color="auto"/>
        <w:bottom w:val="none" w:sz="0" w:space="0" w:color="auto"/>
        <w:right w:val="none" w:sz="0" w:space="0" w:color="auto"/>
      </w:divBdr>
    </w:div>
    <w:div w:id="1007058424">
      <w:bodyDiv w:val="1"/>
      <w:marLeft w:val="0"/>
      <w:marRight w:val="0"/>
      <w:marTop w:val="0"/>
      <w:marBottom w:val="0"/>
      <w:divBdr>
        <w:top w:val="none" w:sz="0" w:space="0" w:color="auto"/>
        <w:left w:val="none" w:sz="0" w:space="0" w:color="auto"/>
        <w:bottom w:val="none" w:sz="0" w:space="0" w:color="auto"/>
        <w:right w:val="none" w:sz="0" w:space="0" w:color="auto"/>
      </w:divBdr>
    </w:div>
    <w:div w:id="1471555188">
      <w:bodyDiv w:val="1"/>
      <w:marLeft w:val="0"/>
      <w:marRight w:val="0"/>
      <w:marTop w:val="0"/>
      <w:marBottom w:val="0"/>
      <w:divBdr>
        <w:top w:val="none" w:sz="0" w:space="0" w:color="auto"/>
        <w:left w:val="none" w:sz="0" w:space="0" w:color="auto"/>
        <w:bottom w:val="none" w:sz="0" w:space="0" w:color="auto"/>
        <w:right w:val="none" w:sz="0" w:space="0" w:color="auto"/>
      </w:divBdr>
    </w:div>
    <w:div w:id="1593969629">
      <w:bodyDiv w:val="1"/>
      <w:marLeft w:val="0"/>
      <w:marRight w:val="0"/>
      <w:marTop w:val="0"/>
      <w:marBottom w:val="0"/>
      <w:divBdr>
        <w:top w:val="none" w:sz="0" w:space="0" w:color="auto"/>
        <w:left w:val="none" w:sz="0" w:space="0" w:color="auto"/>
        <w:bottom w:val="none" w:sz="0" w:space="0" w:color="auto"/>
        <w:right w:val="none" w:sz="0" w:space="0" w:color="auto"/>
      </w:divBdr>
    </w:div>
    <w:div w:id="1956403891">
      <w:bodyDiv w:val="1"/>
      <w:marLeft w:val="0"/>
      <w:marRight w:val="0"/>
      <w:marTop w:val="0"/>
      <w:marBottom w:val="0"/>
      <w:divBdr>
        <w:top w:val="none" w:sz="0" w:space="0" w:color="auto"/>
        <w:left w:val="none" w:sz="0" w:space="0" w:color="auto"/>
        <w:bottom w:val="none" w:sz="0" w:space="0" w:color="auto"/>
        <w:right w:val="none" w:sz="0" w:space="0" w:color="auto"/>
      </w:divBdr>
      <w:divsChild>
        <w:div w:id="417823073">
          <w:marLeft w:val="0"/>
          <w:marRight w:val="0"/>
          <w:marTop w:val="0"/>
          <w:marBottom w:val="0"/>
          <w:divBdr>
            <w:top w:val="none" w:sz="0" w:space="0" w:color="auto"/>
            <w:left w:val="none" w:sz="0" w:space="0" w:color="auto"/>
            <w:bottom w:val="none" w:sz="0" w:space="0" w:color="auto"/>
            <w:right w:val="none" w:sz="0" w:space="0" w:color="auto"/>
          </w:divBdr>
        </w:div>
        <w:div w:id="453720404">
          <w:marLeft w:val="0"/>
          <w:marRight w:val="0"/>
          <w:marTop w:val="0"/>
          <w:marBottom w:val="0"/>
          <w:divBdr>
            <w:top w:val="none" w:sz="0" w:space="0" w:color="auto"/>
            <w:left w:val="none" w:sz="0" w:space="0" w:color="auto"/>
            <w:bottom w:val="none" w:sz="0" w:space="0" w:color="auto"/>
            <w:right w:val="none" w:sz="0" w:space="0" w:color="auto"/>
          </w:divBdr>
          <w:divsChild>
            <w:div w:id="2032099866">
              <w:marLeft w:val="300"/>
              <w:marRight w:val="0"/>
              <w:marTop w:val="120"/>
              <w:marBottom w:val="480"/>
              <w:divBdr>
                <w:top w:val="single" w:sz="18" w:space="0" w:color="0A1633"/>
                <w:left w:val="none" w:sz="0" w:space="0" w:color="auto"/>
                <w:bottom w:val="single" w:sz="6" w:space="0" w:color="D7DBE3"/>
                <w:right w:val="none" w:sz="0" w:space="0" w:color="auto"/>
              </w:divBdr>
              <w:divsChild>
                <w:div w:id="628053318">
                  <w:marLeft w:val="0"/>
                  <w:marRight w:val="0"/>
                  <w:marTop w:val="0"/>
                  <w:marBottom w:val="0"/>
                  <w:divBdr>
                    <w:top w:val="none" w:sz="0" w:space="0" w:color="auto"/>
                    <w:left w:val="none" w:sz="0" w:space="0" w:color="auto"/>
                    <w:bottom w:val="none" w:sz="0" w:space="0" w:color="auto"/>
                    <w:right w:val="none" w:sz="0" w:space="0" w:color="auto"/>
                  </w:divBdr>
                  <w:divsChild>
                    <w:div w:id="1163659986">
                      <w:marLeft w:val="0"/>
                      <w:marRight w:val="0"/>
                      <w:marTop w:val="0"/>
                      <w:marBottom w:val="0"/>
                      <w:divBdr>
                        <w:top w:val="none" w:sz="0" w:space="0" w:color="auto"/>
                        <w:left w:val="none" w:sz="0" w:space="0" w:color="auto"/>
                        <w:bottom w:val="none" w:sz="0" w:space="0" w:color="auto"/>
                        <w:right w:val="none" w:sz="0" w:space="0" w:color="auto"/>
                      </w:divBdr>
                      <w:divsChild>
                        <w:div w:id="70741239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76631094">
          <w:marLeft w:val="0"/>
          <w:marRight w:val="0"/>
          <w:marTop w:val="0"/>
          <w:marBottom w:val="0"/>
          <w:divBdr>
            <w:top w:val="none" w:sz="0" w:space="0" w:color="auto"/>
            <w:left w:val="none" w:sz="0" w:space="0" w:color="auto"/>
            <w:bottom w:val="none" w:sz="0" w:space="0" w:color="auto"/>
            <w:right w:val="none" w:sz="0" w:space="0" w:color="auto"/>
          </w:divBdr>
        </w:div>
        <w:div w:id="1119379435">
          <w:marLeft w:val="0"/>
          <w:marRight w:val="0"/>
          <w:marTop w:val="0"/>
          <w:marBottom w:val="0"/>
          <w:divBdr>
            <w:top w:val="none" w:sz="0" w:space="0" w:color="auto"/>
            <w:left w:val="none" w:sz="0" w:space="0" w:color="auto"/>
            <w:bottom w:val="none" w:sz="0" w:space="0" w:color="auto"/>
            <w:right w:val="none" w:sz="0" w:space="0" w:color="auto"/>
          </w:divBdr>
        </w:div>
        <w:div w:id="1626813256">
          <w:marLeft w:val="0"/>
          <w:marRight w:val="0"/>
          <w:marTop w:val="0"/>
          <w:marBottom w:val="0"/>
          <w:divBdr>
            <w:top w:val="none" w:sz="0" w:space="0" w:color="auto"/>
            <w:left w:val="none" w:sz="0" w:space="0" w:color="auto"/>
            <w:bottom w:val="none" w:sz="0" w:space="0" w:color="auto"/>
            <w:right w:val="none" w:sz="0" w:space="0" w:color="auto"/>
          </w:divBdr>
        </w:div>
        <w:div w:id="1652784218">
          <w:marLeft w:val="0"/>
          <w:marRight w:val="0"/>
          <w:marTop w:val="0"/>
          <w:marBottom w:val="0"/>
          <w:divBdr>
            <w:top w:val="none" w:sz="0" w:space="0" w:color="auto"/>
            <w:left w:val="none" w:sz="0" w:space="0" w:color="auto"/>
            <w:bottom w:val="none" w:sz="0" w:space="0" w:color="auto"/>
            <w:right w:val="none" w:sz="0" w:space="0" w:color="auto"/>
          </w:divBdr>
        </w:div>
        <w:div w:id="1853761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health.gov.au/resources/publications/primary-health-networks-phn-mental-health-care-guidance-initial-assessment-and-referral-for-mental-health-care" TargetMode="External"/><Relationship Id="rId2" Type="http://schemas.openxmlformats.org/officeDocument/2006/relationships/hyperlink" Target="https://www.health.gov.au/resources/publications/mental-health-statement-of-rights-and-responsibilities-2012" TargetMode="External"/><Relationship Id="rId1" Type="http://schemas.openxmlformats.org/officeDocument/2006/relationships/hyperlink" Target="https://www.gayaadhuwi.org.au/resources/the-gayaa-dhuwi-proud-spirit-declaration/" TargetMode="External"/><Relationship Id="rId5" Type="http://schemas.openxmlformats.org/officeDocument/2006/relationships/hyperlink" Target="https://docs.pmhc-mds.com/" TargetMode="External"/><Relationship Id="rId4" Type="http://schemas.openxmlformats.org/officeDocument/2006/relationships/hyperlink" Target="https://www.safetyandquality.gov.au/publications-and-resources/resource-library/national-safety-and-quality-digital-mental-health-standar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MHC">
  <a:themeElements>
    <a:clrScheme name="Head to Health">
      <a:dk1>
        <a:srgbClr val="2F0331"/>
      </a:dk1>
      <a:lt1>
        <a:srgbClr val="F9F5F0"/>
      </a:lt1>
      <a:dk2>
        <a:srgbClr val="2F0331"/>
      </a:dk2>
      <a:lt2>
        <a:srgbClr val="F9F5F0"/>
      </a:lt2>
      <a:accent1>
        <a:srgbClr val="DED4F7"/>
      </a:accent1>
      <a:accent2>
        <a:srgbClr val="F6CECF"/>
      </a:accent2>
      <a:accent3>
        <a:srgbClr val="FFDE9B"/>
      </a:accent3>
      <a:accent4>
        <a:srgbClr val="C7F0F4"/>
      </a:accent4>
      <a:accent5>
        <a:srgbClr val="FDD3B3"/>
      </a:accent5>
      <a:accent6>
        <a:srgbClr val="F9F5F0"/>
      </a:accent6>
      <a:hlink>
        <a:srgbClr val="0563C1"/>
      </a:hlink>
      <a:folHlink>
        <a:srgbClr val="954F72"/>
      </a:folHlink>
    </a:clrScheme>
    <a:fontScheme name="Office">
      <a:majorFont>
        <a:latin typeface="Century Gothic"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entury Gothic"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MHC" id="{20705C30-E28B-434D-BB38-52890654FE52}" vid="{E7E9AB10-5500-E749-AF03-00AF65BB6F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2537B059D47E46977A056A06754EDE" ma:contentTypeVersion="14" ma:contentTypeDescription="Create a new document." ma:contentTypeScope="" ma:versionID="7d80dbe81ae3b0f793695eb66e6837e5">
  <xsd:schema xmlns:xsd="http://www.w3.org/2001/XMLSchema" xmlns:xs="http://www.w3.org/2001/XMLSchema" xmlns:p="http://schemas.microsoft.com/office/2006/metadata/properties" xmlns:ns2="01d70efe-f9bd-43d5-ad41-d91d08eab951" xmlns:ns3="0085fb39-5ab5-4b62-817a-30fc9d41f282" targetNamespace="http://schemas.microsoft.com/office/2006/metadata/properties" ma:root="true" ma:fieldsID="3a962cb4515ad91bf64587220c61552e" ns2:_="" ns3:_="">
    <xsd:import namespace="01d70efe-f9bd-43d5-ad41-d91d08eab951"/>
    <xsd:import namespace="0085fb39-5ab5-4b62-817a-30fc9d41f2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70efe-f9bd-43d5-ad41-d91d08eab9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85fb39-5ab5-4b62-817a-30fc9d41f28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1d70efe-f9bd-43d5-ad41-d91d08eab951" xsi:nil="true"/>
    <SharedWithUsers xmlns="0085fb39-5ab5-4b62-817a-30fc9d41f282">
      <UserInfo>
        <DisplayName>Emma McKeown</DisplayName>
        <AccountId>15</AccountId>
        <AccountType/>
      </UserInfo>
      <UserInfo>
        <DisplayName>Jagjit Dhaliwal</DisplayName>
        <AccountId>17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653FDA-FBA1-4DEF-B815-A746A3AF9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d70efe-f9bd-43d5-ad41-d91d08eab951"/>
    <ds:schemaRef ds:uri="0085fb39-5ab5-4b62-817a-30fc9d41f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F8798C-0146-45C3-8E6B-0F36F8CE4E26}">
  <ds:schemaRefs>
    <ds:schemaRef ds:uri="http://schemas.openxmlformats.org/officeDocument/2006/bibliography"/>
  </ds:schemaRefs>
</ds:datastoreItem>
</file>

<file path=customXml/itemProps3.xml><?xml version="1.0" encoding="utf-8"?>
<ds:datastoreItem xmlns:ds="http://schemas.openxmlformats.org/officeDocument/2006/customXml" ds:itemID="{4A0DCC53-ADC3-4734-9B86-C77B8EA5075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85fb39-5ab5-4b62-817a-30fc9d41f282"/>
    <ds:schemaRef ds:uri="http://purl.org/dc/terms/"/>
    <ds:schemaRef ds:uri="01d70efe-f9bd-43d5-ad41-d91d08eab951"/>
    <ds:schemaRef ds:uri="http://www.w3.org/XML/1998/namespace"/>
    <ds:schemaRef ds:uri="http://purl.org/dc/dcmitype/"/>
  </ds:schemaRefs>
</ds:datastoreItem>
</file>

<file path=customXml/itemProps4.xml><?xml version="1.0" encoding="utf-8"?>
<ds:datastoreItem xmlns:ds="http://schemas.openxmlformats.org/officeDocument/2006/customXml" ds:itemID="{1AB14711-4FC7-4130-9738-0787C88852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4913</Words>
  <Characters>27470</Characters>
  <Application>Microsoft Office Word</Application>
  <DocSecurity>0</DocSecurity>
  <Lines>499</Lines>
  <Paragraphs>206</Paragraphs>
  <ScaleCrop>false</ScaleCrop>
  <HeadingPairs>
    <vt:vector size="2" baseType="variant">
      <vt:variant>
        <vt:lpstr>Title</vt:lpstr>
      </vt:variant>
      <vt:variant>
        <vt:i4>1</vt:i4>
      </vt:variant>
    </vt:vector>
  </HeadingPairs>
  <TitlesOfParts>
    <vt:vector size="1" baseType="lpstr">
      <vt:lpstr>National Service Model: Head to Health Assessment and Referral Phone Service</vt:lpstr>
    </vt:vector>
  </TitlesOfParts>
  <Company/>
  <LinksUpToDate>false</LinksUpToDate>
  <CharactersWithSpaces>32177</CharactersWithSpaces>
  <SharedDoc>false</SharedDoc>
  <HLinks>
    <vt:vector size="210" baseType="variant">
      <vt:variant>
        <vt:i4>4718600</vt:i4>
      </vt:variant>
      <vt:variant>
        <vt:i4>132</vt:i4>
      </vt:variant>
      <vt:variant>
        <vt:i4>0</vt:i4>
      </vt:variant>
      <vt:variant>
        <vt:i4>5</vt:i4>
      </vt:variant>
      <vt:variant>
        <vt:lpwstr/>
      </vt:variant>
      <vt:variant>
        <vt:lpwstr>_Monitoring_and_evaluation_1</vt:lpwstr>
      </vt:variant>
      <vt:variant>
        <vt:i4>5570627</vt:i4>
      </vt:variant>
      <vt:variant>
        <vt:i4>129</vt:i4>
      </vt:variant>
      <vt:variant>
        <vt:i4>0</vt:i4>
      </vt:variant>
      <vt:variant>
        <vt:i4>5</vt:i4>
      </vt:variant>
      <vt:variant>
        <vt:lpwstr/>
      </vt:variant>
      <vt:variant>
        <vt:lpwstr>_Appendix_1:_HeadtoHelp_1</vt:lpwstr>
      </vt:variant>
      <vt:variant>
        <vt:i4>2031666</vt:i4>
      </vt:variant>
      <vt:variant>
        <vt:i4>122</vt:i4>
      </vt:variant>
      <vt:variant>
        <vt:i4>0</vt:i4>
      </vt:variant>
      <vt:variant>
        <vt:i4>5</vt:i4>
      </vt:variant>
      <vt:variant>
        <vt:lpwstr/>
      </vt:variant>
      <vt:variant>
        <vt:lpwstr>_Toc104907764</vt:lpwstr>
      </vt:variant>
      <vt:variant>
        <vt:i4>2031666</vt:i4>
      </vt:variant>
      <vt:variant>
        <vt:i4>116</vt:i4>
      </vt:variant>
      <vt:variant>
        <vt:i4>0</vt:i4>
      </vt:variant>
      <vt:variant>
        <vt:i4>5</vt:i4>
      </vt:variant>
      <vt:variant>
        <vt:lpwstr/>
      </vt:variant>
      <vt:variant>
        <vt:lpwstr>_Toc104907763</vt:lpwstr>
      </vt:variant>
      <vt:variant>
        <vt:i4>2031666</vt:i4>
      </vt:variant>
      <vt:variant>
        <vt:i4>110</vt:i4>
      </vt:variant>
      <vt:variant>
        <vt:i4>0</vt:i4>
      </vt:variant>
      <vt:variant>
        <vt:i4>5</vt:i4>
      </vt:variant>
      <vt:variant>
        <vt:lpwstr/>
      </vt:variant>
      <vt:variant>
        <vt:lpwstr>_Toc104907762</vt:lpwstr>
      </vt:variant>
      <vt:variant>
        <vt:i4>2031666</vt:i4>
      </vt:variant>
      <vt:variant>
        <vt:i4>104</vt:i4>
      </vt:variant>
      <vt:variant>
        <vt:i4>0</vt:i4>
      </vt:variant>
      <vt:variant>
        <vt:i4>5</vt:i4>
      </vt:variant>
      <vt:variant>
        <vt:lpwstr/>
      </vt:variant>
      <vt:variant>
        <vt:lpwstr>_Toc104907761</vt:lpwstr>
      </vt:variant>
      <vt:variant>
        <vt:i4>2031666</vt:i4>
      </vt:variant>
      <vt:variant>
        <vt:i4>98</vt:i4>
      </vt:variant>
      <vt:variant>
        <vt:i4>0</vt:i4>
      </vt:variant>
      <vt:variant>
        <vt:i4>5</vt:i4>
      </vt:variant>
      <vt:variant>
        <vt:lpwstr/>
      </vt:variant>
      <vt:variant>
        <vt:lpwstr>_Toc104907760</vt:lpwstr>
      </vt:variant>
      <vt:variant>
        <vt:i4>1835058</vt:i4>
      </vt:variant>
      <vt:variant>
        <vt:i4>92</vt:i4>
      </vt:variant>
      <vt:variant>
        <vt:i4>0</vt:i4>
      </vt:variant>
      <vt:variant>
        <vt:i4>5</vt:i4>
      </vt:variant>
      <vt:variant>
        <vt:lpwstr/>
      </vt:variant>
      <vt:variant>
        <vt:lpwstr>_Toc104907759</vt:lpwstr>
      </vt:variant>
      <vt:variant>
        <vt:i4>1835058</vt:i4>
      </vt:variant>
      <vt:variant>
        <vt:i4>86</vt:i4>
      </vt:variant>
      <vt:variant>
        <vt:i4>0</vt:i4>
      </vt:variant>
      <vt:variant>
        <vt:i4>5</vt:i4>
      </vt:variant>
      <vt:variant>
        <vt:lpwstr/>
      </vt:variant>
      <vt:variant>
        <vt:lpwstr>_Toc104907758</vt:lpwstr>
      </vt:variant>
      <vt:variant>
        <vt:i4>1835058</vt:i4>
      </vt:variant>
      <vt:variant>
        <vt:i4>80</vt:i4>
      </vt:variant>
      <vt:variant>
        <vt:i4>0</vt:i4>
      </vt:variant>
      <vt:variant>
        <vt:i4>5</vt:i4>
      </vt:variant>
      <vt:variant>
        <vt:lpwstr/>
      </vt:variant>
      <vt:variant>
        <vt:lpwstr>_Toc104907757</vt:lpwstr>
      </vt:variant>
      <vt:variant>
        <vt:i4>1835058</vt:i4>
      </vt:variant>
      <vt:variant>
        <vt:i4>74</vt:i4>
      </vt:variant>
      <vt:variant>
        <vt:i4>0</vt:i4>
      </vt:variant>
      <vt:variant>
        <vt:i4>5</vt:i4>
      </vt:variant>
      <vt:variant>
        <vt:lpwstr/>
      </vt:variant>
      <vt:variant>
        <vt:lpwstr>_Toc104907756</vt:lpwstr>
      </vt:variant>
      <vt:variant>
        <vt:i4>1835058</vt:i4>
      </vt:variant>
      <vt:variant>
        <vt:i4>68</vt:i4>
      </vt:variant>
      <vt:variant>
        <vt:i4>0</vt:i4>
      </vt:variant>
      <vt:variant>
        <vt:i4>5</vt:i4>
      </vt:variant>
      <vt:variant>
        <vt:lpwstr/>
      </vt:variant>
      <vt:variant>
        <vt:lpwstr>_Toc104907755</vt:lpwstr>
      </vt:variant>
      <vt:variant>
        <vt:i4>1835058</vt:i4>
      </vt:variant>
      <vt:variant>
        <vt:i4>62</vt:i4>
      </vt:variant>
      <vt:variant>
        <vt:i4>0</vt:i4>
      </vt:variant>
      <vt:variant>
        <vt:i4>5</vt:i4>
      </vt:variant>
      <vt:variant>
        <vt:lpwstr/>
      </vt:variant>
      <vt:variant>
        <vt:lpwstr>_Toc104907754</vt:lpwstr>
      </vt:variant>
      <vt:variant>
        <vt:i4>1835058</vt:i4>
      </vt:variant>
      <vt:variant>
        <vt:i4>56</vt:i4>
      </vt:variant>
      <vt:variant>
        <vt:i4>0</vt:i4>
      </vt:variant>
      <vt:variant>
        <vt:i4>5</vt:i4>
      </vt:variant>
      <vt:variant>
        <vt:lpwstr/>
      </vt:variant>
      <vt:variant>
        <vt:lpwstr>_Toc104907753</vt:lpwstr>
      </vt:variant>
      <vt:variant>
        <vt:i4>1835058</vt:i4>
      </vt:variant>
      <vt:variant>
        <vt:i4>50</vt:i4>
      </vt:variant>
      <vt:variant>
        <vt:i4>0</vt:i4>
      </vt:variant>
      <vt:variant>
        <vt:i4>5</vt:i4>
      </vt:variant>
      <vt:variant>
        <vt:lpwstr/>
      </vt:variant>
      <vt:variant>
        <vt:lpwstr>_Toc104907752</vt:lpwstr>
      </vt:variant>
      <vt:variant>
        <vt:i4>1835058</vt:i4>
      </vt:variant>
      <vt:variant>
        <vt:i4>44</vt:i4>
      </vt:variant>
      <vt:variant>
        <vt:i4>0</vt:i4>
      </vt:variant>
      <vt:variant>
        <vt:i4>5</vt:i4>
      </vt:variant>
      <vt:variant>
        <vt:lpwstr/>
      </vt:variant>
      <vt:variant>
        <vt:lpwstr>_Toc104907751</vt:lpwstr>
      </vt:variant>
      <vt:variant>
        <vt:i4>1835058</vt:i4>
      </vt:variant>
      <vt:variant>
        <vt:i4>38</vt:i4>
      </vt:variant>
      <vt:variant>
        <vt:i4>0</vt:i4>
      </vt:variant>
      <vt:variant>
        <vt:i4>5</vt:i4>
      </vt:variant>
      <vt:variant>
        <vt:lpwstr/>
      </vt:variant>
      <vt:variant>
        <vt:lpwstr>_Toc104907750</vt:lpwstr>
      </vt:variant>
      <vt:variant>
        <vt:i4>1900594</vt:i4>
      </vt:variant>
      <vt:variant>
        <vt:i4>32</vt:i4>
      </vt:variant>
      <vt:variant>
        <vt:i4>0</vt:i4>
      </vt:variant>
      <vt:variant>
        <vt:i4>5</vt:i4>
      </vt:variant>
      <vt:variant>
        <vt:lpwstr/>
      </vt:variant>
      <vt:variant>
        <vt:lpwstr>_Toc104907749</vt:lpwstr>
      </vt:variant>
      <vt:variant>
        <vt:i4>1900594</vt:i4>
      </vt:variant>
      <vt:variant>
        <vt:i4>26</vt:i4>
      </vt:variant>
      <vt:variant>
        <vt:i4>0</vt:i4>
      </vt:variant>
      <vt:variant>
        <vt:i4>5</vt:i4>
      </vt:variant>
      <vt:variant>
        <vt:lpwstr/>
      </vt:variant>
      <vt:variant>
        <vt:lpwstr>_Toc104907748</vt:lpwstr>
      </vt:variant>
      <vt:variant>
        <vt:i4>1900594</vt:i4>
      </vt:variant>
      <vt:variant>
        <vt:i4>20</vt:i4>
      </vt:variant>
      <vt:variant>
        <vt:i4>0</vt:i4>
      </vt:variant>
      <vt:variant>
        <vt:i4>5</vt:i4>
      </vt:variant>
      <vt:variant>
        <vt:lpwstr/>
      </vt:variant>
      <vt:variant>
        <vt:lpwstr>_Toc104907747</vt:lpwstr>
      </vt:variant>
      <vt:variant>
        <vt:i4>1900594</vt:i4>
      </vt:variant>
      <vt:variant>
        <vt:i4>14</vt:i4>
      </vt:variant>
      <vt:variant>
        <vt:i4>0</vt:i4>
      </vt:variant>
      <vt:variant>
        <vt:i4>5</vt:i4>
      </vt:variant>
      <vt:variant>
        <vt:lpwstr/>
      </vt:variant>
      <vt:variant>
        <vt:lpwstr>_Toc104907746</vt:lpwstr>
      </vt:variant>
      <vt:variant>
        <vt:i4>1900594</vt:i4>
      </vt:variant>
      <vt:variant>
        <vt:i4>8</vt:i4>
      </vt:variant>
      <vt:variant>
        <vt:i4>0</vt:i4>
      </vt:variant>
      <vt:variant>
        <vt:i4>5</vt:i4>
      </vt:variant>
      <vt:variant>
        <vt:lpwstr/>
      </vt:variant>
      <vt:variant>
        <vt:lpwstr>_Toc104907745</vt:lpwstr>
      </vt:variant>
      <vt:variant>
        <vt:i4>1900594</vt:i4>
      </vt:variant>
      <vt:variant>
        <vt:i4>2</vt:i4>
      </vt:variant>
      <vt:variant>
        <vt:i4>0</vt:i4>
      </vt:variant>
      <vt:variant>
        <vt:i4>5</vt:i4>
      </vt:variant>
      <vt:variant>
        <vt:lpwstr/>
      </vt:variant>
      <vt:variant>
        <vt:lpwstr>_Toc104907744</vt:lpwstr>
      </vt:variant>
      <vt:variant>
        <vt:i4>8060954</vt:i4>
      </vt:variant>
      <vt:variant>
        <vt:i4>15</vt:i4>
      </vt:variant>
      <vt:variant>
        <vt:i4>0</vt:i4>
      </vt:variant>
      <vt:variant>
        <vt:i4>5</vt:i4>
      </vt:variant>
      <vt:variant>
        <vt:lpwstr>http://rcvmhs.archive.royalcommission.vic.gov.au/Anonymous_461.pdf</vt:lpwstr>
      </vt:variant>
      <vt:variant>
        <vt:lpwstr/>
      </vt:variant>
      <vt:variant>
        <vt:i4>3276919</vt:i4>
      </vt:variant>
      <vt:variant>
        <vt:i4>12</vt:i4>
      </vt:variant>
      <vt:variant>
        <vt:i4>0</vt:i4>
      </vt:variant>
      <vt:variant>
        <vt:i4>5</vt:i4>
      </vt:variant>
      <vt:variant>
        <vt:lpwstr>https://docs.pmhc-mds.com/</vt:lpwstr>
      </vt:variant>
      <vt:variant>
        <vt:lpwstr/>
      </vt:variant>
      <vt:variant>
        <vt:i4>3145833</vt:i4>
      </vt:variant>
      <vt:variant>
        <vt:i4>9</vt:i4>
      </vt:variant>
      <vt:variant>
        <vt:i4>0</vt:i4>
      </vt:variant>
      <vt:variant>
        <vt:i4>5</vt:i4>
      </vt:variant>
      <vt:variant>
        <vt:lpwstr>https://www.safetyandquality.gov.au/publications-and-resources/resource-library/national-safety-and-quality-digital-mental-health-standards</vt:lpwstr>
      </vt:variant>
      <vt:variant>
        <vt:lpwstr/>
      </vt:variant>
      <vt:variant>
        <vt:i4>4063277</vt:i4>
      </vt:variant>
      <vt:variant>
        <vt:i4>6</vt:i4>
      </vt:variant>
      <vt:variant>
        <vt:i4>0</vt:i4>
      </vt:variant>
      <vt:variant>
        <vt:i4>5</vt:i4>
      </vt:variant>
      <vt:variant>
        <vt:lpwstr>https://www.health.gov.au/resources/publications/primary-health-networks-phn-mental-health-care-guidance-initial-assessment-and-referral-for-mental-health-care</vt:lpwstr>
      </vt:variant>
      <vt:variant>
        <vt:lpwstr/>
      </vt:variant>
      <vt:variant>
        <vt:i4>393232</vt:i4>
      </vt:variant>
      <vt:variant>
        <vt:i4>3</vt:i4>
      </vt:variant>
      <vt:variant>
        <vt:i4>0</vt:i4>
      </vt:variant>
      <vt:variant>
        <vt:i4>5</vt:i4>
      </vt:variant>
      <vt:variant>
        <vt:lpwstr>https://www.health.gov.au/resources/publications/mental-health-statement-of-rights-and-responsibilities-2012</vt:lpwstr>
      </vt:variant>
      <vt:variant>
        <vt:lpwstr/>
      </vt:variant>
      <vt:variant>
        <vt:i4>4325392</vt:i4>
      </vt:variant>
      <vt:variant>
        <vt:i4>0</vt:i4>
      </vt:variant>
      <vt:variant>
        <vt:i4>0</vt:i4>
      </vt:variant>
      <vt:variant>
        <vt:i4>5</vt:i4>
      </vt:variant>
      <vt:variant>
        <vt:lpwstr>https://www.gayaadhuwi.org.au/resources/the-gayaa-dhuwi-proud-spirit-declaration/</vt:lpwstr>
      </vt:variant>
      <vt:variant>
        <vt:lpwstr/>
      </vt:variant>
      <vt:variant>
        <vt:i4>7667800</vt:i4>
      </vt:variant>
      <vt:variant>
        <vt:i4>15</vt:i4>
      </vt:variant>
      <vt:variant>
        <vt:i4>0</vt:i4>
      </vt:variant>
      <vt:variant>
        <vt:i4>5</vt:i4>
      </vt:variant>
      <vt:variant>
        <vt:lpwstr>mailto:Emma.McKeown@nwmphn.org.au</vt:lpwstr>
      </vt:variant>
      <vt:variant>
        <vt:lpwstr/>
      </vt:variant>
      <vt:variant>
        <vt:i4>7667800</vt:i4>
      </vt:variant>
      <vt:variant>
        <vt:i4>12</vt:i4>
      </vt:variant>
      <vt:variant>
        <vt:i4>0</vt:i4>
      </vt:variant>
      <vt:variant>
        <vt:i4>5</vt:i4>
      </vt:variant>
      <vt:variant>
        <vt:lpwstr>mailto:Emma.McKeown@nwmphn.org.au</vt:lpwstr>
      </vt:variant>
      <vt:variant>
        <vt:lpwstr/>
      </vt:variant>
      <vt:variant>
        <vt:i4>2228227</vt:i4>
      </vt:variant>
      <vt:variant>
        <vt:i4>9</vt:i4>
      </vt:variant>
      <vt:variant>
        <vt:i4>0</vt:i4>
      </vt:variant>
      <vt:variant>
        <vt:i4>5</vt:i4>
      </vt:variant>
      <vt:variant>
        <vt:lpwstr>mailto:jag.dhaliwal@nwmphn.org.au</vt:lpwstr>
      </vt:variant>
      <vt:variant>
        <vt:lpwstr/>
      </vt:variant>
      <vt:variant>
        <vt:i4>7667800</vt:i4>
      </vt:variant>
      <vt:variant>
        <vt:i4>6</vt:i4>
      </vt:variant>
      <vt:variant>
        <vt:i4>0</vt:i4>
      </vt:variant>
      <vt:variant>
        <vt:i4>5</vt:i4>
      </vt:variant>
      <vt:variant>
        <vt:lpwstr>mailto:Emma.McKeown@nwmphn.org.au</vt:lpwstr>
      </vt:variant>
      <vt:variant>
        <vt:lpwstr/>
      </vt:variant>
      <vt:variant>
        <vt:i4>7667800</vt:i4>
      </vt:variant>
      <vt:variant>
        <vt:i4>3</vt:i4>
      </vt:variant>
      <vt:variant>
        <vt:i4>0</vt:i4>
      </vt:variant>
      <vt:variant>
        <vt:i4>5</vt:i4>
      </vt:variant>
      <vt:variant>
        <vt:lpwstr>mailto:Emma.McKeown@nwmphn.org.au</vt:lpwstr>
      </vt:variant>
      <vt:variant>
        <vt:lpwstr/>
      </vt:variant>
      <vt:variant>
        <vt:i4>7667800</vt:i4>
      </vt:variant>
      <vt:variant>
        <vt:i4>0</vt:i4>
      </vt:variant>
      <vt:variant>
        <vt:i4>0</vt:i4>
      </vt:variant>
      <vt:variant>
        <vt:i4>5</vt:i4>
      </vt:variant>
      <vt:variant>
        <vt:lpwstr>mailto:Emma.McKeown@nwmphn.org.au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Service Model: Head to Health Assessment and Referral Phone Service</dc:title>
  <dc:subject>Mental health</dc:subject>
  <dc:creator>Australian Government Department of Health and Aged Care</dc:creator>
  <cp:keywords>mental health; service navigation; helpline; Head to health;</cp:keywords>
  <dc:description/>
  <cp:lastModifiedBy>MASCHKE, Elvia</cp:lastModifiedBy>
  <cp:revision>3</cp:revision>
  <cp:lastPrinted>2022-07-07T04:40:00Z</cp:lastPrinted>
  <dcterms:created xsi:type="dcterms:W3CDTF">2022-07-08T05:05:00Z</dcterms:created>
  <dcterms:modified xsi:type="dcterms:W3CDTF">2022-07-08T05:07:00Z</dcterms:modified>
</cp:coreProperties>
</file>