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D3175" w14:textId="56A5B54D" w:rsidR="00414421" w:rsidRPr="004B61AD" w:rsidRDefault="0030234D" w:rsidP="004B61AD">
      <w:pPr>
        <w:pStyle w:val="Title"/>
      </w:pPr>
      <w:r w:rsidRPr="000C4D94">
        <w:t xml:space="preserve">Modelled analysis of </w:t>
      </w:r>
      <w:r w:rsidR="000C4D94" w:rsidRPr="000C4D94">
        <w:t>hypothetical</w:t>
      </w:r>
      <w:r w:rsidRPr="000C4D94">
        <w:t xml:space="preserve"> impacts of COVID-19 related disruptions to the National Bowel Cancer Screening Program</w:t>
      </w:r>
    </w:p>
    <w:p w14:paraId="13E7D3EC" w14:textId="7409C76B" w:rsidR="004B61AD" w:rsidRPr="004B61AD" w:rsidRDefault="004B61AD" w:rsidP="004B61AD">
      <w:pPr>
        <w:pStyle w:val="Subtitle"/>
        <w:spacing w:before="5880"/>
      </w:pPr>
      <w:r w:rsidRPr="004B61AD">
        <w:t>01 May 2020</w:t>
      </w:r>
    </w:p>
    <w:p w14:paraId="668B2CEB" w14:textId="65B2B572" w:rsidR="00D41284" w:rsidRPr="004B61AD" w:rsidRDefault="00D41284" w:rsidP="004B61AD">
      <w:pPr>
        <w:pStyle w:val="Subtitle"/>
        <w:spacing w:before="120"/>
      </w:pPr>
      <w:r w:rsidRPr="004B61AD">
        <w:t>Gastrointestinal Group</w:t>
      </w:r>
    </w:p>
    <w:p w14:paraId="044713CF" w14:textId="77777777" w:rsidR="00D41284" w:rsidRPr="004B61AD" w:rsidRDefault="00D41284" w:rsidP="004B61AD">
      <w:pPr>
        <w:pStyle w:val="Subtitle"/>
        <w:spacing w:before="120"/>
      </w:pPr>
      <w:r w:rsidRPr="004B61AD">
        <w:t>Cancer Research Division</w:t>
      </w:r>
    </w:p>
    <w:p w14:paraId="35CF96E9" w14:textId="77777777" w:rsidR="00D41284" w:rsidRPr="004B61AD" w:rsidRDefault="00D41284" w:rsidP="004B61AD">
      <w:pPr>
        <w:pStyle w:val="Subtitle"/>
        <w:spacing w:before="120"/>
      </w:pPr>
      <w:r w:rsidRPr="004B61AD">
        <w:t>Cancer Council New South Wales</w:t>
      </w:r>
    </w:p>
    <w:p w14:paraId="77DD30A6" w14:textId="77777777" w:rsidR="00D41284" w:rsidRPr="004B61AD" w:rsidRDefault="00D41284" w:rsidP="00D41284">
      <w:pPr>
        <w:spacing w:after="0"/>
        <w:rPr>
          <w:rStyle w:val="SubtleReference"/>
        </w:rPr>
      </w:pPr>
      <w:r w:rsidRPr="004B61AD">
        <w:rPr>
          <w:rStyle w:val="SubtleReference"/>
        </w:rPr>
        <w:t xml:space="preserve">Suggested citation: Worthington J, Lew JB, </w:t>
      </w:r>
      <w:proofErr w:type="spellStart"/>
      <w:r w:rsidRPr="004B61AD">
        <w:rPr>
          <w:rStyle w:val="SubtleReference"/>
        </w:rPr>
        <w:t>Canfell</w:t>
      </w:r>
      <w:proofErr w:type="spellEnd"/>
      <w:r w:rsidRPr="004B61AD">
        <w:rPr>
          <w:rStyle w:val="SubtleReference"/>
        </w:rPr>
        <w:t xml:space="preserve"> K, and </w:t>
      </w:r>
      <w:proofErr w:type="spellStart"/>
      <w:r w:rsidRPr="004B61AD">
        <w:rPr>
          <w:rStyle w:val="SubtleReference"/>
        </w:rPr>
        <w:t>Feletto</w:t>
      </w:r>
      <w:proofErr w:type="spellEnd"/>
      <w:r w:rsidRPr="004B61AD">
        <w:rPr>
          <w:rStyle w:val="SubtleReference"/>
        </w:rPr>
        <w:t xml:space="preserve"> E. Modelled analysis of potential hypothetical impacts of COVID-19 related disruptions on the National Bowel Cancer Screening Program. Report to the Department of Health (May 2020)</w:t>
      </w:r>
    </w:p>
    <w:p w14:paraId="44E0B077" w14:textId="03723129" w:rsidR="00D41284" w:rsidRDefault="00D41284">
      <w:r>
        <w:br w:type="page"/>
      </w:r>
    </w:p>
    <w:p w14:paraId="555F2D2B" w14:textId="77777777" w:rsidR="006D5A7D" w:rsidRPr="008B213B" w:rsidRDefault="006D5A7D" w:rsidP="008B213B">
      <w:pPr>
        <w:pStyle w:val="Heading1"/>
      </w:pPr>
      <w:r>
        <w:lastRenderedPageBreak/>
        <w:t>Executive Summary</w:t>
      </w:r>
    </w:p>
    <w:p w14:paraId="3F54B864" w14:textId="559F16F1" w:rsidR="003F332A" w:rsidRPr="004866BE" w:rsidRDefault="003F332A" w:rsidP="008B213B">
      <w:r w:rsidRPr="004866BE">
        <w:t>In the current context of the COVID-19 pandemic in Australia, various health services have been disrupted</w:t>
      </w:r>
      <w:r w:rsidR="1623D146" w:rsidRPr="004866BE">
        <w:t xml:space="preserve"> including cancer screening</w:t>
      </w:r>
      <w:r w:rsidRPr="004866BE">
        <w:t>. The National Bowel Cancer Screening Program (NBCSP) provides biennial immunochemical faecal occult blood test (</w:t>
      </w:r>
      <w:proofErr w:type="spellStart"/>
      <w:r w:rsidRPr="004866BE">
        <w:t>iFOBT</w:t>
      </w:r>
      <w:proofErr w:type="spellEnd"/>
      <w:r w:rsidRPr="004866BE">
        <w:t xml:space="preserve">) screening to all Australians aged 50 to 74 years via mail. The screening kit is used at home and, if positive, a follow-up colonoscopy is required for further investigation. Sending screening kits to eligible Australians </w:t>
      </w:r>
      <w:r w:rsidR="7CDD329A" w:rsidRPr="004866BE">
        <w:t>ha</w:t>
      </w:r>
      <w:r w:rsidR="155280D3" w:rsidRPr="004866BE">
        <w:t>d</w:t>
      </w:r>
      <w:r w:rsidRPr="004866BE">
        <w:t xml:space="preserve"> not been halted </w:t>
      </w:r>
      <w:r w:rsidR="3A90D9E0" w:rsidRPr="004866BE">
        <w:t xml:space="preserve">as </w:t>
      </w:r>
      <w:proofErr w:type="gramStart"/>
      <w:r w:rsidR="3A90D9E0" w:rsidRPr="004866BE">
        <w:t>at</w:t>
      </w:r>
      <w:proofErr w:type="gramEnd"/>
      <w:r w:rsidR="3A90D9E0" w:rsidRPr="004866BE">
        <w:t xml:space="preserve"> </w:t>
      </w:r>
      <w:r w:rsidR="00414421" w:rsidRPr="004866BE">
        <w:t>1</w:t>
      </w:r>
      <w:r w:rsidR="00414421" w:rsidRPr="004866BE">
        <w:rPr>
          <w:vertAlign w:val="superscript"/>
        </w:rPr>
        <w:t>st</w:t>
      </w:r>
      <w:r w:rsidR="00414421" w:rsidRPr="004866BE">
        <w:t xml:space="preserve"> May</w:t>
      </w:r>
      <w:r w:rsidR="3A90D9E0" w:rsidRPr="004866BE">
        <w:t xml:space="preserve"> 2020</w:t>
      </w:r>
      <w:r w:rsidR="5DF29493" w:rsidRPr="004866BE">
        <w:t xml:space="preserve">. </w:t>
      </w:r>
      <w:r w:rsidR="00E021B3" w:rsidRPr="004866BE">
        <w:t>Despite this,</w:t>
      </w:r>
      <w:r w:rsidRPr="004866BE">
        <w:t xml:space="preserve"> concern</w:t>
      </w:r>
      <w:r w:rsidR="00E021B3" w:rsidRPr="004866BE">
        <w:t>s</w:t>
      </w:r>
      <w:r w:rsidRPr="004866BE">
        <w:t xml:space="preserve"> </w:t>
      </w:r>
      <w:r w:rsidR="00E021B3" w:rsidRPr="004866BE">
        <w:t>have</w:t>
      </w:r>
      <w:r w:rsidRPr="004866BE">
        <w:t xml:space="preserve"> been expressed regarding </w:t>
      </w:r>
      <w:r w:rsidR="00E021B3" w:rsidRPr="004866BE">
        <w:t xml:space="preserve">the access, </w:t>
      </w:r>
      <w:proofErr w:type="gramStart"/>
      <w:r w:rsidR="00E021B3" w:rsidRPr="004866BE">
        <w:t>availability</w:t>
      </w:r>
      <w:proofErr w:type="gramEnd"/>
      <w:r w:rsidR="00E021B3" w:rsidRPr="004866BE">
        <w:t xml:space="preserve"> and willingness to undertake colonoscopies during the pandemic</w:t>
      </w:r>
      <w:r w:rsidRPr="004866BE">
        <w:t xml:space="preserve">. As such, there has been some disruption to the NBCSP </w:t>
      </w:r>
      <w:r w:rsidR="672D66DB" w:rsidRPr="004866BE">
        <w:t>through its</w:t>
      </w:r>
      <w:r w:rsidRPr="004866BE">
        <w:t xml:space="preserve"> follow-up function</w:t>
      </w:r>
      <w:r w:rsidR="6C1865ED" w:rsidRPr="004866BE">
        <w:t>,</w:t>
      </w:r>
      <w:r w:rsidRPr="004866BE">
        <w:t xml:space="preserve"> but no pause has been put in place at a national level to the sending of screening kits to eligible Australians. </w:t>
      </w:r>
      <w:r w:rsidR="54C5E3B9" w:rsidRPr="004866BE">
        <w:t>However</w:t>
      </w:r>
      <w:r w:rsidRPr="004866BE">
        <w:t xml:space="preserve">, a range of </w:t>
      </w:r>
      <w:r w:rsidR="0034776C" w:rsidRPr="004866BE">
        <w:t xml:space="preserve">COVID-19 related hypothetical disruptions </w:t>
      </w:r>
      <w:r w:rsidRPr="004866BE">
        <w:t>to the NBCSP have been modelled.</w:t>
      </w:r>
    </w:p>
    <w:p w14:paraId="3032B224" w14:textId="77777777" w:rsidR="003F332A" w:rsidRPr="004866BE" w:rsidRDefault="5100D05B" w:rsidP="5956609B">
      <w:pPr>
        <w:rPr>
          <w:rFonts w:eastAsia="Calibri"/>
        </w:rPr>
      </w:pPr>
      <w:r w:rsidRPr="004866BE">
        <w:t xml:space="preserve">This report outlines the results of modelling which estimate the impact of COVID-19 related hypothetical disruptions to the NBCSP using </w:t>
      </w:r>
      <w:r w:rsidRPr="004866BE">
        <w:rPr>
          <w:i/>
        </w:rPr>
        <w:t>Policy1-Bowel</w:t>
      </w:r>
      <w:r w:rsidRPr="004866BE">
        <w:t>, a calibrated and validated colorectal cancer</w:t>
      </w:r>
      <w:r w:rsidR="564240CE" w:rsidRPr="004866BE">
        <w:t xml:space="preserve"> (CRC)</w:t>
      </w:r>
      <w:r w:rsidRPr="004866BE">
        <w:t xml:space="preserve"> natural history </w:t>
      </w:r>
      <w:r w:rsidR="0034776C" w:rsidRPr="004866BE">
        <w:t xml:space="preserve">microsimulation </w:t>
      </w:r>
      <w:r w:rsidRPr="004866BE">
        <w:t xml:space="preserve">model. </w:t>
      </w:r>
      <w:r w:rsidR="1D73A15E" w:rsidRPr="004866BE">
        <w:rPr>
          <w:rFonts w:eastAsia="Calibri"/>
        </w:rPr>
        <w:t xml:space="preserve">The model simulates the </w:t>
      </w:r>
      <w:r w:rsidR="3426D1C0" w:rsidRPr="004866BE">
        <w:rPr>
          <w:rFonts w:eastAsia="Calibri"/>
        </w:rPr>
        <w:t>current</w:t>
      </w:r>
      <w:r w:rsidR="1D73A15E" w:rsidRPr="004866BE">
        <w:rPr>
          <w:rFonts w:eastAsia="Calibri"/>
        </w:rPr>
        <w:t xml:space="preserve"> NBCSP </w:t>
      </w:r>
      <w:r w:rsidR="6639CCC8" w:rsidRPr="004866BE">
        <w:rPr>
          <w:rFonts w:eastAsia="Calibri"/>
        </w:rPr>
        <w:t xml:space="preserve">using, </w:t>
      </w:r>
      <w:r w:rsidR="6639CCC8" w:rsidRPr="004866BE">
        <w:rPr>
          <w:rFonts w:eastAsia="Calibri"/>
          <w:i/>
        </w:rPr>
        <w:t xml:space="preserve">inter alia, </w:t>
      </w:r>
      <w:r w:rsidR="6639CCC8" w:rsidRPr="004866BE">
        <w:rPr>
          <w:rFonts w:eastAsia="Calibri"/>
        </w:rPr>
        <w:t>published</w:t>
      </w:r>
      <w:r w:rsidR="1D73A15E" w:rsidRPr="004866BE">
        <w:rPr>
          <w:rFonts w:eastAsia="Calibri"/>
        </w:rPr>
        <w:t xml:space="preserve"> data on participation and follow-up colonoscopy compliance </w:t>
      </w:r>
      <w:r w:rsidR="01375FE7" w:rsidRPr="004866BE">
        <w:rPr>
          <w:rFonts w:eastAsia="Calibri"/>
        </w:rPr>
        <w:t>rates continuing</w:t>
      </w:r>
      <w:r w:rsidR="62949394" w:rsidRPr="004866BE">
        <w:rPr>
          <w:rFonts w:eastAsia="Calibri"/>
        </w:rPr>
        <w:t xml:space="preserve"> uninterrupted </w:t>
      </w:r>
      <w:r w:rsidR="1D73A15E" w:rsidRPr="004866BE">
        <w:rPr>
          <w:rFonts w:eastAsia="Calibri"/>
        </w:rPr>
        <w:t>(</w:t>
      </w:r>
      <w:proofErr w:type="gramStart"/>
      <w:r w:rsidR="1D73A15E" w:rsidRPr="004866BE">
        <w:rPr>
          <w:rFonts w:eastAsia="Calibri"/>
        </w:rPr>
        <w:t>i.e.</w:t>
      </w:r>
      <w:proofErr w:type="gramEnd"/>
      <w:r w:rsidR="1D73A15E" w:rsidRPr="004866BE">
        <w:rPr>
          <w:rFonts w:eastAsia="Calibri"/>
        </w:rPr>
        <w:t xml:space="preserve"> the comparator). Alternative </w:t>
      </w:r>
      <w:r w:rsidR="307149EB" w:rsidRPr="004866BE">
        <w:rPr>
          <w:rFonts w:eastAsia="Calibri"/>
        </w:rPr>
        <w:t xml:space="preserve">scenarios </w:t>
      </w:r>
      <w:r w:rsidR="74DA7163" w:rsidRPr="004866BE">
        <w:rPr>
          <w:rFonts w:eastAsia="Calibri"/>
        </w:rPr>
        <w:t xml:space="preserve">have been modelled </w:t>
      </w:r>
      <w:r w:rsidR="1D73A15E" w:rsidRPr="004866BE">
        <w:rPr>
          <w:rFonts w:eastAsia="Calibri"/>
        </w:rPr>
        <w:t>assuming hypothetical NBCSP disruption</w:t>
      </w:r>
      <w:r w:rsidR="48645AA9" w:rsidRPr="004866BE">
        <w:rPr>
          <w:rFonts w:eastAsia="Calibri"/>
        </w:rPr>
        <w:t>s</w:t>
      </w:r>
      <w:r w:rsidR="1D73A15E" w:rsidRPr="004866BE">
        <w:rPr>
          <w:rFonts w:eastAsia="Calibri"/>
        </w:rPr>
        <w:t xml:space="preserve"> of 3, 6 or 12 months, with or without a recovery period of reduced participation rates, and with or without </w:t>
      </w:r>
      <w:r w:rsidR="6F31CEAC" w:rsidRPr="004866BE">
        <w:rPr>
          <w:rFonts w:eastAsia="Calibri"/>
        </w:rPr>
        <w:t xml:space="preserve">comprehensive </w:t>
      </w:r>
      <w:r w:rsidR="1D73A15E" w:rsidRPr="004866BE">
        <w:rPr>
          <w:rFonts w:eastAsia="Calibri"/>
        </w:rPr>
        <w:t xml:space="preserve">catch-up </w:t>
      </w:r>
      <w:r w:rsidR="3C1217ED" w:rsidRPr="004866BE">
        <w:rPr>
          <w:rFonts w:eastAsia="Calibri"/>
        </w:rPr>
        <w:t xml:space="preserve">strategies </w:t>
      </w:r>
      <w:r w:rsidR="1D73A15E" w:rsidRPr="004866BE">
        <w:rPr>
          <w:rFonts w:eastAsia="Calibri"/>
        </w:rPr>
        <w:t xml:space="preserve">for individuals affected by the disruption.  </w:t>
      </w:r>
      <w:r w:rsidR="5ED4DDE8" w:rsidRPr="004866BE">
        <w:rPr>
          <w:rFonts w:eastAsia="Calibri"/>
        </w:rPr>
        <w:t xml:space="preserve">We compared </w:t>
      </w:r>
      <w:r w:rsidR="1D73A15E" w:rsidRPr="004866BE">
        <w:rPr>
          <w:rFonts w:eastAsia="Calibri"/>
        </w:rPr>
        <w:t xml:space="preserve">each </w:t>
      </w:r>
      <w:r w:rsidR="258355A1" w:rsidRPr="004866BE">
        <w:rPr>
          <w:rFonts w:eastAsia="Calibri"/>
        </w:rPr>
        <w:t>scenario to the current</w:t>
      </w:r>
      <w:r w:rsidR="1D73A15E" w:rsidRPr="004866BE">
        <w:rPr>
          <w:rFonts w:eastAsia="Calibri"/>
        </w:rPr>
        <w:t xml:space="preserve"> NBCSP</w:t>
      </w:r>
      <w:r w:rsidR="0034776C">
        <w:rPr>
          <w:rFonts w:eastAsia="Calibri"/>
        </w:rPr>
        <w:t xml:space="preserve"> continuing uninterrupted</w:t>
      </w:r>
      <w:r w:rsidR="6D6453E9" w:rsidRPr="004866BE">
        <w:rPr>
          <w:rFonts w:eastAsia="Calibri"/>
        </w:rPr>
        <w:t xml:space="preserve"> and estimated</w:t>
      </w:r>
      <w:r w:rsidR="1D73A15E" w:rsidRPr="004866BE">
        <w:rPr>
          <w:rFonts w:eastAsia="Calibri"/>
        </w:rPr>
        <w:t xml:space="preserve"> shorter-term health outcomes in 2020-2021 (including adenomas and CRC cases missed or delayed, change in number of </w:t>
      </w:r>
      <w:proofErr w:type="spellStart"/>
      <w:r w:rsidR="1D73A15E" w:rsidRPr="004866BE">
        <w:rPr>
          <w:rFonts w:eastAsia="Calibri"/>
        </w:rPr>
        <w:t>iFOBT</w:t>
      </w:r>
      <w:proofErr w:type="spellEnd"/>
      <w:r w:rsidR="1D73A15E" w:rsidRPr="004866BE">
        <w:rPr>
          <w:rFonts w:eastAsia="Calibri"/>
        </w:rPr>
        <w:t xml:space="preserve"> screening kits returned and change in NBCSP-related colonoscop</w:t>
      </w:r>
      <w:r w:rsidR="00E934FB">
        <w:rPr>
          <w:rFonts w:eastAsia="Calibri"/>
        </w:rPr>
        <w:t>ies</w:t>
      </w:r>
      <w:r w:rsidR="00442967" w:rsidRPr="004866BE">
        <w:rPr>
          <w:rStyle w:val="FootnoteReference"/>
          <w:rFonts w:eastAsia="Calibri"/>
        </w:rPr>
        <w:footnoteReference w:id="2"/>
      </w:r>
      <w:r w:rsidR="1D73A15E" w:rsidRPr="004866BE">
        <w:rPr>
          <w:rFonts w:eastAsia="Calibri"/>
        </w:rPr>
        <w:t xml:space="preserve">) and long-term health outcomes in 2020-2060 (additional CRC cases and deaths </w:t>
      </w:r>
      <w:r w:rsidR="20FB8EA7" w:rsidRPr="004866BE">
        <w:rPr>
          <w:rFonts w:eastAsia="Calibri"/>
        </w:rPr>
        <w:t>and</w:t>
      </w:r>
      <w:r w:rsidR="1D73A15E" w:rsidRPr="004866BE">
        <w:rPr>
          <w:rFonts w:eastAsia="Calibri"/>
        </w:rPr>
        <w:t xml:space="preserve"> change in CRC </w:t>
      </w:r>
      <w:r w:rsidR="2C7DCD50" w:rsidRPr="004866BE">
        <w:rPr>
          <w:rFonts w:eastAsia="Calibri"/>
        </w:rPr>
        <w:t xml:space="preserve">cases </w:t>
      </w:r>
      <w:r w:rsidR="1D73A15E" w:rsidRPr="004866BE">
        <w:rPr>
          <w:rFonts w:eastAsia="Calibri"/>
        </w:rPr>
        <w:t>by stage).</w:t>
      </w:r>
      <w:r w:rsidR="1D73A15E" w:rsidRPr="004866BE">
        <w:rPr>
          <w:rFonts w:eastAsia="Calibri"/>
          <w:sz w:val="16"/>
        </w:rPr>
        <w:t xml:space="preserve"> </w:t>
      </w:r>
      <w:r w:rsidR="1D73A15E" w:rsidRPr="004866BE">
        <w:rPr>
          <w:rFonts w:eastAsia="Calibri"/>
        </w:rPr>
        <w:t xml:space="preserve"> All outcomes were estimate</w:t>
      </w:r>
      <w:r w:rsidR="0A83375E" w:rsidRPr="004866BE">
        <w:rPr>
          <w:rFonts w:eastAsia="Calibri"/>
        </w:rPr>
        <w:t>d</w:t>
      </w:r>
      <w:r w:rsidR="1D73A15E" w:rsidRPr="004866BE">
        <w:rPr>
          <w:rFonts w:eastAsia="Calibri"/>
        </w:rPr>
        <w:t xml:space="preserve"> for those eligible for screening in either 2020 or 2021 i.e.  individuals born in 1945-1971</w:t>
      </w:r>
    </w:p>
    <w:p w14:paraId="23E8D271" w14:textId="77777777" w:rsidR="008C508C" w:rsidRDefault="4E5BC712" w:rsidP="008B213B">
      <w:r w:rsidRPr="004866BE">
        <w:t xml:space="preserve">The </w:t>
      </w:r>
      <w:r w:rsidR="71FAA541" w:rsidRPr="004866BE">
        <w:t xml:space="preserve">health-related </w:t>
      </w:r>
      <w:r w:rsidRPr="004866BE">
        <w:t xml:space="preserve">results </w:t>
      </w:r>
      <w:r w:rsidR="19EE3338" w:rsidRPr="004866BE">
        <w:t xml:space="preserve">show that, as a result of </w:t>
      </w:r>
      <w:proofErr w:type="gramStart"/>
      <w:r w:rsidR="19EE3338" w:rsidRPr="004866BE">
        <w:t xml:space="preserve">any </w:t>
      </w:r>
      <w:r w:rsidR="0034776C">
        <w:t xml:space="preserve"> hypothetical</w:t>
      </w:r>
      <w:proofErr w:type="gramEnd"/>
      <w:r w:rsidR="0034776C">
        <w:t xml:space="preserve"> </w:t>
      </w:r>
      <w:r w:rsidR="19EE3338" w:rsidRPr="004866BE">
        <w:t xml:space="preserve">disruption, there </w:t>
      </w:r>
      <w:r w:rsidR="00881861">
        <w:t>would</w:t>
      </w:r>
      <w:r w:rsidR="00881861" w:rsidRPr="004866BE">
        <w:t xml:space="preserve"> </w:t>
      </w:r>
      <w:r w:rsidR="19EE3338" w:rsidRPr="004866BE">
        <w:t>be CRC cases delayed or missed</w:t>
      </w:r>
      <w:r w:rsidR="2F61A428" w:rsidRPr="004866BE">
        <w:t xml:space="preserve"> in detection</w:t>
      </w:r>
      <w:r w:rsidR="03B4B046" w:rsidRPr="004866BE">
        <w:t xml:space="preserve"> in the short term</w:t>
      </w:r>
      <w:r w:rsidR="0A58AD38" w:rsidRPr="004866BE">
        <w:t>,</w:t>
      </w:r>
      <w:r w:rsidR="03B4B046" w:rsidRPr="004866BE">
        <w:t xml:space="preserve"> leading to a high number of new cases of CRC</w:t>
      </w:r>
      <w:r w:rsidR="007C3CC0">
        <w:t xml:space="preserve"> and</w:t>
      </w:r>
      <w:r w:rsidR="007C3CC0" w:rsidRPr="007C3CC0">
        <w:t xml:space="preserve"> </w:t>
      </w:r>
      <w:r w:rsidR="007C3CC0" w:rsidRPr="004866BE">
        <w:t>CRC deaths</w:t>
      </w:r>
      <w:r w:rsidR="007C3CC0">
        <w:t xml:space="preserve"> as well as upstaged </w:t>
      </w:r>
      <w:r w:rsidR="0079219A" w:rsidRPr="004866BE">
        <w:t xml:space="preserve">CRC cases </w:t>
      </w:r>
      <w:r w:rsidR="03B4B046" w:rsidRPr="004866BE">
        <w:t xml:space="preserve">in the long term. </w:t>
      </w:r>
      <w:r w:rsidR="48F8B289" w:rsidRPr="004866BE">
        <w:t xml:space="preserve">The results </w:t>
      </w:r>
      <w:r w:rsidR="313C1F6C" w:rsidRPr="004866BE">
        <w:t xml:space="preserve">also illustrate the </w:t>
      </w:r>
      <w:r w:rsidRPr="004866BE">
        <w:t xml:space="preserve">importance of both maintaining current </w:t>
      </w:r>
      <w:r w:rsidR="00504491">
        <w:t xml:space="preserve">NBCSP </w:t>
      </w:r>
      <w:r w:rsidRPr="004866BE">
        <w:t xml:space="preserve">participation rates and, if a disruption were to occur, ensuring a comprehensive catch-up strategy </w:t>
      </w:r>
      <w:r w:rsidR="20606CE1" w:rsidRPr="004866BE">
        <w:t xml:space="preserve">is </w:t>
      </w:r>
      <w:r w:rsidRPr="004866BE">
        <w:t xml:space="preserve">implemented to reduce the impact </w:t>
      </w:r>
      <w:r w:rsidR="7022B8A4" w:rsidRPr="004866BE">
        <w:t xml:space="preserve">on </w:t>
      </w:r>
      <w:r w:rsidRPr="004866BE">
        <w:t xml:space="preserve">CRC outcomes. </w:t>
      </w:r>
      <w:r w:rsidR="320DA2EF" w:rsidRPr="004866BE">
        <w:t xml:space="preserve">In brief, </w:t>
      </w:r>
      <w:r w:rsidR="102720F3" w:rsidRPr="004866BE">
        <w:t>this report show</w:t>
      </w:r>
      <w:r w:rsidR="00504491">
        <w:t>s</w:t>
      </w:r>
      <w:r w:rsidR="102720F3" w:rsidRPr="004866BE">
        <w:t xml:space="preserve"> that, compared to </w:t>
      </w:r>
      <w:r w:rsidR="01DB2B0B" w:rsidRPr="004866BE">
        <w:t xml:space="preserve">the </w:t>
      </w:r>
      <w:r w:rsidR="102720F3" w:rsidRPr="004866BE">
        <w:t xml:space="preserve">current </w:t>
      </w:r>
      <w:r w:rsidR="459957F8" w:rsidRPr="004866BE">
        <w:t>NBCSP</w:t>
      </w:r>
      <w:r w:rsidR="102720F3" w:rsidRPr="004866BE">
        <w:t>, a disruption of 3 month</w:t>
      </w:r>
      <w:r w:rsidR="007F0434">
        <w:t>s</w:t>
      </w:r>
      <w:r w:rsidR="102720F3" w:rsidRPr="004866BE">
        <w:t xml:space="preserve"> could result in up to 1,500 CRC cases missed or delayed in </w:t>
      </w:r>
      <w:r w:rsidR="102720F3" w:rsidRPr="004866BE">
        <w:lastRenderedPageBreak/>
        <w:t xml:space="preserve">2020-2021, </w:t>
      </w:r>
      <w:r w:rsidR="5E3D3A94" w:rsidRPr="004866BE">
        <w:t xml:space="preserve">and </w:t>
      </w:r>
      <w:r w:rsidR="102720F3" w:rsidRPr="004866BE">
        <w:t>up to 4,300 additional CRC cases and 2,400</w:t>
      </w:r>
      <w:r w:rsidR="1413F7EB" w:rsidRPr="004866BE">
        <w:t xml:space="preserve"> additional</w:t>
      </w:r>
      <w:r w:rsidR="102720F3" w:rsidRPr="004866BE">
        <w:t xml:space="preserve"> CRC deaths</w:t>
      </w:r>
      <w:r w:rsidR="50DA0A77" w:rsidRPr="004866BE">
        <w:t xml:space="preserve"> in 2020-2060</w:t>
      </w:r>
      <w:r w:rsidR="0EFC5450" w:rsidRPr="004866BE">
        <w:t>, depending on the recovery and catch-up strategies</w:t>
      </w:r>
      <w:r w:rsidR="102720F3" w:rsidRPr="004866BE">
        <w:t>. After a 6-month disruption and varying recovery and catch-up assumptions, there could be up to 2,600 CRC cases missed or delayed in 2020-2021,</w:t>
      </w:r>
      <w:r w:rsidR="3D361F67" w:rsidRPr="004866BE">
        <w:t xml:space="preserve"> and</w:t>
      </w:r>
      <w:r w:rsidR="102720F3" w:rsidRPr="004866BE">
        <w:t xml:space="preserve"> up to 4,600 additional CRC cases and 2,700</w:t>
      </w:r>
      <w:r w:rsidR="603EA895" w:rsidRPr="004866BE">
        <w:t xml:space="preserve"> additional</w:t>
      </w:r>
      <w:r w:rsidR="102720F3" w:rsidRPr="004866BE">
        <w:t xml:space="preserve"> CRC deaths</w:t>
      </w:r>
      <w:r w:rsidR="50DA0A77" w:rsidRPr="004866BE">
        <w:t xml:space="preserve"> in 2020-2060</w:t>
      </w:r>
      <w:r w:rsidR="102720F3" w:rsidRPr="004866BE">
        <w:t xml:space="preserve">. A 12-month disruption would result in up to 4,500 CRC cases missed or delayed in 2020-2021, </w:t>
      </w:r>
      <w:r w:rsidR="512D4F34" w:rsidRPr="004866BE">
        <w:t xml:space="preserve">and </w:t>
      </w:r>
      <w:r w:rsidR="102720F3" w:rsidRPr="004866BE">
        <w:t xml:space="preserve">up to 12,000 additional CRC cases and 6,500 </w:t>
      </w:r>
      <w:r w:rsidR="6F8E4259" w:rsidRPr="004866BE">
        <w:t xml:space="preserve">additional </w:t>
      </w:r>
      <w:r w:rsidR="102720F3" w:rsidRPr="004866BE">
        <w:t>CRC deaths</w:t>
      </w:r>
      <w:r w:rsidR="50DA0A77" w:rsidRPr="004866BE">
        <w:t xml:space="preserve"> in 2020-2060</w:t>
      </w:r>
      <w:r w:rsidR="102720F3" w:rsidRPr="004866BE">
        <w:t xml:space="preserve">. </w:t>
      </w:r>
    </w:p>
    <w:p w14:paraId="35DDF7D7" w14:textId="55A2ABE8" w:rsidR="003F4D28" w:rsidRPr="004866BE" w:rsidRDefault="008C508C" w:rsidP="008B213B">
      <w:r>
        <w:t>I</w:t>
      </w:r>
      <w:r w:rsidRPr="004E0411">
        <w:t xml:space="preserve">t is </w:t>
      </w:r>
      <w:r>
        <w:t xml:space="preserve">also </w:t>
      </w:r>
      <w:r w:rsidRPr="004E0411">
        <w:t xml:space="preserve">anticipated that interruptions to routine screening will lead to some </w:t>
      </w:r>
      <w:r>
        <w:t>cases</w:t>
      </w:r>
      <w:r w:rsidRPr="004E0411">
        <w:t xml:space="preserve"> being diagnosed at a later </w:t>
      </w:r>
      <w:proofErr w:type="gramStart"/>
      <w:r w:rsidRPr="004E0411">
        <w:t>stage, when</w:t>
      </w:r>
      <w:proofErr w:type="gramEnd"/>
      <w:r w:rsidRPr="004E0411">
        <w:t xml:space="preserve"> survival outcomes are less favourable</w:t>
      </w:r>
      <w:r>
        <w:t xml:space="preserve">. </w:t>
      </w:r>
      <w:r w:rsidR="00ED1A3C">
        <w:t>I</w:t>
      </w:r>
      <w:r w:rsidR="00D10E50" w:rsidRPr="004866BE">
        <w:t xml:space="preserve">n the event of no catch-up strategy, 170-940 fewer cases would be diagnosed in 2020-2060 at Stage 1 and </w:t>
      </w:r>
      <w:proofErr w:type="gramStart"/>
      <w:r w:rsidR="00D10E50" w:rsidRPr="004866BE">
        <w:t>the majority of</w:t>
      </w:r>
      <w:proofErr w:type="gramEnd"/>
      <w:r w:rsidR="00D10E50" w:rsidRPr="004866BE">
        <w:t xml:space="preserve"> cases would be diagnosed at Stage 3 and 4. This trend was broadly similar for disruptions followed by a catch-up but with 66-410 fewer cases in 2020-2060.</w:t>
      </w:r>
      <w:r w:rsidR="004E0411" w:rsidRPr="004E0411">
        <w:t xml:space="preserve"> </w:t>
      </w:r>
      <w:r w:rsidR="00ED1A3C">
        <w:t xml:space="preserve">Additionally, </w:t>
      </w:r>
      <w:r w:rsidR="00A85C19">
        <w:t>up to 2,100 CRC</w:t>
      </w:r>
      <w:r w:rsidR="004E0411" w:rsidRPr="004E0411">
        <w:t xml:space="preserve"> cases </w:t>
      </w:r>
      <w:r w:rsidR="00A85C19">
        <w:t xml:space="preserve">were </w:t>
      </w:r>
      <w:r w:rsidR="004E0411" w:rsidRPr="004E0411">
        <w:t>upstaged</w:t>
      </w:r>
      <w:r w:rsidR="008C764D">
        <w:t xml:space="preserve"> from missed or delayed </w:t>
      </w:r>
      <w:r w:rsidR="00A85C19">
        <w:t xml:space="preserve">routine </w:t>
      </w:r>
      <w:r w:rsidR="008C764D">
        <w:t>screening</w:t>
      </w:r>
      <w:r w:rsidR="004E0411" w:rsidRPr="004E0411">
        <w:t xml:space="preserve"> </w:t>
      </w:r>
      <w:r w:rsidR="00ED1A3C">
        <w:t xml:space="preserve">in 2020 and 2021 </w:t>
      </w:r>
      <w:r w:rsidR="008C764D">
        <w:t>leading</w:t>
      </w:r>
      <w:r w:rsidR="00ED1A3C">
        <w:t xml:space="preserve"> to a delay in diagnosis</w:t>
      </w:r>
      <w:r w:rsidR="004E0411" w:rsidRPr="004E0411">
        <w:t>.</w:t>
      </w:r>
    </w:p>
    <w:p w14:paraId="1F79D530" w14:textId="304E9B14" w:rsidR="00173158" w:rsidRPr="004866BE" w:rsidRDefault="00173158" w:rsidP="1EBF918E">
      <w:r w:rsidRPr="004866BE">
        <w:t xml:space="preserve">Parts of Australia have limited screening invitation timeframes due to the </w:t>
      </w:r>
      <w:r w:rsidR="40281B2B" w:rsidRPr="004866BE">
        <w:t>H</w:t>
      </w:r>
      <w:r w:rsidRPr="004866BE">
        <w:t xml:space="preserve">ot </w:t>
      </w:r>
      <w:r w:rsidR="5ADF30A4" w:rsidRPr="004866BE">
        <w:t>Z</w:t>
      </w:r>
      <w:r w:rsidRPr="004866BE">
        <w:t xml:space="preserve">one </w:t>
      </w:r>
      <w:proofErr w:type="gramStart"/>
      <w:r w:rsidRPr="004866BE">
        <w:t>policy,</w:t>
      </w:r>
      <w:proofErr w:type="gramEnd"/>
      <w:r w:rsidRPr="004866BE">
        <w:t xml:space="preserve"> whereby screening invitations are only sent for limited months </w:t>
      </w:r>
      <w:r w:rsidR="00E7322E" w:rsidRPr="004866BE">
        <w:t>per</w:t>
      </w:r>
      <w:r w:rsidRPr="004866BE">
        <w:t xml:space="preserve"> year. Selected</w:t>
      </w:r>
      <w:r w:rsidR="000E6286">
        <w:t xml:space="preserve"> indicative</w:t>
      </w:r>
      <w:r w:rsidRPr="004866BE">
        <w:t xml:space="preserve"> results are presented in the report by screening invitation timeframes </w:t>
      </w:r>
      <w:r w:rsidR="40AA79D7" w:rsidRPr="004866BE">
        <w:t>in months</w:t>
      </w:r>
      <w:r w:rsidRPr="004866BE">
        <w:t xml:space="preserve"> to </w:t>
      </w:r>
      <w:r w:rsidR="00E7322E" w:rsidRPr="004866BE">
        <w:t>illustrate</w:t>
      </w:r>
      <w:r w:rsidRPr="004866BE">
        <w:t xml:space="preserve"> the impact on affected areas. </w:t>
      </w:r>
      <w:r w:rsidR="001B3D73" w:rsidRPr="004866BE">
        <w:t>Additionally, s</w:t>
      </w:r>
      <w:r w:rsidR="003F332A" w:rsidRPr="004866BE">
        <w:t>elected</w:t>
      </w:r>
      <w:r w:rsidR="000E6286">
        <w:t xml:space="preserve"> indicative</w:t>
      </w:r>
      <w:r w:rsidR="003F332A" w:rsidRPr="004866BE">
        <w:t xml:space="preserve"> results are </w:t>
      </w:r>
      <w:r w:rsidR="0A0D1200" w:rsidRPr="004866BE">
        <w:t xml:space="preserve">presented </w:t>
      </w:r>
      <w:r w:rsidR="5BA0AE34" w:rsidRPr="004866BE">
        <w:t>by state</w:t>
      </w:r>
      <w:r w:rsidR="00275599">
        <w:t>s and territories</w:t>
      </w:r>
      <w:r w:rsidR="7A1C2B4F" w:rsidRPr="004866BE">
        <w:t>, including detailed reporting for the Northern Territory accounting for the impact of the Hot Zone policy</w:t>
      </w:r>
      <w:r w:rsidR="003F332A" w:rsidRPr="004866BE">
        <w:t>.</w:t>
      </w:r>
    </w:p>
    <w:p w14:paraId="1FF4635D" w14:textId="726CF2D4" w:rsidR="003F332A" w:rsidRPr="004866BE" w:rsidRDefault="003F332A" w:rsidP="55055B91">
      <w:r w:rsidRPr="004866BE">
        <w:t xml:space="preserve">Resource demand for NBCSP-related colonoscopies would also change depending on the </w:t>
      </w:r>
      <w:r w:rsidR="5EC545CF" w:rsidRPr="004866BE">
        <w:t>hypothetical</w:t>
      </w:r>
      <w:r w:rsidR="24F745CB" w:rsidRPr="004866BE">
        <w:t xml:space="preserve"> </w:t>
      </w:r>
      <w:r w:rsidRPr="004866BE">
        <w:t>disruption</w:t>
      </w:r>
      <w:r w:rsidR="5A702267" w:rsidRPr="004866BE">
        <w:t xml:space="preserve"> period, </w:t>
      </w:r>
      <w:proofErr w:type="gramStart"/>
      <w:r w:rsidR="5A702267" w:rsidRPr="004866BE">
        <w:t>recovery</w:t>
      </w:r>
      <w:proofErr w:type="gramEnd"/>
      <w:r w:rsidR="5A702267" w:rsidRPr="004866BE">
        <w:t xml:space="preserve"> and catch-up strategy</w:t>
      </w:r>
      <w:r w:rsidRPr="004866BE">
        <w:t xml:space="preserve">. </w:t>
      </w:r>
      <w:r w:rsidR="00E7322E" w:rsidRPr="004866BE">
        <w:t>In the absence of</w:t>
      </w:r>
      <w:r w:rsidR="3571780E" w:rsidRPr="004866BE">
        <w:t xml:space="preserve"> any </w:t>
      </w:r>
      <w:r w:rsidR="30DC2E68" w:rsidRPr="004866BE">
        <w:t>catch</w:t>
      </w:r>
      <w:r w:rsidR="3571780E" w:rsidRPr="004866BE">
        <w:t>-</w:t>
      </w:r>
      <w:r w:rsidR="4B053730" w:rsidRPr="004866BE">
        <w:t xml:space="preserve">up </w:t>
      </w:r>
      <w:r w:rsidR="3571780E" w:rsidRPr="004866BE">
        <w:t xml:space="preserve">strategy, the </w:t>
      </w:r>
      <w:r w:rsidRPr="004866BE">
        <w:t xml:space="preserve">NBCSP-related colonoscopies not conducted in 2020 due to hypothetical 3-, 6- and 12-month disruptions would be </w:t>
      </w:r>
      <w:r w:rsidR="004E6CB9" w:rsidRPr="004866BE">
        <w:t>19,000</w:t>
      </w:r>
      <w:r w:rsidRPr="004866BE">
        <w:t>, 37,000 and 7</w:t>
      </w:r>
      <w:r w:rsidR="004E6CB9" w:rsidRPr="004866BE">
        <w:t>4</w:t>
      </w:r>
      <w:r w:rsidRPr="004866BE">
        <w:t xml:space="preserve">,000, respectively. If catch-up were undertaken in 2021 after a 12-month disruption, this would require an estimated </w:t>
      </w:r>
      <w:r w:rsidR="1237FAD6" w:rsidRPr="004866BE">
        <w:t>14,000 colonoscopies per month nationwide</w:t>
      </w:r>
      <w:r w:rsidRPr="004866BE">
        <w:t xml:space="preserve"> over a 12-month period – approximately a 77% increase in NBCSP-related colonoscopy demand in 2021.</w:t>
      </w:r>
    </w:p>
    <w:p w14:paraId="7D94A0DA" w14:textId="77777777" w:rsidR="003F332A" w:rsidRPr="004866BE" w:rsidRDefault="003F332A" w:rsidP="55055B91">
      <w:r w:rsidRPr="004866BE">
        <w:t>The level of compliance to follow-up colonoscopies was also modelled</w:t>
      </w:r>
      <w:r w:rsidR="3C648EF8" w:rsidRPr="004866BE">
        <w:t xml:space="preserve"> </w:t>
      </w:r>
      <w:r w:rsidR="00E7322E" w:rsidRPr="004866BE">
        <w:t xml:space="preserve">for the current NBCSP </w:t>
      </w:r>
      <w:r w:rsidR="3C648EF8" w:rsidRPr="004866BE">
        <w:t xml:space="preserve">and </w:t>
      </w:r>
      <w:r w:rsidR="007C3CC0">
        <w:t>could</w:t>
      </w:r>
      <w:r w:rsidR="007C3CC0" w:rsidRPr="004866BE">
        <w:t xml:space="preserve"> </w:t>
      </w:r>
      <w:r w:rsidR="3C648EF8" w:rsidRPr="004866BE">
        <w:t xml:space="preserve">be used as a </w:t>
      </w:r>
      <w:r w:rsidRPr="004866BE">
        <w:t xml:space="preserve">proxy for access, </w:t>
      </w:r>
      <w:proofErr w:type="gramStart"/>
      <w:r w:rsidRPr="004866BE">
        <w:t>availability</w:t>
      </w:r>
      <w:proofErr w:type="gramEnd"/>
      <w:r w:rsidRPr="004866BE">
        <w:t xml:space="preserve"> and willingness to undertake colonoscopies.</w:t>
      </w:r>
      <w:r w:rsidR="00AE6AB6" w:rsidRPr="004866BE">
        <w:t xml:space="preserve"> The number of</w:t>
      </w:r>
      <w:r w:rsidR="340671A5" w:rsidRPr="004866BE">
        <w:t xml:space="preserve"> </w:t>
      </w:r>
      <w:r w:rsidR="00AE6AB6" w:rsidRPr="004866BE">
        <w:t>follow-up colonoscop</w:t>
      </w:r>
      <w:r w:rsidR="00173C99" w:rsidRPr="004866BE">
        <w:t>ies</w:t>
      </w:r>
      <w:r w:rsidR="00AE6AB6" w:rsidRPr="004866BE">
        <w:t xml:space="preserve"> would </w:t>
      </w:r>
      <w:r w:rsidR="05FF499A" w:rsidRPr="004866BE">
        <w:t xml:space="preserve">fall </w:t>
      </w:r>
      <w:r w:rsidR="007C3CC0">
        <w:t>to</w:t>
      </w:r>
      <w:r w:rsidR="007C3CC0" w:rsidRPr="004866BE">
        <w:t xml:space="preserve"> </w:t>
      </w:r>
      <w:r w:rsidR="00AE6AB6" w:rsidRPr="004866BE">
        <w:t xml:space="preserve">55,000, 37,000, 18,000 and 0 if </w:t>
      </w:r>
      <w:r w:rsidR="005D02EB" w:rsidRPr="004866BE">
        <w:t xml:space="preserve">the </w:t>
      </w:r>
      <w:r w:rsidR="00AE6AB6" w:rsidRPr="004866BE">
        <w:t xml:space="preserve">compliance rate </w:t>
      </w:r>
      <w:r w:rsidR="005D02EB" w:rsidRPr="004866BE">
        <w:t xml:space="preserve">was </w:t>
      </w:r>
      <w:r w:rsidR="00AE6AB6" w:rsidRPr="004866BE">
        <w:t xml:space="preserve">reduced to 53%, 35%, 18% and 0% </w:t>
      </w:r>
      <w:r w:rsidR="00B81B23" w:rsidRPr="004866BE">
        <w:t>respectively</w:t>
      </w:r>
      <w:r w:rsidR="00AE6AB6" w:rsidRPr="004866BE">
        <w:t>, compared to 7</w:t>
      </w:r>
      <w:r w:rsidR="00E520BB">
        <w:t>4</w:t>
      </w:r>
      <w:r w:rsidR="00AE6AB6" w:rsidRPr="004866BE">
        <w:t xml:space="preserve">,000 </w:t>
      </w:r>
      <w:r w:rsidR="000B212E" w:rsidRPr="004866BE">
        <w:t xml:space="preserve">colonoscopies </w:t>
      </w:r>
      <w:r w:rsidR="00AE6AB6" w:rsidRPr="004866BE">
        <w:t>at the current 70% compliance rates in 2020.</w:t>
      </w:r>
      <w:r w:rsidRPr="004866BE">
        <w:t xml:space="preserve"> </w:t>
      </w:r>
      <w:r w:rsidR="1C17226F" w:rsidRPr="004866BE">
        <w:t xml:space="preserve">The </w:t>
      </w:r>
      <w:r w:rsidR="49769432" w:rsidRPr="004866BE">
        <w:t>downstream</w:t>
      </w:r>
      <w:r w:rsidR="1C17226F" w:rsidRPr="004866BE">
        <w:t xml:space="preserve"> impact on CRC cases and deaths would be </w:t>
      </w:r>
      <w:r w:rsidR="00FA362D" w:rsidRPr="004866BE">
        <w:t xml:space="preserve">1,400, 2,500, </w:t>
      </w:r>
      <w:r w:rsidR="00187D08" w:rsidRPr="004866BE">
        <w:t>3</w:t>
      </w:r>
      <w:r w:rsidR="00FA362D" w:rsidRPr="004866BE">
        <w:t>,500,</w:t>
      </w:r>
      <w:r w:rsidRPr="004866BE">
        <w:t xml:space="preserve"> or </w:t>
      </w:r>
      <w:r w:rsidR="00187D08" w:rsidRPr="004866BE">
        <w:t>4,500</w:t>
      </w:r>
      <w:r w:rsidRPr="004866BE">
        <w:t xml:space="preserve"> additional CRC cases and </w:t>
      </w:r>
      <w:r w:rsidR="00187D08" w:rsidRPr="004866BE">
        <w:t>670, 1,200, 1,700,</w:t>
      </w:r>
      <w:r w:rsidRPr="004866BE">
        <w:t xml:space="preserve"> or </w:t>
      </w:r>
      <w:r w:rsidR="00EA6423" w:rsidRPr="004866BE">
        <w:t>2,200</w:t>
      </w:r>
      <w:r w:rsidRPr="004866BE">
        <w:t xml:space="preserve"> additional CRC deaths at 53%, 35%, 18% or 0% colonoscopy compliance</w:t>
      </w:r>
      <w:r w:rsidR="0627127D" w:rsidRPr="004866BE">
        <w:t>,</w:t>
      </w:r>
      <w:r w:rsidRPr="004866BE">
        <w:t xml:space="preserve"> respectively</w:t>
      </w:r>
      <w:r w:rsidR="150D5538" w:rsidRPr="004866BE">
        <w:t>,</w:t>
      </w:r>
      <w:r w:rsidR="006F1B08" w:rsidRPr="004866BE">
        <w:t xml:space="preserve"> compared to current compliance</w:t>
      </w:r>
      <w:r w:rsidR="00E7322E" w:rsidRPr="004866BE">
        <w:t>.</w:t>
      </w:r>
    </w:p>
    <w:p w14:paraId="49EBC2A1" w14:textId="77777777" w:rsidR="003F332A" w:rsidRPr="004866BE" w:rsidRDefault="003F332A" w:rsidP="003F332A">
      <w:r w:rsidRPr="004866BE">
        <w:lastRenderedPageBreak/>
        <w:t>This report outlines the results of hypothetical disruptions to the NBCSP in 2020 compared to</w:t>
      </w:r>
      <w:r w:rsidR="001709ED" w:rsidRPr="004866BE">
        <w:t xml:space="preserve"> the</w:t>
      </w:r>
      <w:r w:rsidRPr="004866BE">
        <w:t xml:space="preserve"> current </w:t>
      </w:r>
      <w:r w:rsidR="001709ED" w:rsidRPr="004866BE">
        <w:t>NBCSP</w:t>
      </w:r>
      <w:r w:rsidRPr="004866BE">
        <w:t xml:space="preserve"> continuing uninterrupted. The analysis shows an adverse effect on </w:t>
      </w:r>
      <w:r w:rsidR="7E17D99F" w:rsidRPr="004866BE">
        <w:t>CRC</w:t>
      </w:r>
      <w:r w:rsidRPr="004866BE">
        <w:t xml:space="preserve"> outcomes resulting from a hypothetical </w:t>
      </w:r>
      <w:r w:rsidR="001709ED" w:rsidRPr="004866BE">
        <w:t xml:space="preserve">NBCSP </w:t>
      </w:r>
      <w:r w:rsidRPr="004866BE">
        <w:t>pause of any length. The analysis presented in this report assumes a single disruption to the NBCSP</w:t>
      </w:r>
      <w:r w:rsidR="74721438" w:rsidRPr="004866BE">
        <w:t xml:space="preserve"> -</w:t>
      </w:r>
      <w:r w:rsidRPr="004866BE">
        <w:t xml:space="preserve"> that is</w:t>
      </w:r>
      <w:r w:rsidR="3A073D56" w:rsidRPr="004866BE">
        <w:t>,</w:t>
      </w:r>
      <w:r w:rsidRPr="004866BE">
        <w:t xml:space="preserve"> a single wave of the COVID-19 pandemic</w:t>
      </w:r>
      <w:r w:rsidR="2A3713E8" w:rsidRPr="004866BE">
        <w:t>.</w:t>
      </w:r>
      <w:r w:rsidR="1C9EFC0A" w:rsidRPr="004866BE">
        <w:t xml:space="preserve"> </w:t>
      </w:r>
      <w:r w:rsidR="17AB7377" w:rsidRPr="004866BE">
        <w:t>M</w:t>
      </w:r>
      <w:r w:rsidR="20498BF2" w:rsidRPr="004866BE">
        <w:t>u</w:t>
      </w:r>
      <w:r w:rsidRPr="004866BE">
        <w:t>ltiple waves of the pandemic have not been modelled at this time.</w:t>
      </w:r>
      <w:r w:rsidR="00FB7CE7" w:rsidRPr="004866BE">
        <w:t xml:space="preserve"> </w:t>
      </w:r>
      <w:r w:rsidR="007C3CC0">
        <w:t>Existing p</w:t>
      </w:r>
      <w:r w:rsidR="00CA43D7" w:rsidRPr="004866BE">
        <w:t xml:space="preserve">ublished data </w:t>
      </w:r>
      <w:r w:rsidR="00F10573" w:rsidRPr="004866BE">
        <w:t xml:space="preserve">on </w:t>
      </w:r>
      <w:r w:rsidR="001D7FFB" w:rsidRPr="004866BE">
        <w:t>NBCSP participation and colonoscopy compliance were used for the purposes of this report</w:t>
      </w:r>
      <w:r w:rsidR="007C3CC0">
        <w:t xml:space="preserve"> and do not </w:t>
      </w:r>
      <w:r w:rsidR="000E6286">
        <w:t xml:space="preserve">include the </w:t>
      </w:r>
      <w:proofErr w:type="gramStart"/>
      <w:r w:rsidR="000E6286">
        <w:t>time period</w:t>
      </w:r>
      <w:proofErr w:type="gramEnd"/>
      <w:r w:rsidR="000E6286">
        <w:t xml:space="preserve"> affected by the</w:t>
      </w:r>
      <w:r w:rsidR="007C3CC0">
        <w:t xml:space="preserve"> </w:t>
      </w:r>
      <w:r w:rsidR="000E6286">
        <w:t>COVID-19 pandemic</w:t>
      </w:r>
      <w:r w:rsidR="001D7FFB" w:rsidRPr="004866BE">
        <w:t xml:space="preserve">. </w:t>
      </w:r>
      <w:r w:rsidR="00636403" w:rsidRPr="004866BE">
        <w:t xml:space="preserve">When </w:t>
      </w:r>
      <w:r w:rsidR="00ED216D" w:rsidRPr="004866BE">
        <w:t xml:space="preserve">updated and/or more detailed data are available </w:t>
      </w:r>
      <w:r w:rsidR="0093511C" w:rsidRPr="004866BE">
        <w:t xml:space="preserve">on NBCSP participation and colonoscopy compliance during the COVID-19 pandemic, additional modelling </w:t>
      </w:r>
      <w:r w:rsidR="005A5FFC">
        <w:t>could</w:t>
      </w:r>
      <w:r w:rsidR="0093511C" w:rsidRPr="004866BE">
        <w:t xml:space="preserve"> be performed to </w:t>
      </w:r>
      <w:proofErr w:type="gramStart"/>
      <w:r w:rsidR="0093511C" w:rsidRPr="004866BE">
        <w:t>more accurately reflect current screening behaviours</w:t>
      </w:r>
      <w:proofErr w:type="gramEnd"/>
      <w:r w:rsidR="0093511C" w:rsidRPr="004866BE">
        <w:t xml:space="preserve"> in Australia</w:t>
      </w:r>
      <w:r w:rsidR="00251D96" w:rsidRPr="004866BE">
        <w:t xml:space="preserve"> and on a </w:t>
      </w:r>
      <w:r w:rsidR="00275599">
        <w:t>jurisdictional</w:t>
      </w:r>
      <w:r w:rsidR="00251D96" w:rsidRPr="004866BE">
        <w:t xml:space="preserve"> basis</w:t>
      </w:r>
      <w:r w:rsidR="0093511C" w:rsidRPr="004866BE">
        <w:t>.</w:t>
      </w:r>
    </w:p>
    <w:p w14:paraId="4E12E87E" w14:textId="77777777" w:rsidR="0074737F" w:rsidRPr="009810F7" w:rsidRDefault="00213095" w:rsidP="008B213B">
      <w:pPr>
        <w:pStyle w:val="Heading1"/>
      </w:pPr>
      <w:r>
        <w:t xml:space="preserve">Purpose and </w:t>
      </w:r>
      <w:r w:rsidR="0074737F" w:rsidRPr="009810F7">
        <w:t>Background</w:t>
      </w:r>
    </w:p>
    <w:p w14:paraId="466E10CD" w14:textId="77777777" w:rsidR="00995C2C" w:rsidRDefault="00995C2C" w:rsidP="00183AA0">
      <w:r w:rsidRPr="00995C2C">
        <w:t xml:space="preserve">This report was commissioned in March 2020 by the Australian Department of Health and submitted on </w:t>
      </w:r>
      <w:r>
        <w:t>1 May</w:t>
      </w:r>
      <w:r w:rsidRPr="00995C2C">
        <w:t xml:space="preserve"> by Cancer Council NSW as part of a rapid response to advising government about potential direct and indirect impacts of COVID-19 on Australia’s </w:t>
      </w:r>
      <w:r w:rsidRPr="00995C2C">
        <w:rPr>
          <w:b/>
          <w:bCs/>
        </w:rPr>
        <w:t>National Bowel Cancer Screening Program</w:t>
      </w:r>
      <w:r>
        <w:t xml:space="preserve"> (NBSCP)</w:t>
      </w:r>
      <w:r w:rsidRPr="00995C2C">
        <w:t>.  The hypotheses, assumptions and advice in this preliminary report are designed to provide rapid critical guidance to government at a time of major uncertainty and disruption to the health system.</w:t>
      </w:r>
    </w:p>
    <w:p w14:paraId="078758F3" w14:textId="77777777" w:rsidR="00E61295" w:rsidRPr="004866BE" w:rsidRDefault="00183AA0" w:rsidP="00183AA0">
      <w:r w:rsidRPr="004866BE">
        <w:t xml:space="preserve">In the current context of the COVID-19 pandemic in Australia, various health services have been disrupted. </w:t>
      </w:r>
      <w:r w:rsidR="00AF58F4" w:rsidRPr="004866BE">
        <w:t>The NBCSP provides biennial immunochemical faecal occult blood test (</w:t>
      </w:r>
      <w:proofErr w:type="spellStart"/>
      <w:r w:rsidR="00AF58F4" w:rsidRPr="004866BE">
        <w:t>iFOBT</w:t>
      </w:r>
      <w:proofErr w:type="spellEnd"/>
      <w:r w:rsidR="00AF58F4" w:rsidRPr="004866BE">
        <w:t>) screening for all Australians aged 50 to 74 years, following gradual implementation from 2006 to 2019 [1]. Current estimates suggest the NBCSP will prevent approximately 4,300 colorectal cancer (CRC) cases and 2,500 CRC deaths annually, compared to no screening.</w:t>
      </w:r>
      <w:r w:rsidRPr="004866BE">
        <w:fldChar w:fldCharType="begin"/>
      </w:r>
      <w:r w:rsidRPr="004866BE">
        <w:instrText xml:space="preserve"> ADDIN EN.CITE &lt;EndNote&gt;&lt;Cite&gt;&lt;Author&gt;Lew&lt;/Author&gt;&lt;Year&gt;2019&lt;/Year&gt;&lt;RecNum&gt;9&lt;/RecNum&gt;&lt;DisplayText&gt;[1]&lt;/DisplayText&gt;&lt;record&gt;&lt;rec-number&gt;9&lt;/rec-number&gt;&lt;foreign-keys&gt;&lt;key app="EN" db-id="sw5xfz9x0x0z2iereeq5tfpuzdst0rpdraev" timestamp="1580864816"&gt;9&lt;/key&gt;&lt;/foreign-keys&gt;&lt;ref-type name="Journal Article"&gt;17&lt;/ref-type&gt;&lt;contributors&gt;&lt;authors&gt;&lt;author&gt;Lew, J. B.&lt;/author&gt;&lt;author&gt;Feletto, E.&lt;/author&gt;&lt;author&gt;Wade, S.&lt;/author&gt;&lt;author&gt;Caruana, M.&lt;/author&gt;&lt;author&gt;Kang, Y. J.&lt;/author&gt;&lt;author&gt;Nickson, C.&lt;/author&gt;&lt;author&gt;Simms, K. T.&lt;/author&gt;&lt;author&gt;Procopio, P.&lt;/author&gt;&lt;author&gt;Taylor, N.&lt;/author&gt;&lt;author&gt;Worthington, J.&lt;/author&gt;&lt;author&gt;Smith, D.&lt;/author&gt;&lt;author&gt;Canfell, K.&lt;/author&gt;&lt;/authors&gt;&lt;/contributors&gt;&lt;auth-address&gt;Cancer Council NSW, Sydney, Australia, jiebin.lew@nswcc.org.au.&amp;#xD;Cancer Council NSW, Sydney, Australia.&amp;#xD;Cancer Council NSW, Sydney, Australia; University of Melbourne, VIC, Australia.&amp;#xD;Cancer Council NSW, Sydney, Australia; University of Sydney, NSW, Australia; Griffith University, Gold Coast, QLD, Australia; Monash University, Melbourne, VIC, Australia.&amp;#xD;Cancer Council NSW, Sydney, Australia; University of Sydney, NSW, Australia; UNSW Sydney, Australia.&lt;/auth-address&gt;&lt;titles&gt;&lt;title&gt;Benefits, harms and cost-effectiveness of cancer screening in Australia: an overview of modelling estimates&lt;/title&gt;&lt;secondary-title&gt;Public Health Res Pract&lt;/secondary-title&gt;&lt;/titles&gt;&lt;periodical&gt;&lt;full-title&gt;Public Health Res Pract&lt;/full-title&gt;&lt;/periodical&gt;&lt;volume&gt;29&lt;/volume&gt;&lt;number&gt;2&lt;/number&gt;&lt;edition&gt;2019/08/07&lt;/edition&gt;&lt;dates&gt;&lt;year&gt;2019&lt;/year&gt;&lt;pub-dates&gt;&lt;date&gt;Jul 31&lt;/date&gt;&lt;/pub-dates&gt;&lt;/dates&gt;&lt;isbn&gt;2204-2091 (Electronic)&amp;#xD;2204-2091 (Linking)&lt;/isbn&gt;&lt;accession-num&gt;31384886&lt;/accession-num&gt;&lt;urls&gt;&lt;related-urls&gt;&lt;url&gt;https://www.ncbi.nlm.nih.gov/pubmed/31384886&lt;/url&gt;&lt;/related-urls&gt;&lt;/urls&gt;&lt;electronic-resource-num&gt;10.17061/phrp2921913&lt;/electronic-resource-num&gt;&lt;/record&gt;&lt;/Cite&gt;&lt;/EndNote&gt;</w:instrText>
      </w:r>
      <w:r w:rsidRPr="004866BE">
        <w:fldChar w:fldCharType="separate"/>
      </w:r>
      <w:r w:rsidR="00AF58F4" w:rsidRPr="004866BE">
        <w:t>[1]</w:t>
      </w:r>
      <w:r w:rsidRPr="004866BE">
        <w:fldChar w:fldCharType="end"/>
      </w:r>
      <w:r w:rsidR="00AF58F4" w:rsidRPr="004866BE">
        <w:t xml:space="preserve"> </w:t>
      </w:r>
    </w:p>
    <w:p w14:paraId="6E6C18E6" w14:textId="77777777" w:rsidR="00183AA0" w:rsidRPr="004866BE" w:rsidRDefault="00E61295" w:rsidP="00183AA0">
      <w:r w:rsidRPr="004866BE">
        <w:t xml:space="preserve">The NBCSP provides a screening kit to eligible individuals by mail which is used at home and, if positive, a follow-up colonoscopy is required for further investigation. Sending screening kits to eligible Australians had not been halted as </w:t>
      </w:r>
      <w:proofErr w:type="gramStart"/>
      <w:r w:rsidRPr="004866BE">
        <w:t>at</w:t>
      </w:r>
      <w:proofErr w:type="gramEnd"/>
      <w:r w:rsidRPr="004866BE">
        <w:t xml:space="preserve"> </w:t>
      </w:r>
      <w:r w:rsidR="00414421" w:rsidRPr="004866BE">
        <w:t>1</w:t>
      </w:r>
      <w:r w:rsidR="00414421" w:rsidRPr="004866BE">
        <w:rPr>
          <w:vertAlign w:val="superscript"/>
        </w:rPr>
        <w:t>st</w:t>
      </w:r>
      <w:r w:rsidR="00414421" w:rsidRPr="004866BE">
        <w:t xml:space="preserve"> May </w:t>
      </w:r>
      <w:r w:rsidRPr="004866BE">
        <w:t xml:space="preserve">2020. Despite this, concerns have been expressed regarding the access, </w:t>
      </w:r>
      <w:proofErr w:type="gramStart"/>
      <w:r w:rsidRPr="004866BE">
        <w:t>availability</w:t>
      </w:r>
      <w:proofErr w:type="gramEnd"/>
      <w:r w:rsidRPr="004866BE">
        <w:t xml:space="preserve"> and willingness to undertake colonoscopies during the pandemic. As such, there has been some disruption to the NBCSP through its follow-up function, but no pause has been put in place at a national level to the sending of screening kits to eligible Australians.</w:t>
      </w:r>
    </w:p>
    <w:p w14:paraId="4404195A" w14:textId="77777777" w:rsidR="004D0703" w:rsidRPr="004866BE" w:rsidRDefault="004D0703" w:rsidP="004D0703">
      <w:r w:rsidRPr="004866BE">
        <w:t xml:space="preserve">The aim of this report is to provide predictions of the </w:t>
      </w:r>
      <w:r w:rsidR="00327A81" w:rsidRPr="004866BE">
        <w:t xml:space="preserve">impact </w:t>
      </w:r>
      <w:r w:rsidRPr="004866BE">
        <w:t xml:space="preserve">of </w:t>
      </w:r>
      <w:r w:rsidR="00221D28" w:rsidRPr="004866BE">
        <w:t xml:space="preserve">hypothetical </w:t>
      </w:r>
      <w:r w:rsidR="00AE24F4" w:rsidRPr="004866BE">
        <w:t>di</w:t>
      </w:r>
      <w:r w:rsidR="004D5E03" w:rsidRPr="004866BE">
        <w:t>sruption</w:t>
      </w:r>
      <w:r w:rsidR="7D10A3C1" w:rsidRPr="004866BE">
        <w:t>s</w:t>
      </w:r>
      <w:r w:rsidR="00221D28" w:rsidRPr="004866BE">
        <w:t xml:space="preserve"> </w:t>
      </w:r>
      <w:r w:rsidR="001D3550" w:rsidRPr="004866BE">
        <w:t>to</w:t>
      </w:r>
      <w:r w:rsidRPr="004866BE">
        <w:t xml:space="preserve"> the NBCSP</w:t>
      </w:r>
      <w:r w:rsidR="00081F1F" w:rsidRPr="004866BE">
        <w:t xml:space="preserve"> </w:t>
      </w:r>
      <w:r w:rsidR="00221D28" w:rsidRPr="004866BE">
        <w:t>in 2020 due to COVID-19</w:t>
      </w:r>
      <w:r w:rsidR="32A46BB7" w:rsidRPr="004866BE">
        <w:t xml:space="preserve"> on </w:t>
      </w:r>
      <w:r w:rsidR="00931298">
        <w:t xml:space="preserve">national </w:t>
      </w:r>
      <w:r w:rsidR="32A46BB7" w:rsidRPr="004866BE">
        <w:t>health</w:t>
      </w:r>
      <w:r w:rsidR="00E61295" w:rsidRPr="004866BE">
        <w:t xml:space="preserve"> outcomes</w:t>
      </w:r>
      <w:r w:rsidR="32A46BB7" w:rsidRPr="004866BE">
        <w:t xml:space="preserve"> and resource </w:t>
      </w:r>
      <w:r w:rsidR="00E61295" w:rsidRPr="004866BE">
        <w:t>demand</w:t>
      </w:r>
      <w:r w:rsidRPr="004866BE">
        <w:t xml:space="preserve">, both with and without </w:t>
      </w:r>
      <w:r w:rsidR="00E425AC" w:rsidRPr="004866BE">
        <w:t xml:space="preserve">a </w:t>
      </w:r>
      <w:r w:rsidRPr="004866BE">
        <w:t>comprehensive catch</w:t>
      </w:r>
      <w:r w:rsidR="0034018F" w:rsidRPr="004866BE">
        <w:t>-</w:t>
      </w:r>
      <w:r w:rsidRPr="004866BE">
        <w:t xml:space="preserve">up </w:t>
      </w:r>
      <w:r w:rsidR="00E425AC" w:rsidRPr="004866BE">
        <w:t>strategy</w:t>
      </w:r>
      <w:r w:rsidRPr="004866BE">
        <w:t xml:space="preserve">. </w:t>
      </w:r>
      <w:r w:rsidR="00715F41" w:rsidRPr="004866BE">
        <w:t xml:space="preserve">The report also </w:t>
      </w:r>
      <w:r w:rsidR="000A0AD5" w:rsidRPr="004866BE">
        <w:t xml:space="preserve">provides indicative </w:t>
      </w:r>
      <w:r w:rsidR="000A0AD5" w:rsidRPr="004866BE">
        <w:lastRenderedPageBreak/>
        <w:t>predictions based on</w:t>
      </w:r>
      <w:r w:rsidR="00DE77AC">
        <w:t xml:space="preserve"> </w:t>
      </w:r>
      <w:r w:rsidR="00FE445D">
        <w:t>screening invitation timeframe changes resulting from the Hot Zone policy</w:t>
      </w:r>
      <w:r w:rsidR="00DE77AC">
        <w:t xml:space="preserve">, </w:t>
      </w:r>
      <w:r w:rsidR="000A0AD5" w:rsidRPr="004866BE">
        <w:t xml:space="preserve">changes in compliance to follow-up </w:t>
      </w:r>
      <w:r w:rsidR="00F076F7" w:rsidRPr="004866BE">
        <w:t>colonoscopies</w:t>
      </w:r>
      <w:r w:rsidR="00DE77AC">
        <w:t xml:space="preserve"> and state or territory</w:t>
      </w:r>
      <w:r w:rsidR="00FE445D">
        <w:t>.</w:t>
      </w:r>
    </w:p>
    <w:p w14:paraId="6C4D7DD1" w14:textId="77777777" w:rsidR="003A51A7" w:rsidRPr="009810F7" w:rsidRDefault="002C79DF" w:rsidP="008B213B">
      <w:pPr>
        <w:pStyle w:val="Heading1"/>
      </w:pPr>
      <w:r w:rsidRPr="009810F7">
        <w:t>Methods</w:t>
      </w:r>
    </w:p>
    <w:p w14:paraId="73E098E2" w14:textId="77777777" w:rsidR="00906B0B" w:rsidRPr="004866BE" w:rsidRDefault="00906B0B" w:rsidP="00906B0B">
      <w:r w:rsidRPr="004866BE">
        <w:t xml:space="preserve">A range of </w:t>
      </w:r>
      <w:r w:rsidR="004D5E03" w:rsidRPr="004866BE">
        <w:t>disruption</w:t>
      </w:r>
      <w:r w:rsidRPr="004866BE">
        <w:t xml:space="preserve">, recovery and catch-up scenarios have been modelled, and these </w:t>
      </w:r>
      <w:r w:rsidR="007D297F" w:rsidRPr="004866BE">
        <w:t xml:space="preserve">have been </w:t>
      </w:r>
      <w:r w:rsidRPr="004866BE">
        <w:t>compared to the</w:t>
      </w:r>
      <w:r w:rsidR="007D297F" w:rsidRPr="004866BE">
        <w:t xml:space="preserve"> current</w:t>
      </w:r>
      <w:r w:rsidRPr="004866BE">
        <w:t xml:space="preserve"> NBCSP </w:t>
      </w:r>
      <w:r w:rsidR="007D297F" w:rsidRPr="004866BE">
        <w:t xml:space="preserve">assuming there has been no change to participation </w:t>
      </w:r>
      <w:r w:rsidRPr="004866BE">
        <w:t xml:space="preserve">due to COVID-19, </w:t>
      </w:r>
      <w:proofErr w:type="gramStart"/>
      <w:r w:rsidRPr="004866BE">
        <w:t>in order to</w:t>
      </w:r>
      <w:proofErr w:type="gramEnd"/>
      <w:r w:rsidRPr="004866BE">
        <w:t xml:space="preserve"> estimate the impact of </w:t>
      </w:r>
      <w:r w:rsidR="19B30DF5" w:rsidRPr="004866BE">
        <w:t xml:space="preserve">a </w:t>
      </w:r>
      <w:r w:rsidRPr="004866BE">
        <w:t>disruption on</w:t>
      </w:r>
      <w:r w:rsidR="41C4F72D" w:rsidRPr="004866BE">
        <w:t xml:space="preserve"> </w:t>
      </w:r>
      <w:r w:rsidR="00592E3A">
        <w:t xml:space="preserve">shorter-term and </w:t>
      </w:r>
      <w:r w:rsidR="41C4F72D" w:rsidRPr="004866BE">
        <w:t>long</w:t>
      </w:r>
      <w:r w:rsidR="00592E3A">
        <w:t>-</w:t>
      </w:r>
      <w:r w:rsidR="41C4F72D" w:rsidRPr="004866BE">
        <w:t>term</w:t>
      </w:r>
      <w:r w:rsidRPr="004866BE">
        <w:t xml:space="preserve"> cancer risk</w:t>
      </w:r>
      <w:r w:rsidR="1B3FFEF1" w:rsidRPr="004866BE">
        <w:t xml:space="preserve"> </w:t>
      </w:r>
      <w:r w:rsidRPr="004866BE">
        <w:t xml:space="preserve">and </w:t>
      </w:r>
      <w:r w:rsidR="0014358B">
        <w:t>resource demand</w:t>
      </w:r>
      <w:r w:rsidRPr="004866BE">
        <w:t xml:space="preserve"> </w:t>
      </w:r>
      <w:r w:rsidR="00021B6E" w:rsidRPr="004866BE">
        <w:t xml:space="preserve">during and after </w:t>
      </w:r>
      <w:r w:rsidR="0CADD4C0" w:rsidRPr="004866BE">
        <w:t xml:space="preserve">the </w:t>
      </w:r>
      <w:r w:rsidR="004D5E03" w:rsidRPr="004866BE">
        <w:t>disruption</w:t>
      </w:r>
      <w:r w:rsidR="002C370D" w:rsidRPr="004866BE">
        <w:t>.</w:t>
      </w:r>
    </w:p>
    <w:p w14:paraId="0A560DEA" w14:textId="77777777" w:rsidR="00906B0B" w:rsidRPr="004866BE" w:rsidRDefault="00EE3C72" w:rsidP="00906B0B">
      <w:r w:rsidRPr="004866BE">
        <w:t>Different</w:t>
      </w:r>
      <w:r w:rsidR="00906B0B" w:rsidRPr="004866BE">
        <w:t xml:space="preserve"> combinations of disruption, recovery and catch-up </w:t>
      </w:r>
      <w:r w:rsidR="00660029" w:rsidRPr="004866BE">
        <w:t>were</w:t>
      </w:r>
      <w:r w:rsidR="00475CC3" w:rsidRPr="004866BE">
        <w:t xml:space="preserve"> </w:t>
      </w:r>
      <w:r w:rsidR="00906B0B" w:rsidRPr="004866BE">
        <w:t>considered</w:t>
      </w:r>
      <w:r w:rsidR="00660029" w:rsidRPr="004866BE">
        <w:t xml:space="preserve">. </w:t>
      </w:r>
      <w:r w:rsidR="00906B0B" w:rsidRPr="004866BE">
        <w:t xml:space="preserve">Outcomes </w:t>
      </w:r>
      <w:r w:rsidR="005E740F" w:rsidRPr="004866BE">
        <w:t>have</w:t>
      </w:r>
      <w:r w:rsidR="00906B0B" w:rsidRPr="004866BE">
        <w:t xml:space="preserve"> be</w:t>
      </w:r>
      <w:r w:rsidR="00081F1F" w:rsidRPr="004866BE">
        <w:t>en</w:t>
      </w:r>
      <w:r w:rsidR="00906B0B" w:rsidRPr="004866BE">
        <w:t xml:space="preserve"> estimated for the affected cohort</w:t>
      </w:r>
      <w:r w:rsidR="00B37537" w:rsidRPr="004866BE">
        <w:t>s</w:t>
      </w:r>
      <w:r w:rsidR="00906B0B" w:rsidRPr="004866BE">
        <w:t xml:space="preserve"> only </w:t>
      </w:r>
      <w:proofErr w:type="gramStart"/>
      <w:r w:rsidR="00906B0B" w:rsidRPr="004866BE">
        <w:t>i.e.</w:t>
      </w:r>
      <w:proofErr w:type="gramEnd"/>
      <w:r w:rsidR="00906B0B" w:rsidRPr="004866BE">
        <w:t xml:space="preserve"> among </w:t>
      </w:r>
      <w:r w:rsidR="00906B0B" w:rsidRPr="004866BE">
        <w:rPr>
          <w:b/>
        </w:rPr>
        <w:t>people aged 50-74 y</w:t>
      </w:r>
      <w:r w:rsidR="0033781A" w:rsidRPr="004866BE">
        <w:rPr>
          <w:b/>
        </w:rPr>
        <w:t>ea</w:t>
      </w:r>
      <w:r w:rsidR="00906B0B" w:rsidRPr="004866BE">
        <w:rPr>
          <w:b/>
        </w:rPr>
        <w:t xml:space="preserve">rs eligible for screening in 2020 </w:t>
      </w:r>
      <w:r w:rsidR="00B37537" w:rsidRPr="004866BE">
        <w:rPr>
          <w:b/>
        </w:rPr>
        <w:t>and 2021</w:t>
      </w:r>
      <w:r w:rsidR="00906B0B" w:rsidRPr="004866BE">
        <w:t xml:space="preserve">. </w:t>
      </w:r>
      <w:r w:rsidR="006C68F8" w:rsidRPr="004866BE">
        <w:t xml:space="preserve">This cohort comprises </w:t>
      </w:r>
      <w:r w:rsidR="00FF0B83" w:rsidRPr="004866BE">
        <w:t>7.1 million people, 3.5 million men and 3.6 million women.</w:t>
      </w:r>
    </w:p>
    <w:p w14:paraId="22608E92" w14:textId="77777777" w:rsidR="0078498E" w:rsidRPr="004866BE" w:rsidRDefault="0078498E" w:rsidP="008B213B">
      <w:r w:rsidRPr="004866BE">
        <w:t xml:space="preserve">The modelled scenarios have </w:t>
      </w:r>
      <w:r w:rsidR="00D77ECC" w:rsidRPr="004866BE">
        <w:t xml:space="preserve">up to three </w:t>
      </w:r>
      <w:r w:rsidR="00C76D28" w:rsidRPr="004866BE">
        <w:t>a</w:t>
      </w:r>
      <w:r w:rsidR="009F2B4C" w:rsidRPr="004866BE">
        <w:t>ffected periods/cohorts</w:t>
      </w:r>
      <w:r w:rsidRPr="004866BE">
        <w:t>:</w:t>
      </w:r>
    </w:p>
    <w:p w14:paraId="6D4A323B" w14:textId="77777777" w:rsidR="0078498E" w:rsidRPr="004866BE" w:rsidRDefault="0078498E" w:rsidP="0078498E">
      <w:pPr>
        <w:pStyle w:val="ListParagraph"/>
        <w:numPr>
          <w:ilvl w:val="0"/>
          <w:numId w:val="32"/>
        </w:numPr>
      </w:pPr>
      <w:r w:rsidRPr="004866BE">
        <w:t xml:space="preserve">the </w:t>
      </w:r>
      <w:r w:rsidRPr="004866BE">
        <w:rPr>
          <w:b/>
        </w:rPr>
        <w:t xml:space="preserve">screening </w:t>
      </w:r>
      <w:r w:rsidR="00C736F7" w:rsidRPr="004866BE">
        <w:rPr>
          <w:b/>
        </w:rPr>
        <w:t>disruption</w:t>
      </w:r>
      <w:r w:rsidRPr="004866BE">
        <w:t xml:space="preserve"> </w:t>
      </w:r>
      <w:r w:rsidR="00C411B2" w:rsidRPr="004866BE">
        <w:t xml:space="preserve">(or pause) </w:t>
      </w:r>
      <w:r w:rsidRPr="004866BE">
        <w:t xml:space="preserve">period </w:t>
      </w:r>
      <w:r w:rsidR="0085336A" w:rsidRPr="004866BE">
        <w:t>–</w:t>
      </w:r>
      <w:r w:rsidRPr="004866BE">
        <w:t xml:space="preserve"> </w:t>
      </w:r>
      <w:r w:rsidR="0085336A" w:rsidRPr="004866BE">
        <w:t xml:space="preserve">this is a hypothetical </w:t>
      </w:r>
      <w:proofErr w:type="gramStart"/>
      <w:r w:rsidR="0085336A" w:rsidRPr="004866BE">
        <w:t>period of time</w:t>
      </w:r>
      <w:proofErr w:type="gramEnd"/>
      <w:r w:rsidR="0085336A" w:rsidRPr="004866BE">
        <w:t xml:space="preserve"> where there are </w:t>
      </w:r>
      <w:r w:rsidR="0085336A" w:rsidRPr="004866BE">
        <w:rPr>
          <w:b/>
        </w:rPr>
        <w:t xml:space="preserve">no screening invitations </w:t>
      </w:r>
      <w:r w:rsidR="00EE3C72" w:rsidRPr="004866BE">
        <w:rPr>
          <w:b/>
        </w:rPr>
        <w:t xml:space="preserve">and kits </w:t>
      </w:r>
      <w:r w:rsidR="00BC4B63" w:rsidRPr="004866BE">
        <w:t>sent or processed</w:t>
      </w:r>
      <w:r w:rsidR="00D77ECC" w:rsidRPr="004866BE">
        <w:t xml:space="preserve">, and no </w:t>
      </w:r>
      <w:r w:rsidR="00877E37" w:rsidRPr="004866BE">
        <w:t>follow-up or surveillance</w:t>
      </w:r>
      <w:r w:rsidR="00D77ECC" w:rsidRPr="004866BE">
        <w:t xml:space="preserve"> colonoscopies</w:t>
      </w:r>
      <w:r w:rsidR="00E0482D">
        <w:t xml:space="preserve"> were conducted</w:t>
      </w:r>
      <w:r w:rsidR="00BC4B63" w:rsidRPr="004866BE">
        <w:t xml:space="preserve">. This was modelled for 3 months, 6 months, or 12 months, depending on the scenario. For modelling purposes, these periods were assumed to occur in 2020 </w:t>
      </w:r>
      <w:r w:rsidR="00D478F6" w:rsidRPr="004866BE">
        <w:t>–</w:t>
      </w:r>
      <w:r w:rsidR="00BC4B63" w:rsidRPr="004866BE">
        <w:t xml:space="preserve"> </w:t>
      </w:r>
      <w:r w:rsidR="00D478F6" w:rsidRPr="004866BE">
        <w:t xml:space="preserve">starting from April for 3- or 6-month pauses, and over the course of 2020 for the 12 </w:t>
      </w:r>
      <w:proofErr w:type="gramStart"/>
      <w:r w:rsidR="00D478F6" w:rsidRPr="004866BE">
        <w:t>month</w:t>
      </w:r>
      <w:proofErr w:type="gramEnd"/>
      <w:r w:rsidR="00D478F6" w:rsidRPr="004866BE">
        <w:t xml:space="preserve"> pause. </w:t>
      </w:r>
    </w:p>
    <w:p w14:paraId="5275EE4E" w14:textId="77777777" w:rsidR="0078498E" w:rsidRPr="004866BE" w:rsidRDefault="0078498E" w:rsidP="0078498E">
      <w:pPr>
        <w:pStyle w:val="ListParagraph"/>
        <w:numPr>
          <w:ilvl w:val="0"/>
          <w:numId w:val="32"/>
        </w:numPr>
      </w:pPr>
      <w:r w:rsidRPr="004866BE">
        <w:t xml:space="preserve">a </w:t>
      </w:r>
      <w:r w:rsidR="000A096C">
        <w:t xml:space="preserve">comprehensive </w:t>
      </w:r>
      <w:r w:rsidRPr="004866BE">
        <w:rPr>
          <w:b/>
        </w:rPr>
        <w:t xml:space="preserve">catch-up </w:t>
      </w:r>
      <w:r w:rsidR="000A096C">
        <w:t>strategy</w:t>
      </w:r>
      <w:r w:rsidRPr="004866BE">
        <w:t xml:space="preserve"> – </w:t>
      </w:r>
      <w:r w:rsidR="0003068B" w:rsidRPr="004866BE">
        <w:t xml:space="preserve">in </w:t>
      </w:r>
      <w:r w:rsidR="007B423F" w:rsidRPr="004866BE">
        <w:t xml:space="preserve">some scenarios, we assumed that individuals who were not invited to screening due to the pause were </w:t>
      </w:r>
      <w:r w:rsidR="007B423F" w:rsidRPr="004866BE">
        <w:rPr>
          <w:b/>
        </w:rPr>
        <w:t xml:space="preserve">invited back to screening </w:t>
      </w:r>
      <w:r w:rsidR="007B423F" w:rsidRPr="004866BE">
        <w:t>after the screening pause</w:t>
      </w:r>
      <w:r w:rsidR="00104E3B" w:rsidRPr="004866BE">
        <w:t xml:space="preserve">. This period was modelled for the same length of time as the corresponding pause – </w:t>
      </w:r>
      <w:proofErr w:type="gramStart"/>
      <w:r w:rsidR="00DF572E" w:rsidRPr="004866BE">
        <w:t>i.e.</w:t>
      </w:r>
      <w:proofErr w:type="gramEnd"/>
      <w:r w:rsidR="00104E3B" w:rsidRPr="004866BE">
        <w:t xml:space="preserve"> a 3 month pause was followed by a </w:t>
      </w:r>
      <w:r w:rsidR="00DF572E" w:rsidRPr="004866BE">
        <w:t>3</w:t>
      </w:r>
      <w:r w:rsidR="00104E3B" w:rsidRPr="004866BE">
        <w:t xml:space="preserve"> month</w:t>
      </w:r>
      <w:r w:rsidR="00DF572E" w:rsidRPr="004866BE">
        <w:t xml:space="preserve"> catch-up period. </w:t>
      </w:r>
      <w:r w:rsidR="009A5346" w:rsidRPr="004866BE">
        <w:t>The</w:t>
      </w:r>
      <w:r w:rsidR="00DF572E" w:rsidRPr="004866BE">
        <w:t xml:space="preserve"> catch-up period was modelled at </w:t>
      </w:r>
      <w:r w:rsidR="00A15772" w:rsidRPr="004866BE">
        <w:rPr>
          <w:b/>
        </w:rPr>
        <w:t>observed participation rates</w:t>
      </w:r>
      <w:r w:rsidR="00A15772" w:rsidRPr="004866BE">
        <w:t xml:space="preserve">, </w:t>
      </w:r>
      <w:proofErr w:type="gramStart"/>
      <w:r w:rsidR="00A15772" w:rsidRPr="004866BE">
        <w:t>i.e.</w:t>
      </w:r>
      <w:proofErr w:type="gramEnd"/>
      <w:r w:rsidR="00A15772" w:rsidRPr="004866BE">
        <w:t xml:space="preserve"> an individual has the same probability of screening during the catch-up period that they would have if there was no screening pause.</w:t>
      </w:r>
    </w:p>
    <w:p w14:paraId="1143FD55" w14:textId="77777777" w:rsidR="0078498E" w:rsidRPr="004866BE" w:rsidRDefault="0078498E" w:rsidP="00D45D5F">
      <w:pPr>
        <w:pStyle w:val="ListParagraph"/>
        <w:numPr>
          <w:ilvl w:val="0"/>
          <w:numId w:val="32"/>
        </w:numPr>
      </w:pPr>
      <w:r w:rsidRPr="004866BE">
        <w:t>a</w:t>
      </w:r>
      <w:r w:rsidRPr="004866BE" w:rsidDel="003B1766">
        <w:t xml:space="preserve"> </w:t>
      </w:r>
      <w:r w:rsidRPr="004866BE">
        <w:rPr>
          <w:b/>
        </w:rPr>
        <w:t xml:space="preserve">recovery </w:t>
      </w:r>
      <w:r w:rsidRPr="004866BE">
        <w:t xml:space="preserve">period – </w:t>
      </w:r>
      <w:r w:rsidR="00E75298" w:rsidRPr="004866BE">
        <w:t xml:space="preserve">the recovery period immediately follows a screening </w:t>
      </w:r>
      <w:r w:rsidR="00B03AF6">
        <w:t>disruption</w:t>
      </w:r>
      <w:r w:rsidR="00E75298" w:rsidRPr="004866BE">
        <w:t xml:space="preserve"> period. I</w:t>
      </w:r>
      <w:r w:rsidR="00A15772" w:rsidRPr="004866BE">
        <w:t xml:space="preserve">n some scenarios, we assumed that </w:t>
      </w:r>
      <w:r w:rsidR="00A15772" w:rsidRPr="004866BE">
        <w:rPr>
          <w:b/>
        </w:rPr>
        <w:t xml:space="preserve">participation rates </w:t>
      </w:r>
      <w:r w:rsidR="001A5F63" w:rsidRPr="004866BE">
        <w:rPr>
          <w:b/>
        </w:rPr>
        <w:t xml:space="preserve">are </w:t>
      </w:r>
      <w:r w:rsidR="0076379D" w:rsidRPr="004866BE">
        <w:rPr>
          <w:b/>
        </w:rPr>
        <w:t>halved</w:t>
      </w:r>
      <w:r w:rsidR="001A5F63" w:rsidRPr="004866BE">
        <w:t xml:space="preserve"> for the 12 months following the pause, </w:t>
      </w:r>
      <w:proofErr w:type="gramStart"/>
      <w:r w:rsidR="001A5F63" w:rsidRPr="004866BE">
        <w:t>i.e.</w:t>
      </w:r>
      <w:proofErr w:type="gramEnd"/>
      <w:r w:rsidR="001A5F63" w:rsidRPr="004866BE">
        <w:t xml:space="preserve"> overall screening participation is lowered to approximately 20% for twelve months</w:t>
      </w:r>
      <w:r w:rsidRPr="004866BE">
        <w:t>.</w:t>
      </w:r>
      <w:r w:rsidR="001A2BC7" w:rsidRPr="004866BE">
        <w:t xml:space="preserve"> This was based on the theoretical situation that changes to the health system and </w:t>
      </w:r>
      <w:r w:rsidR="00EE3C72" w:rsidRPr="004866BE">
        <w:t>individual</w:t>
      </w:r>
      <w:r w:rsidR="001A2BC7" w:rsidRPr="004866BE">
        <w:t xml:space="preserve"> attitudes</w:t>
      </w:r>
      <w:r w:rsidR="00EE3C72" w:rsidRPr="004866BE">
        <w:t xml:space="preserve"> to cancer screening and health services led to</w:t>
      </w:r>
      <w:r w:rsidR="001A2BC7" w:rsidRPr="004866BE">
        <w:t xml:space="preserve"> decrease</w:t>
      </w:r>
      <w:r w:rsidR="00EE3C72" w:rsidRPr="004866BE">
        <w:t>d</w:t>
      </w:r>
      <w:r w:rsidR="001A2BC7" w:rsidRPr="004866BE">
        <w:t xml:space="preserve"> participation.</w:t>
      </w:r>
    </w:p>
    <w:p w14:paraId="785A54EE" w14:textId="77777777" w:rsidR="00906B0B" w:rsidRPr="004866BE" w:rsidRDefault="00906B0B" w:rsidP="00906B0B">
      <w:bookmarkStart w:id="0" w:name="_Hlk38896282"/>
      <w:r w:rsidRPr="004866BE">
        <w:t>Based on the GESA recommendations</w:t>
      </w:r>
      <w:r w:rsidR="00C617CF" w:rsidRPr="004866BE">
        <w:t xml:space="preserve"> from 24</w:t>
      </w:r>
      <w:r w:rsidR="00C617CF" w:rsidRPr="004866BE">
        <w:rPr>
          <w:vertAlign w:val="superscript"/>
        </w:rPr>
        <w:t>th</w:t>
      </w:r>
      <w:r w:rsidR="00C617CF" w:rsidRPr="004866BE">
        <w:t xml:space="preserve"> March 2020</w:t>
      </w:r>
      <w:r w:rsidR="006C5662" w:rsidRPr="004866BE">
        <w:t>, most</w:t>
      </w:r>
      <w:r w:rsidRPr="004866BE">
        <w:t xml:space="preserve"> “elective” colonoscopies </w:t>
      </w:r>
      <w:r w:rsidR="00767344" w:rsidRPr="004866BE">
        <w:t>were</w:t>
      </w:r>
      <w:r w:rsidRPr="004866BE">
        <w:t xml:space="preserve"> suspended </w:t>
      </w:r>
      <w:r w:rsidR="00767344" w:rsidRPr="004866BE">
        <w:t>for most of March and April</w:t>
      </w:r>
      <w:r w:rsidR="00AF5974" w:rsidRPr="004866BE">
        <w:t xml:space="preserve"> 2020</w:t>
      </w:r>
      <w:r w:rsidR="00767344" w:rsidRPr="004866BE">
        <w:t xml:space="preserve"> </w:t>
      </w:r>
      <w:r w:rsidRPr="004866BE">
        <w:t>unless considered to be “urgent”</w:t>
      </w:r>
      <w:r w:rsidR="00003B10" w:rsidRPr="004866BE">
        <w:t>.</w:t>
      </w:r>
      <w:r w:rsidRPr="004866BE">
        <w:t xml:space="preserve"> </w:t>
      </w:r>
      <w:r w:rsidR="001440D6">
        <w:t>Recommendations suggested that c</w:t>
      </w:r>
      <w:r w:rsidR="00003B10" w:rsidRPr="004866BE">
        <w:t>olonoscopies for</w:t>
      </w:r>
      <w:r w:rsidR="3384C4D3" w:rsidRPr="004866BE">
        <w:t xml:space="preserve"> the</w:t>
      </w:r>
      <w:r w:rsidR="00003B10" w:rsidRPr="004866BE">
        <w:t xml:space="preserve"> investigation of </w:t>
      </w:r>
      <w:r w:rsidR="235A8737" w:rsidRPr="004866BE">
        <w:t xml:space="preserve">a </w:t>
      </w:r>
      <w:r w:rsidR="00003B10" w:rsidRPr="004866BE">
        <w:t xml:space="preserve">positive </w:t>
      </w:r>
      <w:proofErr w:type="spellStart"/>
      <w:r w:rsidR="35CB7870" w:rsidRPr="004866BE">
        <w:t>i</w:t>
      </w:r>
      <w:r w:rsidR="00003B10" w:rsidRPr="004866BE">
        <w:t>FOBT</w:t>
      </w:r>
      <w:proofErr w:type="spellEnd"/>
      <w:r w:rsidR="00003B10" w:rsidRPr="004866BE">
        <w:t xml:space="preserve"> </w:t>
      </w:r>
      <w:r w:rsidR="00266894">
        <w:t>be</w:t>
      </w:r>
      <w:r w:rsidR="00003B10" w:rsidRPr="004866BE">
        <w:t xml:space="preserve"> considered on a case-by-case basis only if the patient has not had a high</w:t>
      </w:r>
      <w:r w:rsidR="06D377A0" w:rsidRPr="004866BE">
        <w:t>-</w:t>
      </w:r>
      <w:r w:rsidR="00003B10" w:rsidRPr="004866BE">
        <w:t xml:space="preserve">quality colonoscopy within </w:t>
      </w:r>
      <w:r w:rsidRPr="004866BE">
        <w:t>the previous 4 years.</w:t>
      </w:r>
      <w:r w:rsidRPr="004866BE">
        <w:fldChar w:fldCharType="begin"/>
      </w:r>
      <w:r w:rsidRPr="004866BE">
        <w:instrText xml:space="preserve"> ADDIN EN.CITE &lt;EndNote&gt;&lt;Cite&gt;&lt;Author&gt;Gastroenterological Society of Australia (GESA)&lt;/Author&gt;&lt;Year&gt;2020&lt;/Year&gt;&lt;RecNum&gt;1435&lt;/RecNum&gt;&lt;DisplayText&gt;[2]&lt;/DisplayText&gt;&lt;record&gt;&lt;rec-number&gt;1435&lt;/rec-number&gt;&lt;foreign-keys&gt;&lt;key app="EN" db-id="x50da5ezff5faue2296x5z26twvpfe5wa90e" timestamp="1587080704"&gt;1435&lt;/key&gt;&lt;/foreign-keys&gt;&lt;ref-type name="Press Release"&gt;63&lt;/ref-type&gt;&lt;contributors&gt;&lt;authors&gt;&lt;author&gt;Gastroenterological Society of Australia (GESA),&lt;/author&gt;&lt;/authors&gt;&lt;/contributors&gt;&lt;titles&gt;&lt;title&gt;Guide for Triage of Endoscopic Procedures During the COVID-19 Pandemic&lt;/title&gt;&lt;/titles&gt;&lt;dates&gt;&lt;year&gt;2020&lt;/year&gt;&lt;/dates&gt;&lt;pub-location&gt;Available from https://www.gesa.org.au/resources/covid-19&lt;/pub-location&gt;&lt;urls&gt;&lt;/urls&gt;&lt;/record&gt;&lt;/Cite&gt;&lt;Cite&gt;&lt;Author&gt;(GESA)&lt;/Author&gt;&lt;Year&gt;2020&lt;/Year&gt;&lt;RecNum&gt;1435&lt;/RecNum&gt;&lt;record&gt;&lt;rec-number&gt;1435&lt;/rec-number&gt;&lt;foreign-keys&gt;&lt;key app="EN" db-id="x50da5ezff5faue2296x5z26twvpfe5wa90e" timestamp="1587080704"&gt;1435&lt;/key&gt;&lt;/foreign-keys&gt;&lt;ref-type name="Press Release"&gt;63&lt;/ref-type&gt;&lt;contributors&gt;&lt;authors&gt;&lt;author&gt;Gastroenterological Society of Australia (GESA),&lt;/author&gt;&lt;/authors&gt;&lt;/contributors&gt;&lt;titles&gt;&lt;title&gt;Guide for Triage of Endoscopic Procedures During the COVID-19 Pandemic&lt;/title&gt;&lt;/titles&gt;&lt;dates&gt;&lt;year&gt;2020&lt;/year&gt;&lt;/dates&gt;&lt;pub-location&gt;Available from https://www.gesa.org.au/resources/covid-19&lt;/pub-location&gt;&lt;urls&gt;&lt;/urls&gt;&lt;/record&gt;&lt;/Cite&gt;&lt;/EndNote&gt;</w:instrText>
      </w:r>
      <w:r w:rsidRPr="004866BE">
        <w:fldChar w:fldCharType="separate"/>
      </w:r>
      <w:r w:rsidR="00EC22E8" w:rsidRPr="004866BE">
        <w:t>[2]</w:t>
      </w:r>
      <w:r w:rsidRPr="004866BE">
        <w:fldChar w:fldCharType="end"/>
      </w:r>
      <w:r w:rsidRPr="004866BE">
        <w:t xml:space="preserve"> The continuation of urgent colonoscopies </w:t>
      </w:r>
      <w:r w:rsidR="00301896" w:rsidRPr="004866BE">
        <w:t xml:space="preserve">was </w:t>
      </w:r>
      <w:r w:rsidRPr="004866BE">
        <w:t xml:space="preserve">not incorporated </w:t>
      </w:r>
      <w:r w:rsidR="00301896" w:rsidRPr="004866BE">
        <w:t>in these</w:t>
      </w:r>
      <w:r w:rsidRPr="004866BE">
        <w:t xml:space="preserve"> results, nor </w:t>
      </w:r>
      <w:r w:rsidR="0789EE83" w:rsidRPr="004866BE">
        <w:t xml:space="preserve">was </w:t>
      </w:r>
      <w:r w:rsidRPr="004866BE">
        <w:t xml:space="preserve">rescheduling of elective colonoscopies. </w:t>
      </w:r>
      <w:r w:rsidR="00EE3C72" w:rsidRPr="004866BE">
        <w:t>We note that recommendations to recommence colonoscopy services were announced at the end of the April 2020 but have not been incorporated into these results.</w:t>
      </w:r>
    </w:p>
    <w:p w14:paraId="3C79315C" w14:textId="77777777" w:rsidR="009F2B4C" w:rsidRPr="004866BE" w:rsidRDefault="009F2B4C" w:rsidP="00906B0B">
      <w:pPr>
        <w:rPr>
          <w:b/>
        </w:rPr>
      </w:pPr>
      <w:r w:rsidRPr="004866BE">
        <w:lastRenderedPageBreak/>
        <w:t>The</w:t>
      </w:r>
      <w:r w:rsidR="00EE3C72" w:rsidRPr="004866BE">
        <w:t xml:space="preserve"> seven specific</w:t>
      </w:r>
      <w:r w:rsidRPr="004866BE">
        <w:t xml:space="preserve"> scenarios modelled are listed in </w:t>
      </w:r>
      <w:r w:rsidRPr="004866BE">
        <w:rPr>
          <w:b/>
        </w:rPr>
        <w:t xml:space="preserve">Table </w:t>
      </w:r>
      <w:r w:rsidR="00937A16" w:rsidRPr="004866BE">
        <w:rPr>
          <w:b/>
        </w:rPr>
        <w:t>1</w:t>
      </w:r>
      <w:r w:rsidRPr="004866BE">
        <w:rPr>
          <w:b/>
        </w:rPr>
        <w:t xml:space="preserve"> </w:t>
      </w:r>
      <w:r w:rsidRPr="004866BE">
        <w:t xml:space="preserve">and illustrated in </w:t>
      </w:r>
      <w:r w:rsidRPr="004866BE">
        <w:rPr>
          <w:b/>
        </w:rPr>
        <w:t>Figure 1.</w:t>
      </w:r>
    </w:p>
    <w:bookmarkEnd w:id="0"/>
    <w:p w14:paraId="10677CDA" w14:textId="77777777" w:rsidR="009810F7" w:rsidRPr="008B213B" w:rsidRDefault="009810F7" w:rsidP="008B213B">
      <w:pPr>
        <w:pStyle w:val="Heading2"/>
      </w:pPr>
      <w:r w:rsidRPr="008B213B">
        <w:t>Modelling platform and inputs</w:t>
      </w:r>
    </w:p>
    <w:p w14:paraId="6D2D7648" w14:textId="77777777" w:rsidR="00597D8C" w:rsidRPr="004866BE" w:rsidRDefault="003A51A7" w:rsidP="008B213B">
      <w:r w:rsidRPr="004866BE">
        <w:t xml:space="preserve">The </w:t>
      </w:r>
      <w:r w:rsidRPr="004866BE">
        <w:rPr>
          <w:i/>
        </w:rPr>
        <w:t>Policy1-Bowel</w:t>
      </w:r>
      <w:r w:rsidRPr="004866BE">
        <w:t xml:space="preserve"> microsimulation platform was used to </w:t>
      </w:r>
      <w:r w:rsidR="00EE57F9" w:rsidRPr="004866BE">
        <w:t xml:space="preserve">model </w:t>
      </w:r>
      <w:r w:rsidR="00F52532" w:rsidRPr="004866BE">
        <w:t>CRC</w:t>
      </w:r>
      <w:r w:rsidR="00C422EE" w:rsidRPr="004866BE">
        <w:t xml:space="preserve"> </w:t>
      </w:r>
      <w:r w:rsidRPr="004866BE">
        <w:t xml:space="preserve">and screening </w:t>
      </w:r>
      <w:r w:rsidR="00D5156C" w:rsidRPr="004866BE">
        <w:t>via the NBCSP</w:t>
      </w:r>
      <w:r w:rsidRPr="004866BE">
        <w:t xml:space="preserve">. The </w:t>
      </w:r>
      <w:r w:rsidR="4FF97961" w:rsidRPr="004866BE">
        <w:t>natural history</w:t>
      </w:r>
      <w:r w:rsidRPr="004866BE">
        <w:t xml:space="preserve"> model simulates the development of pre-cancer</w:t>
      </w:r>
      <w:r w:rsidR="002F295D" w:rsidRPr="004866BE">
        <w:t>ous</w:t>
      </w:r>
      <w:r w:rsidRPr="004866BE">
        <w:t xml:space="preserve"> lesions and CRC via two biological pathways (</w:t>
      </w:r>
      <w:proofErr w:type="gramStart"/>
      <w:r w:rsidRPr="004866BE">
        <w:t>i.e.</w:t>
      </w:r>
      <w:proofErr w:type="gramEnd"/>
      <w:r w:rsidRPr="004866BE">
        <w:t xml:space="preserve"> the conventional adenoma-carcinoma pathway and the serrated pathway) in individuals.</w:t>
      </w:r>
      <w:r w:rsidR="00DD537D" w:rsidRPr="004866BE">
        <w:t xml:space="preserve"> </w:t>
      </w:r>
      <w:r w:rsidRPr="004866BE">
        <w:t>The model has been extensively calibrated and validated to the Australian setting</w:t>
      </w:r>
      <w:r w:rsidR="0345F859" w:rsidRPr="004866BE">
        <w:t>, including detailed modelling of the NBCSP</w:t>
      </w:r>
      <w:r w:rsidRPr="004866BE">
        <w:t xml:space="preserve">; </w:t>
      </w:r>
      <w:r w:rsidR="00C17C37" w:rsidRPr="004866BE">
        <w:t>selected parameter values and data sources are included in Appendix A, and</w:t>
      </w:r>
      <w:r w:rsidRPr="004866BE">
        <w:t xml:space="preserve"> a detailed technical appendix can be found in Lew et al.</w:t>
      </w:r>
      <w:r w:rsidRPr="004866BE">
        <w:fldChar w:fldCharType="begin"/>
      </w:r>
      <w:r w:rsidRPr="004866BE">
        <w:instrText xml:space="preserve"> ADDIN EN.CITE &lt;EndNote&gt;&lt;Cite&gt;&lt;Author&gt;Lew&lt;/Author&gt;&lt;Year&gt;2017&lt;/Year&gt;&lt;RecNum&gt;1338&lt;/RecNum&gt;&lt;DisplayText&gt;[3]&lt;/DisplayText&gt;&lt;record&gt;&lt;rec-number&gt;1338&lt;/rec-number&gt;&lt;foreign-keys&gt;&lt;key app="EN" db-id="da5e0t5d9t9vfgeewz95e0eee0faf5pfxx9r" timestamp="1522303119"&gt;1338&lt;/key&gt;&lt;/foreign-keys&gt;&lt;ref-type name="Journal Article"&gt;17&lt;/ref-type&gt;&lt;contributors&gt;&lt;authors&gt;&lt;author&gt;Lew, Jie-Bin&lt;/author&gt;&lt;author&gt;St John, D James B&lt;/author&gt;&lt;author&gt;Xu, Xiang-Ming&lt;/author&gt;&lt;author&gt;Greuter, Marjolein JE&lt;/author&gt;&lt;author&gt;Caruana, Michael&lt;/author&gt;&lt;author&gt;Cenin, Dayna R&lt;/author&gt;&lt;author&gt;He, Emily&lt;/author&gt;&lt;author&gt;Saville, Marion&lt;/author&gt;&lt;author&gt;Grogan, Paul&lt;/author&gt;&lt;author&gt;Coupé, Veerle MH&lt;/author&gt;&lt;/authors&gt;&lt;/contributors&gt;&lt;titles&gt;&lt;title&gt;Long-term evaluation of benefits, harms, and cost-effectiveness of the National Bowel Cancer Screening Program in Australia: a modelling study&lt;/title&gt;&lt;secondary-title&gt;The Lancet Public Health&lt;/secondary-title&gt;&lt;/titles&gt;&lt;periodical&gt;&lt;full-title&gt;The Lancet Public Health&lt;/full-title&gt;&lt;/periodical&gt;&lt;pages&gt;e331-e340&lt;/pages&gt;&lt;volume&gt;2&lt;/volume&gt;&lt;number&gt;7&lt;/number&gt;&lt;dates&gt;&lt;year&gt;2017&lt;/year&gt;&lt;/dates&gt;&lt;isbn&gt;2468-2667&lt;/isbn&gt;&lt;urls&gt;&lt;/urls&gt;&lt;/record&gt;&lt;/Cite&gt;&lt;/EndNote&gt;</w:instrText>
      </w:r>
      <w:r w:rsidRPr="004866BE">
        <w:fldChar w:fldCharType="separate"/>
      </w:r>
      <w:r w:rsidR="00BF4F32" w:rsidRPr="004866BE">
        <w:t>[3]</w:t>
      </w:r>
      <w:r w:rsidRPr="004866BE">
        <w:fldChar w:fldCharType="end"/>
      </w:r>
      <w:r w:rsidR="00C17C37" w:rsidRPr="004866BE">
        <w:t xml:space="preserve"> </w:t>
      </w:r>
    </w:p>
    <w:p w14:paraId="041FA61D" w14:textId="77777777" w:rsidR="000266D8" w:rsidRPr="004866BE" w:rsidRDefault="000266D8" w:rsidP="000266D8">
      <w:r w:rsidRPr="004866BE">
        <w:t xml:space="preserve">For the purposes of this analysis, we modelled the impacted 2020 and 2021 screening cohorts, </w:t>
      </w:r>
      <w:proofErr w:type="gramStart"/>
      <w:r w:rsidRPr="004866BE">
        <w:t>i.e.</w:t>
      </w:r>
      <w:proofErr w:type="gramEnd"/>
      <w:r w:rsidRPr="004866BE">
        <w:t xml:space="preserve"> those aged 50, 52, 54, 56, 58, 60, 62, 64, 66, 68, 70, 72, or 74 in either of those years. This corresponds to those born between 1945 to 1971</w:t>
      </w:r>
      <w:r w:rsidR="4601315A" w:rsidRPr="004866BE">
        <w:t xml:space="preserve"> inclusive</w:t>
      </w:r>
      <w:r w:rsidRPr="004866BE">
        <w:t xml:space="preserve">. For the age and sex breakdown of this cohort, both in Australia and in individual states and territories, ABS projections were used.[3] </w:t>
      </w:r>
    </w:p>
    <w:p w14:paraId="4D34670C" w14:textId="77777777" w:rsidR="007E6213" w:rsidRPr="004866BE" w:rsidRDefault="007E6213" w:rsidP="00597D8C">
      <w:r w:rsidRPr="004866BE">
        <w:t xml:space="preserve">We </w:t>
      </w:r>
      <w:r w:rsidR="00D1686D" w:rsidRPr="004866BE">
        <w:t xml:space="preserve">simulated 2 million men and 2 million women in each of </w:t>
      </w:r>
      <w:r w:rsidR="006F7444" w:rsidRPr="004866BE">
        <w:t>the relevant</w:t>
      </w:r>
      <w:r w:rsidR="00D1686D" w:rsidRPr="004866BE">
        <w:t xml:space="preserve"> cohorts, and the results </w:t>
      </w:r>
      <w:r w:rsidR="00580BD9" w:rsidRPr="004866BE">
        <w:t xml:space="preserve">were </w:t>
      </w:r>
      <w:r w:rsidR="00D1686D" w:rsidRPr="004866BE">
        <w:t xml:space="preserve">subsequently reweighted to match </w:t>
      </w:r>
      <w:r w:rsidR="0088166A" w:rsidRPr="004866BE">
        <w:t xml:space="preserve">population projections for Australia </w:t>
      </w:r>
      <w:r w:rsidR="00A3424D" w:rsidRPr="004866BE">
        <w:t>or individual state</w:t>
      </w:r>
      <w:r w:rsidR="00275599">
        <w:t xml:space="preserve"> or territory </w:t>
      </w:r>
      <w:r w:rsidR="00650A84" w:rsidRPr="004866BE">
        <w:t xml:space="preserve">estimated </w:t>
      </w:r>
      <w:r w:rsidR="0088166A" w:rsidRPr="004866BE">
        <w:t xml:space="preserve">by the </w:t>
      </w:r>
      <w:proofErr w:type="gramStart"/>
      <w:r w:rsidR="0088166A" w:rsidRPr="004866BE">
        <w:t>ABS.</w:t>
      </w:r>
      <w:r w:rsidR="00793AFE" w:rsidRPr="004866BE">
        <w:t>[</w:t>
      </w:r>
      <w:proofErr w:type="gramEnd"/>
      <w:r w:rsidR="00793AFE" w:rsidRPr="004866BE">
        <w:t>3]</w:t>
      </w:r>
    </w:p>
    <w:p w14:paraId="6E622042" w14:textId="77777777" w:rsidR="002811ED" w:rsidRPr="004866BE" w:rsidRDefault="005F187A" w:rsidP="00597D8C">
      <w:r w:rsidRPr="004866BE">
        <w:t xml:space="preserve">Participation in the </w:t>
      </w:r>
      <w:r w:rsidR="00CA2341" w:rsidRPr="004866BE">
        <w:t xml:space="preserve">NBCSP was modelled based on observed </w:t>
      </w:r>
      <w:r w:rsidR="0D9BEAF5" w:rsidRPr="004866BE">
        <w:t>p</w:t>
      </w:r>
      <w:r w:rsidR="5FA30A91" w:rsidRPr="004866BE">
        <w:t xml:space="preserve">articipation </w:t>
      </w:r>
      <w:r w:rsidR="59F49055" w:rsidRPr="004866BE">
        <w:t>r</w:t>
      </w:r>
      <w:r w:rsidR="00CA2341" w:rsidRPr="004866BE">
        <w:t>ates</w:t>
      </w:r>
      <w:r w:rsidR="003B113C" w:rsidRPr="004866BE">
        <w:t xml:space="preserve"> </w:t>
      </w:r>
      <w:r w:rsidR="00DD537D" w:rsidRPr="004866BE">
        <w:t>(</w:t>
      </w:r>
      <w:r w:rsidR="00580BD9" w:rsidRPr="004866BE">
        <w:t>~</w:t>
      </w:r>
      <w:r w:rsidR="00DD537D" w:rsidRPr="004866BE">
        <w:t xml:space="preserve"> </w:t>
      </w:r>
      <w:r w:rsidR="003B113C" w:rsidRPr="004866BE">
        <w:t>40%)</w:t>
      </w:r>
      <w:r w:rsidR="00CA2341" w:rsidRPr="004866BE">
        <w:t xml:space="preserve">, with all rates from 2017 </w:t>
      </w:r>
      <w:r w:rsidR="00056624" w:rsidRPr="004866BE">
        <w:t xml:space="preserve">onwards </w:t>
      </w:r>
      <w:r w:rsidR="00CA2341" w:rsidRPr="004866BE">
        <w:t>extrapolated from the reported data</w:t>
      </w:r>
      <w:r w:rsidR="00056624" w:rsidRPr="004866BE">
        <w:t xml:space="preserve"> for 2017</w:t>
      </w:r>
      <w:r w:rsidR="002811ED" w:rsidRPr="004866BE">
        <w:t>, unless otherwise noted</w:t>
      </w:r>
      <w:r w:rsidR="00CA2341" w:rsidRPr="004866BE">
        <w:t>.[1]</w:t>
      </w:r>
      <w:r w:rsidR="00DE4FC7" w:rsidRPr="004866BE">
        <w:t xml:space="preserve"> </w:t>
      </w:r>
      <w:r w:rsidR="003B113C" w:rsidRPr="004866BE">
        <w:t xml:space="preserve">Based on the observed data, the model assumes </w:t>
      </w:r>
      <w:r w:rsidR="00580BD9" w:rsidRPr="004866BE">
        <w:t>~</w:t>
      </w:r>
      <w:r w:rsidR="00DD537D" w:rsidRPr="004866BE">
        <w:t xml:space="preserve"> </w:t>
      </w:r>
      <w:r w:rsidR="003B113C" w:rsidRPr="004866BE">
        <w:t xml:space="preserve">70% of </w:t>
      </w:r>
      <w:r w:rsidR="00A56114" w:rsidRPr="004866BE">
        <w:t>i</w:t>
      </w:r>
      <w:r w:rsidR="003B113C" w:rsidRPr="004866BE">
        <w:t xml:space="preserve">ndividuals with </w:t>
      </w:r>
      <w:r w:rsidR="00B32E25" w:rsidRPr="004866BE">
        <w:t xml:space="preserve">a </w:t>
      </w:r>
      <w:r w:rsidR="003B113C" w:rsidRPr="004866BE">
        <w:t xml:space="preserve">positive </w:t>
      </w:r>
      <w:proofErr w:type="spellStart"/>
      <w:r w:rsidR="003B113C" w:rsidRPr="004866BE">
        <w:t>iFOBT</w:t>
      </w:r>
      <w:proofErr w:type="spellEnd"/>
      <w:r w:rsidR="003B113C" w:rsidRPr="004866BE">
        <w:t xml:space="preserve"> complete a colonoscopy (referred </w:t>
      </w:r>
      <w:r w:rsidR="00692EB2">
        <w:t xml:space="preserve">to </w:t>
      </w:r>
      <w:r w:rsidR="003B113C" w:rsidRPr="004866BE">
        <w:t xml:space="preserve">as </w:t>
      </w:r>
      <w:r w:rsidR="00DD537D" w:rsidRPr="004866BE">
        <w:t>a</w:t>
      </w:r>
      <w:r w:rsidR="003B113C" w:rsidRPr="004866BE">
        <w:t xml:space="preserve"> </w:t>
      </w:r>
      <w:r w:rsidR="003B113C" w:rsidRPr="008B213B">
        <w:rPr>
          <w:rStyle w:val="Emphasis"/>
        </w:rPr>
        <w:t>follow-up colonoscopy</w:t>
      </w:r>
      <w:r w:rsidR="00580BD9" w:rsidRPr="008B213B">
        <w:rPr>
          <w:rStyle w:val="Emphasis"/>
        </w:rPr>
        <w:t xml:space="preserve"> or colonoscopy compliance</w:t>
      </w:r>
      <w:r w:rsidR="003B113C" w:rsidRPr="004866BE">
        <w:t>).</w:t>
      </w:r>
      <w:r w:rsidR="005C1397" w:rsidRPr="004866BE">
        <w:fldChar w:fldCharType="begin"/>
      </w:r>
      <w:r w:rsidR="005C1397" w:rsidRPr="004866BE">
        <w:instrText xml:space="preserve"> ADDIN EN.CITE &lt;EndNote&gt;&lt;Cite&gt;&lt;Author&gt;Australian Institute of Health and Welfare&lt;/Author&gt;&lt;Year&gt;2019&lt;/Year&gt;&lt;RecNum&gt;1139&lt;/RecNum&gt;&lt;DisplayText&gt;[4]&lt;/DisplayText&gt;&lt;record&gt;&lt;rec-number&gt;1139&lt;/rec-number&gt;&lt;foreign-keys&gt;&lt;key app="EN" db-id="x50da5ezff5faue2296x5z26twvpfe5wa90e" timestamp="1570513666"&gt;1139&lt;/key&gt;&lt;/foreign-keys&gt;&lt;ref-type name="Report"&gt;27&lt;/ref-type&gt;&lt;contributors&gt;&lt;authors&gt;&lt;author&gt;Australian Institute of Health and Welfare,&lt;/author&gt;&lt;/authors&gt;&lt;/contributors&gt;&lt;titles&gt;&lt;title&gt;National Bowel Cancer Screening Program: monitoring report 2019.  Cat. no. CAN 125&lt;/title&gt;&lt;/titles&gt;&lt;keywords&gt;&lt;keyword&gt;Neoplasms&lt;/keyword&gt;&lt;keyword&gt;bowel cancer&lt;/keyword&gt;&lt;keyword&gt;Cancer&lt;/keyword&gt;&lt;keyword&gt;Cancer screening&lt;/keyword&gt;&lt;keyword&gt;screening&lt;/keyword&gt;&lt;/keywords&gt;&lt;dates&gt;&lt;year&gt;2019&lt;/year&gt;&lt;/dates&gt;&lt;pub-location&gt;Canberra&lt;/pub-location&gt;&lt;publisher&gt;AIHW&lt;/publisher&gt;&lt;urls&gt;&lt;/urls&gt;&lt;/record&gt;&lt;/Cite&gt;&lt;/EndNote&gt;</w:instrText>
      </w:r>
      <w:r w:rsidR="005C1397" w:rsidRPr="004866BE">
        <w:fldChar w:fldCharType="separate"/>
      </w:r>
      <w:r w:rsidR="005C1397" w:rsidRPr="004866BE">
        <w:t>[4]</w:t>
      </w:r>
      <w:r w:rsidR="005C1397" w:rsidRPr="004866BE">
        <w:fldChar w:fldCharType="end"/>
      </w:r>
      <w:r w:rsidR="003B113C" w:rsidRPr="004866BE">
        <w:t xml:space="preserve"> Depending on the follow-up colonoscopy findings, individuals are referred to </w:t>
      </w:r>
      <w:r w:rsidR="00E918E3" w:rsidRPr="004866BE">
        <w:t>either</w:t>
      </w:r>
      <w:r w:rsidR="003B113C" w:rsidRPr="004866BE">
        <w:t xml:space="preserve"> the NBCSP for </w:t>
      </w:r>
      <w:proofErr w:type="spellStart"/>
      <w:r w:rsidR="003B113C" w:rsidRPr="004866BE">
        <w:t>iFOBT</w:t>
      </w:r>
      <w:proofErr w:type="spellEnd"/>
      <w:r w:rsidR="003B113C" w:rsidRPr="004866BE">
        <w:t xml:space="preserve"> screening after an interval of 4 years</w:t>
      </w:r>
      <w:r w:rsidR="00E918E3" w:rsidRPr="004866BE">
        <w:t>,</w:t>
      </w:r>
      <w:r w:rsidR="003B113C" w:rsidRPr="004866BE">
        <w:t xml:space="preserve"> or to repeat </w:t>
      </w:r>
      <w:proofErr w:type="spellStart"/>
      <w:r w:rsidR="003B113C" w:rsidRPr="004866BE">
        <w:t>colonoscopic</w:t>
      </w:r>
      <w:proofErr w:type="spellEnd"/>
      <w:r w:rsidR="003B113C" w:rsidRPr="004866BE">
        <w:t xml:space="preserve"> assessments (referred </w:t>
      </w:r>
      <w:r w:rsidR="00E918E3" w:rsidRPr="004866BE">
        <w:t xml:space="preserve">to </w:t>
      </w:r>
      <w:r w:rsidR="003B113C" w:rsidRPr="004866BE">
        <w:t xml:space="preserve">as </w:t>
      </w:r>
      <w:r w:rsidR="003B113C" w:rsidRPr="004866BE">
        <w:rPr>
          <w:i/>
        </w:rPr>
        <w:t>surveillance colonoscopies</w:t>
      </w:r>
      <w:r w:rsidR="003B113C" w:rsidRPr="004866BE">
        <w:t>) after 1</w:t>
      </w:r>
      <w:r w:rsidR="00E918E3" w:rsidRPr="004866BE">
        <w:t xml:space="preserve"> to </w:t>
      </w:r>
      <w:r w:rsidR="003B113C" w:rsidRPr="004866BE">
        <w:t>5 years based on the 2011 guidelines recommendations.</w:t>
      </w:r>
      <w:r w:rsidR="005C1397" w:rsidRPr="004866BE">
        <w:fldChar w:fldCharType="begin"/>
      </w:r>
      <w:r w:rsidR="005C1397" w:rsidRPr="004866BE">
        <w:instrText xml:space="preserve"> ADDIN EN.CITE &lt;EndNote&gt;&lt;Cite&gt;&lt;Author&gt;Cancer Council&lt;/Author&gt;&lt;Year&gt;2011&lt;/Year&gt;&lt;RecNum&gt;47&lt;/RecNum&gt;&lt;DisplayText&gt;[5]&lt;/DisplayText&gt;&lt;record&gt;&lt;rec-number&gt;47&lt;/rec-number&gt;&lt;foreign-keys&gt;&lt;key app="EN" db-id="x50da5ezff5faue2296x5z26twvpfe5wa90e" timestamp="1358919842"&gt;47&lt;/key&gt;&lt;key app="ENWeb" db-id="U6wG8grYEugAAE2sHA4"&gt;49&lt;/key&gt;&lt;/foreign-keys&gt;&lt;ref-type name="Report"&gt;27&lt;/ref-type&gt;&lt;contributors&gt;&lt;authors&gt;&lt;author&gt;Cancer Council, Australia&lt;/author&gt;&lt;/authors&gt;&lt;/contributors&gt;&lt;titles&gt;&lt;title&gt;Clinical Practical Guidelines for Surveillance Colonoscopy - in adenoma follow-up; following curative resection of colorectal cancer; and for cancer surveillance in inflammatory bowel disease&lt;/title&gt;&lt;/titles&gt;&lt;keywords&gt;&lt;keyword&gt;Neoplasms&lt;/keyword&gt;&lt;keyword&gt;Colonoscopy&lt;/keyword&gt;&lt;keyword&gt;Adenoma&lt;/keyword&gt;&lt;/keywords&gt;&lt;dates&gt;&lt;year&gt;2011&lt;/year&gt;&lt;/dates&gt;&lt;pub-location&gt;Sydney&lt;/pub-location&gt;&lt;publisher&gt;Cancer Council Australia;&lt;/publisher&gt;&lt;urls&gt;&lt;/urls&gt;&lt;electronic-resource-num&gt; G:\CERU\General\HPVCC Model\CRC\Publications\CancerCouncilAustralia2011-ClinicalPracticeGuidelinesColonoscopySurveillanceDraft.pdf &lt;/electronic-resource-num&gt;&lt;/record&gt;&lt;/Cite&gt;&lt;/EndNote&gt;</w:instrText>
      </w:r>
      <w:r w:rsidR="005C1397" w:rsidRPr="004866BE">
        <w:fldChar w:fldCharType="separate"/>
      </w:r>
      <w:r w:rsidR="005C1397" w:rsidRPr="004866BE">
        <w:t>[5]</w:t>
      </w:r>
      <w:r w:rsidR="005C1397" w:rsidRPr="004866BE">
        <w:fldChar w:fldCharType="end"/>
      </w:r>
      <w:r w:rsidR="003B113C" w:rsidRPr="004866BE">
        <w:t xml:space="preserve">  </w:t>
      </w:r>
      <w:r w:rsidR="0BA32867" w:rsidRPr="004866BE">
        <w:t>Combined, both follow-up and surveillance colonoscopies are referred to a</w:t>
      </w:r>
      <w:r w:rsidR="2A9E5FB1" w:rsidRPr="004866BE">
        <w:t>s</w:t>
      </w:r>
      <w:r w:rsidR="0BA32867" w:rsidRPr="004866BE">
        <w:t xml:space="preserve"> </w:t>
      </w:r>
      <w:r w:rsidR="0BA32867" w:rsidRPr="008B213B">
        <w:rPr>
          <w:rStyle w:val="Emphasis"/>
        </w:rPr>
        <w:t>NBCSP-related colonoscopies.</w:t>
      </w:r>
    </w:p>
    <w:p w14:paraId="457C6934" w14:textId="77777777" w:rsidR="00D7260E" w:rsidRPr="004866BE" w:rsidRDefault="007C7EFA" w:rsidP="00597D8C">
      <w:r w:rsidRPr="004866BE">
        <w:rPr>
          <w:i/>
        </w:rPr>
        <w:t xml:space="preserve">Policy1-Bowel </w:t>
      </w:r>
      <w:r w:rsidRPr="004866BE">
        <w:t>works on an annual timestep</w:t>
      </w:r>
      <w:r w:rsidR="00D50C24" w:rsidRPr="004866BE">
        <w:t xml:space="preserve">. Therefore, to </w:t>
      </w:r>
      <w:r w:rsidR="00461B9D" w:rsidRPr="004866BE">
        <w:t xml:space="preserve">reproduce </w:t>
      </w:r>
      <w:r w:rsidR="00B622A2" w:rsidRPr="004866BE">
        <w:t xml:space="preserve">the effect of the </w:t>
      </w:r>
      <w:r w:rsidR="00597D8C" w:rsidRPr="004866BE">
        <w:t>screening pause</w:t>
      </w:r>
      <w:r w:rsidR="00B622A2" w:rsidRPr="004866BE">
        <w:t xml:space="preserve">, </w:t>
      </w:r>
      <w:r w:rsidRPr="004866BE">
        <w:t xml:space="preserve">we </w:t>
      </w:r>
      <w:r w:rsidR="00461B9D" w:rsidRPr="004866BE">
        <w:t xml:space="preserve">assume that participation in the NBCSP for the year is reduced proportionally to the time for which the program is </w:t>
      </w:r>
      <w:r w:rsidR="00193E3B" w:rsidRPr="004866BE">
        <w:t xml:space="preserve">paused. For instance, to model a </w:t>
      </w:r>
      <w:r w:rsidR="00D50C24" w:rsidRPr="004866BE">
        <w:t>six</w:t>
      </w:r>
      <w:r w:rsidR="00193E3B" w:rsidRPr="004866BE">
        <w:t xml:space="preserve"> month pause, we assume that participation in 2020 is decreased by </w:t>
      </w:r>
      <w:r w:rsidR="3D59224D" w:rsidRPr="004866BE">
        <w:t>half</w:t>
      </w:r>
      <w:r w:rsidR="00193E3B" w:rsidRPr="004866BE">
        <w:t xml:space="preserve"> from the observed rates of ~40% to a diminished rate of ~</w:t>
      </w:r>
      <w:r w:rsidR="00D50C24" w:rsidRPr="004866BE">
        <w:t>2</w:t>
      </w:r>
      <w:r w:rsidR="00193E3B" w:rsidRPr="004866BE">
        <w:t>0%.</w:t>
      </w:r>
      <w:r w:rsidR="00652E5B" w:rsidRPr="004866BE">
        <w:t xml:space="preserve"> Similar adjustments were made for catch-up and </w:t>
      </w:r>
      <w:r w:rsidR="00A2744F" w:rsidRPr="004866BE">
        <w:t xml:space="preserve">recovery periods that </w:t>
      </w:r>
      <w:r w:rsidR="005905EC" w:rsidRPr="004866BE">
        <w:t>occur in</w:t>
      </w:r>
      <w:r w:rsidR="00A2744F" w:rsidRPr="004866BE">
        <w:t xml:space="preserve"> 2020 and 202</w:t>
      </w:r>
      <w:r w:rsidR="005905EC" w:rsidRPr="004866BE">
        <w:t>1</w:t>
      </w:r>
      <w:r w:rsidR="00A2744F" w:rsidRPr="004866BE">
        <w:t>.</w:t>
      </w:r>
      <w:r w:rsidR="00652E5B" w:rsidRPr="004866BE">
        <w:t xml:space="preserve"> </w:t>
      </w:r>
      <w:r w:rsidR="00052BC6" w:rsidRPr="004866BE">
        <w:t xml:space="preserve">The disruption period, catch-up, and recovery for all </w:t>
      </w:r>
      <w:r w:rsidR="004B7F9E" w:rsidRPr="004866BE">
        <w:t xml:space="preserve">scenarios are illustrated in </w:t>
      </w:r>
      <w:r w:rsidR="00052BC6" w:rsidRPr="004866BE">
        <w:rPr>
          <w:b/>
        </w:rPr>
        <w:t>Figure 1</w:t>
      </w:r>
      <w:r w:rsidR="00052BC6" w:rsidRPr="004866BE">
        <w:t>.</w:t>
      </w:r>
    </w:p>
    <w:p w14:paraId="50DCD904" w14:textId="77777777" w:rsidR="008E653E" w:rsidRPr="004866BE" w:rsidRDefault="008E653E" w:rsidP="00597D8C">
      <w:r w:rsidRPr="004866BE">
        <w:t>To reproduce the</w:t>
      </w:r>
      <w:r w:rsidR="004C3A13">
        <w:t xml:space="preserve"> comprehensive</w:t>
      </w:r>
      <w:r w:rsidRPr="004866BE">
        <w:t xml:space="preserve"> catch-up </w:t>
      </w:r>
      <w:r w:rsidR="004C3A13">
        <w:t xml:space="preserve">strategy </w:t>
      </w:r>
      <w:r w:rsidRPr="004866BE">
        <w:t xml:space="preserve">for Scenarios </w:t>
      </w:r>
      <w:r w:rsidR="00F34923" w:rsidRPr="004866BE">
        <w:t>4-7</w:t>
      </w:r>
      <w:r w:rsidR="007E6213" w:rsidRPr="004866BE">
        <w:t xml:space="preserve">, we assumed that all individuals who would have been invited in </w:t>
      </w:r>
      <w:r w:rsidR="005F187A" w:rsidRPr="004866BE">
        <w:t xml:space="preserve">2020 were instead invited </w:t>
      </w:r>
      <w:r w:rsidR="006F750F" w:rsidRPr="004866BE">
        <w:t xml:space="preserve">after the disruption, in </w:t>
      </w:r>
      <w:r w:rsidR="006F750F" w:rsidRPr="004866BE">
        <w:lastRenderedPageBreak/>
        <w:t xml:space="preserve">2020 </w:t>
      </w:r>
      <w:r w:rsidR="00F34923" w:rsidRPr="004866BE">
        <w:t xml:space="preserve">in Scenario 4, in 2020 and </w:t>
      </w:r>
      <w:r w:rsidR="006F750F" w:rsidRPr="004866BE">
        <w:t>2021</w:t>
      </w:r>
      <w:r w:rsidR="00C15197" w:rsidRPr="004866BE">
        <w:t xml:space="preserve"> in Scenario </w:t>
      </w:r>
      <w:r w:rsidR="00F34923" w:rsidRPr="004866BE">
        <w:t>5</w:t>
      </w:r>
      <w:r w:rsidR="42690470" w:rsidRPr="004866BE">
        <w:t>,</w:t>
      </w:r>
      <w:r w:rsidR="00F34923" w:rsidRPr="004866BE">
        <w:t xml:space="preserve"> </w:t>
      </w:r>
      <w:r w:rsidR="00C15197" w:rsidRPr="004866BE">
        <w:t xml:space="preserve">and in 2021 in Scenarios </w:t>
      </w:r>
      <w:r w:rsidR="00F34923" w:rsidRPr="004866BE">
        <w:t xml:space="preserve">6 </w:t>
      </w:r>
      <w:r w:rsidR="00C15197" w:rsidRPr="004866BE">
        <w:t xml:space="preserve">and </w:t>
      </w:r>
      <w:r w:rsidR="00F34923" w:rsidRPr="004866BE">
        <w:t>7</w:t>
      </w:r>
      <w:r w:rsidR="00C15197" w:rsidRPr="004866BE">
        <w:t xml:space="preserve">. These individuals were assumed to participate in catch-up screening at </w:t>
      </w:r>
      <w:r w:rsidR="005F187A" w:rsidRPr="004866BE">
        <w:t>the same participation rate</w:t>
      </w:r>
      <w:r w:rsidR="00460091" w:rsidRPr="004866BE">
        <w:t xml:space="preserve"> as they would have experienced in 2020</w:t>
      </w:r>
      <w:r w:rsidR="00C15197" w:rsidRPr="004866BE">
        <w:t xml:space="preserve">, </w:t>
      </w:r>
      <w:r w:rsidR="00AC57EF" w:rsidRPr="004866BE">
        <w:t>~</w:t>
      </w:r>
      <w:r w:rsidR="00C15197" w:rsidRPr="004866BE">
        <w:t>40%</w:t>
      </w:r>
      <w:r w:rsidR="005F187A" w:rsidRPr="004866BE">
        <w:t>.</w:t>
      </w:r>
      <w:r w:rsidR="00460091" w:rsidRPr="004866BE">
        <w:t xml:space="preserve"> </w:t>
      </w:r>
      <w:r w:rsidR="00D13ABD" w:rsidRPr="004866BE">
        <w:t xml:space="preserve">From 2022 in all scenarios, screening returns to the usual biennial schedule. It should be noted that </w:t>
      </w:r>
      <w:r w:rsidR="00B03AF6">
        <w:t>the modelled scenarios</w:t>
      </w:r>
      <w:r w:rsidR="00B03AF6" w:rsidRPr="004866BE">
        <w:t xml:space="preserve"> </w:t>
      </w:r>
      <w:r w:rsidR="00D13ABD" w:rsidRPr="004866BE">
        <w:t xml:space="preserve">include the possibility that some individuals are screened in both 2021 and 2022. Modelling not included </w:t>
      </w:r>
      <w:r w:rsidR="345367C9" w:rsidRPr="004866BE">
        <w:t xml:space="preserve">in this report </w:t>
      </w:r>
      <w:r w:rsidR="00D13ABD" w:rsidRPr="004866BE">
        <w:t xml:space="preserve">suggests that delaying this cohort to screen in 2024 instead </w:t>
      </w:r>
      <w:r w:rsidR="378BD821" w:rsidRPr="004866BE">
        <w:t xml:space="preserve">of 2022 </w:t>
      </w:r>
      <w:r w:rsidR="00D13ABD" w:rsidRPr="004866BE">
        <w:t xml:space="preserve">would have </w:t>
      </w:r>
      <w:r w:rsidR="00B61EE7" w:rsidRPr="004866BE">
        <w:t xml:space="preserve">extremely detrimental effects on health outcomes. </w:t>
      </w:r>
    </w:p>
    <w:p w14:paraId="437E4239" w14:textId="77777777" w:rsidR="00531808" w:rsidRDefault="004E0F1D" w:rsidP="00597D8C">
      <w:pPr>
        <w:rPr>
          <w:rFonts w:eastAsia="Calibri"/>
        </w:rPr>
      </w:pPr>
      <w:r w:rsidRPr="004866BE">
        <w:rPr>
          <w:rFonts w:eastAsia="Calibri"/>
        </w:rPr>
        <w:t>For all scenarios</w:t>
      </w:r>
      <w:r w:rsidR="00B03AF6">
        <w:rPr>
          <w:rFonts w:eastAsia="Calibri"/>
        </w:rPr>
        <w:t>,</w:t>
      </w:r>
      <w:r w:rsidRPr="004866BE">
        <w:rPr>
          <w:rFonts w:eastAsia="Calibri"/>
        </w:rPr>
        <w:t xml:space="preserve"> both </w:t>
      </w:r>
      <w:r w:rsidR="00433F0B" w:rsidRPr="004866BE">
        <w:rPr>
          <w:rFonts w:eastAsia="Calibri"/>
        </w:rPr>
        <w:t xml:space="preserve">shorter-term health outcomes in 2020-2021 (including adenomas and CRC cases missed or delayed, </w:t>
      </w:r>
      <w:r w:rsidR="00A34037">
        <w:rPr>
          <w:rFonts w:eastAsia="Calibri"/>
        </w:rPr>
        <w:t xml:space="preserve">upstaged CRC cases, </w:t>
      </w:r>
      <w:r w:rsidR="00433F0B" w:rsidRPr="004866BE">
        <w:rPr>
          <w:rFonts w:eastAsia="Calibri"/>
        </w:rPr>
        <w:t xml:space="preserve">change in number of </w:t>
      </w:r>
      <w:proofErr w:type="spellStart"/>
      <w:r w:rsidR="00433F0B" w:rsidRPr="004866BE">
        <w:rPr>
          <w:rFonts w:eastAsia="Calibri"/>
        </w:rPr>
        <w:t>iFOBT</w:t>
      </w:r>
      <w:proofErr w:type="spellEnd"/>
      <w:r w:rsidR="00433F0B" w:rsidRPr="004866BE">
        <w:rPr>
          <w:rFonts w:eastAsia="Calibri"/>
        </w:rPr>
        <w:t xml:space="preserve"> screening kits returned</w:t>
      </w:r>
      <w:r w:rsidR="00891A45">
        <w:rPr>
          <w:rFonts w:eastAsia="Calibri"/>
        </w:rPr>
        <w:t xml:space="preserve">, </w:t>
      </w:r>
      <w:r w:rsidR="00433F0B" w:rsidRPr="004866BE">
        <w:rPr>
          <w:rFonts w:eastAsia="Calibri"/>
        </w:rPr>
        <w:t>and change in NBCSP-related colonoscopy) and long-term health outcomes in 2020-2060 (additional CRC cases and deaths and change in CRC cases by stage)</w:t>
      </w:r>
      <w:r w:rsidRPr="004866BE">
        <w:rPr>
          <w:rFonts w:eastAsia="Calibri"/>
        </w:rPr>
        <w:t xml:space="preserve"> were compute</w:t>
      </w:r>
      <w:r w:rsidR="001442B1">
        <w:rPr>
          <w:rFonts w:eastAsia="Calibri"/>
        </w:rPr>
        <w:t>d</w:t>
      </w:r>
      <w:r w:rsidR="00433F0B" w:rsidRPr="004866BE">
        <w:rPr>
          <w:rFonts w:eastAsia="Calibri"/>
        </w:rPr>
        <w:t>.</w:t>
      </w:r>
      <w:r w:rsidR="00433F0B" w:rsidRPr="004866BE">
        <w:rPr>
          <w:rFonts w:eastAsia="Calibri"/>
          <w:sz w:val="16"/>
        </w:rPr>
        <w:t xml:space="preserve"> </w:t>
      </w:r>
      <w:r w:rsidR="00531808" w:rsidRPr="00531808">
        <w:rPr>
          <w:rFonts w:eastAsia="Calibri"/>
        </w:rPr>
        <w:t xml:space="preserve">To calculate the upstaged CRC cases for those whose routine screening was missed or delayed in 2020 or 2021, we compared the additional cancers by stage and advanced adenomas in the </w:t>
      </w:r>
      <w:proofErr w:type="gramStart"/>
      <w:r w:rsidR="00531808" w:rsidRPr="00531808">
        <w:rPr>
          <w:rFonts w:eastAsia="Calibri"/>
        </w:rPr>
        <w:t>comparator, and</w:t>
      </w:r>
      <w:proofErr w:type="gramEnd"/>
      <w:r w:rsidR="00531808" w:rsidRPr="00531808">
        <w:rPr>
          <w:rFonts w:eastAsia="Calibri"/>
        </w:rPr>
        <w:t xml:space="preserve"> calculated the proportion of these that would transition to a later stage or </w:t>
      </w:r>
      <w:r w:rsidR="00B03AF6">
        <w:rPr>
          <w:rFonts w:eastAsia="Calibri"/>
        </w:rPr>
        <w:t>CRC</w:t>
      </w:r>
      <w:r w:rsidR="00531808" w:rsidRPr="00531808">
        <w:rPr>
          <w:rFonts w:eastAsia="Calibri"/>
        </w:rPr>
        <w:t>, and considered any such shift as an upstaged case.</w:t>
      </w:r>
    </w:p>
    <w:p w14:paraId="5DBF6164" w14:textId="77777777" w:rsidR="000266D8" w:rsidRPr="004866BE" w:rsidRDefault="000266D8" w:rsidP="000266D8">
      <w:r w:rsidRPr="004866BE">
        <w:t xml:space="preserve">For the analysis </w:t>
      </w:r>
      <w:r w:rsidR="002666AC" w:rsidRPr="004866BE">
        <w:t>incorporating the H</w:t>
      </w:r>
      <w:r w:rsidRPr="004866BE">
        <w:t xml:space="preserve">ot </w:t>
      </w:r>
      <w:r w:rsidR="002666AC" w:rsidRPr="004866BE">
        <w:t>Z</w:t>
      </w:r>
      <w:r w:rsidRPr="004866BE">
        <w:t>one</w:t>
      </w:r>
      <w:r w:rsidR="002666AC" w:rsidRPr="004866BE">
        <w:t xml:space="preserve"> policy</w:t>
      </w:r>
      <w:r w:rsidRPr="004866BE">
        <w:t>, detailed information on affected areas was not</w:t>
      </w:r>
      <w:r w:rsidR="002666AC" w:rsidRPr="004866BE">
        <w:t xml:space="preserve"> readily</w:t>
      </w:r>
      <w:r w:rsidRPr="004866BE">
        <w:t xml:space="preserve"> available. Based on our current understanding, the Hot Zone policy states given months of the year in which eligible residents of certain areas, determined by postcode, are sent their </w:t>
      </w:r>
      <w:r w:rsidR="002666AC" w:rsidRPr="004866BE">
        <w:t>NBCSP</w:t>
      </w:r>
      <w:r w:rsidRPr="004866BE">
        <w:t xml:space="preserve"> screening kit. To determine the impact of the any disruption and the Hot Zone policy, we </w:t>
      </w:r>
      <w:r w:rsidR="005F3CDB">
        <w:t>calculated</w:t>
      </w:r>
      <w:r w:rsidRPr="004866BE">
        <w:t xml:space="preserve"> the estimated </w:t>
      </w:r>
      <w:r w:rsidR="002666AC" w:rsidRPr="004866BE">
        <w:t>impact of a disruption</w:t>
      </w:r>
      <w:r w:rsidRPr="004866BE">
        <w:t xml:space="preserve"> while </w:t>
      </w:r>
      <w:proofErr w:type="gramStart"/>
      <w:r w:rsidRPr="004866BE">
        <w:t>taking into account</w:t>
      </w:r>
      <w:proofErr w:type="gramEnd"/>
      <w:r w:rsidRPr="004866BE">
        <w:t xml:space="preserve"> limited </w:t>
      </w:r>
      <w:r w:rsidR="00A154E2" w:rsidRPr="004866BE">
        <w:t>screening invitation timeframes</w:t>
      </w:r>
      <w:r w:rsidRPr="004866BE">
        <w:t xml:space="preserve">. Any pause to screening would disproportionately affect areas with a shorter screening </w:t>
      </w:r>
      <w:r w:rsidR="001E2E09" w:rsidRPr="004866BE">
        <w:t>timeframe</w:t>
      </w:r>
      <w:r w:rsidR="158D9D15" w:rsidRPr="004866BE">
        <w:t xml:space="preserve">, as illustrated in </w:t>
      </w:r>
      <w:r w:rsidR="158D9D15" w:rsidRPr="004866BE">
        <w:rPr>
          <w:b/>
        </w:rPr>
        <w:t>Figure 2</w:t>
      </w:r>
      <w:r w:rsidRPr="004866BE">
        <w:t xml:space="preserve">. The start and end of the hot zone period </w:t>
      </w:r>
      <w:r w:rsidR="00972C2C" w:rsidRPr="004866BE">
        <w:t xml:space="preserve">were </w:t>
      </w:r>
      <w:r w:rsidRPr="004866BE">
        <w:t xml:space="preserve">approximated </w:t>
      </w:r>
      <w:r w:rsidR="00E0685D" w:rsidRPr="004866BE">
        <w:t>a</w:t>
      </w:r>
      <w:r w:rsidR="00CC6063" w:rsidRPr="004866BE">
        <w:t xml:space="preserve">nd modelled for </w:t>
      </w:r>
      <w:r w:rsidR="00972C2C" w:rsidRPr="004866BE">
        <w:t>S</w:t>
      </w:r>
      <w:r w:rsidR="00E0685D" w:rsidRPr="004866BE">
        <w:t xml:space="preserve">cenarios 1 and 2. </w:t>
      </w:r>
      <w:r w:rsidRPr="004866BE">
        <w:t xml:space="preserve">For the Northern Territory, as </w:t>
      </w:r>
      <w:r w:rsidR="00311E04" w:rsidRPr="004866BE">
        <w:t>all postcodes are</w:t>
      </w:r>
      <w:r w:rsidRPr="004866BE">
        <w:t xml:space="preserve"> affected by the Hot Zone policy, outcomes </w:t>
      </w:r>
      <w:r w:rsidR="00DF4F02" w:rsidRPr="004866BE">
        <w:t>were</w:t>
      </w:r>
      <w:r w:rsidRPr="004866BE">
        <w:t xml:space="preserve"> approximated based on the proportion of the </w:t>
      </w:r>
      <w:r w:rsidR="00CD1DB0">
        <w:t>jurisdiction</w:t>
      </w:r>
      <w:r w:rsidRPr="004866BE">
        <w:t xml:space="preserve"> affected by the </w:t>
      </w:r>
      <w:r w:rsidR="000B0850" w:rsidRPr="004866BE">
        <w:t>Hot Zone policy</w:t>
      </w:r>
      <w:r w:rsidRPr="004866BE">
        <w:t>.</w:t>
      </w:r>
      <w:r w:rsidR="00DF4F02" w:rsidRPr="004866BE">
        <w:t xml:space="preserve"> This required determining what percentage of the screening invitation timeframe was affected by any screening disruption</w:t>
      </w:r>
      <w:r w:rsidR="00311E04" w:rsidRPr="004866BE">
        <w:t xml:space="preserve"> on average in the Northern Territory</w:t>
      </w:r>
      <w:r w:rsidR="046F1043" w:rsidRPr="004866BE">
        <w:t>.</w:t>
      </w:r>
    </w:p>
    <w:p w14:paraId="12082D9F" w14:textId="77777777" w:rsidR="00094D02" w:rsidRDefault="00DA611D">
      <w:r>
        <w:t>T</w:t>
      </w:r>
      <w:r w:rsidR="005B612D" w:rsidRPr="004866BE">
        <w:t xml:space="preserve">he </w:t>
      </w:r>
      <w:r w:rsidR="003B2011" w:rsidRPr="004866BE">
        <w:t xml:space="preserve">total </w:t>
      </w:r>
      <w:r w:rsidR="008E0F2F" w:rsidRPr="004866BE">
        <w:t xml:space="preserve">short-term </w:t>
      </w:r>
      <w:r w:rsidR="002666AC" w:rsidRPr="004866BE">
        <w:t xml:space="preserve">NBCSP-related </w:t>
      </w:r>
      <w:r w:rsidR="003B2011" w:rsidRPr="004866BE">
        <w:t>colonoscopy</w:t>
      </w:r>
      <w:r w:rsidR="005B612D" w:rsidRPr="004866BE">
        <w:t xml:space="preserve"> demand has been modelled and presented alongside </w:t>
      </w:r>
      <w:r w:rsidR="002C7928" w:rsidRPr="004866BE">
        <w:t>each</w:t>
      </w:r>
      <w:r w:rsidR="005B612D" w:rsidRPr="004866BE">
        <w:t xml:space="preserve"> modelled </w:t>
      </w:r>
      <w:r w:rsidR="002C7928" w:rsidRPr="004866BE">
        <w:t>scenario</w:t>
      </w:r>
      <w:r w:rsidR="005B612D" w:rsidRPr="004866BE">
        <w:t>.</w:t>
      </w:r>
      <w:r>
        <w:t xml:space="preserve"> </w:t>
      </w:r>
      <w:r w:rsidR="000625B1" w:rsidRPr="004866BE">
        <w:t>We estimated the change in resource demand</w:t>
      </w:r>
      <w:r w:rsidR="00902C5B" w:rsidRPr="004866BE">
        <w:t xml:space="preserve"> for each scenario including the follow-up and surveillance colonoscopies.</w:t>
      </w:r>
      <w:r w:rsidR="000625B1" w:rsidRPr="004866BE">
        <w:t xml:space="preserve"> </w:t>
      </w:r>
      <w:r w:rsidR="005B2ED3" w:rsidRPr="004866BE">
        <w:t xml:space="preserve">This was also determined </w:t>
      </w:r>
      <w:r w:rsidR="000625B1" w:rsidRPr="004866BE">
        <w:t>per month during the catch-up periods with</w:t>
      </w:r>
      <w:r w:rsidR="005B2ED3" w:rsidRPr="004866BE">
        <w:t xml:space="preserve"> and without a change in </w:t>
      </w:r>
      <w:r w:rsidR="000625B1" w:rsidRPr="004866BE">
        <w:t>screening participation</w:t>
      </w:r>
      <w:r w:rsidR="005B2ED3" w:rsidRPr="004866BE">
        <w:t>.</w:t>
      </w:r>
      <w:r w:rsidR="00143C14">
        <w:t xml:space="preserve"> I</w:t>
      </w:r>
      <w:r w:rsidR="00143C14" w:rsidRPr="004866BE">
        <w:t>t was not possible to model the detailed workforce impact of</w:t>
      </w:r>
      <w:r w:rsidR="006E6024">
        <w:t xml:space="preserve"> a disruption to </w:t>
      </w:r>
      <w:r w:rsidR="00143C14" w:rsidRPr="004866BE">
        <w:t>NBCSP-related colonoscopy demand due to limited data availability.</w:t>
      </w:r>
      <w:r w:rsidR="006B1EE2">
        <w:t xml:space="preserve"> </w:t>
      </w:r>
      <w:r w:rsidR="008E0F2F">
        <w:t>Separately</w:t>
      </w:r>
      <w:r w:rsidR="002666AC" w:rsidRPr="004866BE">
        <w:t>, we</w:t>
      </w:r>
      <w:r w:rsidR="0098021C" w:rsidRPr="004866BE">
        <w:t xml:space="preserve"> </w:t>
      </w:r>
      <w:r w:rsidR="008E0F2F">
        <w:t xml:space="preserve">also </w:t>
      </w:r>
      <w:r w:rsidR="009C26C7" w:rsidRPr="004866BE">
        <w:t>estimate</w:t>
      </w:r>
      <w:r w:rsidR="0098021C" w:rsidRPr="004866BE">
        <w:t>d</w:t>
      </w:r>
      <w:r w:rsidR="009C26C7" w:rsidRPr="004866BE">
        <w:t xml:space="preserve"> the </w:t>
      </w:r>
      <w:r w:rsidR="006B1EE2">
        <w:t xml:space="preserve">short-term </w:t>
      </w:r>
      <w:r w:rsidR="00755F9F" w:rsidRPr="004866BE">
        <w:t xml:space="preserve">resource demand and </w:t>
      </w:r>
      <w:r w:rsidR="00CA3711" w:rsidRPr="004866BE">
        <w:t xml:space="preserve">long-term </w:t>
      </w:r>
      <w:r w:rsidR="00755F9F" w:rsidRPr="004866BE">
        <w:t>health</w:t>
      </w:r>
      <w:r w:rsidR="00285DDE" w:rsidRPr="004866BE">
        <w:t xml:space="preserve"> </w:t>
      </w:r>
      <w:r w:rsidR="006B30BD" w:rsidRPr="004866BE">
        <w:t>outcomes</w:t>
      </w:r>
      <w:r w:rsidR="00CA5C0A" w:rsidRPr="004866BE">
        <w:t xml:space="preserve"> in </w:t>
      </w:r>
      <w:r w:rsidR="00CA3711" w:rsidRPr="004866BE">
        <w:t>due to</w:t>
      </w:r>
      <w:r w:rsidR="006B30BD" w:rsidRPr="004866BE">
        <w:t xml:space="preserve"> </w:t>
      </w:r>
      <w:r w:rsidR="009C26C7" w:rsidRPr="004866BE">
        <w:t>a</w:t>
      </w:r>
      <w:r w:rsidR="006B30BD" w:rsidRPr="004866BE">
        <w:t xml:space="preserve"> hypothetical drop in the compliance to follow-up colonoscopy</w:t>
      </w:r>
      <w:r w:rsidR="009C26C7" w:rsidRPr="004866BE">
        <w:t xml:space="preserve"> </w:t>
      </w:r>
      <w:r w:rsidR="006A7123" w:rsidRPr="004866BE">
        <w:t>in 2020</w:t>
      </w:r>
      <w:r w:rsidR="002666AC" w:rsidRPr="004866BE">
        <w:t xml:space="preserve"> </w:t>
      </w:r>
      <w:r w:rsidR="007A58E6">
        <w:t>compared to</w:t>
      </w:r>
      <w:r w:rsidR="002666AC" w:rsidRPr="004866BE">
        <w:t xml:space="preserve"> the current NBCSP</w:t>
      </w:r>
      <w:r w:rsidR="007A58E6" w:rsidRPr="007A58E6">
        <w:t xml:space="preserve"> </w:t>
      </w:r>
      <w:r w:rsidR="007A58E6">
        <w:t>(</w:t>
      </w:r>
      <w:r w:rsidR="007A58E6" w:rsidRPr="004866BE">
        <w:t>~40% screening participation, no screening pause and ~70% compliance to follow-up colonoscopy</w:t>
      </w:r>
      <w:r w:rsidR="007A58E6">
        <w:t>)</w:t>
      </w:r>
      <w:r w:rsidR="009C26C7" w:rsidRPr="004866BE">
        <w:t xml:space="preserve">. </w:t>
      </w:r>
      <w:r w:rsidR="002B78F9" w:rsidRPr="004866BE">
        <w:lastRenderedPageBreak/>
        <w:t xml:space="preserve">Reductions in colonoscopy compliance may be a result of </w:t>
      </w:r>
      <w:r w:rsidR="006F51C2" w:rsidRPr="004866BE">
        <w:t xml:space="preserve">restricted access and availability of health services or individual </w:t>
      </w:r>
      <w:r w:rsidR="002666AC" w:rsidRPr="004866BE">
        <w:t>willingness</w:t>
      </w:r>
      <w:r w:rsidR="006F51C2" w:rsidRPr="004866BE">
        <w:t xml:space="preserve"> </w:t>
      </w:r>
      <w:r w:rsidR="002666AC" w:rsidRPr="004866BE">
        <w:t>to undertake colonoscopies during the</w:t>
      </w:r>
      <w:r w:rsidR="006F51C2" w:rsidRPr="004866BE">
        <w:t xml:space="preserve"> pandemic</w:t>
      </w:r>
      <w:r w:rsidR="002B78F9" w:rsidRPr="004866BE">
        <w:t>.</w:t>
      </w:r>
      <w:r w:rsidR="006F51C2" w:rsidRPr="004866BE">
        <w:t xml:space="preserve"> </w:t>
      </w:r>
      <w:r w:rsidR="00B9510C" w:rsidRPr="004866BE">
        <w:t>Scenarios were modelled with</w:t>
      </w:r>
      <w:r w:rsidR="009C26C7" w:rsidRPr="004866BE">
        <w:t xml:space="preserve"> relative reduction</w:t>
      </w:r>
      <w:r w:rsidR="00B9510C" w:rsidRPr="004866BE">
        <w:t xml:space="preserve">s </w:t>
      </w:r>
      <w:r w:rsidR="006A7123" w:rsidRPr="004866BE">
        <w:t xml:space="preserve">in colonoscopy compliance </w:t>
      </w:r>
      <w:r w:rsidR="009C26C7" w:rsidRPr="004866BE">
        <w:t xml:space="preserve">of </w:t>
      </w:r>
      <w:r w:rsidR="00E66720" w:rsidRPr="004866BE">
        <w:t>25</w:t>
      </w:r>
      <w:r w:rsidR="009C26C7" w:rsidRPr="004866BE">
        <w:t xml:space="preserve">%, </w:t>
      </w:r>
      <w:r w:rsidR="00E66720" w:rsidRPr="004866BE">
        <w:t>50</w:t>
      </w:r>
      <w:r w:rsidR="009C26C7" w:rsidRPr="004866BE">
        <w:t>%</w:t>
      </w:r>
      <w:r w:rsidR="006A7123" w:rsidRPr="004866BE">
        <w:t xml:space="preserve">, </w:t>
      </w:r>
      <w:r w:rsidR="00E66720" w:rsidRPr="004866BE">
        <w:t>75</w:t>
      </w:r>
      <w:r w:rsidR="006A7123" w:rsidRPr="004866BE">
        <w:t xml:space="preserve">% </w:t>
      </w:r>
      <w:r w:rsidR="00CE165F" w:rsidRPr="004866BE">
        <w:t xml:space="preserve">and </w:t>
      </w:r>
      <w:r w:rsidR="009C26C7" w:rsidRPr="004866BE">
        <w:t>100%</w:t>
      </w:r>
      <w:r w:rsidR="00B9510C" w:rsidRPr="004866BE">
        <w:t xml:space="preserve"> </w:t>
      </w:r>
      <w:r w:rsidR="006A7123" w:rsidRPr="004866BE">
        <w:t>in 2020</w:t>
      </w:r>
      <w:r w:rsidR="00B9510C" w:rsidRPr="004866BE">
        <w:t>, corresponding</w:t>
      </w:r>
      <w:r w:rsidR="009C26C7" w:rsidRPr="004866BE">
        <w:t xml:space="preserve"> </w:t>
      </w:r>
      <w:r w:rsidR="00B9510C" w:rsidRPr="004866BE">
        <w:t xml:space="preserve">to 53%, 35%, 18% and 0% </w:t>
      </w:r>
      <w:r w:rsidR="002666AC" w:rsidRPr="004866BE">
        <w:t>follow-up</w:t>
      </w:r>
      <w:r w:rsidR="0B3453E5" w:rsidRPr="004866BE">
        <w:t xml:space="preserve"> </w:t>
      </w:r>
      <w:r w:rsidR="0067354E" w:rsidRPr="004866BE">
        <w:t>colonoscopy</w:t>
      </w:r>
      <w:r w:rsidR="006A7123" w:rsidRPr="004866BE">
        <w:t xml:space="preserve"> compliance </w:t>
      </w:r>
      <w:r w:rsidR="00B9510C" w:rsidRPr="004866BE">
        <w:t>respectively.</w:t>
      </w:r>
    </w:p>
    <w:p w14:paraId="5ECADCA4" w14:textId="77777777" w:rsidR="001A699D" w:rsidRPr="004866BE" w:rsidRDefault="001A699D" w:rsidP="001A699D">
      <w:r w:rsidRPr="004866BE">
        <w:t xml:space="preserve">In addition to Australia-wide outputs, key </w:t>
      </w:r>
      <w:r w:rsidR="000D1DB8">
        <w:t>outcomes</w:t>
      </w:r>
      <w:r w:rsidRPr="004866BE">
        <w:t xml:space="preserve"> were calculated </w:t>
      </w:r>
      <w:r w:rsidR="000D1DB8">
        <w:t xml:space="preserve">by jurisdiction, </w:t>
      </w:r>
      <w:r w:rsidRPr="004866BE">
        <w:t>for each state</w:t>
      </w:r>
      <w:r>
        <w:t xml:space="preserve"> and territory</w:t>
      </w:r>
      <w:r w:rsidRPr="004866BE">
        <w:t>. These results were informed by the population demographics (age and sex) available from the ABS and overall participation rate for the state</w:t>
      </w:r>
      <w:r>
        <w:t xml:space="preserve"> or territory</w:t>
      </w:r>
      <w:r w:rsidRPr="004866BE">
        <w:t xml:space="preserve"> available from the AIHW NBCSP Monitoring report.</w:t>
      </w:r>
      <w:r w:rsidRPr="004866BE">
        <w:fldChar w:fldCharType="begin"/>
      </w:r>
      <w:r w:rsidRPr="004866BE">
        <w:instrText xml:space="preserve"> ADDIN EN.CITE &lt;EndNote&gt;&lt;Cite&gt;&lt;Author&gt;Australian Institute of Health and Welfare&lt;/Author&gt;&lt;Year&gt;2019&lt;/Year&gt;&lt;RecNum&gt;1139&lt;/RecNum&gt;&lt;DisplayText&gt;[4]&lt;/DisplayText&gt;&lt;record&gt;&lt;rec-number&gt;1139&lt;/rec-number&gt;&lt;foreign-keys&gt;&lt;key app="EN" db-id="x50da5ezff5faue2296x5z26twvpfe5wa90e" timestamp="1570513666"&gt;1139&lt;/key&gt;&lt;/foreign-keys&gt;&lt;ref-type name="Report"&gt;27&lt;/ref-type&gt;&lt;contributors&gt;&lt;authors&gt;&lt;author&gt;Australian Institute of Health and Welfare,&lt;/author&gt;&lt;/authors&gt;&lt;/contributors&gt;&lt;titles&gt;&lt;title&gt;National Bowel Cancer Screening Program: monitoring report 2019.  Cat. no. CAN 125&lt;/title&gt;&lt;/titles&gt;&lt;keywords&gt;&lt;keyword&gt;Neoplasms&lt;/keyword&gt;&lt;keyword&gt;bowel cancer&lt;/keyword&gt;&lt;keyword&gt;Cancer&lt;/keyword&gt;&lt;keyword&gt;Cancer screening&lt;/keyword&gt;&lt;keyword&gt;screening&lt;/keyword&gt;&lt;/keywords&gt;&lt;dates&gt;&lt;year&gt;2019&lt;/year&gt;&lt;/dates&gt;&lt;pub-location&gt;Canberra&lt;/pub-location&gt;&lt;publisher&gt;AIHW&lt;/publisher&gt;&lt;urls&gt;&lt;/urls&gt;&lt;/record&gt;&lt;/Cite&gt;&lt;/EndNote&gt;</w:instrText>
      </w:r>
      <w:r w:rsidRPr="004866BE">
        <w:fldChar w:fldCharType="separate"/>
      </w:r>
      <w:r w:rsidRPr="004866BE">
        <w:t>[4]</w:t>
      </w:r>
      <w:r w:rsidRPr="004866BE">
        <w:fldChar w:fldCharType="end"/>
      </w:r>
      <w:r w:rsidRPr="004866BE">
        <w:t xml:space="preserve"> For the </w:t>
      </w:r>
      <w:r>
        <w:t>jurisdiction</w:t>
      </w:r>
      <w:r w:rsidRPr="004866BE">
        <w:t xml:space="preserve">-based analysis, the results do not take into account any differences in </w:t>
      </w:r>
      <w:r>
        <w:t>jurisdiction-</w:t>
      </w:r>
      <w:r w:rsidRPr="004866BE">
        <w:t xml:space="preserve">specific colonoscopy compliance rates or cancer incidence – all </w:t>
      </w:r>
      <w:r>
        <w:t>jurisdictions</w:t>
      </w:r>
      <w:r w:rsidRPr="004866BE">
        <w:t xml:space="preserve"> were assumed to have the same colonoscopy compliance rate, CRC incidence and CRC mortality rates as the Australian general population. </w:t>
      </w:r>
    </w:p>
    <w:p w14:paraId="277F5C0B" w14:textId="77777777" w:rsidR="008C2F3A" w:rsidRPr="009810F7" w:rsidRDefault="008C2F3A" w:rsidP="008B213B">
      <w:pPr>
        <w:pStyle w:val="Heading1"/>
      </w:pPr>
      <w:r w:rsidRPr="009810F7">
        <w:t>Results</w:t>
      </w:r>
    </w:p>
    <w:p w14:paraId="5BFACB04" w14:textId="77777777" w:rsidR="00796CC1" w:rsidRPr="009810F7" w:rsidRDefault="00796CC1" w:rsidP="008B213B">
      <w:pPr>
        <w:pStyle w:val="Heading2"/>
      </w:pPr>
      <w:r w:rsidRPr="009810F7">
        <w:t xml:space="preserve">Australia-wide </w:t>
      </w:r>
      <w:r w:rsidR="00D539C1">
        <w:t xml:space="preserve">health </w:t>
      </w:r>
      <w:r w:rsidRPr="009810F7">
        <w:t>outcomes</w:t>
      </w:r>
    </w:p>
    <w:p w14:paraId="3F4B3B0F" w14:textId="77777777" w:rsidR="00BC4BAB" w:rsidRPr="004866BE" w:rsidRDefault="00CB2337" w:rsidP="00597D8C">
      <w:r w:rsidRPr="004866BE">
        <w:t xml:space="preserve">The outcomes for the comparator are shown in </w:t>
      </w:r>
      <w:r w:rsidR="00937A16" w:rsidRPr="004866BE">
        <w:rPr>
          <w:b/>
        </w:rPr>
        <w:t>Table 2</w:t>
      </w:r>
      <w:r w:rsidR="00796CC1" w:rsidRPr="004866BE">
        <w:t xml:space="preserve"> and are summarised below</w:t>
      </w:r>
      <w:r w:rsidRPr="004866BE">
        <w:t>.</w:t>
      </w:r>
      <w:r w:rsidR="00734FA2" w:rsidRPr="004866BE">
        <w:t xml:space="preserve"> </w:t>
      </w:r>
      <w:r w:rsidR="00D3544F" w:rsidRPr="004866BE">
        <w:t>The comparator assumes there has been no change to screening invitations</w:t>
      </w:r>
      <w:r w:rsidR="002666AC" w:rsidRPr="004866BE">
        <w:t xml:space="preserve"> and kits</w:t>
      </w:r>
      <w:r w:rsidR="00D3544F" w:rsidRPr="004866BE">
        <w:t xml:space="preserve"> and follow-up colonoscopy compliance, and screening participation continues at previously observed participation rates (~40%). Outcomes for the comparator</w:t>
      </w:r>
      <w:r w:rsidR="00734FA2" w:rsidRPr="004866BE">
        <w:t xml:space="preserve"> are the expected number of</w:t>
      </w:r>
      <w:r w:rsidR="00880581" w:rsidRPr="004866BE">
        <w:t xml:space="preserve"> incident CRCs and CRC deaths </w:t>
      </w:r>
      <w:r w:rsidR="00880581" w:rsidRPr="004866BE">
        <w:rPr>
          <w:b/>
        </w:rPr>
        <w:t>in the screening cohort</w:t>
      </w:r>
      <w:r w:rsidR="00D3544F" w:rsidRPr="004866BE">
        <w:rPr>
          <w:b/>
        </w:rPr>
        <w:t xml:space="preserve"> only</w:t>
      </w:r>
      <w:r w:rsidR="00880581" w:rsidRPr="004866BE">
        <w:t>.</w:t>
      </w:r>
      <w:r w:rsidRPr="004866BE">
        <w:t xml:space="preserve"> </w:t>
      </w:r>
      <w:r w:rsidR="004E4DD9" w:rsidRPr="004866BE">
        <w:t>This cohort captures</w:t>
      </w:r>
      <w:r w:rsidR="00880581" w:rsidRPr="004866BE">
        <w:t xml:space="preserve"> </w:t>
      </w:r>
      <w:r w:rsidRPr="004866BE">
        <w:rPr>
          <w:b/>
        </w:rPr>
        <w:t xml:space="preserve">individuals born in </w:t>
      </w:r>
      <w:r w:rsidR="006B7955" w:rsidRPr="004866BE">
        <w:rPr>
          <w:b/>
        </w:rPr>
        <w:t>1945-1971</w:t>
      </w:r>
      <w:r w:rsidR="006B7955" w:rsidRPr="004866BE">
        <w:t xml:space="preserve">, </w:t>
      </w:r>
      <w:proofErr w:type="gramStart"/>
      <w:r w:rsidR="006B7955" w:rsidRPr="004866BE">
        <w:t>i.e.</w:t>
      </w:r>
      <w:proofErr w:type="gramEnd"/>
      <w:r w:rsidR="006B7955" w:rsidRPr="004866BE">
        <w:t xml:space="preserve"> those eligible for screening in either 2020 or 2021. Outcomes such as “CRC </w:t>
      </w:r>
      <w:r w:rsidR="002A605A" w:rsidRPr="004866BE">
        <w:t>cases</w:t>
      </w:r>
      <w:r w:rsidR="1C4A0FDC" w:rsidRPr="004866BE">
        <w:t xml:space="preserve"> 2020-2060</w:t>
      </w:r>
      <w:r w:rsidR="006B7955" w:rsidRPr="004866BE">
        <w:t xml:space="preserve">” </w:t>
      </w:r>
      <w:r w:rsidR="006B7955" w:rsidRPr="004866BE">
        <w:rPr>
          <w:b/>
        </w:rPr>
        <w:t>do not</w:t>
      </w:r>
      <w:r w:rsidR="006B7955" w:rsidRPr="004866BE">
        <w:t xml:space="preserve"> include any CRC </w:t>
      </w:r>
      <w:r w:rsidR="00064D15" w:rsidRPr="004866BE">
        <w:t>cases</w:t>
      </w:r>
      <w:r w:rsidR="006B7955" w:rsidRPr="004866BE">
        <w:t xml:space="preserve"> in</w:t>
      </w:r>
      <w:r w:rsidR="49F55F45" w:rsidRPr="004866BE">
        <w:t xml:space="preserve"> other</w:t>
      </w:r>
      <w:r w:rsidR="006B7955" w:rsidRPr="004866BE">
        <w:t xml:space="preserve"> </w:t>
      </w:r>
      <w:r w:rsidR="00D10C74" w:rsidRPr="004866BE">
        <w:t>birth cohorts</w:t>
      </w:r>
      <w:r w:rsidR="002E5B4E" w:rsidRPr="004866BE">
        <w:t>. These results should therefore</w:t>
      </w:r>
      <w:r w:rsidR="006B7955" w:rsidRPr="004866BE">
        <w:t xml:space="preserve"> not be treated as estimates</w:t>
      </w:r>
      <w:r w:rsidR="008F7E00" w:rsidRPr="004866BE">
        <w:t xml:space="preserve"> for the entire Australian population</w:t>
      </w:r>
      <w:r w:rsidR="006B7955" w:rsidRPr="004866BE">
        <w:t>.</w:t>
      </w:r>
    </w:p>
    <w:p w14:paraId="442589C9" w14:textId="77777777" w:rsidR="00A223D8" w:rsidRPr="004866BE" w:rsidRDefault="00D759D3" w:rsidP="009541CD">
      <w:r w:rsidRPr="004866BE">
        <w:t xml:space="preserve">The results of the modelled scenarios estimate the effects of a </w:t>
      </w:r>
      <w:r w:rsidR="002A605A" w:rsidRPr="004866BE">
        <w:t>NBCSP disruption</w:t>
      </w:r>
      <w:r w:rsidRPr="004866BE">
        <w:t xml:space="preserve"> over 3-, 6- and 12-month periods, with and without catch-up and/or changes to screening participation</w:t>
      </w:r>
      <w:r w:rsidR="00D10E50" w:rsidRPr="004866BE">
        <w:t xml:space="preserve"> in the recovery period</w:t>
      </w:r>
      <w:r w:rsidRPr="004866BE">
        <w:t xml:space="preserve">. </w:t>
      </w:r>
      <w:r w:rsidR="00796CC1" w:rsidRPr="004866BE">
        <w:t xml:space="preserve">The outcomes for the modelled scenarios are shown in </w:t>
      </w:r>
      <w:r w:rsidR="00937A16" w:rsidRPr="004866BE">
        <w:rPr>
          <w:b/>
        </w:rPr>
        <w:t>Table 3</w:t>
      </w:r>
      <w:r w:rsidR="00796CC1" w:rsidRPr="004866BE">
        <w:rPr>
          <w:b/>
        </w:rPr>
        <w:t xml:space="preserve"> </w:t>
      </w:r>
      <w:r w:rsidR="00796CC1" w:rsidRPr="004866BE">
        <w:t xml:space="preserve">and summarised below. </w:t>
      </w:r>
      <w:r w:rsidRPr="004866BE">
        <w:t xml:space="preserve">All </w:t>
      </w:r>
      <w:r w:rsidR="00D3544F" w:rsidRPr="004866BE">
        <w:t xml:space="preserve">outcomes are presented vs the comparator shown in </w:t>
      </w:r>
      <w:r w:rsidR="00937A16" w:rsidRPr="004866BE">
        <w:rPr>
          <w:b/>
        </w:rPr>
        <w:t>Table 2</w:t>
      </w:r>
      <w:r w:rsidR="00D3544F" w:rsidRPr="004866BE">
        <w:t xml:space="preserve">. </w:t>
      </w:r>
    </w:p>
    <w:p w14:paraId="6F23CDF7" w14:textId="77777777" w:rsidR="00D759D3" w:rsidRPr="004866BE" w:rsidRDefault="00796CC1" w:rsidP="00D759D3">
      <w:r w:rsidRPr="004866BE">
        <w:t xml:space="preserve">All figures below are </w:t>
      </w:r>
      <w:r w:rsidR="00AF641E" w:rsidRPr="004866BE">
        <w:t>estimated for the modelled cohort (</w:t>
      </w:r>
      <w:proofErr w:type="gramStart"/>
      <w:r w:rsidR="00AF641E" w:rsidRPr="004866BE">
        <w:t>i.e.</w:t>
      </w:r>
      <w:proofErr w:type="gramEnd"/>
      <w:r w:rsidR="00AF641E" w:rsidRPr="004866BE">
        <w:t xml:space="preserve"> individuals due to receive a screening invitation in 2020 or 2021) and </w:t>
      </w:r>
      <w:r w:rsidR="00D759D3" w:rsidRPr="004866BE">
        <w:t>rounded to two significant figures.</w:t>
      </w:r>
    </w:p>
    <w:p w14:paraId="4BA176CA" w14:textId="77777777" w:rsidR="00D759D3" w:rsidRPr="004866BE" w:rsidRDefault="00D759D3" w:rsidP="00D759D3">
      <w:pPr>
        <w:pStyle w:val="ListParagraph"/>
        <w:numPr>
          <w:ilvl w:val="0"/>
          <w:numId w:val="1"/>
        </w:numPr>
      </w:pPr>
      <w:r w:rsidRPr="004866BE">
        <w:rPr>
          <w:b/>
        </w:rPr>
        <w:t>Comparator</w:t>
      </w:r>
      <w:r w:rsidRPr="004866BE">
        <w:t xml:space="preserve">: </w:t>
      </w:r>
      <w:r w:rsidR="00AF641E" w:rsidRPr="004866BE">
        <w:t>In</w:t>
      </w:r>
      <w:r w:rsidRPr="004866BE">
        <w:t xml:space="preserve"> the absence of any change</w:t>
      </w:r>
      <w:r w:rsidR="00745BBD" w:rsidRPr="004866BE">
        <w:t>s</w:t>
      </w:r>
      <w:r w:rsidRPr="004866BE">
        <w:t xml:space="preserve"> to the NBCSP, </w:t>
      </w:r>
      <w:r w:rsidR="00251CCD" w:rsidRPr="004866BE">
        <w:t xml:space="preserve">there would be an estimated </w:t>
      </w:r>
      <w:r w:rsidR="00346F36" w:rsidRPr="004866BE">
        <w:t>10,000</w:t>
      </w:r>
      <w:r w:rsidR="00251CCD" w:rsidRPr="004866BE">
        <w:t xml:space="preserve"> CRC cases in </w:t>
      </w:r>
      <w:r w:rsidR="00AF641E" w:rsidRPr="004866BE">
        <w:t xml:space="preserve">2020 and </w:t>
      </w:r>
      <w:r w:rsidR="00346F36" w:rsidRPr="004866BE">
        <w:t>10,000</w:t>
      </w:r>
      <w:r w:rsidR="00C15A72" w:rsidRPr="004866BE">
        <w:t xml:space="preserve"> CRC cases in 2021, </w:t>
      </w:r>
      <w:r w:rsidR="00CE3E8B" w:rsidRPr="004866BE">
        <w:t xml:space="preserve">and </w:t>
      </w:r>
      <w:r w:rsidR="00C903F3" w:rsidRPr="004866BE">
        <w:t xml:space="preserve">a total of </w:t>
      </w:r>
      <w:r w:rsidR="00D90216" w:rsidRPr="004866BE">
        <w:t>380,000</w:t>
      </w:r>
      <w:r w:rsidR="00CE3E8B" w:rsidRPr="004866BE">
        <w:t xml:space="preserve"> CRC cases and </w:t>
      </w:r>
      <w:r w:rsidR="00D90216" w:rsidRPr="004866BE">
        <w:t>120,000</w:t>
      </w:r>
      <w:r w:rsidR="00CE3E8B" w:rsidRPr="004866BE">
        <w:t xml:space="preserve"> CRC deaths from 2020-2060.</w:t>
      </w:r>
    </w:p>
    <w:p w14:paraId="0C56F92E" w14:textId="77777777" w:rsidR="00D759D3" w:rsidRPr="004866BE" w:rsidRDefault="00D759D3" w:rsidP="00D759D3">
      <w:pPr>
        <w:pStyle w:val="ListParagraph"/>
        <w:numPr>
          <w:ilvl w:val="0"/>
          <w:numId w:val="1"/>
        </w:numPr>
      </w:pPr>
      <w:r w:rsidRPr="004866BE">
        <w:rPr>
          <w:b/>
        </w:rPr>
        <w:t>Scenario 1</w:t>
      </w:r>
      <w:r w:rsidRPr="004866BE">
        <w:t xml:space="preserve">: If the program were paused for 3 months with no catch-up, and there was no change to participation rates in the recovery period there would be 750 </w:t>
      </w:r>
      <w:r w:rsidR="218BEB14" w:rsidRPr="004866BE">
        <w:t>CRC cases missed in 2020, and 2,300 additional CRC</w:t>
      </w:r>
      <w:r w:rsidRPr="004866BE">
        <w:t xml:space="preserve"> cases and 1,200 additional deaths over 2020-2060 vs the comparator.</w:t>
      </w:r>
    </w:p>
    <w:p w14:paraId="7FA20C5C" w14:textId="77777777" w:rsidR="00D759D3" w:rsidRPr="004866BE" w:rsidRDefault="00D759D3" w:rsidP="1C46F2AF">
      <w:pPr>
        <w:pStyle w:val="ListParagraph"/>
        <w:numPr>
          <w:ilvl w:val="0"/>
          <w:numId w:val="1"/>
        </w:numPr>
        <w:rPr>
          <w:rFonts w:eastAsiaTheme="minorEastAsia"/>
        </w:rPr>
      </w:pPr>
      <w:r w:rsidRPr="004866BE">
        <w:rPr>
          <w:b/>
        </w:rPr>
        <w:lastRenderedPageBreak/>
        <w:t>Scenario 2</w:t>
      </w:r>
      <w:r w:rsidRPr="004866BE">
        <w:t xml:space="preserve">: If the program were paused for 6 months with no catch-up, and there was no change to participation rates in the recovery period there would be 1,500 </w:t>
      </w:r>
      <w:r w:rsidR="6CAB9059" w:rsidRPr="004866BE">
        <w:t>CRC cases missed in 2020, and 4,100 additional CRC</w:t>
      </w:r>
      <w:r w:rsidRPr="004866BE">
        <w:t xml:space="preserve"> cases and 2,200 additional</w:t>
      </w:r>
      <w:r w:rsidR="000CFF35" w:rsidRPr="004866BE">
        <w:t xml:space="preserve"> CRC</w:t>
      </w:r>
      <w:r w:rsidRPr="004866BE">
        <w:t xml:space="preserve"> deaths over 2020-2060 vs the comparator. </w:t>
      </w:r>
    </w:p>
    <w:p w14:paraId="06C11D89" w14:textId="77777777" w:rsidR="00D759D3" w:rsidRPr="004866BE" w:rsidRDefault="00D759D3" w:rsidP="599112DF">
      <w:pPr>
        <w:pStyle w:val="ListParagraph"/>
        <w:numPr>
          <w:ilvl w:val="0"/>
          <w:numId w:val="1"/>
        </w:numPr>
        <w:rPr>
          <w:rFonts w:eastAsiaTheme="minorEastAsia"/>
        </w:rPr>
      </w:pPr>
      <w:r w:rsidRPr="004866BE">
        <w:rPr>
          <w:b/>
        </w:rPr>
        <w:t>Scenario 3</w:t>
      </w:r>
      <w:r w:rsidRPr="004866BE">
        <w:t xml:space="preserve">: If the program were paused for 12 months with no catch-up, and there was a </w:t>
      </w:r>
      <w:proofErr w:type="gramStart"/>
      <w:r w:rsidRPr="004866BE">
        <w:t>drop in</w:t>
      </w:r>
      <w:proofErr w:type="gramEnd"/>
      <w:r w:rsidRPr="004866BE">
        <w:t xml:space="preserve"> participation rate to ~20% in a 12-month recovery period for all other individuals, there would be 4,500</w:t>
      </w:r>
      <w:r w:rsidR="006856F5" w:rsidRPr="004866BE">
        <w:t xml:space="preserve"> CRC</w:t>
      </w:r>
      <w:r w:rsidRPr="004866BE">
        <w:t xml:space="preserve"> cases missed</w:t>
      </w:r>
      <w:r w:rsidR="2E2A8A53" w:rsidRPr="004866BE">
        <w:t xml:space="preserve"> in </w:t>
      </w:r>
      <w:r w:rsidRPr="004866BE">
        <w:t xml:space="preserve">2020-2021, and 12,000 additional </w:t>
      </w:r>
      <w:r w:rsidR="0F6DF6AD" w:rsidRPr="004866BE">
        <w:t>CRC</w:t>
      </w:r>
      <w:r w:rsidRPr="004866BE">
        <w:t xml:space="preserve"> cases and 6,500 additional </w:t>
      </w:r>
      <w:r w:rsidR="120D5CE9" w:rsidRPr="004866BE">
        <w:t xml:space="preserve">CRC </w:t>
      </w:r>
      <w:r w:rsidRPr="004866BE">
        <w:t>deaths over 2020-2060 vs the comparator.</w:t>
      </w:r>
    </w:p>
    <w:p w14:paraId="3996CAD7" w14:textId="77777777" w:rsidR="00D759D3" w:rsidRPr="004866BE" w:rsidRDefault="00D759D3" w:rsidP="599112DF">
      <w:pPr>
        <w:pStyle w:val="ListParagraph"/>
        <w:numPr>
          <w:ilvl w:val="0"/>
          <w:numId w:val="1"/>
        </w:numPr>
        <w:rPr>
          <w:rFonts w:eastAsiaTheme="minorEastAsia"/>
        </w:rPr>
      </w:pPr>
      <w:r w:rsidRPr="004866BE">
        <w:rPr>
          <w:b/>
        </w:rPr>
        <w:t>Scenario 4</w:t>
      </w:r>
      <w:r w:rsidRPr="004866BE">
        <w:t xml:space="preserve">: If the program were paused for 3 months with a comprehensive catch-up strategy for all those who missed screening during the pause at usual (~40%) participation rates, and a drop in the participation rate to ~20% in the recovery period, there would be 1,500 </w:t>
      </w:r>
      <w:r w:rsidR="157F0C55" w:rsidRPr="004866BE">
        <w:t xml:space="preserve">CRC </w:t>
      </w:r>
      <w:r w:rsidRPr="004866BE">
        <w:t xml:space="preserve">cases missed or delayed in 2020-2021, and 4,300 additional </w:t>
      </w:r>
      <w:r w:rsidR="48CA76B4" w:rsidRPr="004866BE">
        <w:t>CRC</w:t>
      </w:r>
      <w:r w:rsidRPr="004866BE">
        <w:t xml:space="preserve"> cases and 2,400 additional </w:t>
      </w:r>
      <w:r w:rsidR="730ADBF6" w:rsidRPr="004866BE">
        <w:t>CRC</w:t>
      </w:r>
      <w:r w:rsidRPr="004866BE">
        <w:t xml:space="preserve"> deaths over 2020-2060 vs the comparator.</w:t>
      </w:r>
    </w:p>
    <w:p w14:paraId="68F06B2D" w14:textId="77777777" w:rsidR="00D759D3" w:rsidRPr="004866BE" w:rsidRDefault="00D759D3" w:rsidP="1263D0ED">
      <w:pPr>
        <w:pStyle w:val="ListParagraph"/>
        <w:numPr>
          <w:ilvl w:val="0"/>
          <w:numId w:val="1"/>
        </w:numPr>
        <w:rPr>
          <w:rFonts w:eastAsiaTheme="minorEastAsia"/>
        </w:rPr>
      </w:pPr>
      <w:r w:rsidRPr="004866BE">
        <w:rPr>
          <w:b/>
        </w:rPr>
        <w:t>Scenario 5</w:t>
      </w:r>
      <w:r w:rsidRPr="004866BE">
        <w:t>: If the program were paused for 6 months with a comprehensive catch-up strategy for all those who missed screening during the pause at usual (~40%) participation rates, and a drop in the participation rate to ~20% in the recovery period, there would be 2,</w:t>
      </w:r>
      <w:r w:rsidR="005C54A8" w:rsidRPr="004866BE">
        <w:t>2</w:t>
      </w:r>
      <w:r w:rsidRPr="004866BE">
        <w:t xml:space="preserve">00 </w:t>
      </w:r>
      <w:r w:rsidR="23A9352E" w:rsidRPr="004866BE">
        <w:t xml:space="preserve">CRC </w:t>
      </w:r>
      <w:r w:rsidRPr="004866BE">
        <w:t>cases missed or delayed in 2020-2021, and 4,</w:t>
      </w:r>
      <w:r w:rsidR="002F0FDA" w:rsidRPr="004866BE">
        <w:t>1</w:t>
      </w:r>
      <w:r w:rsidRPr="004866BE">
        <w:t xml:space="preserve">00 additional </w:t>
      </w:r>
      <w:r w:rsidR="646A4885" w:rsidRPr="004866BE">
        <w:t>CRC</w:t>
      </w:r>
      <w:r w:rsidRPr="004866BE">
        <w:t xml:space="preserve"> cases and 2,</w:t>
      </w:r>
      <w:r w:rsidR="0017721A" w:rsidRPr="004866BE">
        <w:t>2</w:t>
      </w:r>
      <w:r w:rsidRPr="004866BE">
        <w:t xml:space="preserve">00 additional </w:t>
      </w:r>
      <w:r w:rsidR="45756B1F" w:rsidRPr="004866BE">
        <w:t>CRC</w:t>
      </w:r>
      <w:r w:rsidRPr="004866BE">
        <w:t xml:space="preserve"> deaths over 2020-2060 vs the comparator.</w:t>
      </w:r>
    </w:p>
    <w:p w14:paraId="6A4C8BB7" w14:textId="77777777" w:rsidR="00D759D3" w:rsidRPr="004866BE" w:rsidRDefault="00D759D3" w:rsidP="1263D0ED">
      <w:pPr>
        <w:pStyle w:val="ListParagraph"/>
        <w:numPr>
          <w:ilvl w:val="0"/>
          <w:numId w:val="1"/>
        </w:numPr>
        <w:rPr>
          <w:rFonts w:eastAsiaTheme="minorEastAsia"/>
        </w:rPr>
      </w:pPr>
      <w:r w:rsidRPr="004866BE">
        <w:rPr>
          <w:b/>
        </w:rPr>
        <w:t>Scenario 6</w:t>
      </w:r>
      <w:r w:rsidRPr="004866BE">
        <w:t xml:space="preserve">: If the program were paused for 12 months with a comprehensive catch-up strategy for all those who missed screening, and no change to participation rates in the recovery period, there would be 3,100 </w:t>
      </w:r>
      <w:r w:rsidR="67A51EF5" w:rsidRPr="004866BE">
        <w:t>CRC</w:t>
      </w:r>
      <w:r w:rsidRPr="004866BE">
        <w:t xml:space="preserve"> cases missed or delayed in 2020-2021, and 830 additional </w:t>
      </w:r>
      <w:r w:rsidR="74727DDC" w:rsidRPr="004866BE">
        <w:t xml:space="preserve">CRC </w:t>
      </w:r>
      <w:r w:rsidRPr="004866BE">
        <w:t xml:space="preserve">cases and 460 additional </w:t>
      </w:r>
      <w:r w:rsidR="0F7FE735" w:rsidRPr="004866BE">
        <w:t>CRC</w:t>
      </w:r>
      <w:r w:rsidRPr="004866BE">
        <w:t xml:space="preserve"> deaths over 2020-2060 vs the comparator.</w:t>
      </w:r>
    </w:p>
    <w:p w14:paraId="1598DAAD" w14:textId="77777777" w:rsidR="009D2D18" w:rsidRPr="004866BE" w:rsidRDefault="295AF6D1" w:rsidP="1263D0ED">
      <w:pPr>
        <w:pStyle w:val="ListParagraph"/>
        <w:numPr>
          <w:ilvl w:val="0"/>
          <w:numId w:val="1"/>
        </w:numPr>
        <w:rPr>
          <w:rFonts w:eastAsiaTheme="minorEastAsia"/>
        </w:rPr>
      </w:pPr>
      <w:r w:rsidRPr="004866BE">
        <w:rPr>
          <w:b/>
        </w:rPr>
        <w:t>Scenario 7</w:t>
      </w:r>
      <w:r w:rsidRPr="004866BE">
        <w:t xml:space="preserve">: If the program were paused for 12 months with a comprehensive catch-up strategy for all those who missed screening, and a </w:t>
      </w:r>
      <w:proofErr w:type="gramStart"/>
      <w:r w:rsidRPr="004866BE">
        <w:t>drop in</w:t>
      </w:r>
      <w:proofErr w:type="gramEnd"/>
      <w:r w:rsidRPr="004866BE">
        <w:t xml:space="preserve"> participation rate to ~20% in the recovery period, there would be 4,</w:t>
      </w:r>
      <w:r w:rsidR="00354B69">
        <w:t>5</w:t>
      </w:r>
      <w:r w:rsidR="00354B69" w:rsidRPr="004866BE">
        <w:t>00</w:t>
      </w:r>
      <w:r w:rsidR="606324DD" w:rsidRPr="004866BE">
        <w:t xml:space="preserve"> CRC</w:t>
      </w:r>
      <w:r w:rsidRPr="004866BE">
        <w:t xml:space="preserve"> cases missed or delayed in 2020-2021 and </w:t>
      </w:r>
      <w:r w:rsidR="00354B69">
        <w:t>4,600</w:t>
      </w:r>
      <w:r w:rsidRPr="004866BE">
        <w:t xml:space="preserve"> additional </w:t>
      </w:r>
      <w:r w:rsidR="1190631B" w:rsidRPr="004866BE">
        <w:t xml:space="preserve">CRC </w:t>
      </w:r>
      <w:r w:rsidRPr="004866BE">
        <w:t xml:space="preserve">cases and 2,500 additional </w:t>
      </w:r>
      <w:r w:rsidR="3BFF5225" w:rsidRPr="004866BE">
        <w:t xml:space="preserve">CRC </w:t>
      </w:r>
      <w:r w:rsidRPr="004866BE">
        <w:t>deaths over 2020-2060 vs the comparator.</w:t>
      </w:r>
    </w:p>
    <w:p w14:paraId="2409E79B" w14:textId="0A13CACB" w:rsidR="2B7D7421" w:rsidRPr="004866BE" w:rsidRDefault="7B9A1416" w:rsidP="008B213B">
      <w:r w:rsidRPr="004866BE">
        <w:t xml:space="preserve">Any </w:t>
      </w:r>
      <w:r w:rsidR="0476E492" w:rsidRPr="004866BE">
        <w:t xml:space="preserve">modelled </w:t>
      </w:r>
      <w:r w:rsidRPr="004866BE">
        <w:t xml:space="preserve">hypothetical disruption to the NBCSP resulted in a stage shift in CRC cases to later stages compared to the current </w:t>
      </w:r>
      <w:r w:rsidR="00D10E50" w:rsidRPr="004866BE">
        <w:t>NBCSP</w:t>
      </w:r>
      <w:r w:rsidRPr="004866BE">
        <w:t xml:space="preserve">. In the event of no catch-up strategy, 170-940 fewer cases would be diagnosed in 2020-2060 at Stage 1 and </w:t>
      </w:r>
      <w:proofErr w:type="gramStart"/>
      <w:r w:rsidRPr="004866BE">
        <w:t>the majority of</w:t>
      </w:r>
      <w:proofErr w:type="gramEnd"/>
      <w:r w:rsidRPr="004866BE">
        <w:t xml:space="preserve"> cases</w:t>
      </w:r>
      <w:r w:rsidR="00D10E50" w:rsidRPr="004866BE">
        <w:t xml:space="preserve"> would be</w:t>
      </w:r>
      <w:r w:rsidRPr="004866BE">
        <w:t xml:space="preserve"> diagnosed at Stage 3 and 4. This trend was broadly similar for disruptions followed by a catch-up </w:t>
      </w:r>
      <w:r w:rsidR="00D10E50" w:rsidRPr="004866BE">
        <w:t xml:space="preserve">but </w:t>
      </w:r>
      <w:r w:rsidRPr="004866BE">
        <w:t>with on</w:t>
      </w:r>
      <w:r w:rsidR="00D10E50" w:rsidRPr="004866BE">
        <w:t>ly</w:t>
      </w:r>
      <w:r w:rsidRPr="004866BE">
        <w:t xml:space="preserve"> 66-410 fewer cases in 2020-2060.</w:t>
      </w:r>
      <w:r w:rsidR="00C26AF4">
        <w:t xml:space="preserve"> </w:t>
      </w:r>
      <w:r w:rsidR="00A27A0E" w:rsidRPr="00A27A0E">
        <w:t>Additionally, up to 2,100 CRC cases were upstaged from missed or delayed routine screening in 2020 and 2021 leading to a delay in diagnosis.</w:t>
      </w:r>
    </w:p>
    <w:p w14:paraId="2B06E719" w14:textId="77777777" w:rsidR="00351E90" w:rsidRPr="009810F7" w:rsidRDefault="00351E90" w:rsidP="008B213B">
      <w:pPr>
        <w:pStyle w:val="Heading2"/>
      </w:pPr>
      <w:r w:rsidRPr="009810F7">
        <w:t xml:space="preserve">Hot </w:t>
      </w:r>
      <w:r w:rsidR="001A0AF8" w:rsidRPr="009810F7">
        <w:t>Z</w:t>
      </w:r>
      <w:r w:rsidRPr="009810F7">
        <w:t>one policy</w:t>
      </w:r>
    </w:p>
    <w:p w14:paraId="42DC6FFE" w14:textId="77777777" w:rsidR="004D331B" w:rsidRPr="004866BE" w:rsidRDefault="00EC4C81" w:rsidP="00290A3B">
      <w:r w:rsidRPr="004866BE">
        <w:t xml:space="preserve">Parts of Australia have limited screening invitation </w:t>
      </w:r>
      <w:r w:rsidR="007A0FEE" w:rsidRPr="004866BE">
        <w:t>timeframe</w:t>
      </w:r>
      <w:r w:rsidR="002D10B1" w:rsidRPr="004866BE">
        <w:t>s</w:t>
      </w:r>
      <w:r w:rsidR="007A0FEE" w:rsidRPr="004866BE">
        <w:t xml:space="preserve"> due to the </w:t>
      </w:r>
      <w:r w:rsidR="001A0AF8" w:rsidRPr="004866BE">
        <w:t>H</w:t>
      </w:r>
      <w:r w:rsidR="007A0FEE" w:rsidRPr="004866BE">
        <w:t>ot</w:t>
      </w:r>
      <w:r w:rsidR="001A4919" w:rsidRPr="004866BE">
        <w:t xml:space="preserve"> </w:t>
      </w:r>
      <w:r w:rsidR="001A0AF8" w:rsidRPr="004866BE">
        <w:t>Z</w:t>
      </w:r>
      <w:r w:rsidR="007A0FEE" w:rsidRPr="004866BE">
        <w:t xml:space="preserve">one </w:t>
      </w:r>
      <w:proofErr w:type="gramStart"/>
      <w:r w:rsidR="007A0FEE" w:rsidRPr="004866BE">
        <w:t>policy,</w:t>
      </w:r>
      <w:proofErr w:type="gramEnd"/>
      <w:r w:rsidR="007A0FEE" w:rsidRPr="004866BE">
        <w:t xml:space="preserve"> whereby screening invitations are only sent for limited months </w:t>
      </w:r>
      <w:r w:rsidR="00D97937" w:rsidRPr="004866BE">
        <w:t>per</w:t>
      </w:r>
      <w:r w:rsidR="007A0FEE" w:rsidRPr="004866BE">
        <w:t xml:space="preserve"> year. </w:t>
      </w:r>
      <w:r w:rsidR="00B26EA7" w:rsidRPr="004866BE">
        <w:t xml:space="preserve">These results differ as a screening pause may represent a larger proportion of the screening invitation timeframe for an area, as illustrated in </w:t>
      </w:r>
      <w:r w:rsidR="00B26EA7" w:rsidRPr="004866BE">
        <w:rPr>
          <w:b/>
        </w:rPr>
        <w:t>Figure 2</w:t>
      </w:r>
      <w:r w:rsidR="00B26EA7" w:rsidRPr="004866BE">
        <w:t>.</w:t>
      </w:r>
      <w:r w:rsidR="00B26EA7">
        <w:t xml:space="preserve"> </w:t>
      </w:r>
      <w:r w:rsidR="65142074" w:rsidRPr="004866BE">
        <w:t xml:space="preserve">Estimated outcomes </w:t>
      </w:r>
      <w:r w:rsidR="00BD7E8C" w:rsidRPr="004866BE">
        <w:t xml:space="preserve">by </w:t>
      </w:r>
      <w:r w:rsidR="57D1F160" w:rsidRPr="004866BE">
        <w:t xml:space="preserve">the duration of </w:t>
      </w:r>
      <w:r w:rsidR="601B9ECF" w:rsidRPr="004866BE">
        <w:t>the screening</w:t>
      </w:r>
      <w:r w:rsidR="004B28EA" w:rsidRPr="004866BE">
        <w:t xml:space="preserve"> invitation timeframe</w:t>
      </w:r>
      <w:r w:rsidR="00290A3B" w:rsidRPr="004866BE">
        <w:t xml:space="preserve"> are shown in </w:t>
      </w:r>
      <w:r w:rsidR="00290A3B" w:rsidRPr="004866BE">
        <w:rPr>
          <w:b/>
        </w:rPr>
        <w:t xml:space="preserve">Table </w:t>
      </w:r>
      <w:r w:rsidR="0079723C" w:rsidRPr="004866BE">
        <w:rPr>
          <w:b/>
        </w:rPr>
        <w:t>4</w:t>
      </w:r>
      <w:r w:rsidR="0004246C">
        <w:t xml:space="preserve">, with a </w:t>
      </w:r>
      <w:proofErr w:type="gramStart"/>
      <w:r w:rsidR="0004246C">
        <w:t>long term</w:t>
      </w:r>
      <w:proofErr w:type="gramEnd"/>
      <w:r w:rsidR="0004246C">
        <w:t xml:space="preserve"> increase on CRC cases detected </w:t>
      </w:r>
      <w:r w:rsidR="000D2187">
        <w:t>ranging from 1.1-4.6% and on CRC deaths from 1.8-7.9%.</w:t>
      </w:r>
    </w:p>
    <w:p w14:paraId="1DC128CF" w14:textId="77777777" w:rsidR="002E5B4E" w:rsidRPr="00B97B67" w:rsidRDefault="00351E90" w:rsidP="008B213B">
      <w:pPr>
        <w:pStyle w:val="Heading2"/>
      </w:pPr>
      <w:r w:rsidRPr="00B97B67">
        <w:lastRenderedPageBreak/>
        <w:t>Resource demand</w:t>
      </w:r>
    </w:p>
    <w:p w14:paraId="16475642" w14:textId="77777777" w:rsidR="00726484" w:rsidRPr="004866BE" w:rsidRDefault="00351E90" w:rsidP="00726484">
      <w:r w:rsidRPr="004866BE">
        <w:t>In scenarios where catch</w:t>
      </w:r>
      <w:r w:rsidR="0034018F" w:rsidRPr="004866BE">
        <w:t>-</w:t>
      </w:r>
      <w:r w:rsidRPr="004866BE">
        <w:t xml:space="preserve">up </w:t>
      </w:r>
      <w:r w:rsidR="0034018F" w:rsidRPr="004866BE">
        <w:t>strategies are modelled</w:t>
      </w:r>
      <w:r w:rsidRPr="004866BE">
        <w:t xml:space="preserve">, there </w:t>
      </w:r>
      <w:r w:rsidR="00084F11" w:rsidRPr="004866BE">
        <w:t>would</w:t>
      </w:r>
      <w:r w:rsidRPr="004866BE">
        <w:t xml:space="preserve"> be an increase in </w:t>
      </w:r>
      <w:r w:rsidR="0034018F" w:rsidRPr="004866BE">
        <w:t xml:space="preserve">NBCSP-related </w:t>
      </w:r>
      <w:r w:rsidRPr="004866BE">
        <w:t>colonoscopy demand</w:t>
      </w:r>
      <w:r w:rsidR="5733051D" w:rsidRPr="004866BE">
        <w:t xml:space="preserve"> during the catch</w:t>
      </w:r>
      <w:r w:rsidR="0034018F" w:rsidRPr="004866BE">
        <w:t>-</w:t>
      </w:r>
      <w:r w:rsidR="5733051D" w:rsidRPr="004866BE">
        <w:t>up period</w:t>
      </w:r>
      <w:r w:rsidR="00A64067" w:rsidRPr="004866BE">
        <w:t>, as catch</w:t>
      </w:r>
      <w:r w:rsidR="0034018F" w:rsidRPr="004866BE">
        <w:t>-</w:t>
      </w:r>
      <w:r w:rsidR="00A64067" w:rsidRPr="004866BE">
        <w:t xml:space="preserve">up would occur concurrently with </w:t>
      </w:r>
      <w:r w:rsidR="000567A0" w:rsidRPr="004866BE">
        <w:t xml:space="preserve">the </w:t>
      </w:r>
      <w:r w:rsidR="00A64067" w:rsidRPr="004866BE">
        <w:t xml:space="preserve">usual scheduled </w:t>
      </w:r>
      <w:r w:rsidR="000567A0" w:rsidRPr="004866BE">
        <w:t>screening</w:t>
      </w:r>
      <w:r w:rsidR="00391164">
        <w:t xml:space="preserve"> (</w:t>
      </w:r>
      <w:r w:rsidR="00391164" w:rsidRPr="00391164">
        <w:rPr>
          <w:b/>
          <w:bCs/>
        </w:rPr>
        <w:t>Table 3</w:t>
      </w:r>
      <w:r w:rsidR="00391164">
        <w:t>)</w:t>
      </w:r>
      <w:r w:rsidRPr="004866BE">
        <w:t xml:space="preserve">. </w:t>
      </w:r>
      <w:r w:rsidR="00726484" w:rsidRPr="004866BE">
        <w:t xml:space="preserve">The NBCSP-related colonoscopies that would not be conducted in 2020 due to hypothetical 3-, 6- and 12-month pauses without catch-up would be </w:t>
      </w:r>
      <w:r w:rsidR="0030774F" w:rsidRPr="004866BE">
        <w:t>19,000</w:t>
      </w:r>
      <w:r w:rsidR="00726484" w:rsidRPr="004866BE">
        <w:t xml:space="preserve">, 37,000 and </w:t>
      </w:r>
      <w:r w:rsidR="002D2C53" w:rsidRPr="004866BE">
        <w:t>7</w:t>
      </w:r>
      <w:r w:rsidR="002D2C53">
        <w:t>4</w:t>
      </w:r>
      <w:r w:rsidR="00726484" w:rsidRPr="004866BE">
        <w:t xml:space="preserve">,000, respectively. If catch-up were undertaken in 2021 after a 12 month pause, this would require an estimated 170,000 colonoscopies in total over a 12-month period – approximately a 77% increase in NBCSP-related colonoscopy demand in 2021 compared to the NBCSP with no pause.  </w:t>
      </w:r>
    </w:p>
    <w:p w14:paraId="49C4D946" w14:textId="77777777" w:rsidR="00351E90" w:rsidRPr="004866BE" w:rsidRDefault="00351E90" w:rsidP="00351E90">
      <w:r w:rsidRPr="004866BE">
        <w:t xml:space="preserve">We </w:t>
      </w:r>
      <w:r w:rsidR="00A64067" w:rsidRPr="004866BE">
        <w:t>estimated</w:t>
      </w:r>
      <w:r w:rsidRPr="004866BE">
        <w:t xml:space="preserve"> the increase in </w:t>
      </w:r>
      <w:r w:rsidR="0034018F" w:rsidRPr="004866BE">
        <w:t xml:space="preserve">NBCSP-related </w:t>
      </w:r>
      <w:r w:rsidRPr="004866BE">
        <w:t>colonoscopy demand per month during the catch-up period</w:t>
      </w:r>
      <w:r w:rsidR="000567A0" w:rsidRPr="004866BE">
        <w:t>s</w:t>
      </w:r>
      <w:r w:rsidR="00A64067" w:rsidRPr="004866BE">
        <w:t xml:space="preserve"> </w:t>
      </w:r>
      <w:r w:rsidR="005D5F60" w:rsidRPr="004866BE">
        <w:t xml:space="preserve">with no decrease in screening participation </w:t>
      </w:r>
      <w:r w:rsidR="00A64067" w:rsidRPr="004866BE">
        <w:t>would be approximately</w:t>
      </w:r>
      <w:r w:rsidR="00EE1A09" w:rsidRPr="004866BE">
        <w:t xml:space="preserve"> </w:t>
      </w:r>
      <w:r w:rsidR="00FF4F98" w:rsidRPr="004866BE">
        <w:t>14,000</w:t>
      </w:r>
      <w:r w:rsidR="000567A0" w:rsidRPr="004866BE">
        <w:t xml:space="preserve"> per month</w:t>
      </w:r>
      <w:r w:rsidR="007B316C" w:rsidRPr="004866BE">
        <w:t xml:space="preserve"> nationwide</w:t>
      </w:r>
      <w:r w:rsidR="000567A0" w:rsidRPr="004866BE">
        <w:t xml:space="preserve">, </w:t>
      </w:r>
      <w:r w:rsidR="00EE1A09" w:rsidRPr="004866BE">
        <w:t>a 71</w:t>
      </w:r>
      <w:r w:rsidR="00A64067" w:rsidRPr="004866BE">
        <w:t>% increase</w:t>
      </w:r>
      <w:r w:rsidR="000567A0" w:rsidRPr="004866BE">
        <w:t xml:space="preserve"> vs the comparator</w:t>
      </w:r>
      <w:r w:rsidR="00EE1A09" w:rsidRPr="004866BE">
        <w:t xml:space="preserve"> of 8,400 per month</w:t>
      </w:r>
      <w:r w:rsidRPr="004866BE">
        <w:t xml:space="preserve">. </w:t>
      </w:r>
      <w:r w:rsidR="007B316C" w:rsidRPr="004866BE">
        <w:t xml:space="preserve">If during the catch-up period, catch-up was at full participation but other invitations had participation halved, there would be approximately </w:t>
      </w:r>
      <w:r w:rsidR="004745A9" w:rsidRPr="004866BE">
        <w:t>11,000</w:t>
      </w:r>
      <w:r w:rsidR="007B316C" w:rsidRPr="004866BE">
        <w:t xml:space="preserve"> additional NBCSP-generated colonoscopies per month, a </w:t>
      </w:r>
      <w:r w:rsidR="008D0B06" w:rsidRPr="004866BE">
        <w:t>34</w:t>
      </w:r>
      <w:r w:rsidR="007B316C" w:rsidRPr="004866BE">
        <w:t>% increase vs the comparator.</w:t>
      </w:r>
    </w:p>
    <w:p w14:paraId="1FD02E38" w14:textId="77777777" w:rsidR="000A0D66" w:rsidRPr="009810F7" w:rsidRDefault="000A0D66" w:rsidP="008B213B">
      <w:pPr>
        <w:pStyle w:val="Heading2"/>
      </w:pPr>
      <w:r w:rsidRPr="009810F7">
        <w:t>C</w:t>
      </w:r>
      <w:r w:rsidR="009E6A16" w:rsidRPr="009810F7">
        <w:t>olonoscopy c</w:t>
      </w:r>
      <w:r w:rsidRPr="009810F7">
        <w:t>ompliance</w:t>
      </w:r>
    </w:p>
    <w:p w14:paraId="1089E161" w14:textId="77777777" w:rsidR="009C0E79" w:rsidRPr="004866BE" w:rsidRDefault="0004631E" w:rsidP="009C0E79">
      <w:r w:rsidRPr="004866BE">
        <w:t xml:space="preserve">The </w:t>
      </w:r>
      <w:r w:rsidR="009E6A16" w:rsidRPr="004866BE">
        <w:t xml:space="preserve">impact of </w:t>
      </w:r>
      <w:r w:rsidR="00194DCA" w:rsidRPr="004866BE">
        <w:t>relative reductions</w:t>
      </w:r>
      <w:r w:rsidR="009E6A16" w:rsidRPr="004866BE">
        <w:t xml:space="preserve"> to </w:t>
      </w:r>
      <w:r w:rsidR="009C0E79" w:rsidRPr="004866BE">
        <w:t>colonoscopy compliance</w:t>
      </w:r>
      <w:r w:rsidR="009E6A16" w:rsidRPr="004866BE">
        <w:t xml:space="preserve"> is outlined in relation to</w:t>
      </w:r>
      <w:r w:rsidR="008F5A27" w:rsidRPr="004866BE">
        <w:t xml:space="preserve"> the number of</w:t>
      </w:r>
      <w:r w:rsidR="009E6A16" w:rsidRPr="004866BE">
        <w:t xml:space="preserve"> follow-up colonoscopies</w:t>
      </w:r>
      <w:r w:rsidR="002F31D9" w:rsidRPr="004866BE">
        <w:t xml:space="preserve"> </w:t>
      </w:r>
      <w:r w:rsidR="00434939" w:rsidRPr="004866BE">
        <w:t xml:space="preserve">in 2020 </w:t>
      </w:r>
      <w:r w:rsidR="002F31D9" w:rsidRPr="004866BE">
        <w:t>(</w:t>
      </w:r>
      <w:r w:rsidR="002F31D9" w:rsidRPr="004866BE">
        <w:rPr>
          <w:b/>
        </w:rPr>
        <w:t>Figure 3</w:t>
      </w:r>
      <w:r w:rsidR="002F31D9" w:rsidRPr="004866BE">
        <w:t>),</w:t>
      </w:r>
      <w:r w:rsidR="009F0B1B" w:rsidRPr="004866BE">
        <w:t xml:space="preserve"> additional</w:t>
      </w:r>
      <w:r w:rsidR="002F31D9" w:rsidRPr="004866BE">
        <w:t xml:space="preserve"> </w:t>
      </w:r>
      <w:r w:rsidR="00434939" w:rsidRPr="004866BE">
        <w:t xml:space="preserve">CRC </w:t>
      </w:r>
      <w:r w:rsidR="009F0B1B" w:rsidRPr="004866BE">
        <w:t>cases</w:t>
      </w:r>
      <w:r w:rsidR="00434939" w:rsidRPr="004866BE">
        <w:t xml:space="preserve"> (</w:t>
      </w:r>
      <w:r w:rsidR="00434939" w:rsidRPr="004866BE">
        <w:rPr>
          <w:b/>
        </w:rPr>
        <w:t>Figure 4</w:t>
      </w:r>
      <w:r w:rsidR="00434939" w:rsidRPr="004866BE">
        <w:t xml:space="preserve">) and </w:t>
      </w:r>
      <w:r w:rsidR="009F0B1B" w:rsidRPr="004866BE">
        <w:t xml:space="preserve">additional </w:t>
      </w:r>
      <w:r w:rsidR="00434939" w:rsidRPr="004866BE">
        <w:t xml:space="preserve">CRC deaths </w:t>
      </w:r>
      <w:r w:rsidR="007433B6" w:rsidRPr="004866BE">
        <w:t xml:space="preserve">in 2020-2060 </w:t>
      </w:r>
      <w:r w:rsidR="00434939" w:rsidRPr="004866BE">
        <w:t>(</w:t>
      </w:r>
      <w:r w:rsidR="00434939" w:rsidRPr="004866BE">
        <w:rPr>
          <w:b/>
        </w:rPr>
        <w:t>Figure 5</w:t>
      </w:r>
      <w:r w:rsidR="00434939" w:rsidRPr="004866BE">
        <w:t>)</w:t>
      </w:r>
      <w:r w:rsidR="00ED440F" w:rsidRPr="004866BE">
        <w:t xml:space="preserve"> compared to </w:t>
      </w:r>
      <w:r w:rsidR="0034018F" w:rsidRPr="004866BE">
        <w:t xml:space="preserve">the </w:t>
      </w:r>
      <w:r w:rsidR="00ED440F" w:rsidRPr="004866BE">
        <w:t xml:space="preserve">current </w:t>
      </w:r>
      <w:r w:rsidR="0034018F" w:rsidRPr="004866BE">
        <w:t>NBCSP</w:t>
      </w:r>
      <w:r w:rsidR="00ED440F" w:rsidRPr="004866BE">
        <w:t xml:space="preserve"> at observed compliance rates</w:t>
      </w:r>
      <w:r w:rsidR="00434939" w:rsidRPr="004866BE">
        <w:t xml:space="preserve">. </w:t>
      </w:r>
      <w:r w:rsidR="00F61BE1" w:rsidRPr="004866BE">
        <w:t xml:space="preserve">At </w:t>
      </w:r>
      <w:r w:rsidR="00CD266D" w:rsidRPr="004866BE">
        <w:t xml:space="preserve">53%, 35%, 18% and 0% compliance, there would be </w:t>
      </w:r>
      <w:r w:rsidR="0013660A" w:rsidRPr="004866BE">
        <w:t>55,000, 37,000, 18,000</w:t>
      </w:r>
      <w:r w:rsidR="00CD266D" w:rsidRPr="004866BE">
        <w:t xml:space="preserve"> and 0 </w:t>
      </w:r>
      <w:r w:rsidR="009E7C92" w:rsidRPr="004866BE">
        <w:t xml:space="preserve">follow-up </w:t>
      </w:r>
      <w:r w:rsidR="00A44C65" w:rsidRPr="004866BE">
        <w:t xml:space="preserve">colonoscopies compared to </w:t>
      </w:r>
      <w:r w:rsidR="0013660A" w:rsidRPr="004866BE">
        <w:t>7</w:t>
      </w:r>
      <w:r w:rsidR="00E520BB">
        <w:t>4</w:t>
      </w:r>
      <w:r w:rsidR="0013660A" w:rsidRPr="004866BE">
        <w:t>,000 at the current 70% compliance.</w:t>
      </w:r>
      <w:r w:rsidR="009E7C92" w:rsidRPr="004866BE">
        <w:t xml:space="preserve"> </w:t>
      </w:r>
      <w:r w:rsidR="006838C7" w:rsidRPr="004866BE">
        <w:t xml:space="preserve">There would be </w:t>
      </w:r>
      <w:r w:rsidR="0013660A" w:rsidRPr="004866BE">
        <w:t>1,400, 2,500, 3,500,</w:t>
      </w:r>
      <w:r w:rsidR="006838C7" w:rsidRPr="004866BE">
        <w:t xml:space="preserve"> </w:t>
      </w:r>
      <w:r w:rsidR="009470E7" w:rsidRPr="004866BE">
        <w:t>or</w:t>
      </w:r>
      <w:r w:rsidR="006838C7" w:rsidRPr="004866BE">
        <w:t xml:space="preserve"> </w:t>
      </w:r>
      <w:r w:rsidR="0013660A" w:rsidRPr="004866BE">
        <w:t>4,500</w:t>
      </w:r>
      <w:r w:rsidR="006838C7" w:rsidRPr="004866BE">
        <w:t xml:space="preserve"> additional CRC cases </w:t>
      </w:r>
      <w:r w:rsidR="009470E7" w:rsidRPr="004866BE">
        <w:t xml:space="preserve">and </w:t>
      </w:r>
      <w:r w:rsidR="0013660A" w:rsidRPr="004866BE">
        <w:t>670, 1,200, 1,700,</w:t>
      </w:r>
      <w:r w:rsidR="009470E7" w:rsidRPr="004866BE">
        <w:t xml:space="preserve"> or </w:t>
      </w:r>
      <w:r w:rsidR="0013660A" w:rsidRPr="004866BE">
        <w:t>2,200</w:t>
      </w:r>
      <w:r w:rsidR="009470E7" w:rsidRPr="004866BE">
        <w:t xml:space="preserve"> additional CRC deaths at 53%, 35%, 18% or </w:t>
      </w:r>
      <w:r w:rsidR="00EF73BF" w:rsidRPr="004866BE">
        <w:t>0% colonoscopy compliance respectively</w:t>
      </w:r>
      <w:r w:rsidR="3EC583BA" w:rsidRPr="004866BE">
        <w:t>,</w:t>
      </w:r>
      <w:r w:rsidR="0013660A" w:rsidRPr="004866BE">
        <w:t xml:space="preserve"> compared to current compliance</w:t>
      </w:r>
      <w:r w:rsidR="0034018F" w:rsidRPr="004866BE">
        <w:t>.</w:t>
      </w:r>
    </w:p>
    <w:p w14:paraId="14980136" w14:textId="77777777" w:rsidR="0017721A" w:rsidRPr="009810F7" w:rsidRDefault="000D1DB8" w:rsidP="008B213B">
      <w:pPr>
        <w:pStyle w:val="Heading2"/>
      </w:pPr>
      <w:r>
        <w:t>Key o</w:t>
      </w:r>
      <w:r w:rsidR="0017721A" w:rsidRPr="009810F7">
        <w:t xml:space="preserve">utcomes by </w:t>
      </w:r>
      <w:r w:rsidR="00697130">
        <w:t>jurisdictions</w:t>
      </w:r>
    </w:p>
    <w:p w14:paraId="26732639" w14:textId="77777777" w:rsidR="00B97B67" w:rsidRPr="004866BE" w:rsidRDefault="00907CB0" w:rsidP="00B97B67">
      <w:r w:rsidRPr="004866BE">
        <w:t>Key</w:t>
      </w:r>
      <w:r w:rsidR="0017721A" w:rsidRPr="004866BE">
        <w:t xml:space="preserve"> outcomes were also calculated for individual states and territories. The comparator outcomes for individual </w:t>
      </w:r>
      <w:r w:rsidR="00697130">
        <w:t>jurisdictions</w:t>
      </w:r>
      <w:r w:rsidR="0017721A" w:rsidRPr="004866BE">
        <w:t xml:space="preserve"> are shown in </w:t>
      </w:r>
      <w:r w:rsidR="0017721A" w:rsidRPr="004866BE">
        <w:rPr>
          <w:b/>
        </w:rPr>
        <w:t xml:space="preserve">Table </w:t>
      </w:r>
      <w:r w:rsidR="0079723C" w:rsidRPr="004866BE">
        <w:rPr>
          <w:b/>
        </w:rPr>
        <w:t>5</w:t>
      </w:r>
      <w:r w:rsidR="0017721A" w:rsidRPr="004866BE">
        <w:t>.</w:t>
      </w:r>
      <w:r w:rsidR="37E8A09D" w:rsidRPr="004866BE">
        <w:t xml:space="preserve"> </w:t>
      </w:r>
      <w:r w:rsidR="0017721A" w:rsidRPr="004866BE">
        <w:t xml:space="preserve">The scenario outcomes for each </w:t>
      </w:r>
      <w:r w:rsidR="00697130">
        <w:t>jurisdiction</w:t>
      </w:r>
      <w:r w:rsidR="301DA322" w:rsidRPr="004866BE">
        <w:t>, including changes to resource demand and long-term health outcomes,</w:t>
      </w:r>
      <w:r w:rsidR="0017721A" w:rsidRPr="004866BE">
        <w:t xml:space="preserve"> were </w:t>
      </w:r>
      <w:proofErr w:type="gramStart"/>
      <w:r w:rsidR="0017721A" w:rsidRPr="004866BE">
        <w:t>calculated</w:t>
      </w:r>
      <w:proofErr w:type="gramEnd"/>
      <w:r w:rsidR="0017721A" w:rsidRPr="004866BE">
        <w:t xml:space="preserve"> </w:t>
      </w:r>
      <w:r w:rsidRPr="004866BE">
        <w:t>and are</w:t>
      </w:r>
      <w:r w:rsidR="0017721A" w:rsidRPr="004866BE">
        <w:t xml:space="preserve"> shown in </w:t>
      </w:r>
      <w:r w:rsidR="0017721A" w:rsidRPr="004866BE">
        <w:rPr>
          <w:b/>
        </w:rPr>
        <w:t xml:space="preserve">Table </w:t>
      </w:r>
      <w:r w:rsidR="0079723C" w:rsidRPr="004866BE">
        <w:rPr>
          <w:b/>
        </w:rPr>
        <w:t>6</w:t>
      </w:r>
      <w:r w:rsidR="00E271C7" w:rsidRPr="004866BE">
        <w:rPr>
          <w:b/>
        </w:rPr>
        <w:t xml:space="preserve"> </w:t>
      </w:r>
      <w:r w:rsidR="0079723C" w:rsidRPr="004866BE">
        <w:rPr>
          <w:b/>
        </w:rPr>
        <w:t>,7</w:t>
      </w:r>
      <w:r w:rsidR="00E271C7" w:rsidRPr="004866BE">
        <w:rPr>
          <w:b/>
        </w:rPr>
        <w:t xml:space="preserve"> </w:t>
      </w:r>
      <w:r w:rsidR="0079723C" w:rsidRPr="004866BE">
        <w:rPr>
          <w:b/>
        </w:rPr>
        <w:t>,8</w:t>
      </w:r>
      <w:r w:rsidR="00E271C7" w:rsidRPr="004866BE">
        <w:rPr>
          <w:b/>
        </w:rPr>
        <w:t xml:space="preserve"> and 9</w:t>
      </w:r>
      <w:r w:rsidR="0017721A" w:rsidRPr="004866BE">
        <w:t>. Note that outcomes for the Northern Territory were calculated using</w:t>
      </w:r>
      <w:r w:rsidR="692FB999" w:rsidRPr="004866BE">
        <w:t xml:space="preserve"> an adjusted </w:t>
      </w:r>
      <w:r w:rsidR="0017721A" w:rsidRPr="004866BE">
        <w:t>methodology</w:t>
      </w:r>
      <w:r w:rsidR="00881861">
        <w:t xml:space="preserve"> to incorporate the Hot Zone policy</w:t>
      </w:r>
      <w:r w:rsidR="00B82728" w:rsidRPr="004866BE">
        <w:t>.</w:t>
      </w:r>
      <w:r w:rsidR="00147D61">
        <w:t xml:space="preserve"> </w:t>
      </w:r>
      <w:r w:rsidR="00B97B67" w:rsidRPr="004866BE">
        <w:t xml:space="preserve">We estimated the proportion of the state that would be eligible for receiving NBCSP invitations by month, and then cross-reference this with the periods where screening was affected in each scenario. Care should be taken when comparing results for the Northern Territory to the nationwide results and other states, </w:t>
      </w:r>
      <w:proofErr w:type="gramStart"/>
      <w:r w:rsidR="00B97B67" w:rsidRPr="004866BE">
        <w:t>due to the effect</w:t>
      </w:r>
      <w:proofErr w:type="gramEnd"/>
      <w:r w:rsidR="00B97B67" w:rsidRPr="004866BE">
        <w:t xml:space="preserve"> of the Hot Zone policy on the implications of the modelled scenarios.</w:t>
      </w:r>
    </w:p>
    <w:p w14:paraId="2A8E15A0" w14:textId="77777777" w:rsidR="005972B8" w:rsidRPr="009810F7" w:rsidRDefault="005972B8" w:rsidP="008B213B">
      <w:pPr>
        <w:pStyle w:val="Heading1"/>
      </w:pPr>
      <w:r w:rsidRPr="009810F7">
        <w:lastRenderedPageBreak/>
        <w:t>Discussion</w:t>
      </w:r>
      <w:r w:rsidR="003574BD" w:rsidRPr="009810F7">
        <w:t xml:space="preserve"> and Conclusion</w:t>
      </w:r>
    </w:p>
    <w:p w14:paraId="27E06874" w14:textId="77777777" w:rsidR="00DD4E61" w:rsidRDefault="00DD4E61" w:rsidP="00DD4E61">
      <w:r w:rsidRPr="004866BE">
        <w:t xml:space="preserve">This report outlines the results of a </w:t>
      </w:r>
      <w:r w:rsidR="003761D8" w:rsidRPr="004866BE">
        <w:t>range</w:t>
      </w:r>
      <w:r w:rsidRPr="004866BE">
        <w:t xml:space="preserve"> of hypothetical disruptions to the NBCSP in 2020</w:t>
      </w:r>
      <w:r w:rsidR="00B462A8" w:rsidRPr="004866BE">
        <w:t xml:space="preserve"> compared to current screening continuing uninterrupted. The </w:t>
      </w:r>
      <w:r w:rsidR="00A44BA0" w:rsidRPr="004866BE">
        <w:t>analysis</w:t>
      </w:r>
      <w:r w:rsidR="00B462A8" w:rsidRPr="004866BE">
        <w:t xml:space="preserve"> show</w:t>
      </w:r>
      <w:r w:rsidR="00A44BA0" w:rsidRPr="004866BE">
        <w:t>s</w:t>
      </w:r>
      <w:r w:rsidR="00B462A8" w:rsidRPr="004866BE">
        <w:t xml:space="preserve"> a</w:t>
      </w:r>
      <w:r w:rsidR="00A44BA0" w:rsidRPr="004866BE">
        <w:t xml:space="preserve">n adverse effect on </w:t>
      </w:r>
      <w:r w:rsidR="27DE201C" w:rsidRPr="004866BE">
        <w:t>CRC</w:t>
      </w:r>
      <w:r w:rsidR="00D647CA" w:rsidRPr="004866BE">
        <w:t xml:space="preserve"> health</w:t>
      </w:r>
      <w:r w:rsidR="27DE201C" w:rsidRPr="004866BE">
        <w:t xml:space="preserve"> o</w:t>
      </w:r>
      <w:r w:rsidR="00A44BA0" w:rsidRPr="004866BE">
        <w:t xml:space="preserve">utcomes </w:t>
      </w:r>
      <w:r w:rsidR="00D647CA" w:rsidRPr="004866BE">
        <w:t xml:space="preserve">and </w:t>
      </w:r>
      <w:r w:rsidR="0009059B" w:rsidRPr="004866BE">
        <w:t>change in</w:t>
      </w:r>
      <w:r w:rsidR="00D647CA" w:rsidRPr="004866BE">
        <w:t xml:space="preserve"> resource demand </w:t>
      </w:r>
      <w:r w:rsidR="00A44BA0" w:rsidRPr="004866BE">
        <w:t xml:space="preserve">resulting from </w:t>
      </w:r>
      <w:r w:rsidR="00076DB7" w:rsidRPr="004866BE">
        <w:t>a hypothetical pause in the NBCSP of any length</w:t>
      </w:r>
      <w:r w:rsidR="00FA2C19" w:rsidRPr="004866BE">
        <w:t xml:space="preserve">. </w:t>
      </w:r>
      <w:r w:rsidR="00E40714" w:rsidRPr="004866BE">
        <w:t>The analysis presented in this report assumes a single disruption to the NBCSP</w:t>
      </w:r>
      <w:r w:rsidR="2E3CC0A6" w:rsidRPr="004866BE">
        <w:t xml:space="preserve"> -</w:t>
      </w:r>
      <w:r w:rsidR="00F97467" w:rsidRPr="004866BE">
        <w:t xml:space="preserve"> that is</w:t>
      </w:r>
      <w:r w:rsidR="70916632" w:rsidRPr="004866BE">
        <w:t>,</w:t>
      </w:r>
      <w:r w:rsidR="00F97467" w:rsidRPr="004866BE">
        <w:t xml:space="preserve"> a single wave of </w:t>
      </w:r>
      <w:r w:rsidR="00F8659B" w:rsidRPr="004866BE">
        <w:t>the COVID-19 pandemic.</w:t>
      </w:r>
      <w:r w:rsidR="00574702" w:rsidRPr="004866BE">
        <w:t xml:space="preserve"> Multiple waves of the pandemic have not been modelled</w:t>
      </w:r>
      <w:r w:rsidR="00B82728" w:rsidRPr="004866BE">
        <w:t>.</w:t>
      </w:r>
      <w:r w:rsidR="00574702" w:rsidRPr="004866BE">
        <w:t xml:space="preserve"> </w:t>
      </w:r>
    </w:p>
    <w:p w14:paraId="6713EEFF" w14:textId="77777777" w:rsidR="00646909" w:rsidRDefault="002A667F" w:rsidP="008B213B">
      <w:r w:rsidRPr="004866BE">
        <w:t xml:space="preserve">The health-related results show that, </w:t>
      </w:r>
      <w:proofErr w:type="gramStart"/>
      <w:r w:rsidRPr="004866BE">
        <w:t>as a result of</w:t>
      </w:r>
      <w:proofErr w:type="gramEnd"/>
      <w:r w:rsidRPr="004866BE">
        <w:t xml:space="preserve"> any NCBSP disruption, there </w:t>
      </w:r>
      <w:r w:rsidR="00881861">
        <w:t>would</w:t>
      </w:r>
      <w:r w:rsidR="00881861" w:rsidRPr="004866BE">
        <w:t xml:space="preserve"> </w:t>
      </w:r>
      <w:r w:rsidRPr="004866BE">
        <w:t xml:space="preserve">be CRC cases delayed or missed in detection in the short term, leading to a high number of new cases of CRC, </w:t>
      </w:r>
      <w:r w:rsidR="00881861">
        <w:t>and</w:t>
      </w:r>
      <w:r w:rsidR="00881861" w:rsidRPr="007C3CC0">
        <w:t xml:space="preserve"> </w:t>
      </w:r>
      <w:r w:rsidR="00881861" w:rsidRPr="004866BE">
        <w:t>CRC deaths</w:t>
      </w:r>
      <w:r w:rsidR="00881861">
        <w:t xml:space="preserve"> as well as upstaged</w:t>
      </w:r>
      <w:r w:rsidR="00881861" w:rsidRPr="004866BE">
        <w:t xml:space="preserve"> </w:t>
      </w:r>
      <w:r w:rsidRPr="004866BE">
        <w:t xml:space="preserve">CRC cases diagnosed in the long term. The results also illustrate the importance of both maintaining current </w:t>
      </w:r>
      <w:r>
        <w:t xml:space="preserve">NBCSP </w:t>
      </w:r>
      <w:r w:rsidRPr="004866BE">
        <w:t xml:space="preserve">participation rates and, if a disruption were to occur, ensuring a </w:t>
      </w:r>
      <w:r w:rsidRPr="008B213B">
        <w:t>comprehensive</w:t>
      </w:r>
      <w:r w:rsidRPr="004866BE">
        <w:t xml:space="preserve"> catch-up strategy is implemented to reduce the impact on CRC outcomes. </w:t>
      </w:r>
    </w:p>
    <w:p w14:paraId="02C4AA12" w14:textId="77777777" w:rsidR="005B438C" w:rsidRDefault="00376B1C" w:rsidP="005B438C">
      <w:r w:rsidRPr="004866BE">
        <w:t xml:space="preserve">Resource demand for NBCSP-related colonoscopies would also change depending on the hypothetical disruption period, </w:t>
      </w:r>
      <w:proofErr w:type="gramStart"/>
      <w:r w:rsidRPr="004866BE">
        <w:t>recovery</w:t>
      </w:r>
      <w:proofErr w:type="gramEnd"/>
      <w:r w:rsidRPr="004866BE">
        <w:t xml:space="preserve"> and catch-up strategy</w:t>
      </w:r>
      <w:r w:rsidR="00DD4813">
        <w:t xml:space="preserve"> with demand for these services delayed, with an extreme</w:t>
      </w:r>
      <w:r w:rsidR="000F38C6">
        <w:t xml:space="preserve"> rise in any catch-up period. </w:t>
      </w:r>
      <w:r w:rsidRPr="004866BE">
        <w:t>The level of compliance to follow-up colonoscopies</w:t>
      </w:r>
      <w:r w:rsidR="000F38C6">
        <w:t xml:space="preserve">, </w:t>
      </w:r>
      <w:r w:rsidRPr="004866BE">
        <w:t xml:space="preserve">a proxy for access, </w:t>
      </w:r>
      <w:proofErr w:type="gramStart"/>
      <w:r w:rsidRPr="004866BE">
        <w:t>availability</w:t>
      </w:r>
      <w:proofErr w:type="gramEnd"/>
      <w:r w:rsidRPr="004866BE">
        <w:t xml:space="preserve"> and willingness to undertake colonoscopies</w:t>
      </w:r>
      <w:r w:rsidR="00FA0C7A">
        <w:t xml:space="preserve">, showed that </w:t>
      </w:r>
      <w:r w:rsidR="007D41FD">
        <w:t xml:space="preserve">failure to follow-up individuals with a positive </w:t>
      </w:r>
      <w:proofErr w:type="spellStart"/>
      <w:r w:rsidR="007D41FD">
        <w:t>iFOBT</w:t>
      </w:r>
      <w:proofErr w:type="spellEnd"/>
      <w:r w:rsidR="007D41FD">
        <w:t xml:space="preserve"> would have a detrimental effect to CRC outcomes. </w:t>
      </w:r>
      <w:r w:rsidR="005B438C" w:rsidRPr="004866BE">
        <w:t xml:space="preserve">These estimates, however, only include NBCSP-related colonoscopies which comprise approximately 10% of the total colonoscopies conducted in Australia. </w:t>
      </w:r>
    </w:p>
    <w:p w14:paraId="4DBD2A90" w14:textId="77777777" w:rsidR="008B1DE9" w:rsidRPr="004866BE" w:rsidRDefault="00881861" w:rsidP="005B438C">
      <w:r>
        <w:t>The Hot Zone policy specifies the timeframes in which s</w:t>
      </w:r>
      <w:r w:rsidR="005902EA">
        <w:t>creening invitations and kits</w:t>
      </w:r>
      <w:r w:rsidR="00723665">
        <w:t xml:space="preserve"> </w:t>
      </w:r>
      <w:r>
        <w:t>can be sent to</w:t>
      </w:r>
      <w:r w:rsidR="00723665">
        <w:t xml:space="preserve"> areas </w:t>
      </w:r>
      <w:r>
        <w:t>based on their geographic location</w:t>
      </w:r>
      <w:r w:rsidR="001904A7">
        <w:t xml:space="preserve">. The </w:t>
      </w:r>
      <w:r w:rsidR="008B1DE9" w:rsidRPr="004866BE">
        <w:t xml:space="preserve">current results incorporate estimations of the impact by </w:t>
      </w:r>
      <w:r w:rsidR="001904A7">
        <w:t>monthly</w:t>
      </w:r>
      <w:r w:rsidR="008B1DE9" w:rsidRPr="004866BE">
        <w:t xml:space="preserve"> screening invitation timeframes</w:t>
      </w:r>
      <w:r w:rsidR="001904A7">
        <w:t xml:space="preserve"> and are i</w:t>
      </w:r>
      <w:r w:rsidR="008B1DE9" w:rsidRPr="004866BE">
        <w:t>ndicative estimates</w:t>
      </w:r>
      <w:r w:rsidR="001904A7">
        <w:t xml:space="preserve"> of the effect of the policy. </w:t>
      </w:r>
      <w:r w:rsidR="00EC7FAC" w:rsidRPr="00EC7FAC">
        <w:rPr>
          <w:i/>
          <w:iCs/>
        </w:rPr>
        <w:t>Policy1-Bowel</w:t>
      </w:r>
      <w:r w:rsidR="00EC7FAC">
        <w:t xml:space="preserve"> is </w:t>
      </w:r>
      <w:r w:rsidR="00EC7FAC" w:rsidRPr="00EC7FAC">
        <w:t>based on national data</w:t>
      </w:r>
      <w:r w:rsidR="008333E6">
        <w:t xml:space="preserve"> </w:t>
      </w:r>
      <w:r w:rsidR="005E5F6F">
        <w:t xml:space="preserve">and the results have been scaled </w:t>
      </w:r>
      <w:r w:rsidR="005A1094">
        <w:t xml:space="preserve">also </w:t>
      </w:r>
      <w:r w:rsidR="005501AC">
        <w:t>provi</w:t>
      </w:r>
      <w:r w:rsidR="005A1094">
        <w:t>ding</w:t>
      </w:r>
      <w:r w:rsidR="005501AC">
        <w:t xml:space="preserve"> </w:t>
      </w:r>
      <w:r w:rsidR="00004882">
        <w:t xml:space="preserve">indicative results </w:t>
      </w:r>
      <w:r w:rsidR="00170337">
        <w:t xml:space="preserve">for individual states and territories. The jurisdictional results, however, </w:t>
      </w:r>
      <w:r w:rsidR="008A622D">
        <w:t xml:space="preserve">would not </w:t>
      </w:r>
      <w:proofErr w:type="gramStart"/>
      <w:r w:rsidR="008A622D">
        <w:t xml:space="preserve">take </w:t>
      </w:r>
      <w:r w:rsidR="00EC7FAC" w:rsidRPr="00EC7FAC">
        <w:t>into account</w:t>
      </w:r>
      <w:proofErr w:type="gramEnd"/>
      <w:r w:rsidR="00EC7FAC" w:rsidRPr="00EC7FAC">
        <w:t xml:space="preserve"> factors that vary by jurisdiction and would be expected to affect the outcome</w:t>
      </w:r>
      <w:r w:rsidR="008A622D">
        <w:t>, including accessibility and availability of colonoscopy services and a detailed account of the impact of the Hot Zone policy</w:t>
      </w:r>
      <w:r w:rsidR="00537670">
        <w:t xml:space="preserve"> (with the exception of Northern Territory where the </w:t>
      </w:r>
      <w:r w:rsidR="0062091E">
        <w:t xml:space="preserve">screening invitation timeframe has been incorporated into the jurisdictional estimates). </w:t>
      </w:r>
    </w:p>
    <w:p w14:paraId="6D16AEBA" w14:textId="77777777" w:rsidR="008B1DE9" w:rsidRPr="004866BE" w:rsidRDefault="00391D16" w:rsidP="00D0690E">
      <w:r>
        <w:t>A</w:t>
      </w:r>
      <w:r w:rsidRPr="00391D16">
        <w:t xml:space="preserve"> strength</w:t>
      </w:r>
      <w:r>
        <w:t xml:space="preserve"> </w:t>
      </w:r>
      <w:r w:rsidRPr="00391D16">
        <w:t xml:space="preserve">of this analysis </w:t>
      </w:r>
      <w:r w:rsidR="00546B7B" w:rsidRPr="00391D16">
        <w:t>includes</w:t>
      </w:r>
      <w:r w:rsidRPr="00391D16">
        <w:t xml:space="preserve"> the use of a well-established model of </w:t>
      </w:r>
      <w:r>
        <w:t>CRC</w:t>
      </w:r>
      <w:r w:rsidRPr="00391D16">
        <w:t xml:space="preserve"> natural history and screening</w:t>
      </w:r>
      <w:r>
        <w:t xml:space="preserve"> via the NBCSP</w:t>
      </w:r>
      <w:r w:rsidRPr="00391D16">
        <w:t xml:space="preserve">, that is </w:t>
      </w:r>
      <w:r>
        <w:t>calibrated and validated to the Australian context</w:t>
      </w:r>
      <w:r w:rsidR="007A0EE5">
        <w:t xml:space="preserve"> using published data</w:t>
      </w:r>
      <w:r>
        <w:t>.</w:t>
      </w:r>
      <w:r w:rsidR="003D72B7">
        <w:t xml:space="preserve"> However,</w:t>
      </w:r>
      <w:r w:rsidR="003730C0" w:rsidRPr="004866BE">
        <w:t xml:space="preserve"> </w:t>
      </w:r>
      <w:r w:rsidR="003730C0" w:rsidRPr="004866BE">
        <w:rPr>
          <w:i/>
        </w:rPr>
        <w:t xml:space="preserve">Policy1-Bowel </w:t>
      </w:r>
      <w:r w:rsidR="003730C0" w:rsidRPr="004866BE">
        <w:t xml:space="preserve">models all events on a yearly timestep and does not differentiate between events that occur within the same year. For this reason, the 12-month </w:t>
      </w:r>
      <w:r w:rsidR="003730C0" w:rsidRPr="004866BE">
        <w:lastRenderedPageBreak/>
        <w:t xml:space="preserve">screening pause scenarios were modelled assuming that the pause occurred across all of 2020. Although this does not reflect </w:t>
      </w:r>
      <w:r w:rsidR="00CC44C1">
        <w:t>real events</w:t>
      </w:r>
      <w:r w:rsidR="003730C0" w:rsidRPr="004866BE">
        <w:t xml:space="preserve">, as the pandemic had not </w:t>
      </w:r>
      <w:r w:rsidR="003D72B7">
        <w:t xml:space="preserve">taken effect </w:t>
      </w:r>
      <w:r w:rsidR="003730C0" w:rsidRPr="004866BE">
        <w:t xml:space="preserve">until March, for modelling purposes this is </w:t>
      </w:r>
      <w:r w:rsidR="00260113">
        <w:t>appropriate</w:t>
      </w:r>
      <w:r w:rsidR="003730C0" w:rsidRPr="004866BE">
        <w:t xml:space="preserve"> as the differences between January-March 2020 and January-March 2021 are negligible on a population scale.</w:t>
      </w:r>
    </w:p>
    <w:p w14:paraId="1A3A134D" w14:textId="77777777" w:rsidR="00AF3182" w:rsidRDefault="00AF3182" w:rsidP="008B213B">
      <w:pPr>
        <w:pStyle w:val="Heading2"/>
      </w:pPr>
      <w:r>
        <w:t>Implications</w:t>
      </w:r>
    </w:p>
    <w:p w14:paraId="41034305" w14:textId="77777777" w:rsidR="00AF3182" w:rsidRPr="00B83F54" w:rsidRDefault="00016B7F" w:rsidP="00D41284">
      <w:pPr>
        <w:pStyle w:val="ListParagraph"/>
        <w:keepNext/>
        <w:keepLines/>
        <w:numPr>
          <w:ilvl w:val="0"/>
          <w:numId w:val="1"/>
        </w:numPr>
        <w:spacing w:before="120"/>
        <w:outlineLvl w:val="1"/>
        <w:rPr>
          <w:rFonts w:eastAsia="SimHei"/>
          <w:bCs/>
        </w:rPr>
      </w:pPr>
      <w:r w:rsidRPr="00B83F54">
        <w:t xml:space="preserve">Our analysis was informed by </w:t>
      </w:r>
      <w:r w:rsidR="00666261" w:rsidRPr="00B83F54">
        <w:t>data published on NBCSP participation rates and follow-up colonoscopy compliance rates</w:t>
      </w:r>
      <w:r w:rsidR="00E801A1" w:rsidRPr="00B83F54">
        <w:t xml:space="preserve"> as r</w:t>
      </w:r>
      <w:r w:rsidRPr="00B83F54">
        <w:t>eal-time data were not</w:t>
      </w:r>
      <w:r w:rsidR="00A85F7B" w:rsidRPr="00B83F54">
        <w:t xml:space="preserve"> accessible</w:t>
      </w:r>
      <w:r w:rsidRPr="00B83F54">
        <w:t>.</w:t>
      </w:r>
      <w:r w:rsidR="00E801A1" w:rsidRPr="00B83F54">
        <w:t xml:space="preserve"> </w:t>
      </w:r>
      <w:r w:rsidR="00E801A1" w:rsidRPr="00B83F54">
        <w:rPr>
          <w:b/>
          <w:bCs/>
          <w:i/>
          <w:iCs/>
        </w:rPr>
        <w:t xml:space="preserve">Once </w:t>
      </w:r>
      <w:r w:rsidR="00646364" w:rsidRPr="00B83F54">
        <w:rPr>
          <w:b/>
          <w:bCs/>
          <w:i/>
          <w:iCs/>
        </w:rPr>
        <w:t>updated</w:t>
      </w:r>
      <w:r w:rsidR="00CF2283" w:rsidRPr="00B83F54">
        <w:rPr>
          <w:b/>
          <w:bCs/>
          <w:i/>
          <w:iCs/>
        </w:rPr>
        <w:t xml:space="preserve"> shifts in screening behaviour are document</w:t>
      </w:r>
      <w:r w:rsidR="00646364" w:rsidRPr="00B83F54">
        <w:rPr>
          <w:b/>
          <w:bCs/>
          <w:i/>
          <w:iCs/>
        </w:rPr>
        <w:t>ed</w:t>
      </w:r>
      <w:r w:rsidR="00CF2283" w:rsidRPr="00B83F54">
        <w:rPr>
          <w:b/>
          <w:bCs/>
          <w:i/>
          <w:iCs/>
        </w:rPr>
        <w:t xml:space="preserve">, </w:t>
      </w:r>
      <w:r w:rsidR="000341BB" w:rsidRPr="00B83F54">
        <w:rPr>
          <w:b/>
          <w:bCs/>
          <w:i/>
          <w:iCs/>
        </w:rPr>
        <w:t xml:space="preserve">continued modelling to uncover the </w:t>
      </w:r>
      <w:r w:rsidR="005420D4" w:rsidRPr="00B83F54">
        <w:rPr>
          <w:b/>
          <w:bCs/>
          <w:i/>
          <w:iCs/>
        </w:rPr>
        <w:t>complex</w:t>
      </w:r>
      <w:r w:rsidR="00647409" w:rsidRPr="00B83F54">
        <w:rPr>
          <w:b/>
          <w:bCs/>
          <w:i/>
          <w:iCs/>
        </w:rPr>
        <w:t xml:space="preserve"> impact of disruption by sub-groups, including </w:t>
      </w:r>
      <w:r w:rsidR="005A7AB3" w:rsidRPr="00B83F54">
        <w:rPr>
          <w:b/>
          <w:bCs/>
          <w:i/>
          <w:iCs/>
        </w:rPr>
        <w:t>geographic</w:t>
      </w:r>
      <w:r w:rsidR="00647409" w:rsidRPr="00B83F54">
        <w:rPr>
          <w:b/>
          <w:bCs/>
          <w:i/>
          <w:iCs/>
        </w:rPr>
        <w:t xml:space="preserve"> areas and demographic groups of </w:t>
      </w:r>
      <w:r w:rsidR="005A7AB3" w:rsidRPr="00B83F54">
        <w:rPr>
          <w:b/>
          <w:bCs/>
          <w:i/>
          <w:iCs/>
        </w:rPr>
        <w:t>interest</w:t>
      </w:r>
      <w:r w:rsidR="00647409" w:rsidRPr="00B83F54">
        <w:rPr>
          <w:b/>
          <w:bCs/>
          <w:i/>
          <w:iCs/>
        </w:rPr>
        <w:t xml:space="preserve">, </w:t>
      </w:r>
      <w:r w:rsidR="00CC44C1" w:rsidRPr="00B83F54">
        <w:rPr>
          <w:b/>
          <w:bCs/>
          <w:i/>
          <w:iCs/>
        </w:rPr>
        <w:t xml:space="preserve">could be conducted to </w:t>
      </w:r>
      <w:r w:rsidR="005A7AB3" w:rsidRPr="00B83F54">
        <w:rPr>
          <w:b/>
          <w:bCs/>
          <w:i/>
          <w:iCs/>
        </w:rPr>
        <w:t xml:space="preserve">guide </w:t>
      </w:r>
      <w:r w:rsidR="005420D4" w:rsidRPr="00B83F54">
        <w:rPr>
          <w:b/>
          <w:bCs/>
          <w:i/>
          <w:iCs/>
        </w:rPr>
        <w:t xml:space="preserve">targeted </w:t>
      </w:r>
      <w:r w:rsidR="005A7AB3" w:rsidRPr="00B83F54">
        <w:rPr>
          <w:b/>
          <w:bCs/>
          <w:i/>
          <w:iCs/>
        </w:rPr>
        <w:t>recovery efforts.</w:t>
      </w:r>
      <w:r w:rsidRPr="00B83F54">
        <w:t xml:space="preserve"> </w:t>
      </w:r>
      <w:r w:rsidR="00977CF3" w:rsidRPr="00B83F54">
        <w:rPr>
          <w:rFonts w:eastAsia="SimHei"/>
          <w:bCs/>
        </w:rPr>
        <w:t xml:space="preserve">Selected </w:t>
      </w:r>
      <w:r w:rsidR="00AF3182" w:rsidRPr="00B83F54">
        <w:rPr>
          <w:rFonts w:eastAsia="SimHei"/>
          <w:bCs/>
        </w:rPr>
        <w:t xml:space="preserve">Australians </w:t>
      </w:r>
      <w:r w:rsidR="00223703" w:rsidRPr="00B83F54">
        <w:rPr>
          <w:rFonts w:eastAsia="SimHei"/>
          <w:bCs/>
        </w:rPr>
        <w:t xml:space="preserve">scheduled for screening in 2020 were </w:t>
      </w:r>
      <w:r w:rsidR="00977CF3" w:rsidRPr="00B83F54">
        <w:rPr>
          <w:rFonts w:eastAsia="SimHei"/>
          <w:bCs/>
        </w:rPr>
        <w:t xml:space="preserve">invited for the first time as the NBCSP, as of 2020, had reached full implementation. Of special note are </w:t>
      </w:r>
      <w:proofErr w:type="gramStart"/>
      <w:r w:rsidR="00977CF3" w:rsidRPr="00B83F54">
        <w:rPr>
          <w:rFonts w:eastAsia="SimHei"/>
          <w:bCs/>
        </w:rPr>
        <w:t>particular groups</w:t>
      </w:r>
      <w:proofErr w:type="gramEnd"/>
      <w:r w:rsidR="00977CF3" w:rsidRPr="00B83F54">
        <w:rPr>
          <w:rFonts w:eastAsia="SimHei"/>
          <w:bCs/>
        </w:rPr>
        <w:t xml:space="preserve"> at higher risk</w:t>
      </w:r>
      <w:r w:rsidR="00EA71E1" w:rsidRPr="00B83F54">
        <w:rPr>
          <w:rFonts w:eastAsia="SimHei"/>
          <w:bCs/>
        </w:rPr>
        <w:t xml:space="preserve"> </w:t>
      </w:r>
      <w:r w:rsidR="00CC44C1" w:rsidRPr="00B83F54">
        <w:rPr>
          <w:rFonts w:eastAsia="SimHei"/>
          <w:bCs/>
        </w:rPr>
        <w:t>(and eligible for screening in 2020)</w:t>
      </w:r>
      <w:r w:rsidR="00977CF3" w:rsidRPr="00B83F54">
        <w:rPr>
          <w:rFonts w:eastAsia="SimHei"/>
          <w:bCs/>
        </w:rPr>
        <w:t xml:space="preserve"> than the general population. </w:t>
      </w:r>
      <w:r w:rsidR="00CC44C1" w:rsidRPr="00B83F54">
        <w:rPr>
          <w:rFonts w:eastAsia="SimHei"/>
          <w:bCs/>
        </w:rPr>
        <w:t xml:space="preserve">Those at higher risk </w:t>
      </w:r>
      <w:r w:rsidR="00977CF3" w:rsidRPr="00B83F54">
        <w:rPr>
          <w:rFonts w:eastAsia="SimHei"/>
          <w:bCs/>
        </w:rPr>
        <w:t>include people who are aged 54 who had not been invited since 2016, and people who are aged 58 who had not been invited since 2017. Therefore, if they miss screening in 2020, people aged 54 and 58 would have</w:t>
      </w:r>
      <w:r w:rsidR="00CC44C1" w:rsidRPr="00B83F54">
        <w:rPr>
          <w:rFonts w:eastAsia="SimHei"/>
          <w:bCs/>
        </w:rPr>
        <w:t xml:space="preserve"> had</w:t>
      </w:r>
      <w:r w:rsidR="00977CF3" w:rsidRPr="00B83F54">
        <w:rPr>
          <w:rFonts w:eastAsia="SimHei"/>
          <w:bCs/>
        </w:rPr>
        <w:t xml:space="preserve"> a 6-year and 5-year gaps between screening invitations respectively. Additionally, people aged 50, due to screen for the first time in 2020</w:t>
      </w:r>
      <w:r w:rsidR="00CC44C1" w:rsidRPr="00B83F54">
        <w:rPr>
          <w:rFonts w:eastAsia="SimHei"/>
          <w:bCs/>
        </w:rPr>
        <w:t>,</w:t>
      </w:r>
      <w:r w:rsidR="00977CF3" w:rsidRPr="00B83F54">
        <w:rPr>
          <w:rFonts w:eastAsia="SimHei"/>
          <w:bCs/>
        </w:rPr>
        <w:t xml:space="preserve"> and people aged 74, due to screen for the last time, may be at higher risk if missed. In this report, the catch-up strategies were not modelled to prioritise high risk groups or staged approaches based on geographical location or past screening behaviour. </w:t>
      </w:r>
      <w:r w:rsidR="00B1526F" w:rsidRPr="00B83F54">
        <w:rPr>
          <w:rFonts w:eastAsia="SimHei"/>
          <w:b/>
          <w:i/>
          <w:iCs/>
        </w:rPr>
        <w:t xml:space="preserve">A more targeted approach to </w:t>
      </w:r>
      <w:r w:rsidR="008C61E6" w:rsidRPr="00B83F54">
        <w:rPr>
          <w:rFonts w:eastAsia="SimHei"/>
          <w:b/>
          <w:i/>
          <w:iCs/>
        </w:rPr>
        <w:t xml:space="preserve">improving screening participation in these </w:t>
      </w:r>
      <w:proofErr w:type="gramStart"/>
      <w:r w:rsidR="008C61E6" w:rsidRPr="00B83F54">
        <w:rPr>
          <w:rFonts w:eastAsia="SimHei"/>
          <w:b/>
          <w:i/>
          <w:iCs/>
        </w:rPr>
        <w:t>particular high</w:t>
      </w:r>
      <w:r w:rsidR="00CC44C1" w:rsidRPr="00B83F54">
        <w:rPr>
          <w:rFonts w:eastAsia="SimHei"/>
          <w:b/>
          <w:i/>
          <w:iCs/>
        </w:rPr>
        <w:t>er</w:t>
      </w:r>
      <w:proofErr w:type="gramEnd"/>
      <w:r w:rsidR="008C61E6" w:rsidRPr="00B83F54">
        <w:rPr>
          <w:rFonts w:eastAsia="SimHei"/>
          <w:b/>
          <w:i/>
          <w:iCs/>
        </w:rPr>
        <w:t xml:space="preserve"> risk or </w:t>
      </w:r>
      <w:r w:rsidR="003546FE" w:rsidRPr="00B83F54">
        <w:rPr>
          <w:rFonts w:eastAsia="SimHei"/>
          <w:b/>
          <w:i/>
          <w:iCs/>
        </w:rPr>
        <w:t>under-screened</w:t>
      </w:r>
      <w:r w:rsidR="008C61E6" w:rsidRPr="00B83F54">
        <w:rPr>
          <w:rFonts w:eastAsia="SimHei"/>
          <w:b/>
          <w:i/>
          <w:iCs/>
        </w:rPr>
        <w:t xml:space="preserve"> group</w:t>
      </w:r>
      <w:r w:rsidR="003546FE" w:rsidRPr="00B83F54">
        <w:rPr>
          <w:rFonts w:eastAsia="SimHei"/>
          <w:b/>
          <w:i/>
          <w:iCs/>
        </w:rPr>
        <w:t>s would be beneficial to ensu</w:t>
      </w:r>
      <w:r w:rsidR="00977CF3" w:rsidRPr="00B83F54">
        <w:rPr>
          <w:rFonts w:eastAsia="SimHei"/>
          <w:b/>
          <w:i/>
          <w:iCs/>
        </w:rPr>
        <w:t>re equity is maintained in the wake of any disruption to the NBCSP.</w:t>
      </w:r>
    </w:p>
    <w:p w14:paraId="352EECAF" w14:textId="77777777" w:rsidR="00F006C5" w:rsidRPr="00F006C5" w:rsidRDefault="00E8117C" w:rsidP="00D0556C">
      <w:pPr>
        <w:pStyle w:val="ListParagraph"/>
        <w:keepNext/>
        <w:keepLines/>
        <w:numPr>
          <w:ilvl w:val="0"/>
          <w:numId w:val="1"/>
        </w:numPr>
        <w:spacing w:before="120"/>
        <w:outlineLvl w:val="1"/>
      </w:pPr>
      <w:r w:rsidRPr="00F006C5">
        <w:rPr>
          <w:rFonts w:eastAsia="SimHei"/>
          <w:bCs/>
        </w:rPr>
        <w:t xml:space="preserve">Colonoscopy demand, availability and accessibility are issues of specific concern </w:t>
      </w:r>
      <w:r w:rsidR="000900CA" w:rsidRPr="00F006C5">
        <w:rPr>
          <w:rFonts w:eastAsia="SimHei"/>
          <w:bCs/>
        </w:rPr>
        <w:t>to jurisdictions and particularly important as they are</w:t>
      </w:r>
      <w:r w:rsidR="00B2133F" w:rsidRPr="00F006C5">
        <w:rPr>
          <w:rFonts w:eastAsia="SimHei"/>
          <w:bCs/>
        </w:rPr>
        <w:t xml:space="preserve"> likely to be the most disrupted component of the NBCSP at this point. </w:t>
      </w:r>
      <w:r w:rsidR="000F1F4B" w:rsidRPr="00F006C5">
        <w:t>Further</w:t>
      </w:r>
      <w:r w:rsidR="001E578E" w:rsidRPr="00F006C5">
        <w:t xml:space="preserve"> modelling could highlight the potential impact of the evolving COVID-19 situation on compliance to follow-up colonoscopy and capacity to perform NBCSP-related colonoscopies.</w:t>
      </w:r>
      <w:r w:rsidR="005A7AB3" w:rsidRPr="00F006C5">
        <w:t xml:space="preserve"> </w:t>
      </w:r>
      <w:r w:rsidR="000335E1" w:rsidRPr="00F006C5">
        <w:rPr>
          <w:rFonts w:eastAsia="SimHei"/>
          <w:b/>
          <w:i/>
          <w:iCs/>
        </w:rPr>
        <w:t>Given that NBCSP-related colonoscopies present only 10%</w:t>
      </w:r>
      <w:r w:rsidR="008F2161" w:rsidRPr="00F006C5">
        <w:rPr>
          <w:rFonts w:eastAsia="SimHei"/>
          <w:b/>
          <w:i/>
          <w:iCs/>
        </w:rPr>
        <w:t xml:space="preserve"> of the total colonoscopies performed</w:t>
      </w:r>
      <w:r w:rsidR="002E6352" w:rsidRPr="00F006C5">
        <w:rPr>
          <w:rFonts w:eastAsia="SimHei"/>
          <w:b/>
          <w:i/>
          <w:iCs/>
        </w:rPr>
        <w:t xml:space="preserve">, the current environment could provide an opportunity to </w:t>
      </w:r>
      <w:r w:rsidR="00C14EF3" w:rsidRPr="00F006C5">
        <w:rPr>
          <w:rFonts w:eastAsia="SimHei"/>
          <w:b/>
          <w:i/>
          <w:iCs/>
        </w:rPr>
        <w:t xml:space="preserve">focus on </w:t>
      </w:r>
      <w:r w:rsidR="000F1F4B" w:rsidRPr="00F006C5">
        <w:rPr>
          <w:rFonts w:eastAsia="SimHei"/>
          <w:b/>
          <w:i/>
          <w:iCs/>
        </w:rPr>
        <w:t xml:space="preserve">managing colonoscopy services in the recovery period, potentially through </w:t>
      </w:r>
      <w:r w:rsidR="00C14EF3" w:rsidRPr="00F006C5">
        <w:rPr>
          <w:rFonts w:eastAsia="SimHei"/>
          <w:b/>
          <w:i/>
          <w:iCs/>
        </w:rPr>
        <w:t xml:space="preserve">reducing </w:t>
      </w:r>
      <w:r w:rsidR="00940254" w:rsidRPr="00F006C5">
        <w:rPr>
          <w:rFonts w:eastAsia="SimHei"/>
          <w:b/>
          <w:i/>
          <w:iCs/>
        </w:rPr>
        <w:t xml:space="preserve">unnecessary out-of-program colonoscopy screening and </w:t>
      </w:r>
      <w:r w:rsidR="00D01B55" w:rsidRPr="00F006C5">
        <w:rPr>
          <w:rFonts w:eastAsia="SimHei"/>
          <w:b/>
          <w:i/>
          <w:iCs/>
        </w:rPr>
        <w:t xml:space="preserve">resetting </w:t>
      </w:r>
      <w:r w:rsidR="00C14EF3" w:rsidRPr="00F006C5">
        <w:rPr>
          <w:rFonts w:eastAsia="SimHei"/>
          <w:b/>
          <w:i/>
          <w:iCs/>
        </w:rPr>
        <w:t>colonoscopy prioritisation</w:t>
      </w:r>
      <w:r w:rsidR="00D01B55" w:rsidRPr="00F006C5">
        <w:rPr>
          <w:rFonts w:eastAsia="SimHei"/>
          <w:b/>
          <w:i/>
          <w:iCs/>
        </w:rPr>
        <w:t xml:space="preserve"> strategies.</w:t>
      </w:r>
    </w:p>
    <w:p w14:paraId="401F9C93" w14:textId="39BF146C" w:rsidR="00260113" w:rsidRPr="00D41284" w:rsidRDefault="00336B12" w:rsidP="00260113">
      <w:pPr>
        <w:pStyle w:val="ListParagraph"/>
        <w:keepNext/>
        <w:keepLines/>
        <w:numPr>
          <w:ilvl w:val="0"/>
          <w:numId w:val="1"/>
        </w:numPr>
        <w:spacing w:before="120"/>
        <w:outlineLvl w:val="1"/>
      </w:pPr>
      <w:r w:rsidRPr="00CC44C1">
        <w:t xml:space="preserve">Indicative estimates are provided by </w:t>
      </w:r>
      <w:r w:rsidR="00F006C5" w:rsidRPr="00CC44C1">
        <w:t>states and territories</w:t>
      </w:r>
      <w:r w:rsidRPr="00CC44C1">
        <w:t xml:space="preserve"> and indicate the</w:t>
      </w:r>
      <w:r w:rsidR="003C7D26" w:rsidRPr="00CC44C1">
        <w:t xml:space="preserve"> substantial impact across all ju</w:t>
      </w:r>
      <w:r w:rsidR="00F006C5" w:rsidRPr="00CC44C1">
        <w:t>risdictions</w:t>
      </w:r>
      <w:r w:rsidR="0098060E" w:rsidRPr="00CC44C1">
        <w:t xml:space="preserve"> in addition to the impact of the Hot Zone policy, if applicable.</w:t>
      </w:r>
      <w:r w:rsidRPr="00CC44C1">
        <w:t xml:space="preserve"> </w:t>
      </w:r>
      <w:r w:rsidR="00071F65" w:rsidRPr="00CC44C1">
        <w:t>G</w:t>
      </w:r>
      <w:r w:rsidR="000F166D" w:rsidRPr="00CC44C1">
        <w:t xml:space="preserve">iven additional detailed data on </w:t>
      </w:r>
      <w:r w:rsidR="00AF1871" w:rsidRPr="00CC44C1">
        <w:t>the Hot Zone policy</w:t>
      </w:r>
      <w:r w:rsidR="000F166D" w:rsidRPr="00CC44C1">
        <w:t xml:space="preserve">, future work could involve </w:t>
      </w:r>
      <w:r w:rsidR="00443BDA" w:rsidRPr="00CC44C1">
        <w:t xml:space="preserve">detailed jurisdictional </w:t>
      </w:r>
      <w:r w:rsidR="000F166D" w:rsidRPr="00CC44C1">
        <w:t xml:space="preserve">estimates for </w:t>
      </w:r>
      <w:r w:rsidR="00AF1871" w:rsidRPr="00CC44C1">
        <w:t>affected areas</w:t>
      </w:r>
      <w:r w:rsidR="000F166D" w:rsidRPr="00CC44C1">
        <w:t xml:space="preserve">. As affected areas can have a higher proportion of Aboriginal and Torres Strait Islander populations, future work could also employ an existing modified version of </w:t>
      </w:r>
      <w:r w:rsidR="000F166D" w:rsidRPr="00CC44C1">
        <w:rPr>
          <w:i/>
        </w:rPr>
        <w:t xml:space="preserve">Policy1-Bowel </w:t>
      </w:r>
      <w:r w:rsidR="000F166D" w:rsidRPr="00CC44C1">
        <w:t>which has been calibrated to reproduce health outcomes observed in Aboriginal and Torres Strait Islander populations.</w:t>
      </w:r>
      <w:r w:rsidR="00443BDA" w:rsidRPr="00CC44C1">
        <w:t xml:space="preserve"> </w:t>
      </w:r>
      <w:r w:rsidR="00443BDA" w:rsidRPr="00CC44C1">
        <w:rPr>
          <w:b/>
          <w:bCs/>
          <w:i/>
          <w:iCs/>
        </w:rPr>
        <w:t xml:space="preserve">The jurisdictional results are estimated as they would not </w:t>
      </w:r>
      <w:proofErr w:type="gramStart"/>
      <w:r w:rsidR="00443BDA" w:rsidRPr="00CC44C1">
        <w:rPr>
          <w:b/>
          <w:bCs/>
          <w:i/>
          <w:iCs/>
        </w:rPr>
        <w:t>take into account</w:t>
      </w:r>
      <w:proofErr w:type="gramEnd"/>
      <w:r w:rsidR="00443BDA" w:rsidRPr="00CC44C1">
        <w:rPr>
          <w:b/>
          <w:bCs/>
          <w:i/>
          <w:iCs/>
        </w:rPr>
        <w:t xml:space="preserve"> local issues that, given appropriate data, could be modelled to guide more targeted local initiatives.</w:t>
      </w:r>
    </w:p>
    <w:p w14:paraId="17C69423" w14:textId="727F55B0" w:rsidR="00260113" w:rsidRPr="004866BE" w:rsidRDefault="00260113" w:rsidP="00260113">
      <w:pPr>
        <w:rPr>
          <w:rFonts w:eastAsiaTheme="minorEastAsia"/>
        </w:rPr>
      </w:pPr>
    </w:p>
    <w:p w14:paraId="382DC94C" w14:textId="77777777" w:rsidR="00365CE7" w:rsidRDefault="00365CE7" w:rsidP="00597D8C">
      <w:pPr>
        <w:sectPr w:rsidR="00365CE7" w:rsidSect="00E61D10">
          <w:footerReference w:type="default" r:id="rId11"/>
          <w:headerReference w:type="first" r:id="rId12"/>
          <w:footerReference w:type="first" r:id="rId13"/>
          <w:footnotePr>
            <w:numFmt w:val="lowerRoman"/>
          </w:footnotePr>
          <w:pgSz w:w="11906" w:h="16838"/>
          <w:pgMar w:top="1440" w:right="1274" w:bottom="1440" w:left="1440" w:header="708" w:footer="708" w:gutter="0"/>
          <w:cols w:space="708"/>
          <w:titlePg/>
          <w:docGrid w:linePitch="360"/>
        </w:sectPr>
      </w:pPr>
    </w:p>
    <w:p w14:paraId="6CED4077" w14:textId="512BF0CA" w:rsidR="002A3198" w:rsidRPr="00D41284" w:rsidRDefault="006B0070" w:rsidP="00D41284">
      <w:pPr>
        <w:pStyle w:val="Caption"/>
        <w:keepNext/>
      </w:pPr>
      <w:bookmarkStart w:id="5" w:name="_Ref535492973"/>
      <w:r w:rsidRPr="004866BE">
        <w:lastRenderedPageBreak/>
        <w:t xml:space="preserve">Table </w:t>
      </w:r>
      <w:r w:rsidR="00937A16" w:rsidRPr="004866BE">
        <w:t>1</w:t>
      </w:r>
      <w:r w:rsidRPr="004866BE">
        <w:t xml:space="preserve"> – </w:t>
      </w:r>
      <w:r w:rsidR="001E7885" w:rsidRPr="004866BE">
        <w:t>Scenarios modelled in this evaluation.</w:t>
      </w:r>
    </w:p>
    <w:tbl>
      <w:tblPr>
        <w:tblStyle w:val="GridTable4-Accent1"/>
        <w:tblW w:w="0" w:type="auto"/>
        <w:tblLook w:val="04A0" w:firstRow="1" w:lastRow="0" w:firstColumn="1" w:lastColumn="0" w:noHBand="0" w:noVBand="1"/>
        <w:tblDescription w:val="Table 1 – Scenarios modelled in this evaluation. "/>
      </w:tblPr>
      <w:tblGrid>
        <w:gridCol w:w="540"/>
        <w:gridCol w:w="1542"/>
        <w:gridCol w:w="1923"/>
        <w:gridCol w:w="4593"/>
        <w:gridCol w:w="5350"/>
      </w:tblGrid>
      <w:tr w:rsidR="006B0070" w:rsidRPr="008B213B" w14:paraId="424342D6" w14:textId="77777777" w:rsidTr="008B21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0" w:type="dxa"/>
          </w:tcPr>
          <w:p w14:paraId="64CEF643" w14:textId="77777777" w:rsidR="006B0070" w:rsidRPr="008B213B" w:rsidRDefault="006B0070" w:rsidP="008B213B"/>
        </w:tc>
        <w:tc>
          <w:tcPr>
            <w:tcW w:w="1542" w:type="dxa"/>
          </w:tcPr>
          <w:p w14:paraId="72CA4ADE" w14:textId="77777777" w:rsidR="006B0070" w:rsidRPr="008B213B" w:rsidRDefault="006B0070" w:rsidP="008B213B">
            <w:pPr>
              <w:cnfStyle w:val="100000000000" w:firstRow="1" w:lastRow="0" w:firstColumn="0" w:lastColumn="0" w:oddVBand="0" w:evenVBand="0" w:oddHBand="0" w:evenHBand="0" w:firstRowFirstColumn="0" w:firstRowLastColumn="0" w:lastRowFirstColumn="0" w:lastRowLastColumn="0"/>
            </w:pPr>
            <w:r w:rsidRPr="008B213B">
              <w:t xml:space="preserve">1. </w:t>
            </w:r>
            <w:r w:rsidR="00A25414" w:rsidRPr="008B213B">
              <w:t>Disruption /pause</w:t>
            </w:r>
            <w:r w:rsidRPr="008B213B">
              <w:t xml:space="preserve"> periods: </w:t>
            </w:r>
          </w:p>
        </w:tc>
        <w:tc>
          <w:tcPr>
            <w:tcW w:w="1923" w:type="dxa"/>
          </w:tcPr>
          <w:p w14:paraId="55A72161" w14:textId="77777777" w:rsidR="006B0070" w:rsidRPr="008B213B" w:rsidRDefault="006B0070" w:rsidP="008B213B">
            <w:pPr>
              <w:cnfStyle w:val="100000000000" w:firstRow="1" w:lastRow="0" w:firstColumn="0" w:lastColumn="0" w:oddVBand="0" w:evenVBand="0" w:oddHBand="0" w:evenHBand="0" w:firstRowFirstColumn="0" w:firstRowLastColumn="0" w:lastRowFirstColumn="0" w:lastRowLastColumn="0"/>
            </w:pPr>
            <w:r w:rsidRPr="008B213B">
              <w:t>2. Recovery kit return rate in 2021</w:t>
            </w:r>
          </w:p>
        </w:tc>
        <w:tc>
          <w:tcPr>
            <w:tcW w:w="4593" w:type="dxa"/>
          </w:tcPr>
          <w:p w14:paraId="07B87476" w14:textId="77777777" w:rsidR="006B0070" w:rsidRPr="008B213B" w:rsidRDefault="006B0070" w:rsidP="008B213B">
            <w:pPr>
              <w:cnfStyle w:val="100000000000" w:firstRow="1" w:lastRow="0" w:firstColumn="0" w:lastColumn="0" w:oddVBand="0" w:evenVBand="0" w:oddHBand="0" w:evenHBand="0" w:firstRowFirstColumn="0" w:firstRowLastColumn="0" w:lastRowFirstColumn="0" w:lastRowLastColumn="0"/>
            </w:pPr>
            <w:r w:rsidRPr="008B213B">
              <w:t>3. Catch-up timeframes</w:t>
            </w:r>
          </w:p>
        </w:tc>
        <w:tc>
          <w:tcPr>
            <w:tcW w:w="5350" w:type="dxa"/>
          </w:tcPr>
          <w:p w14:paraId="4A588DC3" w14:textId="77777777" w:rsidR="006B0070" w:rsidRPr="008B213B" w:rsidRDefault="006B0070" w:rsidP="008B213B">
            <w:pPr>
              <w:cnfStyle w:val="100000000000" w:firstRow="1" w:lastRow="0" w:firstColumn="0" w:lastColumn="0" w:oddVBand="0" w:evenVBand="0" w:oddHBand="0" w:evenHBand="0" w:firstRowFirstColumn="0" w:firstRowLastColumn="0" w:lastRowFirstColumn="0" w:lastRowLastColumn="0"/>
            </w:pPr>
            <w:r w:rsidRPr="008B213B">
              <w:t>Purpose</w:t>
            </w:r>
          </w:p>
        </w:tc>
      </w:tr>
      <w:tr w:rsidR="003B0201" w:rsidRPr="008B213B" w14:paraId="0FB83A04" w14:textId="77777777" w:rsidTr="008B2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2967F325" w14:textId="77777777" w:rsidR="003B0201" w:rsidRPr="008B213B" w:rsidRDefault="003B0201" w:rsidP="008B213B">
            <w:r w:rsidRPr="008B213B">
              <w:t>1</w:t>
            </w:r>
          </w:p>
        </w:tc>
        <w:tc>
          <w:tcPr>
            <w:tcW w:w="1542" w:type="dxa"/>
          </w:tcPr>
          <w:p w14:paraId="13E79F65" w14:textId="77777777" w:rsidR="003B0201" w:rsidRPr="008B213B" w:rsidRDefault="003B0201" w:rsidP="008B213B">
            <w:pPr>
              <w:cnfStyle w:val="000000100000" w:firstRow="0" w:lastRow="0" w:firstColumn="0" w:lastColumn="0" w:oddVBand="0" w:evenVBand="0" w:oddHBand="1" w:evenHBand="0" w:firstRowFirstColumn="0" w:firstRowLastColumn="0" w:lastRowFirstColumn="0" w:lastRowLastColumn="0"/>
            </w:pPr>
            <w:r w:rsidRPr="008B213B">
              <w:t>3 months</w:t>
            </w:r>
          </w:p>
        </w:tc>
        <w:tc>
          <w:tcPr>
            <w:tcW w:w="1923" w:type="dxa"/>
          </w:tcPr>
          <w:p w14:paraId="37DAAE13" w14:textId="77777777" w:rsidR="003B0201" w:rsidRPr="008B213B" w:rsidRDefault="003B0201" w:rsidP="008B213B">
            <w:pPr>
              <w:cnfStyle w:val="000000100000" w:firstRow="0" w:lastRow="0" w:firstColumn="0" w:lastColumn="0" w:oddVBand="0" w:evenVBand="0" w:oddHBand="1" w:evenHBand="0" w:firstRowFirstColumn="0" w:firstRowLastColumn="0" w:lastRowFirstColumn="0" w:lastRowLastColumn="0"/>
            </w:pPr>
            <w:r w:rsidRPr="008B213B">
              <w:t>No reduction</w:t>
            </w:r>
          </w:p>
        </w:tc>
        <w:tc>
          <w:tcPr>
            <w:tcW w:w="4593" w:type="dxa"/>
          </w:tcPr>
          <w:p w14:paraId="5B54D436" w14:textId="77777777" w:rsidR="003B0201" w:rsidRPr="008B213B" w:rsidRDefault="003B0201" w:rsidP="008B213B">
            <w:pPr>
              <w:cnfStyle w:val="000000100000" w:firstRow="0" w:lastRow="0" w:firstColumn="0" w:lastColumn="0" w:oddVBand="0" w:evenVBand="0" w:oddHBand="1" w:evenHBand="0" w:firstRowFirstColumn="0" w:firstRowLastColumn="0" w:lastRowFirstColumn="0" w:lastRowLastColumn="0"/>
            </w:pPr>
            <w:r w:rsidRPr="008B213B">
              <w:t>No catch-up for people who were missed due to the disruption</w:t>
            </w:r>
          </w:p>
        </w:tc>
        <w:tc>
          <w:tcPr>
            <w:tcW w:w="5350" w:type="dxa"/>
          </w:tcPr>
          <w:p w14:paraId="605DF621" w14:textId="77777777" w:rsidR="003B0201" w:rsidRPr="008B213B" w:rsidRDefault="003B0201" w:rsidP="008B213B">
            <w:pPr>
              <w:cnfStyle w:val="000000100000" w:firstRow="0" w:lastRow="0" w:firstColumn="0" w:lastColumn="0" w:oddVBand="0" w:evenVBand="0" w:oddHBand="1" w:evenHBand="0" w:firstRowFirstColumn="0" w:firstRowLastColumn="0" w:lastRowFirstColumn="0" w:lastRowLastColumn="0"/>
            </w:pPr>
            <w:r w:rsidRPr="008B213B">
              <w:t>Likely health impact of a short-term disruption</w:t>
            </w:r>
          </w:p>
        </w:tc>
      </w:tr>
      <w:tr w:rsidR="006B0070" w:rsidRPr="008B213B" w14:paraId="5B717F4F" w14:textId="77777777" w:rsidTr="008B213B">
        <w:tc>
          <w:tcPr>
            <w:cnfStyle w:val="001000000000" w:firstRow="0" w:lastRow="0" w:firstColumn="1" w:lastColumn="0" w:oddVBand="0" w:evenVBand="0" w:oddHBand="0" w:evenHBand="0" w:firstRowFirstColumn="0" w:firstRowLastColumn="0" w:lastRowFirstColumn="0" w:lastRowLastColumn="0"/>
            <w:tcW w:w="540" w:type="dxa"/>
          </w:tcPr>
          <w:p w14:paraId="29965FC1" w14:textId="77777777" w:rsidR="006B0070" w:rsidRPr="008B213B" w:rsidRDefault="003B0201" w:rsidP="008B213B">
            <w:r w:rsidRPr="008B213B">
              <w:t>2</w:t>
            </w:r>
          </w:p>
        </w:tc>
        <w:tc>
          <w:tcPr>
            <w:tcW w:w="1542" w:type="dxa"/>
          </w:tcPr>
          <w:p w14:paraId="08E440B7" w14:textId="77777777" w:rsidR="006B0070" w:rsidRPr="008B213B" w:rsidRDefault="006B0070" w:rsidP="008B213B">
            <w:pPr>
              <w:cnfStyle w:val="000000000000" w:firstRow="0" w:lastRow="0" w:firstColumn="0" w:lastColumn="0" w:oddVBand="0" w:evenVBand="0" w:oddHBand="0" w:evenHBand="0" w:firstRowFirstColumn="0" w:firstRowLastColumn="0" w:lastRowFirstColumn="0" w:lastRowLastColumn="0"/>
            </w:pPr>
            <w:r w:rsidRPr="008B213B">
              <w:t>6 months</w:t>
            </w:r>
          </w:p>
        </w:tc>
        <w:tc>
          <w:tcPr>
            <w:tcW w:w="1923" w:type="dxa"/>
          </w:tcPr>
          <w:p w14:paraId="3793588A" w14:textId="77777777" w:rsidR="006B0070" w:rsidRPr="008B213B" w:rsidRDefault="006B0070" w:rsidP="008B213B">
            <w:pPr>
              <w:cnfStyle w:val="000000000000" w:firstRow="0" w:lastRow="0" w:firstColumn="0" w:lastColumn="0" w:oddVBand="0" w:evenVBand="0" w:oddHBand="0" w:evenHBand="0" w:firstRowFirstColumn="0" w:firstRowLastColumn="0" w:lastRowFirstColumn="0" w:lastRowLastColumn="0"/>
            </w:pPr>
            <w:r w:rsidRPr="008B213B">
              <w:t>No reduction</w:t>
            </w:r>
          </w:p>
        </w:tc>
        <w:tc>
          <w:tcPr>
            <w:tcW w:w="4593" w:type="dxa"/>
          </w:tcPr>
          <w:p w14:paraId="2AB8787B" w14:textId="77777777" w:rsidR="006B0070" w:rsidRPr="008B213B" w:rsidRDefault="006B0070" w:rsidP="008B213B">
            <w:pPr>
              <w:cnfStyle w:val="000000000000" w:firstRow="0" w:lastRow="0" w:firstColumn="0" w:lastColumn="0" w:oddVBand="0" w:evenVBand="0" w:oddHBand="0" w:evenHBand="0" w:firstRowFirstColumn="0" w:firstRowLastColumn="0" w:lastRowFirstColumn="0" w:lastRowLastColumn="0"/>
            </w:pPr>
            <w:r w:rsidRPr="008B213B">
              <w:t>No catch-up for people who were missed due to the disruption</w:t>
            </w:r>
          </w:p>
        </w:tc>
        <w:tc>
          <w:tcPr>
            <w:tcW w:w="5350" w:type="dxa"/>
          </w:tcPr>
          <w:p w14:paraId="01F2D211" w14:textId="77777777" w:rsidR="006B0070" w:rsidRPr="008B213B" w:rsidRDefault="006B0070" w:rsidP="008B213B">
            <w:pPr>
              <w:cnfStyle w:val="000000000000" w:firstRow="0" w:lastRow="0" w:firstColumn="0" w:lastColumn="0" w:oddVBand="0" w:evenVBand="0" w:oddHBand="0" w:evenHBand="0" w:firstRowFirstColumn="0" w:firstRowLastColumn="0" w:lastRowFirstColumn="0" w:lastRowLastColumn="0"/>
            </w:pPr>
            <w:r w:rsidRPr="008B213B">
              <w:t xml:space="preserve">Likely health impact of a </w:t>
            </w:r>
            <w:r w:rsidR="003B0201" w:rsidRPr="008B213B">
              <w:t>medium</w:t>
            </w:r>
            <w:r w:rsidRPr="008B213B">
              <w:t>-term disruption</w:t>
            </w:r>
          </w:p>
        </w:tc>
      </w:tr>
      <w:tr w:rsidR="009E1A6A" w:rsidRPr="008B213B" w14:paraId="797D4469" w14:textId="77777777" w:rsidTr="008B2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2C2DEF31" w14:textId="77777777" w:rsidR="009E1A6A" w:rsidRPr="008B213B" w:rsidRDefault="003B0201" w:rsidP="008B213B">
            <w:r w:rsidRPr="008B213B">
              <w:t>3</w:t>
            </w:r>
          </w:p>
        </w:tc>
        <w:tc>
          <w:tcPr>
            <w:tcW w:w="1542" w:type="dxa"/>
          </w:tcPr>
          <w:p w14:paraId="793DEE15" w14:textId="77777777" w:rsidR="009E1A6A" w:rsidRPr="008B213B" w:rsidRDefault="009E1A6A" w:rsidP="008B213B">
            <w:pPr>
              <w:cnfStyle w:val="000000100000" w:firstRow="0" w:lastRow="0" w:firstColumn="0" w:lastColumn="0" w:oddVBand="0" w:evenVBand="0" w:oddHBand="1" w:evenHBand="0" w:firstRowFirstColumn="0" w:firstRowLastColumn="0" w:lastRowFirstColumn="0" w:lastRowLastColumn="0"/>
            </w:pPr>
            <w:r w:rsidRPr="008B213B">
              <w:t>12 months</w:t>
            </w:r>
          </w:p>
        </w:tc>
        <w:tc>
          <w:tcPr>
            <w:tcW w:w="1923" w:type="dxa"/>
          </w:tcPr>
          <w:p w14:paraId="57E3A02D" w14:textId="77777777" w:rsidR="009E1A6A" w:rsidRPr="008B213B" w:rsidRDefault="009E1A6A" w:rsidP="008B213B">
            <w:pPr>
              <w:cnfStyle w:val="000000100000" w:firstRow="0" w:lastRow="0" w:firstColumn="0" w:lastColumn="0" w:oddVBand="0" w:evenVBand="0" w:oddHBand="1" w:evenHBand="0" w:firstRowFirstColumn="0" w:firstRowLastColumn="0" w:lastRowFirstColumn="0" w:lastRowLastColumn="0"/>
            </w:pPr>
            <w:r w:rsidRPr="008B213B">
              <w:t>50% reduction</w:t>
            </w:r>
          </w:p>
        </w:tc>
        <w:tc>
          <w:tcPr>
            <w:tcW w:w="4593" w:type="dxa"/>
          </w:tcPr>
          <w:p w14:paraId="5284C4A0" w14:textId="77777777" w:rsidR="009E1A6A" w:rsidRPr="008B213B" w:rsidRDefault="009E1A6A" w:rsidP="008B213B">
            <w:pPr>
              <w:cnfStyle w:val="000000100000" w:firstRow="0" w:lastRow="0" w:firstColumn="0" w:lastColumn="0" w:oddVBand="0" w:evenVBand="0" w:oddHBand="1" w:evenHBand="0" w:firstRowFirstColumn="0" w:firstRowLastColumn="0" w:lastRowFirstColumn="0" w:lastRowLastColumn="0"/>
            </w:pPr>
            <w:r w:rsidRPr="008B213B">
              <w:t>No catch-up for people who were missed due to the disruption</w:t>
            </w:r>
          </w:p>
        </w:tc>
        <w:tc>
          <w:tcPr>
            <w:tcW w:w="5350" w:type="dxa"/>
          </w:tcPr>
          <w:p w14:paraId="4A7805A4" w14:textId="77777777" w:rsidR="009E1A6A" w:rsidRPr="008B213B" w:rsidRDefault="009E1A6A" w:rsidP="008B213B">
            <w:pPr>
              <w:cnfStyle w:val="000000100000" w:firstRow="0" w:lastRow="0" w:firstColumn="0" w:lastColumn="0" w:oddVBand="0" w:evenVBand="0" w:oddHBand="1" w:evenHBand="0" w:firstRowFirstColumn="0" w:firstRowLastColumn="0" w:lastRowFirstColumn="0" w:lastRowLastColumn="0"/>
            </w:pPr>
            <w:r w:rsidRPr="008B213B">
              <w:t>A worst-case scenario</w:t>
            </w:r>
          </w:p>
        </w:tc>
      </w:tr>
      <w:tr w:rsidR="003B0201" w:rsidRPr="008B213B" w14:paraId="0119CBCB" w14:textId="77777777" w:rsidTr="008B213B">
        <w:tc>
          <w:tcPr>
            <w:cnfStyle w:val="001000000000" w:firstRow="0" w:lastRow="0" w:firstColumn="1" w:lastColumn="0" w:oddVBand="0" w:evenVBand="0" w:oddHBand="0" w:evenHBand="0" w:firstRowFirstColumn="0" w:firstRowLastColumn="0" w:lastRowFirstColumn="0" w:lastRowLastColumn="0"/>
            <w:tcW w:w="540" w:type="dxa"/>
          </w:tcPr>
          <w:p w14:paraId="55B65632" w14:textId="77777777" w:rsidR="003B0201" w:rsidRPr="008B213B" w:rsidRDefault="003B0201" w:rsidP="008B213B">
            <w:r w:rsidRPr="008B213B">
              <w:t>4</w:t>
            </w:r>
          </w:p>
        </w:tc>
        <w:tc>
          <w:tcPr>
            <w:tcW w:w="1542" w:type="dxa"/>
          </w:tcPr>
          <w:p w14:paraId="4F15A54A" w14:textId="77777777" w:rsidR="003B0201" w:rsidRPr="008B213B" w:rsidRDefault="003B0201" w:rsidP="008B213B">
            <w:pPr>
              <w:cnfStyle w:val="000000000000" w:firstRow="0" w:lastRow="0" w:firstColumn="0" w:lastColumn="0" w:oddVBand="0" w:evenVBand="0" w:oddHBand="0" w:evenHBand="0" w:firstRowFirstColumn="0" w:firstRowLastColumn="0" w:lastRowFirstColumn="0" w:lastRowLastColumn="0"/>
            </w:pPr>
            <w:r w:rsidRPr="008B213B">
              <w:t>3 months</w:t>
            </w:r>
          </w:p>
        </w:tc>
        <w:tc>
          <w:tcPr>
            <w:tcW w:w="1923" w:type="dxa"/>
          </w:tcPr>
          <w:p w14:paraId="0C72DBA8" w14:textId="77777777" w:rsidR="003B0201" w:rsidRPr="008B213B" w:rsidRDefault="003B0201" w:rsidP="008B213B">
            <w:pPr>
              <w:cnfStyle w:val="000000000000" w:firstRow="0" w:lastRow="0" w:firstColumn="0" w:lastColumn="0" w:oddVBand="0" w:evenVBand="0" w:oddHBand="0" w:evenHBand="0" w:firstRowFirstColumn="0" w:firstRowLastColumn="0" w:lastRowFirstColumn="0" w:lastRowLastColumn="0"/>
            </w:pPr>
            <w:r w:rsidRPr="008B213B">
              <w:t>50% reduction</w:t>
            </w:r>
          </w:p>
        </w:tc>
        <w:tc>
          <w:tcPr>
            <w:tcW w:w="4593" w:type="dxa"/>
          </w:tcPr>
          <w:p w14:paraId="2D61725B" w14:textId="77777777" w:rsidR="003B0201" w:rsidRPr="008B213B" w:rsidRDefault="003B0201" w:rsidP="008B213B">
            <w:pPr>
              <w:cnfStyle w:val="000000000000" w:firstRow="0" w:lastRow="0" w:firstColumn="0" w:lastColumn="0" w:oddVBand="0" w:evenVBand="0" w:oddHBand="0" w:evenHBand="0" w:firstRowFirstColumn="0" w:firstRowLastColumn="0" w:lastRowFirstColumn="0" w:lastRowLastColumn="0"/>
            </w:pPr>
            <w:r w:rsidRPr="008B213B">
              <w:t xml:space="preserve">All eligible people who missed screening in 2020 are invited later in 2020 at usual participation rates with a comprehensive </w:t>
            </w:r>
            <w:proofErr w:type="gramStart"/>
            <w:r w:rsidRPr="008B213B">
              <w:t>catch up</w:t>
            </w:r>
            <w:proofErr w:type="gramEnd"/>
            <w:r w:rsidRPr="008B213B">
              <w:t xml:space="preserve"> strategy</w:t>
            </w:r>
          </w:p>
        </w:tc>
        <w:tc>
          <w:tcPr>
            <w:tcW w:w="5350" w:type="dxa"/>
          </w:tcPr>
          <w:p w14:paraId="0E6CDAFD" w14:textId="77777777" w:rsidR="003B0201" w:rsidRPr="008B213B" w:rsidRDefault="003B0201" w:rsidP="008B213B">
            <w:pPr>
              <w:cnfStyle w:val="000000000000" w:firstRow="0" w:lastRow="0" w:firstColumn="0" w:lastColumn="0" w:oddVBand="0" w:evenVBand="0" w:oddHBand="0" w:evenHBand="0" w:firstRowFirstColumn="0" w:firstRowLastColumn="0" w:lastRowFirstColumn="0" w:lastRowLastColumn="0"/>
            </w:pPr>
            <w:r w:rsidRPr="008B213B">
              <w:t>Determine resource requirements and health outcomes</w:t>
            </w:r>
          </w:p>
        </w:tc>
      </w:tr>
      <w:tr w:rsidR="003B0201" w:rsidRPr="008B213B" w14:paraId="46FFA086" w14:textId="77777777" w:rsidTr="008B2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55ABE0D8" w14:textId="77777777" w:rsidR="003B0201" w:rsidRPr="008B213B" w:rsidRDefault="003B0201" w:rsidP="008B213B">
            <w:r w:rsidRPr="008B213B">
              <w:t>5</w:t>
            </w:r>
          </w:p>
        </w:tc>
        <w:tc>
          <w:tcPr>
            <w:tcW w:w="1542" w:type="dxa"/>
          </w:tcPr>
          <w:p w14:paraId="3DDD9DDB" w14:textId="77777777" w:rsidR="003B0201" w:rsidRPr="008B213B" w:rsidRDefault="003B0201" w:rsidP="008B213B">
            <w:pPr>
              <w:cnfStyle w:val="000000100000" w:firstRow="0" w:lastRow="0" w:firstColumn="0" w:lastColumn="0" w:oddVBand="0" w:evenVBand="0" w:oddHBand="1" w:evenHBand="0" w:firstRowFirstColumn="0" w:firstRowLastColumn="0" w:lastRowFirstColumn="0" w:lastRowLastColumn="0"/>
            </w:pPr>
            <w:r w:rsidRPr="008B213B">
              <w:t>6 months</w:t>
            </w:r>
          </w:p>
        </w:tc>
        <w:tc>
          <w:tcPr>
            <w:tcW w:w="1923" w:type="dxa"/>
          </w:tcPr>
          <w:p w14:paraId="79FDA243" w14:textId="77777777" w:rsidR="003B0201" w:rsidRPr="008B213B" w:rsidRDefault="003B0201" w:rsidP="008B213B">
            <w:pPr>
              <w:cnfStyle w:val="000000100000" w:firstRow="0" w:lastRow="0" w:firstColumn="0" w:lastColumn="0" w:oddVBand="0" w:evenVBand="0" w:oddHBand="1" w:evenHBand="0" w:firstRowFirstColumn="0" w:firstRowLastColumn="0" w:lastRowFirstColumn="0" w:lastRowLastColumn="0"/>
            </w:pPr>
            <w:r w:rsidRPr="008B213B">
              <w:t>50% reduction</w:t>
            </w:r>
          </w:p>
        </w:tc>
        <w:tc>
          <w:tcPr>
            <w:tcW w:w="4593" w:type="dxa"/>
          </w:tcPr>
          <w:p w14:paraId="1246DE07" w14:textId="77777777" w:rsidR="003B0201" w:rsidRPr="008B213B" w:rsidRDefault="003B0201" w:rsidP="008B213B">
            <w:pPr>
              <w:cnfStyle w:val="000000100000" w:firstRow="0" w:lastRow="0" w:firstColumn="0" w:lastColumn="0" w:oddVBand="0" w:evenVBand="0" w:oddHBand="1" w:evenHBand="0" w:firstRowFirstColumn="0" w:firstRowLastColumn="0" w:lastRowFirstColumn="0" w:lastRowLastColumn="0"/>
            </w:pPr>
            <w:r w:rsidRPr="008B213B">
              <w:t xml:space="preserve">All eligible people who missed screening in 2020 are invited later in 2020 or in 2021 at usual participation rates with a comprehensive </w:t>
            </w:r>
            <w:proofErr w:type="gramStart"/>
            <w:r w:rsidRPr="008B213B">
              <w:t>catch up</w:t>
            </w:r>
            <w:proofErr w:type="gramEnd"/>
            <w:r w:rsidRPr="008B213B">
              <w:t xml:space="preserve"> strategy</w:t>
            </w:r>
          </w:p>
        </w:tc>
        <w:tc>
          <w:tcPr>
            <w:tcW w:w="5350" w:type="dxa"/>
          </w:tcPr>
          <w:p w14:paraId="43C0656B" w14:textId="77777777" w:rsidR="003B0201" w:rsidRPr="008B213B" w:rsidRDefault="003B0201" w:rsidP="008B213B">
            <w:pPr>
              <w:cnfStyle w:val="000000100000" w:firstRow="0" w:lastRow="0" w:firstColumn="0" w:lastColumn="0" w:oddVBand="0" w:evenVBand="0" w:oddHBand="1" w:evenHBand="0" w:firstRowFirstColumn="0" w:firstRowLastColumn="0" w:lastRowFirstColumn="0" w:lastRowLastColumn="0"/>
            </w:pPr>
            <w:r w:rsidRPr="008B213B">
              <w:t>Determine resource requirements and health outcomes</w:t>
            </w:r>
          </w:p>
        </w:tc>
      </w:tr>
      <w:tr w:rsidR="003B0201" w:rsidRPr="008B213B" w14:paraId="3F36AF6E" w14:textId="77777777" w:rsidTr="008B213B">
        <w:tc>
          <w:tcPr>
            <w:cnfStyle w:val="001000000000" w:firstRow="0" w:lastRow="0" w:firstColumn="1" w:lastColumn="0" w:oddVBand="0" w:evenVBand="0" w:oddHBand="0" w:evenHBand="0" w:firstRowFirstColumn="0" w:firstRowLastColumn="0" w:lastRowFirstColumn="0" w:lastRowLastColumn="0"/>
            <w:tcW w:w="540" w:type="dxa"/>
          </w:tcPr>
          <w:p w14:paraId="57BE08AC" w14:textId="77777777" w:rsidR="003B0201" w:rsidRPr="008B213B" w:rsidRDefault="003B0201" w:rsidP="008B213B">
            <w:r w:rsidRPr="008B213B">
              <w:t>6</w:t>
            </w:r>
          </w:p>
        </w:tc>
        <w:tc>
          <w:tcPr>
            <w:tcW w:w="1542" w:type="dxa"/>
          </w:tcPr>
          <w:p w14:paraId="305FA014" w14:textId="77777777" w:rsidR="003B0201" w:rsidRPr="008B213B" w:rsidRDefault="003B0201" w:rsidP="008B213B">
            <w:pPr>
              <w:cnfStyle w:val="000000000000" w:firstRow="0" w:lastRow="0" w:firstColumn="0" w:lastColumn="0" w:oddVBand="0" w:evenVBand="0" w:oddHBand="0" w:evenHBand="0" w:firstRowFirstColumn="0" w:firstRowLastColumn="0" w:lastRowFirstColumn="0" w:lastRowLastColumn="0"/>
            </w:pPr>
            <w:r w:rsidRPr="008B213B">
              <w:t>12 months</w:t>
            </w:r>
          </w:p>
        </w:tc>
        <w:tc>
          <w:tcPr>
            <w:tcW w:w="1923" w:type="dxa"/>
          </w:tcPr>
          <w:p w14:paraId="5F8CE0D4" w14:textId="77777777" w:rsidR="003B0201" w:rsidRPr="008B213B" w:rsidRDefault="003B0201" w:rsidP="008B213B">
            <w:pPr>
              <w:cnfStyle w:val="000000000000" w:firstRow="0" w:lastRow="0" w:firstColumn="0" w:lastColumn="0" w:oddVBand="0" w:evenVBand="0" w:oddHBand="0" w:evenHBand="0" w:firstRowFirstColumn="0" w:firstRowLastColumn="0" w:lastRowFirstColumn="0" w:lastRowLastColumn="0"/>
            </w:pPr>
            <w:r w:rsidRPr="008B213B">
              <w:t>No reduction</w:t>
            </w:r>
          </w:p>
        </w:tc>
        <w:tc>
          <w:tcPr>
            <w:tcW w:w="4593" w:type="dxa"/>
          </w:tcPr>
          <w:p w14:paraId="3A99FC62" w14:textId="77777777" w:rsidR="003B0201" w:rsidRPr="008B213B" w:rsidRDefault="003B0201" w:rsidP="008B213B">
            <w:pPr>
              <w:cnfStyle w:val="000000000000" w:firstRow="0" w:lastRow="0" w:firstColumn="0" w:lastColumn="0" w:oddVBand="0" w:evenVBand="0" w:oddHBand="0" w:evenHBand="0" w:firstRowFirstColumn="0" w:firstRowLastColumn="0" w:lastRowFirstColumn="0" w:lastRowLastColumn="0"/>
            </w:pPr>
            <w:r w:rsidRPr="008B213B">
              <w:t xml:space="preserve">All eligible people who missed screening in 2020 are invited in 2021 at usual participation rates with comprehensive </w:t>
            </w:r>
            <w:proofErr w:type="gramStart"/>
            <w:r w:rsidRPr="008B213B">
              <w:t>catch up</w:t>
            </w:r>
            <w:proofErr w:type="gramEnd"/>
            <w:r w:rsidRPr="008B213B">
              <w:t xml:space="preserve"> strategy </w:t>
            </w:r>
          </w:p>
        </w:tc>
        <w:tc>
          <w:tcPr>
            <w:tcW w:w="5350" w:type="dxa"/>
          </w:tcPr>
          <w:p w14:paraId="40740D80" w14:textId="77777777" w:rsidR="003B0201" w:rsidRPr="008B213B" w:rsidRDefault="003B0201" w:rsidP="008B213B">
            <w:pPr>
              <w:cnfStyle w:val="000000000000" w:firstRow="0" w:lastRow="0" w:firstColumn="0" w:lastColumn="0" w:oddVBand="0" w:evenVBand="0" w:oddHBand="0" w:evenHBand="0" w:firstRowFirstColumn="0" w:firstRowLastColumn="0" w:lastRowFirstColumn="0" w:lastRowLastColumn="0"/>
            </w:pPr>
            <w:r w:rsidRPr="008B213B">
              <w:t>The most optimistic recovery and catch-up strategies to determine the largest likely surge in resource requirements and best health outcomes</w:t>
            </w:r>
          </w:p>
        </w:tc>
      </w:tr>
      <w:tr w:rsidR="003B0201" w:rsidRPr="008B213B" w14:paraId="331634D4" w14:textId="77777777" w:rsidTr="008B2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2FF4F730" w14:textId="77777777" w:rsidR="003B0201" w:rsidRPr="008B213B" w:rsidRDefault="003B0201" w:rsidP="008B213B">
            <w:r w:rsidRPr="008B213B">
              <w:lastRenderedPageBreak/>
              <w:t>7</w:t>
            </w:r>
          </w:p>
        </w:tc>
        <w:tc>
          <w:tcPr>
            <w:tcW w:w="1542" w:type="dxa"/>
          </w:tcPr>
          <w:p w14:paraId="63BBB950" w14:textId="77777777" w:rsidR="003B0201" w:rsidRPr="008B213B" w:rsidRDefault="003B0201" w:rsidP="008B213B">
            <w:pPr>
              <w:cnfStyle w:val="000000100000" w:firstRow="0" w:lastRow="0" w:firstColumn="0" w:lastColumn="0" w:oddVBand="0" w:evenVBand="0" w:oddHBand="1" w:evenHBand="0" w:firstRowFirstColumn="0" w:firstRowLastColumn="0" w:lastRowFirstColumn="0" w:lastRowLastColumn="0"/>
            </w:pPr>
            <w:r w:rsidRPr="008B213B">
              <w:t>12 months</w:t>
            </w:r>
          </w:p>
        </w:tc>
        <w:tc>
          <w:tcPr>
            <w:tcW w:w="1923" w:type="dxa"/>
          </w:tcPr>
          <w:p w14:paraId="33C119D7" w14:textId="77777777" w:rsidR="003B0201" w:rsidRPr="008B213B" w:rsidRDefault="003B0201" w:rsidP="008B213B">
            <w:pPr>
              <w:cnfStyle w:val="000000100000" w:firstRow="0" w:lastRow="0" w:firstColumn="0" w:lastColumn="0" w:oddVBand="0" w:evenVBand="0" w:oddHBand="1" w:evenHBand="0" w:firstRowFirstColumn="0" w:firstRowLastColumn="0" w:lastRowFirstColumn="0" w:lastRowLastColumn="0"/>
            </w:pPr>
            <w:r w:rsidRPr="008B213B">
              <w:t>50% reduction</w:t>
            </w:r>
          </w:p>
        </w:tc>
        <w:tc>
          <w:tcPr>
            <w:tcW w:w="4593" w:type="dxa"/>
          </w:tcPr>
          <w:p w14:paraId="1209168A" w14:textId="77777777" w:rsidR="003B0201" w:rsidRPr="008B213B" w:rsidRDefault="003B0201" w:rsidP="008B213B">
            <w:pPr>
              <w:cnfStyle w:val="000000100000" w:firstRow="0" w:lastRow="0" w:firstColumn="0" w:lastColumn="0" w:oddVBand="0" w:evenVBand="0" w:oddHBand="1" w:evenHBand="0" w:firstRowFirstColumn="0" w:firstRowLastColumn="0" w:lastRowFirstColumn="0" w:lastRowLastColumn="0"/>
            </w:pPr>
            <w:r w:rsidRPr="008B213B">
              <w:t xml:space="preserve">All eligible people who missed screening in 2020 are invited in 2021 at usual participation rates with comprehensive </w:t>
            </w:r>
            <w:proofErr w:type="gramStart"/>
            <w:r w:rsidRPr="008B213B">
              <w:t>catch up</w:t>
            </w:r>
            <w:proofErr w:type="gramEnd"/>
            <w:r w:rsidRPr="008B213B">
              <w:t xml:space="preserve"> strategy</w:t>
            </w:r>
          </w:p>
        </w:tc>
        <w:tc>
          <w:tcPr>
            <w:tcW w:w="5350" w:type="dxa"/>
          </w:tcPr>
          <w:p w14:paraId="01B25FEA" w14:textId="77777777" w:rsidR="003B0201" w:rsidRPr="008B213B" w:rsidRDefault="003B0201" w:rsidP="008B213B">
            <w:pPr>
              <w:cnfStyle w:val="000000100000" w:firstRow="0" w:lastRow="0" w:firstColumn="0" w:lastColumn="0" w:oddVBand="0" w:evenVBand="0" w:oddHBand="1" w:evenHBand="0" w:firstRowFirstColumn="0" w:firstRowLastColumn="0" w:lastRowFirstColumn="0" w:lastRowLastColumn="0"/>
            </w:pPr>
            <w:r w:rsidRPr="008B213B">
              <w:t>A more conservative recovery strategy but comprehensive catch-up strategy to determine the resource requirements and health outcomes</w:t>
            </w:r>
          </w:p>
        </w:tc>
      </w:tr>
    </w:tbl>
    <w:p w14:paraId="64205176" w14:textId="77777777" w:rsidR="00977D90" w:rsidRPr="00D41284" w:rsidRDefault="00977D90" w:rsidP="00D41284"/>
    <w:p w14:paraId="46E1F6E8" w14:textId="77777777" w:rsidR="000E480A" w:rsidRDefault="000E480A" w:rsidP="00550F4F">
      <w:pPr>
        <w:pStyle w:val="Caption"/>
        <w:keepNext/>
        <w:sectPr w:rsidR="000E480A" w:rsidSect="0067591D">
          <w:headerReference w:type="default" r:id="rId14"/>
          <w:footerReference w:type="default" r:id="rId15"/>
          <w:pgSz w:w="16838" w:h="11906" w:orient="landscape"/>
          <w:pgMar w:top="1440" w:right="1440" w:bottom="1440" w:left="1440" w:header="708" w:footer="708" w:gutter="0"/>
          <w:cols w:space="708"/>
          <w:docGrid w:linePitch="360"/>
        </w:sectPr>
      </w:pPr>
    </w:p>
    <w:p w14:paraId="75807360" w14:textId="3C7822AE" w:rsidR="009335C6" w:rsidRPr="00D41284" w:rsidRDefault="009558D4" w:rsidP="00D41284">
      <w:pPr>
        <w:pStyle w:val="Caption"/>
        <w:keepNext/>
      </w:pPr>
      <w:r w:rsidRPr="004866BE">
        <w:lastRenderedPageBreak/>
        <w:t xml:space="preserve">Table </w:t>
      </w:r>
      <w:r w:rsidR="00937A16" w:rsidRPr="004866BE">
        <w:t>2</w:t>
      </w:r>
      <w:r w:rsidRPr="004866BE">
        <w:t xml:space="preserve"> –</w:t>
      </w:r>
      <w:r w:rsidR="001835AF" w:rsidRPr="004866BE">
        <w:t xml:space="preserve"> </w:t>
      </w:r>
      <w:r w:rsidR="007B316C" w:rsidRPr="004866BE">
        <w:t>O</w:t>
      </w:r>
      <w:r w:rsidRPr="004866BE">
        <w:t>utcomes</w:t>
      </w:r>
      <w:r w:rsidR="00550F4F" w:rsidRPr="004866BE">
        <w:t xml:space="preserve"> for the comparator – NBCSP screening continues in 2020-2021 with no change to participation rates or </w:t>
      </w:r>
      <w:r w:rsidR="00A25414" w:rsidRPr="004866BE">
        <w:t>compliance</w:t>
      </w:r>
      <w:r w:rsidR="00FE458E" w:rsidRPr="004866BE">
        <w:t xml:space="preserve">. Note that these outcomes are only </w:t>
      </w:r>
      <w:r w:rsidR="004C6130" w:rsidRPr="004866BE">
        <w:t xml:space="preserve">for </w:t>
      </w:r>
      <w:r w:rsidR="00FE458E" w:rsidRPr="004866BE">
        <w:t>the modelled cohorts – those born 1945</w:t>
      </w:r>
      <w:r w:rsidR="28751271" w:rsidRPr="004866BE">
        <w:t>-</w:t>
      </w:r>
      <w:r w:rsidR="00FE458E" w:rsidRPr="004866BE">
        <w:t>1971, and therefore eligible for screening in 2020/2021.</w:t>
      </w:r>
      <w:r w:rsidR="00CE28DF" w:rsidRPr="004866BE">
        <w:t xml:space="preserve"> All values are shown to two significant figures.</w:t>
      </w:r>
    </w:p>
    <w:tbl>
      <w:tblPr>
        <w:tblStyle w:val="GridTable4-Accent1"/>
        <w:tblW w:w="14283" w:type="dxa"/>
        <w:tblLayout w:type="fixed"/>
        <w:tblLook w:val="04A0" w:firstRow="1" w:lastRow="0" w:firstColumn="1" w:lastColumn="0" w:noHBand="0" w:noVBand="1"/>
        <w:tblDescription w:val="Table 2 – Outcomes for the comparator – NBCSP screening continues in 2020-2021 with no change to participation rates or compliance. Note that these outcomes are only for the modelled cohorts – those born 1945-1971, and therefore eligible for screening in 2020/2021. All values are shown to two significant figures."/>
      </w:tblPr>
      <w:tblGrid>
        <w:gridCol w:w="1384"/>
        <w:gridCol w:w="709"/>
        <w:gridCol w:w="709"/>
        <w:gridCol w:w="708"/>
        <w:gridCol w:w="709"/>
        <w:gridCol w:w="709"/>
        <w:gridCol w:w="709"/>
        <w:gridCol w:w="992"/>
        <w:gridCol w:w="815"/>
        <w:gridCol w:w="815"/>
        <w:gridCol w:w="815"/>
        <w:gridCol w:w="815"/>
        <w:gridCol w:w="851"/>
        <w:gridCol w:w="992"/>
        <w:gridCol w:w="992"/>
        <w:gridCol w:w="709"/>
        <w:gridCol w:w="850"/>
      </w:tblGrid>
      <w:tr w:rsidR="00E47A48" w:rsidRPr="008B213B" w14:paraId="75849E0B" w14:textId="77777777" w:rsidTr="008B213B">
        <w:trPr>
          <w:cnfStyle w:val="100000000000" w:firstRow="1" w:lastRow="0" w:firstColumn="0" w:lastColumn="0" w:oddVBand="0" w:evenVBand="0" w:oddHBand="0" w:evenHBand="0" w:firstRowFirstColumn="0" w:firstRowLastColumn="0" w:lastRowFirstColumn="0" w:lastRowLastColumn="0"/>
          <w:trHeight w:val="547"/>
          <w:tblHeader/>
        </w:trPr>
        <w:tc>
          <w:tcPr>
            <w:cnfStyle w:val="001000000000" w:firstRow="0" w:lastRow="0" w:firstColumn="1" w:lastColumn="0" w:oddVBand="0" w:evenVBand="0" w:oddHBand="0" w:evenHBand="0" w:firstRowFirstColumn="0" w:firstRowLastColumn="0" w:lastRowFirstColumn="0" w:lastRowLastColumn="0"/>
            <w:tcW w:w="1384" w:type="dxa"/>
            <w:vMerge w:val="restart"/>
            <w:hideMark/>
          </w:tcPr>
          <w:p w14:paraId="43DEF943" w14:textId="22D6662E" w:rsidR="00E47A48" w:rsidRPr="008B213B" w:rsidRDefault="00E47A48" w:rsidP="008B213B">
            <w:r w:rsidRPr="008B213B">
              <w:t xml:space="preserve">Outcome </w:t>
            </w:r>
          </w:p>
        </w:tc>
        <w:tc>
          <w:tcPr>
            <w:tcW w:w="2835" w:type="dxa"/>
            <w:gridSpan w:val="4"/>
            <w:hideMark/>
          </w:tcPr>
          <w:p w14:paraId="097EB03A" w14:textId="1C2BFA26" w:rsidR="00E47A48" w:rsidRPr="008B213B" w:rsidRDefault="00E47A48" w:rsidP="008B213B">
            <w:pPr>
              <w:cnfStyle w:val="100000000000" w:firstRow="1" w:lastRow="0" w:firstColumn="0" w:lastColumn="0" w:oddVBand="0" w:evenVBand="0" w:oddHBand="0" w:evenHBand="0" w:firstRowFirstColumn="0" w:firstRowLastColumn="0" w:lastRowFirstColumn="0" w:lastRowLastColumn="0"/>
            </w:pPr>
            <w:r w:rsidRPr="008B213B">
              <w:t>Adenomas detected by the NBCSP </w:t>
            </w:r>
          </w:p>
        </w:tc>
        <w:tc>
          <w:tcPr>
            <w:tcW w:w="5670" w:type="dxa"/>
            <w:gridSpan w:val="7"/>
            <w:hideMark/>
          </w:tcPr>
          <w:p w14:paraId="5C3B6507" w14:textId="77777777" w:rsidR="00E47A48" w:rsidRPr="008B213B" w:rsidRDefault="00E47A48" w:rsidP="008B213B">
            <w:pPr>
              <w:cnfStyle w:val="100000000000" w:firstRow="1" w:lastRow="0" w:firstColumn="0" w:lastColumn="0" w:oddVBand="0" w:evenVBand="0" w:oddHBand="0" w:evenHBand="0" w:firstRowFirstColumn="0" w:firstRowLastColumn="0" w:lastRowFirstColumn="0" w:lastRowLastColumn="0"/>
            </w:pPr>
            <w:r w:rsidRPr="008B213B">
              <w:t xml:space="preserve">CRC </w:t>
            </w:r>
            <w:r w:rsidR="002A605A" w:rsidRPr="008B213B">
              <w:t>cases</w:t>
            </w:r>
          </w:p>
        </w:tc>
        <w:tc>
          <w:tcPr>
            <w:tcW w:w="851" w:type="dxa"/>
            <w:vMerge w:val="restart"/>
            <w:hideMark/>
          </w:tcPr>
          <w:p w14:paraId="6D9FB414" w14:textId="77777777" w:rsidR="00E47A48" w:rsidRPr="008B213B" w:rsidRDefault="00E47A48" w:rsidP="008B213B">
            <w:pPr>
              <w:cnfStyle w:val="100000000000" w:firstRow="1" w:lastRow="0" w:firstColumn="0" w:lastColumn="0" w:oddVBand="0" w:evenVBand="0" w:oddHBand="0" w:evenHBand="0" w:firstRowFirstColumn="0" w:firstRowLastColumn="0" w:lastRowFirstColumn="0" w:lastRowLastColumn="0"/>
            </w:pPr>
            <w:r w:rsidRPr="008B213B">
              <w:t>CRC Deaths</w:t>
            </w:r>
          </w:p>
        </w:tc>
        <w:tc>
          <w:tcPr>
            <w:tcW w:w="1984" w:type="dxa"/>
            <w:gridSpan w:val="2"/>
            <w:vMerge w:val="restart"/>
            <w:hideMark/>
          </w:tcPr>
          <w:p w14:paraId="22CC4ABE" w14:textId="77777777" w:rsidR="00E47A48" w:rsidRPr="008B213B" w:rsidRDefault="00E47A48" w:rsidP="008B213B">
            <w:pPr>
              <w:cnfStyle w:val="100000000000" w:firstRow="1" w:lastRow="0" w:firstColumn="0" w:lastColumn="0" w:oddVBand="0" w:evenVBand="0" w:oddHBand="0" w:evenHBand="0" w:firstRowFirstColumn="0" w:firstRowLastColumn="0" w:lastRowFirstColumn="0" w:lastRowLastColumn="0"/>
            </w:pPr>
            <w:r w:rsidRPr="008B213B">
              <w:t xml:space="preserve">Number of NBCSP </w:t>
            </w:r>
            <w:proofErr w:type="spellStart"/>
            <w:r w:rsidRPr="008B213B">
              <w:t>iFOBT</w:t>
            </w:r>
            <w:proofErr w:type="spellEnd"/>
            <w:r w:rsidRPr="008B213B">
              <w:t xml:space="preserve"> kits returned </w:t>
            </w:r>
          </w:p>
        </w:tc>
        <w:tc>
          <w:tcPr>
            <w:tcW w:w="1559" w:type="dxa"/>
            <w:gridSpan w:val="2"/>
            <w:vMerge w:val="restart"/>
            <w:hideMark/>
          </w:tcPr>
          <w:p w14:paraId="125C2F05" w14:textId="77777777" w:rsidR="00E47A48" w:rsidRPr="008B213B" w:rsidRDefault="3A87C089" w:rsidP="008B213B">
            <w:pPr>
              <w:cnfStyle w:val="100000000000" w:firstRow="1" w:lastRow="0" w:firstColumn="0" w:lastColumn="0" w:oddVBand="0" w:evenVBand="0" w:oddHBand="0" w:evenHBand="0" w:firstRowFirstColumn="0" w:firstRowLastColumn="0" w:lastRowFirstColumn="0" w:lastRowLastColumn="0"/>
            </w:pPr>
            <w:r w:rsidRPr="008B213B">
              <w:t>NBCSP-related colonoscopy demand</w:t>
            </w:r>
            <w:r w:rsidR="009335C6" w:rsidRPr="008B213B">
              <w:t xml:space="preserve"> a</w:t>
            </w:r>
          </w:p>
        </w:tc>
      </w:tr>
      <w:tr w:rsidR="0032489B" w:rsidRPr="008B213B" w14:paraId="348F21E2" w14:textId="77777777" w:rsidTr="008B213B">
        <w:trPr>
          <w:cnfStyle w:val="100000000000" w:firstRow="1" w:lastRow="0" w:firstColumn="0" w:lastColumn="0" w:oddVBand="0" w:evenVBand="0" w:oddHBand="0" w:evenHBand="0" w:firstRowFirstColumn="0" w:firstRowLastColumn="0" w:lastRowFirstColumn="0" w:lastRowLastColumn="0"/>
          <w:trHeight w:val="548"/>
          <w:tblHeader/>
        </w:trPr>
        <w:tc>
          <w:tcPr>
            <w:cnfStyle w:val="001000000000" w:firstRow="0" w:lastRow="0" w:firstColumn="1" w:lastColumn="0" w:oddVBand="0" w:evenVBand="0" w:oddHBand="0" w:evenHBand="0" w:firstRowFirstColumn="0" w:firstRowLastColumn="0" w:lastRowFirstColumn="0" w:lastRowLastColumn="0"/>
            <w:tcW w:w="1384" w:type="dxa"/>
            <w:vMerge/>
            <w:hideMark/>
          </w:tcPr>
          <w:p w14:paraId="7BAFF3EB" w14:textId="77777777" w:rsidR="00E47A48" w:rsidRPr="008B213B" w:rsidRDefault="00E47A48" w:rsidP="008B213B"/>
        </w:tc>
        <w:tc>
          <w:tcPr>
            <w:tcW w:w="1418" w:type="dxa"/>
            <w:gridSpan w:val="2"/>
            <w:hideMark/>
          </w:tcPr>
          <w:p w14:paraId="7401A349" w14:textId="161AC609" w:rsidR="00E47A48" w:rsidRPr="008B213B" w:rsidRDefault="00E47A48" w:rsidP="008B213B">
            <w:pPr>
              <w:pStyle w:val="TableofAuthorities"/>
              <w:cnfStyle w:val="100000000000" w:firstRow="1" w:lastRow="0" w:firstColumn="0" w:lastColumn="0" w:oddVBand="0" w:evenVBand="0" w:oddHBand="0" w:evenHBand="0" w:firstRowFirstColumn="0" w:firstRowLastColumn="0" w:lastRowFirstColumn="0" w:lastRowLastColumn="0"/>
            </w:pPr>
            <w:r w:rsidRPr="008B213B">
              <w:t>Any</w:t>
            </w:r>
          </w:p>
        </w:tc>
        <w:tc>
          <w:tcPr>
            <w:tcW w:w="1417" w:type="dxa"/>
            <w:gridSpan w:val="2"/>
            <w:hideMark/>
          </w:tcPr>
          <w:p w14:paraId="65D8F005" w14:textId="5E284417" w:rsidR="00E47A48" w:rsidRPr="008B213B" w:rsidRDefault="00E47A48" w:rsidP="008B213B">
            <w:pPr>
              <w:pStyle w:val="TableofAuthorities"/>
              <w:cnfStyle w:val="100000000000" w:firstRow="1" w:lastRow="0" w:firstColumn="0" w:lastColumn="0" w:oddVBand="0" w:evenVBand="0" w:oddHBand="0" w:evenHBand="0" w:firstRowFirstColumn="0" w:firstRowLastColumn="0" w:lastRowFirstColumn="0" w:lastRowLastColumn="0"/>
            </w:pPr>
            <w:r w:rsidRPr="008B213B">
              <w:t>Advanced</w:t>
            </w:r>
          </w:p>
        </w:tc>
        <w:tc>
          <w:tcPr>
            <w:tcW w:w="2410" w:type="dxa"/>
            <w:gridSpan w:val="3"/>
            <w:hideMark/>
          </w:tcPr>
          <w:p w14:paraId="29C0451C" w14:textId="49C920B7" w:rsidR="00E47A48" w:rsidRPr="008B213B" w:rsidRDefault="00E47A48" w:rsidP="008B213B">
            <w:pPr>
              <w:pStyle w:val="TableofAuthorities"/>
              <w:cnfStyle w:val="100000000000" w:firstRow="1" w:lastRow="0" w:firstColumn="0" w:lastColumn="0" w:oddVBand="0" w:evenVBand="0" w:oddHBand="0" w:evenHBand="0" w:firstRowFirstColumn="0" w:firstRowLastColumn="0" w:lastRowFirstColumn="0" w:lastRowLastColumn="0"/>
            </w:pPr>
            <w:r w:rsidRPr="008B213B">
              <w:t>Any Stage</w:t>
            </w:r>
          </w:p>
        </w:tc>
        <w:tc>
          <w:tcPr>
            <w:tcW w:w="815" w:type="dxa"/>
            <w:hideMark/>
          </w:tcPr>
          <w:p w14:paraId="50281CDC" w14:textId="77777777" w:rsidR="00E47A48" w:rsidRPr="008B213B" w:rsidRDefault="00E47A48" w:rsidP="008B213B">
            <w:pPr>
              <w:pStyle w:val="TableofAuthorities"/>
              <w:cnfStyle w:val="100000000000" w:firstRow="1" w:lastRow="0" w:firstColumn="0" w:lastColumn="0" w:oddVBand="0" w:evenVBand="0" w:oddHBand="0" w:evenHBand="0" w:firstRowFirstColumn="0" w:firstRowLastColumn="0" w:lastRowFirstColumn="0" w:lastRowLastColumn="0"/>
            </w:pPr>
            <w:r w:rsidRPr="008B213B">
              <w:t>Stage 1</w:t>
            </w:r>
          </w:p>
        </w:tc>
        <w:tc>
          <w:tcPr>
            <w:tcW w:w="815" w:type="dxa"/>
            <w:hideMark/>
          </w:tcPr>
          <w:p w14:paraId="2DE80E06" w14:textId="77777777" w:rsidR="00E47A48" w:rsidRPr="008B213B" w:rsidRDefault="00E47A48" w:rsidP="008B213B">
            <w:pPr>
              <w:pStyle w:val="TableofAuthorities"/>
              <w:cnfStyle w:val="100000000000" w:firstRow="1" w:lastRow="0" w:firstColumn="0" w:lastColumn="0" w:oddVBand="0" w:evenVBand="0" w:oddHBand="0" w:evenHBand="0" w:firstRowFirstColumn="0" w:firstRowLastColumn="0" w:lastRowFirstColumn="0" w:lastRowLastColumn="0"/>
            </w:pPr>
            <w:r w:rsidRPr="008B213B">
              <w:t>Stage 2</w:t>
            </w:r>
          </w:p>
        </w:tc>
        <w:tc>
          <w:tcPr>
            <w:tcW w:w="815" w:type="dxa"/>
            <w:hideMark/>
          </w:tcPr>
          <w:p w14:paraId="3A6EB773" w14:textId="77777777" w:rsidR="00E47A48" w:rsidRPr="008B213B" w:rsidRDefault="00E47A48" w:rsidP="008B213B">
            <w:pPr>
              <w:pStyle w:val="TableofAuthorities"/>
              <w:cnfStyle w:val="100000000000" w:firstRow="1" w:lastRow="0" w:firstColumn="0" w:lastColumn="0" w:oddVBand="0" w:evenVBand="0" w:oddHBand="0" w:evenHBand="0" w:firstRowFirstColumn="0" w:firstRowLastColumn="0" w:lastRowFirstColumn="0" w:lastRowLastColumn="0"/>
            </w:pPr>
            <w:r w:rsidRPr="008B213B">
              <w:t>Stage 3</w:t>
            </w:r>
          </w:p>
        </w:tc>
        <w:tc>
          <w:tcPr>
            <w:tcW w:w="815" w:type="dxa"/>
            <w:hideMark/>
          </w:tcPr>
          <w:p w14:paraId="44808441" w14:textId="77777777" w:rsidR="00E47A48" w:rsidRPr="008B213B" w:rsidRDefault="00E47A48" w:rsidP="008B213B">
            <w:pPr>
              <w:pStyle w:val="TableofAuthorities"/>
              <w:cnfStyle w:val="100000000000" w:firstRow="1" w:lastRow="0" w:firstColumn="0" w:lastColumn="0" w:oddVBand="0" w:evenVBand="0" w:oddHBand="0" w:evenHBand="0" w:firstRowFirstColumn="0" w:firstRowLastColumn="0" w:lastRowFirstColumn="0" w:lastRowLastColumn="0"/>
            </w:pPr>
            <w:r w:rsidRPr="008B213B">
              <w:t>Stage 4</w:t>
            </w:r>
          </w:p>
        </w:tc>
        <w:tc>
          <w:tcPr>
            <w:tcW w:w="851" w:type="dxa"/>
            <w:vMerge/>
            <w:hideMark/>
          </w:tcPr>
          <w:p w14:paraId="115E846A" w14:textId="77777777" w:rsidR="00E47A48" w:rsidRPr="008B213B" w:rsidRDefault="00E47A48" w:rsidP="008B213B">
            <w:pPr>
              <w:cnfStyle w:val="100000000000" w:firstRow="1" w:lastRow="0" w:firstColumn="0" w:lastColumn="0" w:oddVBand="0" w:evenVBand="0" w:oddHBand="0" w:evenHBand="0" w:firstRowFirstColumn="0" w:firstRowLastColumn="0" w:lastRowFirstColumn="0" w:lastRowLastColumn="0"/>
            </w:pPr>
          </w:p>
        </w:tc>
        <w:tc>
          <w:tcPr>
            <w:tcW w:w="1984" w:type="dxa"/>
            <w:gridSpan w:val="2"/>
            <w:vMerge/>
            <w:hideMark/>
          </w:tcPr>
          <w:p w14:paraId="720A7EF7" w14:textId="77777777" w:rsidR="00E47A48" w:rsidRPr="008B213B" w:rsidRDefault="00E47A48" w:rsidP="008B213B">
            <w:pPr>
              <w:cnfStyle w:val="100000000000" w:firstRow="1" w:lastRow="0" w:firstColumn="0" w:lastColumn="0" w:oddVBand="0" w:evenVBand="0" w:oddHBand="0" w:evenHBand="0" w:firstRowFirstColumn="0" w:firstRowLastColumn="0" w:lastRowFirstColumn="0" w:lastRowLastColumn="0"/>
            </w:pPr>
          </w:p>
        </w:tc>
        <w:tc>
          <w:tcPr>
            <w:tcW w:w="1559" w:type="dxa"/>
            <w:gridSpan w:val="2"/>
            <w:vMerge/>
            <w:hideMark/>
          </w:tcPr>
          <w:p w14:paraId="17B5CD3B" w14:textId="77777777" w:rsidR="00E47A48" w:rsidRPr="008B213B" w:rsidRDefault="00E47A48" w:rsidP="008B213B">
            <w:pPr>
              <w:cnfStyle w:val="100000000000" w:firstRow="1" w:lastRow="0" w:firstColumn="0" w:lastColumn="0" w:oddVBand="0" w:evenVBand="0" w:oddHBand="0" w:evenHBand="0" w:firstRowFirstColumn="0" w:firstRowLastColumn="0" w:lastRowFirstColumn="0" w:lastRowLastColumn="0"/>
            </w:pPr>
          </w:p>
        </w:tc>
      </w:tr>
      <w:tr w:rsidR="00227E5B" w:rsidRPr="008B213B" w14:paraId="03C4C5F4" w14:textId="77777777" w:rsidTr="008B213B">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384" w:type="dxa"/>
            <w:hideMark/>
          </w:tcPr>
          <w:p w14:paraId="72139F95" w14:textId="77777777" w:rsidR="00227E5B" w:rsidRPr="008B213B" w:rsidRDefault="00227E5B" w:rsidP="008B213B">
            <w:r w:rsidRPr="008B213B">
              <w:t>Time Period</w:t>
            </w:r>
          </w:p>
        </w:tc>
        <w:tc>
          <w:tcPr>
            <w:tcW w:w="709" w:type="dxa"/>
            <w:hideMark/>
          </w:tcPr>
          <w:p w14:paraId="75DE1814" w14:textId="77777777" w:rsidR="00227E5B" w:rsidRPr="008B213B" w:rsidRDefault="00227E5B" w:rsidP="008B213B">
            <w:pPr>
              <w:cnfStyle w:val="000000100000" w:firstRow="0" w:lastRow="0" w:firstColumn="0" w:lastColumn="0" w:oddVBand="0" w:evenVBand="0" w:oddHBand="1" w:evenHBand="0" w:firstRowFirstColumn="0" w:firstRowLastColumn="0" w:lastRowFirstColumn="0" w:lastRowLastColumn="0"/>
            </w:pPr>
            <w:r w:rsidRPr="008B213B">
              <w:t>2020</w:t>
            </w:r>
          </w:p>
        </w:tc>
        <w:tc>
          <w:tcPr>
            <w:tcW w:w="709" w:type="dxa"/>
            <w:hideMark/>
          </w:tcPr>
          <w:p w14:paraId="644EA855" w14:textId="77777777" w:rsidR="00227E5B" w:rsidRPr="008B213B" w:rsidRDefault="00227E5B" w:rsidP="008B213B">
            <w:pPr>
              <w:cnfStyle w:val="000000100000" w:firstRow="0" w:lastRow="0" w:firstColumn="0" w:lastColumn="0" w:oddVBand="0" w:evenVBand="0" w:oddHBand="1" w:evenHBand="0" w:firstRowFirstColumn="0" w:firstRowLastColumn="0" w:lastRowFirstColumn="0" w:lastRowLastColumn="0"/>
            </w:pPr>
            <w:r w:rsidRPr="008B213B">
              <w:t>2021</w:t>
            </w:r>
          </w:p>
        </w:tc>
        <w:tc>
          <w:tcPr>
            <w:tcW w:w="708" w:type="dxa"/>
            <w:hideMark/>
          </w:tcPr>
          <w:p w14:paraId="389CA277" w14:textId="77777777" w:rsidR="00227E5B" w:rsidRPr="008B213B" w:rsidRDefault="00227E5B" w:rsidP="008B213B">
            <w:pPr>
              <w:cnfStyle w:val="000000100000" w:firstRow="0" w:lastRow="0" w:firstColumn="0" w:lastColumn="0" w:oddVBand="0" w:evenVBand="0" w:oddHBand="1" w:evenHBand="0" w:firstRowFirstColumn="0" w:firstRowLastColumn="0" w:lastRowFirstColumn="0" w:lastRowLastColumn="0"/>
            </w:pPr>
            <w:r w:rsidRPr="008B213B">
              <w:t>2020</w:t>
            </w:r>
          </w:p>
        </w:tc>
        <w:tc>
          <w:tcPr>
            <w:tcW w:w="709" w:type="dxa"/>
            <w:hideMark/>
          </w:tcPr>
          <w:p w14:paraId="6C11840C" w14:textId="77777777" w:rsidR="00227E5B" w:rsidRPr="008B213B" w:rsidRDefault="00227E5B" w:rsidP="008B213B">
            <w:pPr>
              <w:cnfStyle w:val="000000100000" w:firstRow="0" w:lastRow="0" w:firstColumn="0" w:lastColumn="0" w:oddVBand="0" w:evenVBand="0" w:oddHBand="1" w:evenHBand="0" w:firstRowFirstColumn="0" w:firstRowLastColumn="0" w:lastRowFirstColumn="0" w:lastRowLastColumn="0"/>
            </w:pPr>
            <w:r w:rsidRPr="008B213B">
              <w:t>2021</w:t>
            </w:r>
          </w:p>
        </w:tc>
        <w:tc>
          <w:tcPr>
            <w:tcW w:w="709" w:type="dxa"/>
            <w:hideMark/>
          </w:tcPr>
          <w:p w14:paraId="7703B1DF" w14:textId="77777777" w:rsidR="00227E5B" w:rsidRPr="008B213B" w:rsidRDefault="00227E5B" w:rsidP="008B213B">
            <w:pPr>
              <w:cnfStyle w:val="000000100000" w:firstRow="0" w:lastRow="0" w:firstColumn="0" w:lastColumn="0" w:oddVBand="0" w:evenVBand="0" w:oddHBand="1" w:evenHBand="0" w:firstRowFirstColumn="0" w:firstRowLastColumn="0" w:lastRowFirstColumn="0" w:lastRowLastColumn="0"/>
            </w:pPr>
            <w:r w:rsidRPr="008B213B">
              <w:t>2020</w:t>
            </w:r>
          </w:p>
        </w:tc>
        <w:tc>
          <w:tcPr>
            <w:tcW w:w="709" w:type="dxa"/>
            <w:hideMark/>
          </w:tcPr>
          <w:p w14:paraId="63CBBF68" w14:textId="77777777" w:rsidR="00227E5B" w:rsidRPr="008B213B" w:rsidRDefault="00227E5B" w:rsidP="008B213B">
            <w:pPr>
              <w:cnfStyle w:val="000000100000" w:firstRow="0" w:lastRow="0" w:firstColumn="0" w:lastColumn="0" w:oddVBand="0" w:evenVBand="0" w:oddHBand="1" w:evenHBand="0" w:firstRowFirstColumn="0" w:firstRowLastColumn="0" w:lastRowFirstColumn="0" w:lastRowLastColumn="0"/>
            </w:pPr>
            <w:r w:rsidRPr="008B213B">
              <w:t>2021</w:t>
            </w:r>
          </w:p>
        </w:tc>
        <w:tc>
          <w:tcPr>
            <w:tcW w:w="992" w:type="dxa"/>
            <w:hideMark/>
          </w:tcPr>
          <w:p w14:paraId="1A7ADB51" w14:textId="77777777" w:rsidR="00227E5B" w:rsidRPr="008B213B" w:rsidRDefault="00227E5B" w:rsidP="008B213B">
            <w:pPr>
              <w:cnfStyle w:val="000000100000" w:firstRow="0" w:lastRow="0" w:firstColumn="0" w:lastColumn="0" w:oddVBand="0" w:evenVBand="0" w:oddHBand="1" w:evenHBand="0" w:firstRowFirstColumn="0" w:firstRowLastColumn="0" w:lastRowFirstColumn="0" w:lastRowLastColumn="0"/>
            </w:pPr>
            <w:r w:rsidRPr="008B213B">
              <w:t>2020-2060</w:t>
            </w:r>
          </w:p>
        </w:tc>
        <w:tc>
          <w:tcPr>
            <w:tcW w:w="3260" w:type="dxa"/>
            <w:gridSpan w:val="4"/>
            <w:hideMark/>
          </w:tcPr>
          <w:p w14:paraId="763C606E" w14:textId="77777777" w:rsidR="00227E5B" w:rsidRPr="008B213B" w:rsidRDefault="00227E5B" w:rsidP="008B213B">
            <w:pPr>
              <w:cnfStyle w:val="000000100000" w:firstRow="0" w:lastRow="0" w:firstColumn="0" w:lastColumn="0" w:oddVBand="0" w:evenVBand="0" w:oddHBand="1" w:evenHBand="0" w:firstRowFirstColumn="0" w:firstRowLastColumn="0" w:lastRowFirstColumn="0" w:lastRowLastColumn="0"/>
            </w:pPr>
            <w:r w:rsidRPr="008B213B">
              <w:t>2020-2060</w:t>
            </w:r>
          </w:p>
          <w:p w14:paraId="054C4A09" w14:textId="77777777" w:rsidR="00227E5B" w:rsidRPr="008B213B" w:rsidRDefault="00227E5B" w:rsidP="008B213B">
            <w:pPr>
              <w:cnfStyle w:val="000000100000" w:firstRow="0" w:lastRow="0" w:firstColumn="0" w:lastColumn="0" w:oddVBand="0" w:evenVBand="0" w:oddHBand="1" w:evenHBand="0" w:firstRowFirstColumn="0" w:firstRowLastColumn="0" w:lastRowFirstColumn="0" w:lastRowLastColumn="0"/>
            </w:pPr>
          </w:p>
        </w:tc>
        <w:tc>
          <w:tcPr>
            <w:tcW w:w="851" w:type="dxa"/>
            <w:hideMark/>
          </w:tcPr>
          <w:p w14:paraId="5AC0E84D" w14:textId="77777777" w:rsidR="00227E5B" w:rsidRPr="008B213B" w:rsidRDefault="00227E5B" w:rsidP="008B213B">
            <w:pPr>
              <w:cnfStyle w:val="000000100000" w:firstRow="0" w:lastRow="0" w:firstColumn="0" w:lastColumn="0" w:oddVBand="0" w:evenVBand="0" w:oddHBand="1" w:evenHBand="0" w:firstRowFirstColumn="0" w:firstRowLastColumn="0" w:lastRowFirstColumn="0" w:lastRowLastColumn="0"/>
            </w:pPr>
            <w:r w:rsidRPr="008B213B">
              <w:t>2020-2060</w:t>
            </w:r>
          </w:p>
        </w:tc>
        <w:tc>
          <w:tcPr>
            <w:tcW w:w="992" w:type="dxa"/>
            <w:hideMark/>
          </w:tcPr>
          <w:p w14:paraId="359CB22E" w14:textId="77777777" w:rsidR="00227E5B" w:rsidRPr="008B213B" w:rsidRDefault="00227E5B" w:rsidP="008B213B">
            <w:pPr>
              <w:cnfStyle w:val="000000100000" w:firstRow="0" w:lastRow="0" w:firstColumn="0" w:lastColumn="0" w:oddVBand="0" w:evenVBand="0" w:oddHBand="1" w:evenHBand="0" w:firstRowFirstColumn="0" w:firstRowLastColumn="0" w:lastRowFirstColumn="0" w:lastRowLastColumn="0"/>
            </w:pPr>
            <w:r w:rsidRPr="008B213B">
              <w:t>2020</w:t>
            </w:r>
          </w:p>
        </w:tc>
        <w:tc>
          <w:tcPr>
            <w:tcW w:w="992" w:type="dxa"/>
            <w:hideMark/>
          </w:tcPr>
          <w:p w14:paraId="576C713E" w14:textId="77777777" w:rsidR="00227E5B" w:rsidRPr="008B213B" w:rsidRDefault="00227E5B" w:rsidP="008B213B">
            <w:pPr>
              <w:cnfStyle w:val="000000100000" w:firstRow="0" w:lastRow="0" w:firstColumn="0" w:lastColumn="0" w:oddVBand="0" w:evenVBand="0" w:oddHBand="1" w:evenHBand="0" w:firstRowFirstColumn="0" w:firstRowLastColumn="0" w:lastRowFirstColumn="0" w:lastRowLastColumn="0"/>
            </w:pPr>
            <w:r w:rsidRPr="008B213B">
              <w:t>2021</w:t>
            </w:r>
          </w:p>
        </w:tc>
        <w:tc>
          <w:tcPr>
            <w:tcW w:w="709" w:type="dxa"/>
            <w:hideMark/>
          </w:tcPr>
          <w:p w14:paraId="76412BE4" w14:textId="77777777" w:rsidR="00227E5B" w:rsidRPr="008B213B" w:rsidRDefault="00227E5B" w:rsidP="008B213B">
            <w:pPr>
              <w:cnfStyle w:val="000000100000" w:firstRow="0" w:lastRow="0" w:firstColumn="0" w:lastColumn="0" w:oddVBand="0" w:evenVBand="0" w:oddHBand="1" w:evenHBand="0" w:firstRowFirstColumn="0" w:firstRowLastColumn="0" w:lastRowFirstColumn="0" w:lastRowLastColumn="0"/>
            </w:pPr>
            <w:r w:rsidRPr="008B213B">
              <w:t>2020</w:t>
            </w:r>
          </w:p>
        </w:tc>
        <w:tc>
          <w:tcPr>
            <w:tcW w:w="850" w:type="dxa"/>
            <w:hideMark/>
          </w:tcPr>
          <w:p w14:paraId="3D3DB7E6" w14:textId="77777777" w:rsidR="00227E5B" w:rsidRPr="008B213B" w:rsidRDefault="00227E5B" w:rsidP="008B213B">
            <w:pPr>
              <w:cnfStyle w:val="000000100000" w:firstRow="0" w:lastRow="0" w:firstColumn="0" w:lastColumn="0" w:oddVBand="0" w:evenVBand="0" w:oddHBand="1" w:evenHBand="0" w:firstRowFirstColumn="0" w:firstRowLastColumn="0" w:lastRowFirstColumn="0" w:lastRowLastColumn="0"/>
            </w:pPr>
            <w:r w:rsidRPr="008B213B">
              <w:t>2021</w:t>
            </w:r>
          </w:p>
        </w:tc>
      </w:tr>
      <w:tr w:rsidR="008B213B" w:rsidRPr="008B213B" w14:paraId="65CC7901" w14:textId="77777777" w:rsidTr="008B213B">
        <w:trPr>
          <w:trHeight w:val="567"/>
        </w:trPr>
        <w:tc>
          <w:tcPr>
            <w:cnfStyle w:val="001000000000" w:firstRow="0" w:lastRow="0" w:firstColumn="1" w:lastColumn="0" w:oddVBand="0" w:evenVBand="0" w:oddHBand="0" w:evenHBand="0" w:firstRowFirstColumn="0" w:firstRowLastColumn="0" w:lastRowFirstColumn="0" w:lastRowLastColumn="0"/>
            <w:tcW w:w="1384" w:type="dxa"/>
            <w:hideMark/>
          </w:tcPr>
          <w:p w14:paraId="2EEADB7D" w14:textId="77777777" w:rsidR="00D91DC2" w:rsidRPr="008B213B" w:rsidRDefault="00D91DC2" w:rsidP="008B213B">
            <w:r w:rsidRPr="008B213B">
              <w:t>Value for all individuals born 1945-1971</w:t>
            </w:r>
          </w:p>
        </w:tc>
        <w:tc>
          <w:tcPr>
            <w:tcW w:w="709" w:type="dxa"/>
            <w:hideMark/>
          </w:tcPr>
          <w:p w14:paraId="02F30695" w14:textId="77777777" w:rsidR="00D91DC2" w:rsidRPr="008B213B" w:rsidRDefault="00D91DC2" w:rsidP="008B213B">
            <w:pPr>
              <w:cnfStyle w:val="000000000000" w:firstRow="0" w:lastRow="0" w:firstColumn="0" w:lastColumn="0" w:oddVBand="0" w:evenVBand="0" w:oddHBand="0" w:evenHBand="0" w:firstRowFirstColumn="0" w:firstRowLastColumn="0" w:lastRowFirstColumn="0" w:lastRowLastColumn="0"/>
            </w:pPr>
            <w:r w:rsidRPr="008B213B">
              <w:t>33,000</w:t>
            </w:r>
          </w:p>
        </w:tc>
        <w:tc>
          <w:tcPr>
            <w:tcW w:w="709" w:type="dxa"/>
            <w:hideMark/>
          </w:tcPr>
          <w:p w14:paraId="40503023" w14:textId="77777777" w:rsidR="00D91DC2" w:rsidRPr="008B213B" w:rsidRDefault="00D91DC2" w:rsidP="008B213B">
            <w:pPr>
              <w:cnfStyle w:val="000000000000" w:firstRow="0" w:lastRow="0" w:firstColumn="0" w:lastColumn="0" w:oddVBand="0" w:evenVBand="0" w:oddHBand="0" w:evenHBand="0" w:firstRowFirstColumn="0" w:firstRowLastColumn="0" w:lastRowFirstColumn="0" w:lastRowLastColumn="0"/>
            </w:pPr>
            <w:r w:rsidRPr="008B213B">
              <w:t>32,000</w:t>
            </w:r>
          </w:p>
        </w:tc>
        <w:tc>
          <w:tcPr>
            <w:tcW w:w="708" w:type="dxa"/>
            <w:hideMark/>
          </w:tcPr>
          <w:p w14:paraId="5F53766C" w14:textId="77777777" w:rsidR="00D91DC2" w:rsidRPr="008B213B" w:rsidRDefault="00D91DC2" w:rsidP="008B213B">
            <w:pPr>
              <w:cnfStyle w:val="000000000000" w:firstRow="0" w:lastRow="0" w:firstColumn="0" w:lastColumn="0" w:oddVBand="0" w:evenVBand="0" w:oddHBand="0" w:evenHBand="0" w:firstRowFirstColumn="0" w:firstRowLastColumn="0" w:lastRowFirstColumn="0" w:lastRowLastColumn="0"/>
            </w:pPr>
            <w:r w:rsidRPr="008B213B">
              <w:t>18,000</w:t>
            </w:r>
          </w:p>
        </w:tc>
        <w:tc>
          <w:tcPr>
            <w:tcW w:w="709" w:type="dxa"/>
            <w:hideMark/>
          </w:tcPr>
          <w:p w14:paraId="1FF2F78F" w14:textId="77777777" w:rsidR="00D91DC2" w:rsidRPr="008B213B" w:rsidRDefault="00D91DC2" w:rsidP="008B213B">
            <w:pPr>
              <w:cnfStyle w:val="000000000000" w:firstRow="0" w:lastRow="0" w:firstColumn="0" w:lastColumn="0" w:oddVBand="0" w:evenVBand="0" w:oddHBand="0" w:evenHBand="0" w:firstRowFirstColumn="0" w:firstRowLastColumn="0" w:lastRowFirstColumn="0" w:lastRowLastColumn="0"/>
            </w:pPr>
            <w:r w:rsidRPr="008B213B">
              <w:t>17,000</w:t>
            </w:r>
          </w:p>
        </w:tc>
        <w:tc>
          <w:tcPr>
            <w:tcW w:w="709" w:type="dxa"/>
            <w:hideMark/>
          </w:tcPr>
          <w:p w14:paraId="470FF91F" w14:textId="77777777" w:rsidR="00D91DC2" w:rsidRPr="008B213B" w:rsidRDefault="00D91DC2" w:rsidP="008B213B">
            <w:pPr>
              <w:cnfStyle w:val="000000000000" w:firstRow="0" w:lastRow="0" w:firstColumn="0" w:lastColumn="0" w:oddVBand="0" w:evenVBand="0" w:oddHBand="0" w:evenHBand="0" w:firstRowFirstColumn="0" w:firstRowLastColumn="0" w:lastRowFirstColumn="0" w:lastRowLastColumn="0"/>
            </w:pPr>
            <w:r w:rsidRPr="008B213B">
              <w:t>10,000</w:t>
            </w:r>
          </w:p>
        </w:tc>
        <w:tc>
          <w:tcPr>
            <w:tcW w:w="709" w:type="dxa"/>
            <w:hideMark/>
          </w:tcPr>
          <w:p w14:paraId="4AD501BD" w14:textId="77777777" w:rsidR="00D91DC2" w:rsidRPr="008B213B" w:rsidRDefault="00D91DC2" w:rsidP="008B213B">
            <w:pPr>
              <w:cnfStyle w:val="000000000000" w:firstRow="0" w:lastRow="0" w:firstColumn="0" w:lastColumn="0" w:oddVBand="0" w:evenVBand="0" w:oddHBand="0" w:evenHBand="0" w:firstRowFirstColumn="0" w:firstRowLastColumn="0" w:lastRowFirstColumn="0" w:lastRowLastColumn="0"/>
            </w:pPr>
            <w:r w:rsidRPr="008B213B">
              <w:t>10,000</w:t>
            </w:r>
          </w:p>
        </w:tc>
        <w:tc>
          <w:tcPr>
            <w:tcW w:w="992" w:type="dxa"/>
            <w:hideMark/>
          </w:tcPr>
          <w:p w14:paraId="68B08394" w14:textId="77777777" w:rsidR="00D91DC2" w:rsidRPr="008B213B" w:rsidRDefault="00D91DC2" w:rsidP="008B213B">
            <w:pPr>
              <w:cnfStyle w:val="000000000000" w:firstRow="0" w:lastRow="0" w:firstColumn="0" w:lastColumn="0" w:oddVBand="0" w:evenVBand="0" w:oddHBand="0" w:evenHBand="0" w:firstRowFirstColumn="0" w:firstRowLastColumn="0" w:lastRowFirstColumn="0" w:lastRowLastColumn="0"/>
            </w:pPr>
            <w:r w:rsidRPr="008B213B">
              <w:t>380,000</w:t>
            </w:r>
          </w:p>
        </w:tc>
        <w:tc>
          <w:tcPr>
            <w:tcW w:w="815" w:type="dxa"/>
            <w:hideMark/>
          </w:tcPr>
          <w:p w14:paraId="56B4AF63" w14:textId="77777777" w:rsidR="00D91DC2" w:rsidRPr="008B213B" w:rsidRDefault="00D91DC2" w:rsidP="008B213B">
            <w:pPr>
              <w:cnfStyle w:val="000000000000" w:firstRow="0" w:lastRow="0" w:firstColumn="0" w:lastColumn="0" w:oddVBand="0" w:evenVBand="0" w:oddHBand="0" w:evenHBand="0" w:firstRowFirstColumn="0" w:firstRowLastColumn="0" w:lastRowFirstColumn="0" w:lastRowLastColumn="0"/>
            </w:pPr>
            <w:r w:rsidRPr="008B213B">
              <w:t>83,000</w:t>
            </w:r>
          </w:p>
        </w:tc>
        <w:tc>
          <w:tcPr>
            <w:tcW w:w="815" w:type="dxa"/>
            <w:hideMark/>
          </w:tcPr>
          <w:p w14:paraId="6CB95502" w14:textId="77777777" w:rsidR="00D91DC2" w:rsidRPr="008B213B" w:rsidRDefault="00D91DC2" w:rsidP="008B213B">
            <w:pPr>
              <w:cnfStyle w:val="000000000000" w:firstRow="0" w:lastRow="0" w:firstColumn="0" w:lastColumn="0" w:oddVBand="0" w:evenVBand="0" w:oddHBand="0" w:evenHBand="0" w:firstRowFirstColumn="0" w:firstRowLastColumn="0" w:lastRowFirstColumn="0" w:lastRowLastColumn="0"/>
            </w:pPr>
            <w:r w:rsidRPr="008B213B">
              <w:t>130,000</w:t>
            </w:r>
          </w:p>
        </w:tc>
        <w:tc>
          <w:tcPr>
            <w:tcW w:w="815" w:type="dxa"/>
            <w:hideMark/>
          </w:tcPr>
          <w:p w14:paraId="1CFF2B16" w14:textId="77777777" w:rsidR="00D91DC2" w:rsidRPr="008B213B" w:rsidRDefault="00D91DC2" w:rsidP="008B213B">
            <w:pPr>
              <w:cnfStyle w:val="000000000000" w:firstRow="0" w:lastRow="0" w:firstColumn="0" w:lastColumn="0" w:oddVBand="0" w:evenVBand="0" w:oddHBand="0" w:evenHBand="0" w:firstRowFirstColumn="0" w:firstRowLastColumn="0" w:lastRowFirstColumn="0" w:lastRowLastColumn="0"/>
            </w:pPr>
            <w:r w:rsidRPr="008B213B">
              <w:t>100,000</w:t>
            </w:r>
          </w:p>
        </w:tc>
        <w:tc>
          <w:tcPr>
            <w:tcW w:w="815" w:type="dxa"/>
            <w:hideMark/>
          </w:tcPr>
          <w:p w14:paraId="04249A20" w14:textId="77777777" w:rsidR="00D91DC2" w:rsidRPr="008B213B" w:rsidRDefault="00D91DC2" w:rsidP="008B213B">
            <w:pPr>
              <w:cnfStyle w:val="000000000000" w:firstRow="0" w:lastRow="0" w:firstColumn="0" w:lastColumn="0" w:oddVBand="0" w:evenVBand="0" w:oddHBand="0" w:evenHBand="0" w:firstRowFirstColumn="0" w:firstRowLastColumn="0" w:lastRowFirstColumn="0" w:lastRowLastColumn="0"/>
            </w:pPr>
            <w:r w:rsidRPr="008B213B">
              <w:t>59,000</w:t>
            </w:r>
          </w:p>
        </w:tc>
        <w:tc>
          <w:tcPr>
            <w:tcW w:w="851" w:type="dxa"/>
            <w:hideMark/>
          </w:tcPr>
          <w:p w14:paraId="0B397AC5" w14:textId="77777777" w:rsidR="00D91DC2" w:rsidRPr="008B213B" w:rsidRDefault="00D91DC2" w:rsidP="008B213B">
            <w:pPr>
              <w:cnfStyle w:val="000000000000" w:firstRow="0" w:lastRow="0" w:firstColumn="0" w:lastColumn="0" w:oddVBand="0" w:evenVBand="0" w:oddHBand="0" w:evenHBand="0" w:firstRowFirstColumn="0" w:firstRowLastColumn="0" w:lastRowFirstColumn="0" w:lastRowLastColumn="0"/>
            </w:pPr>
            <w:r w:rsidRPr="008B213B">
              <w:t>120,000</w:t>
            </w:r>
          </w:p>
        </w:tc>
        <w:tc>
          <w:tcPr>
            <w:tcW w:w="992" w:type="dxa"/>
            <w:hideMark/>
          </w:tcPr>
          <w:p w14:paraId="3727936F" w14:textId="77777777" w:rsidR="00D91DC2" w:rsidRPr="008B213B" w:rsidRDefault="00D91DC2" w:rsidP="008B213B">
            <w:pPr>
              <w:cnfStyle w:val="000000000000" w:firstRow="0" w:lastRow="0" w:firstColumn="0" w:lastColumn="0" w:oddVBand="0" w:evenVBand="0" w:oddHBand="0" w:evenHBand="0" w:firstRowFirstColumn="0" w:firstRowLastColumn="0" w:lastRowFirstColumn="0" w:lastRowLastColumn="0"/>
            </w:pPr>
            <w:r w:rsidRPr="008B213B">
              <w:t>1,400,000</w:t>
            </w:r>
          </w:p>
        </w:tc>
        <w:tc>
          <w:tcPr>
            <w:tcW w:w="992" w:type="dxa"/>
            <w:hideMark/>
          </w:tcPr>
          <w:p w14:paraId="044FE830" w14:textId="77777777" w:rsidR="00D91DC2" w:rsidRPr="008B213B" w:rsidRDefault="00D91DC2" w:rsidP="008B213B">
            <w:pPr>
              <w:cnfStyle w:val="000000000000" w:firstRow="0" w:lastRow="0" w:firstColumn="0" w:lastColumn="0" w:oddVBand="0" w:evenVBand="0" w:oddHBand="0" w:evenHBand="0" w:firstRowFirstColumn="0" w:firstRowLastColumn="0" w:lastRowFirstColumn="0" w:lastRowLastColumn="0"/>
            </w:pPr>
            <w:r w:rsidRPr="008B213B">
              <w:t>1,400,000</w:t>
            </w:r>
          </w:p>
        </w:tc>
        <w:tc>
          <w:tcPr>
            <w:tcW w:w="709" w:type="dxa"/>
            <w:hideMark/>
          </w:tcPr>
          <w:p w14:paraId="088B2B45" w14:textId="77777777" w:rsidR="00D91DC2" w:rsidRPr="008B213B" w:rsidRDefault="00D91DC2" w:rsidP="008B213B">
            <w:pPr>
              <w:cnfStyle w:val="000000000000" w:firstRow="0" w:lastRow="0" w:firstColumn="0" w:lastColumn="0" w:oddVBand="0" w:evenVBand="0" w:oddHBand="0" w:evenHBand="0" w:firstRowFirstColumn="0" w:firstRowLastColumn="0" w:lastRowFirstColumn="0" w:lastRowLastColumn="0"/>
            </w:pPr>
            <w:r w:rsidRPr="008B213B">
              <w:t>94,000</w:t>
            </w:r>
          </w:p>
        </w:tc>
        <w:tc>
          <w:tcPr>
            <w:tcW w:w="850" w:type="dxa"/>
            <w:hideMark/>
          </w:tcPr>
          <w:p w14:paraId="5E07A186" w14:textId="77777777" w:rsidR="00D91DC2" w:rsidRPr="008B213B" w:rsidRDefault="00D91DC2" w:rsidP="008B213B">
            <w:pPr>
              <w:cnfStyle w:val="000000000000" w:firstRow="0" w:lastRow="0" w:firstColumn="0" w:lastColumn="0" w:oddVBand="0" w:evenVBand="0" w:oddHBand="0" w:evenHBand="0" w:firstRowFirstColumn="0" w:firstRowLastColumn="0" w:lastRowFirstColumn="0" w:lastRowLastColumn="0"/>
            </w:pPr>
            <w:r w:rsidRPr="008B213B">
              <w:t>100,000</w:t>
            </w:r>
          </w:p>
        </w:tc>
      </w:tr>
    </w:tbl>
    <w:p w14:paraId="5A7DA820" w14:textId="02ECCC47" w:rsidR="004333D3" w:rsidRPr="004B61AD" w:rsidRDefault="00D41284" w:rsidP="00D41284">
      <w:pPr>
        <w:rPr>
          <w:rStyle w:val="SubtleReference"/>
        </w:rPr>
      </w:pPr>
      <w:r w:rsidRPr="004B61AD">
        <w:rPr>
          <w:rStyle w:val="SubtleReference"/>
        </w:rPr>
        <w:t xml:space="preserve">a NBCSP-related colonoscopy demand refers to both follow-up colonoscopies after a positive </w:t>
      </w:r>
      <w:proofErr w:type="spellStart"/>
      <w:r w:rsidRPr="004B61AD">
        <w:rPr>
          <w:rStyle w:val="SubtleReference"/>
        </w:rPr>
        <w:t>iFOBT</w:t>
      </w:r>
      <w:proofErr w:type="spellEnd"/>
      <w:r w:rsidRPr="004B61AD">
        <w:rPr>
          <w:rStyle w:val="SubtleReference"/>
        </w:rPr>
        <w:t xml:space="preserve">, and surveillance colonoscopies for people who have previously had a follow-up colonoscopy. These results are presented for the 2020 and 2021 screening cohorts, so surveillance colonoscopies for the 2020 screening cohort in addition to the </w:t>
      </w:r>
      <w:proofErr w:type="spellStart"/>
      <w:r w:rsidRPr="004B61AD">
        <w:rPr>
          <w:rStyle w:val="SubtleReference"/>
        </w:rPr>
        <w:t>iFOBT</w:t>
      </w:r>
      <w:proofErr w:type="spellEnd"/>
      <w:r w:rsidRPr="004B61AD">
        <w:rPr>
          <w:rStyle w:val="SubtleReference"/>
        </w:rPr>
        <w:t xml:space="preserve"> follow-up colonoscopies mean that the total colonoscopies in 2021 is higher than in 2020.</w:t>
      </w:r>
    </w:p>
    <w:p w14:paraId="3C00BA03" w14:textId="77777777" w:rsidR="00D41284" w:rsidRDefault="00D41284" w:rsidP="00D41284"/>
    <w:p w14:paraId="704B07B5" w14:textId="21A7C36C" w:rsidR="00D41284" w:rsidRPr="00D41284" w:rsidRDefault="00D41284" w:rsidP="00D41284">
      <w:pPr>
        <w:sectPr w:rsidR="00D41284" w:rsidRPr="00D41284" w:rsidSect="0067591D">
          <w:headerReference w:type="default" r:id="rId16"/>
          <w:pgSz w:w="16838" w:h="11906" w:orient="landscape"/>
          <w:pgMar w:top="1440" w:right="1440" w:bottom="1440" w:left="1440" w:header="708" w:footer="708" w:gutter="0"/>
          <w:cols w:space="708"/>
          <w:docGrid w:linePitch="360"/>
        </w:sectPr>
      </w:pPr>
    </w:p>
    <w:p w14:paraId="3372A1C6" w14:textId="77777777" w:rsidR="006B0070" w:rsidRPr="004866BE" w:rsidRDefault="006B0070" w:rsidP="006B0070">
      <w:pPr>
        <w:pStyle w:val="Caption"/>
        <w:keepNext/>
      </w:pPr>
      <w:r w:rsidRPr="004866BE">
        <w:lastRenderedPageBreak/>
        <w:t xml:space="preserve">Table </w:t>
      </w:r>
      <w:r w:rsidR="00937A16" w:rsidRPr="004866BE">
        <w:t>3</w:t>
      </w:r>
      <w:r w:rsidR="00550F4F" w:rsidRPr="004866BE">
        <w:t xml:space="preserve"> </w:t>
      </w:r>
      <w:r w:rsidRPr="004866BE">
        <w:t>– Modelled outputs vs comparator</w:t>
      </w:r>
      <w:r w:rsidR="2B33BE1E" w:rsidRPr="004866BE">
        <w:t xml:space="preserve"> shown in Table 2</w:t>
      </w:r>
      <w:r w:rsidRPr="004866BE">
        <w:t xml:space="preserve">. The modelled cohort is those </w:t>
      </w:r>
      <w:r w:rsidR="00F04849" w:rsidRPr="004866BE">
        <w:t xml:space="preserve">individuals due to receive a screening invitation in 2020 or 2021. </w:t>
      </w:r>
      <w:r w:rsidRPr="004866BE">
        <w:t>All values are shown to two significant figures.</w:t>
      </w:r>
    </w:p>
    <w:tbl>
      <w:tblPr>
        <w:tblStyle w:val="GridTable4-Accent1"/>
        <w:tblW w:w="0" w:type="auto"/>
        <w:tblLook w:val="04A0" w:firstRow="1" w:lastRow="0" w:firstColumn="1" w:lastColumn="0" w:noHBand="0" w:noVBand="1"/>
        <w:tblDescription w:val="Table 3 – Modelled outputs vs comparator shown in Table 2. The modelled cohort is those individuals due to receive a screening invitation in 2020 or 2021. All values are shown to two significant figures."/>
      </w:tblPr>
      <w:tblGrid>
        <w:gridCol w:w="822"/>
        <w:gridCol w:w="933"/>
        <w:gridCol w:w="862"/>
        <w:gridCol w:w="663"/>
        <w:gridCol w:w="655"/>
        <w:gridCol w:w="902"/>
        <w:gridCol w:w="791"/>
        <w:gridCol w:w="918"/>
        <w:gridCol w:w="870"/>
        <w:gridCol w:w="607"/>
        <w:gridCol w:w="607"/>
        <w:gridCol w:w="607"/>
        <w:gridCol w:w="607"/>
        <w:gridCol w:w="918"/>
        <w:gridCol w:w="854"/>
        <w:gridCol w:w="938"/>
        <w:gridCol w:w="655"/>
        <w:gridCol w:w="739"/>
      </w:tblGrid>
      <w:tr w:rsidR="004A67CB" w:rsidRPr="008B213B" w14:paraId="5E1F0F4D" w14:textId="77777777" w:rsidTr="002715EF">
        <w:trPr>
          <w:cnfStyle w:val="100000000000" w:firstRow="1" w:lastRow="0" w:firstColumn="0" w:lastColumn="0" w:oddVBand="0" w:evenVBand="0" w:oddHBand="0" w:evenHBand="0" w:firstRowFirstColumn="0" w:firstRowLastColumn="0" w:lastRowFirstColumn="0" w:lastRowLastColumn="0"/>
          <w:trHeight w:val="538"/>
          <w:tblHead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4FB4E792" w14:textId="77777777" w:rsidR="004A67CB" w:rsidRPr="008B213B" w:rsidRDefault="004A67CB" w:rsidP="008B213B">
            <w:bookmarkStart w:id="6" w:name="_Hlk38984470"/>
            <w:r w:rsidRPr="008B213B">
              <w:t>Scenario</w:t>
            </w:r>
          </w:p>
        </w:tc>
        <w:tc>
          <w:tcPr>
            <w:tcW w:w="0" w:type="auto"/>
            <w:vMerge w:val="restart"/>
            <w:hideMark/>
          </w:tcPr>
          <w:p w14:paraId="6A24A02E" w14:textId="77777777" w:rsidR="004A67CB" w:rsidRPr="008B213B" w:rsidRDefault="004A67CB" w:rsidP="008B213B">
            <w:pPr>
              <w:cnfStyle w:val="100000000000" w:firstRow="1" w:lastRow="0" w:firstColumn="0" w:lastColumn="0" w:oddVBand="0" w:evenVBand="0" w:oddHBand="0" w:evenHBand="0" w:firstRowFirstColumn="0" w:firstRowLastColumn="0" w:lastRowFirstColumn="0" w:lastRowLastColumn="0"/>
            </w:pPr>
            <w:r w:rsidRPr="008B213B">
              <w:t>Disruption period</w:t>
            </w:r>
          </w:p>
        </w:tc>
        <w:tc>
          <w:tcPr>
            <w:tcW w:w="0" w:type="auto"/>
            <w:vMerge w:val="restart"/>
            <w:hideMark/>
          </w:tcPr>
          <w:p w14:paraId="1A22043E" w14:textId="77777777" w:rsidR="004A67CB" w:rsidRPr="008B213B" w:rsidRDefault="004A67CB" w:rsidP="008B213B">
            <w:pPr>
              <w:cnfStyle w:val="100000000000" w:firstRow="1" w:lastRow="0" w:firstColumn="0" w:lastColumn="0" w:oddVBand="0" w:evenVBand="0" w:oddHBand="0" w:evenHBand="0" w:firstRowFirstColumn="0" w:firstRowLastColumn="0" w:lastRowFirstColumn="0" w:lastRowLastColumn="0"/>
            </w:pPr>
            <w:r w:rsidRPr="008B213B">
              <w:t xml:space="preserve">Recovery </w:t>
            </w:r>
            <w:proofErr w:type="gramStart"/>
            <w:r w:rsidRPr="008B213B">
              <w:t>kit</w:t>
            </w:r>
            <w:proofErr w:type="gramEnd"/>
            <w:r w:rsidRPr="008B213B">
              <w:t xml:space="preserve"> return rate</w:t>
            </w:r>
          </w:p>
        </w:tc>
        <w:tc>
          <w:tcPr>
            <w:tcW w:w="0" w:type="auto"/>
            <w:vMerge w:val="restart"/>
            <w:hideMark/>
          </w:tcPr>
          <w:p w14:paraId="260977D8" w14:textId="77777777" w:rsidR="004A67CB" w:rsidRPr="008B213B" w:rsidRDefault="004A67CB" w:rsidP="008B213B">
            <w:pPr>
              <w:cnfStyle w:val="100000000000" w:firstRow="1" w:lastRow="0" w:firstColumn="0" w:lastColumn="0" w:oddVBand="0" w:evenVBand="0" w:oddHBand="0" w:evenHBand="0" w:firstRowFirstColumn="0" w:firstRowLastColumn="0" w:lastRowFirstColumn="0" w:lastRowLastColumn="0"/>
            </w:pPr>
            <w:r w:rsidRPr="008B213B">
              <w:t>Catch-up</w:t>
            </w:r>
          </w:p>
        </w:tc>
        <w:tc>
          <w:tcPr>
            <w:tcW w:w="0" w:type="auto"/>
            <w:gridSpan w:val="2"/>
            <w:hideMark/>
          </w:tcPr>
          <w:p w14:paraId="53DD5258" w14:textId="0426A8B3" w:rsidR="004A67CB" w:rsidRPr="008B213B" w:rsidRDefault="004A67CB" w:rsidP="008B213B">
            <w:pPr>
              <w:cnfStyle w:val="100000000000" w:firstRow="1" w:lastRow="0" w:firstColumn="0" w:lastColumn="0" w:oddVBand="0" w:evenVBand="0" w:oddHBand="0" w:evenHBand="0" w:firstRowFirstColumn="0" w:firstRowLastColumn="0" w:lastRowFirstColumn="0" w:lastRowLastColumn="0"/>
            </w:pPr>
            <w:r w:rsidRPr="008B213B">
              <w:t>Adenomas missed or delayed in detection, 2020-2021 b</w:t>
            </w:r>
          </w:p>
        </w:tc>
        <w:tc>
          <w:tcPr>
            <w:tcW w:w="0" w:type="auto"/>
            <w:vMerge w:val="restart"/>
            <w:hideMark/>
          </w:tcPr>
          <w:p w14:paraId="6CACE56A" w14:textId="77777777" w:rsidR="004A67CB" w:rsidRPr="008B213B" w:rsidRDefault="004A67CB" w:rsidP="008B213B">
            <w:pPr>
              <w:cnfStyle w:val="100000000000" w:firstRow="1" w:lastRow="0" w:firstColumn="0" w:lastColumn="0" w:oddVBand="0" w:evenVBand="0" w:oddHBand="0" w:evenHBand="0" w:firstRowFirstColumn="0" w:firstRowLastColumn="0" w:lastRowFirstColumn="0" w:lastRowLastColumn="0"/>
            </w:pPr>
            <w:r w:rsidRPr="008B213B">
              <w:t>CRC cases missed or delayed, 2020-2021 b</w:t>
            </w:r>
          </w:p>
        </w:tc>
        <w:tc>
          <w:tcPr>
            <w:tcW w:w="0" w:type="auto"/>
            <w:vMerge w:val="restart"/>
            <w:hideMark/>
          </w:tcPr>
          <w:p w14:paraId="3FE9FF7B" w14:textId="77777777" w:rsidR="004A67CB" w:rsidRPr="008B213B" w:rsidRDefault="004A67CB" w:rsidP="008B213B">
            <w:pPr>
              <w:cnfStyle w:val="100000000000" w:firstRow="1" w:lastRow="0" w:firstColumn="0" w:lastColumn="0" w:oddVBand="0" w:evenVBand="0" w:oddHBand="0" w:evenHBand="0" w:firstRowFirstColumn="0" w:firstRowLastColumn="0" w:lastRowFirstColumn="0" w:lastRowLastColumn="0"/>
            </w:pPr>
            <w:r w:rsidRPr="008B213B">
              <w:t>Additional CRC cases,</w:t>
            </w:r>
          </w:p>
          <w:p w14:paraId="0EFAE1C9" w14:textId="77777777" w:rsidR="004A67CB" w:rsidRPr="008B213B" w:rsidRDefault="004A67CB" w:rsidP="008B213B">
            <w:pPr>
              <w:cnfStyle w:val="100000000000" w:firstRow="1" w:lastRow="0" w:firstColumn="0" w:lastColumn="0" w:oddVBand="0" w:evenVBand="0" w:oddHBand="0" w:evenHBand="0" w:firstRowFirstColumn="0" w:firstRowLastColumn="0" w:lastRowFirstColumn="0" w:lastRowLastColumn="0"/>
            </w:pPr>
            <w:r w:rsidRPr="008B213B">
              <w:t>2020-2060</w:t>
            </w:r>
          </w:p>
        </w:tc>
        <w:tc>
          <w:tcPr>
            <w:tcW w:w="0" w:type="auto"/>
            <w:vMerge w:val="restart"/>
          </w:tcPr>
          <w:p w14:paraId="49B4962A" w14:textId="77777777" w:rsidR="004A67CB" w:rsidRPr="008B213B" w:rsidRDefault="004A67CB" w:rsidP="008B213B">
            <w:pPr>
              <w:cnfStyle w:val="100000000000" w:firstRow="1" w:lastRow="0" w:firstColumn="0" w:lastColumn="0" w:oddVBand="0" w:evenVBand="0" w:oddHBand="0" w:evenHBand="0" w:firstRowFirstColumn="0" w:firstRowLastColumn="0" w:lastRowFirstColumn="0" w:lastRowLastColumn="0"/>
            </w:pPr>
            <w:r w:rsidRPr="008B213B">
              <w:t xml:space="preserve">Upstaged CRC </w:t>
            </w:r>
            <w:proofErr w:type="spellStart"/>
            <w:r w:rsidRPr="008B213B">
              <w:t>cases</w:t>
            </w:r>
            <w:r w:rsidR="00972AAE" w:rsidRPr="008B213B">
              <w:t>c</w:t>
            </w:r>
            <w:proofErr w:type="spellEnd"/>
          </w:p>
        </w:tc>
        <w:tc>
          <w:tcPr>
            <w:tcW w:w="0" w:type="auto"/>
            <w:gridSpan w:val="4"/>
            <w:hideMark/>
          </w:tcPr>
          <w:p w14:paraId="2FF1A14D" w14:textId="77777777" w:rsidR="004A67CB" w:rsidRPr="008B213B" w:rsidRDefault="004A67CB" w:rsidP="008B213B">
            <w:pPr>
              <w:cnfStyle w:val="100000000000" w:firstRow="1" w:lastRow="0" w:firstColumn="0" w:lastColumn="0" w:oddVBand="0" w:evenVBand="0" w:oddHBand="0" w:evenHBand="0" w:firstRowFirstColumn="0" w:firstRowLastColumn="0" w:lastRowFirstColumn="0" w:lastRowLastColumn="0"/>
            </w:pPr>
            <w:r w:rsidRPr="008B213B">
              <w:t>Change in CRC cases,</w:t>
            </w:r>
          </w:p>
          <w:p w14:paraId="36042321" w14:textId="42417759" w:rsidR="004A67CB" w:rsidRPr="008B213B" w:rsidRDefault="004A67CB" w:rsidP="008B213B">
            <w:pPr>
              <w:cnfStyle w:val="100000000000" w:firstRow="1" w:lastRow="0" w:firstColumn="0" w:lastColumn="0" w:oddVBand="0" w:evenVBand="0" w:oddHBand="0" w:evenHBand="0" w:firstRowFirstColumn="0" w:firstRowLastColumn="0" w:lastRowFirstColumn="0" w:lastRowLastColumn="0"/>
            </w:pPr>
            <w:r w:rsidRPr="008B213B">
              <w:t>2020-2060</w:t>
            </w:r>
          </w:p>
        </w:tc>
        <w:tc>
          <w:tcPr>
            <w:tcW w:w="0" w:type="auto"/>
            <w:vMerge w:val="restart"/>
            <w:hideMark/>
          </w:tcPr>
          <w:p w14:paraId="57C46E39" w14:textId="77777777" w:rsidR="004A67CB" w:rsidRPr="008B213B" w:rsidRDefault="004A67CB" w:rsidP="008B213B">
            <w:pPr>
              <w:cnfStyle w:val="100000000000" w:firstRow="1" w:lastRow="0" w:firstColumn="0" w:lastColumn="0" w:oddVBand="0" w:evenVBand="0" w:oddHBand="0" w:evenHBand="0" w:firstRowFirstColumn="0" w:firstRowLastColumn="0" w:lastRowFirstColumn="0" w:lastRowLastColumn="0"/>
            </w:pPr>
            <w:r w:rsidRPr="008B213B">
              <w:t>Additional CRC deaths,</w:t>
            </w:r>
          </w:p>
          <w:p w14:paraId="25C55441" w14:textId="78B69412" w:rsidR="004A67CB" w:rsidRPr="008B213B" w:rsidRDefault="004A67CB" w:rsidP="008B213B">
            <w:pPr>
              <w:cnfStyle w:val="100000000000" w:firstRow="1" w:lastRow="0" w:firstColumn="0" w:lastColumn="0" w:oddVBand="0" w:evenVBand="0" w:oddHBand="0" w:evenHBand="0" w:firstRowFirstColumn="0" w:firstRowLastColumn="0" w:lastRowFirstColumn="0" w:lastRowLastColumn="0"/>
            </w:pPr>
            <w:r w:rsidRPr="008B213B">
              <w:t>2020-2060</w:t>
            </w:r>
          </w:p>
        </w:tc>
        <w:tc>
          <w:tcPr>
            <w:tcW w:w="0" w:type="auto"/>
            <w:gridSpan w:val="2"/>
            <w:hideMark/>
          </w:tcPr>
          <w:p w14:paraId="1E3E0966" w14:textId="77777777" w:rsidR="004A67CB" w:rsidRPr="008B213B" w:rsidRDefault="004A67CB" w:rsidP="008B213B">
            <w:pPr>
              <w:cnfStyle w:val="100000000000" w:firstRow="1" w:lastRow="0" w:firstColumn="0" w:lastColumn="0" w:oddVBand="0" w:evenVBand="0" w:oddHBand="0" w:evenHBand="0" w:firstRowFirstColumn="0" w:firstRowLastColumn="0" w:lastRowFirstColumn="0" w:lastRowLastColumn="0"/>
            </w:pPr>
            <w:r w:rsidRPr="008B213B">
              <w:t xml:space="preserve">Change in number of </w:t>
            </w:r>
            <w:proofErr w:type="spellStart"/>
            <w:r w:rsidRPr="008B213B">
              <w:t>iFOBT</w:t>
            </w:r>
            <w:proofErr w:type="spellEnd"/>
            <w:r w:rsidRPr="008B213B">
              <w:t xml:space="preserve"> screening kits returned</w:t>
            </w:r>
          </w:p>
        </w:tc>
        <w:tc>
          <w:tcPr>
            <w:tcW w:w="0" w:type="auto"/>
            <w:gridSpan w:val="2"/>
            <w:hideMark/>
          </w:tcPr>
          <w:p w14:paraId="4CFB41FB" w14:textId="77777777" w:rsidR="004A67CB" w:rsidRPr="008B213B" w:rsidRDefault="004A67CB" w:rsidP="008B213B">
            <w:pPr>
              <w:cnfStyle w:val="100000000000" w:firstRow="1" w:lastRow="0" w:firstColumn="0" w:lastColumn="0" w:oddVBand="0" w:evenVBand="0" w:oddHBand="0" w:evenHBand="0" w:firstRowFirstColumn="0" w:firstRowLastColumn="0" w:lastRowFirstColumn="0" w:lastRowLastColumn="0"/>
            </w:pPr>
            <w:r w:rsidRPr="008B213B">
              <w:t xml:space="preserve">Change in NBCSP-related colonoscopy </w:t>
            </w:r>
            <w:proofErr w:type="spellStart"/>
            <w:r w:rsidRPr="008B213B">
              <w:t>demand</w:t>
            </w:r>
            <w:r w:rsidR="00972AAE" w:rsidRPr="008B213B">
              <w:t>d</w:t>
            </w:r>
            <w:proofErr w:type="spellEnd"/>
          </w:p>
        </w:tc>
      </w:tr>
      <w:bookmarkEnd w:id="6"/>
      <w:tr w:rsidR="008B213B" w:rsidRPr="008B213B" w14:paraId="7B3CCB1B" w14:textId="77777777" w:rsidTr="002715EF">
        <w:trPr>
          <w:cnfStyle w:val="100000000000" w:firstRow="1" w:lastRow="0" w:firstColumn="0" w:lastColumn="0" w:oddVBand="0" w:evenVBand="0" w:oddHBand="0" w:evenHBand="0" w:firstRowFirstColumn="0" w:firstRowLastColumn="0" w:lastRowFirstColumn="0" w:lastRowLastColumn="0"/>
          <w:trHeight w:val="1071"/>
          <w:tblHeader/>
        </w:trPr>
        <w:tc>
          <w:tcPr>
            <w:cnfStyle w:val="001000000000" w:firstRow="0" w:lastRow="0" w:firstColumn="1" w:lastColumn="0" w:oddVBand="0" w:evenVBand="0" w:oddHBand="0" w:evenHBand="0" w:firstRowFirstColumn="0" w:firstRowLastColumn="0" w:lastRowFirstColumn="0" w:lastRowLastColumn="0"/>
            <w:tcW w:w="0" w:type="auto"/>
            <w:vMerge/>
          </w:tcPr>
          <w:p w14:paraId="689AE3FF" w14:textId="77777777" w:rsidR="004A67CB" w:rsidRPr="008B213B" w:rsidRDefault="004A67CB" w:rsidP="008B213B"/>
        </w:tc>
        <w:tc>
          <w:tcPr>
            <w:tcW w:w="0" w:type="auto"/>
            <w:vMerge/>
          </w:tcPr>
          <w:p w14:paraId="1929A47A" w14:textId="77777777" w:rsidR="004A67CB" w:rsidRPr="008B213B" w:rsidRDefault="004A67CB" w:rsidP="008B213B">
            <w:pPr>
              <w:cnfStyle w:val="100000000000" w:firstRow="1" w:lastRow="0" w:firstColumn="0" w:lastColumn="0" w:oddVBand="0" w:evenVBand="0" w:oddHBand="0" w:evenHBand="0" w:firstRowFirstColumn="0" w:firstRowLastColumn="0" w:lastRowFirstColumn="0" w:lastRowLastColumn="0"/>
            </w:pPr>
          </w:p>
        </w:tc>
        <w:tc>
          <w:tcPr>
            <w:tcW w:w="0" w:type="auto"/>
            <w:vMerge/>
          </w:tcPr>
          <w:p w14:paraId="6D9792F1" w14:textId="77777777" w:rsidR="004A67CB" w:rsidRPr="008B213B" w:rsidRDefault="004A67CB" w:rsidP="008B213B">
            <w:pPr>
              <w:cnfStyle w:val="100000000000" w:firstRow="1" w:lastRow="0" w:firstColumn="0" w:lastColumn="0" w:oddVBand="0" w:evenVBand="0" w:oddHBand="0" w:evenHBand="0" w:firstRowFirstColumn="0" w:firstRowLastColumn="0" w:lastRowFirstColumn="0" w:lastRowLastColumn="0"/>
            </w:pPr>
          </w:p>
        </w:tc>
        <w:tc>
          <w:tcPr>
            <w:tcW w:w="0" w:type="auto"/>
            <w:vMerge/>
          </w:tcPr>
          <w:p w14:paraId="6AED1159" w14:textId="77777777" w:rsidR="004A67CB" w:rsidRPr="008B213B" w:rsidRDefault="004A67CB" w:rsidP="008B213B">
            <w:pPr>
              <w:cnfStyle w:val="100000000000" w:firstRow="1" w:lastRow="0" w:firstColumn="0" w:lastColumn="0" w:oddVBand="0" w:evenVBand="0" w:oddHBand="0" w:evenHBand="0" w:firstRowFirstColumn="0" w:firstRowLastColumn="0" w:lastRowFirstColumn="0" w:lastRowLastColumn="0"/>
            </w:pPr>
          </w:p>
        </w:tc>
        <w:tc>
          <w:tcPr>
            <w:tcW w:w="0" w:type="auto"/>
          </w:tcPr>
          <w:p w14:paraId="23BF6F75" w14:textId="77777777" w:rsidR="004A67CB" w:rsidRPr="008B213B" w:rsidRDefault="004A67CB" w:rsidP="008B213B">
            <w:pPr>
              <w:pStyle w:val="TableofAuthorities"/>
              <w:cnfStyle w:val="100000000000" w:firstRow="1" w:lastRow="0" w:firstColumn="0" w:lastColumn="0" w:oddVBand="0" w:evenVBand="0" w:oddHBand="0" w:evenHBand="0" w:firstRowFirstColumn="0" w:firstRowLastColumn="0" w:lastRowFirstColumn="0" w:lastRowLastColumn="0"/>
            </w:pPr>
            <w:r w:rsidRPr="008B213B">
              <w:t>Any</w:t>
            </w:r>
          </w:p>
        </w:tc>
        <w:tc>
          <w:tcPr>
            <w:tcW w:w="0" w:type="auto"/>
          </w:tcPr>
          <w:p w14:paraId="0223932E" w14:textId="77777777" w:rsidR="004A67CB" w:rsidRPr="008B213B" w:rsidRDefault="004A67CB" w:rsidP="008B213B">
            <w:pPr>
              <w:pStyle w:val="TableofAuthorities"/>
              <w:cnfStyle w:val="100000000000" w:firstRow="1" w:lastRow="0" w:firstColumn="0" w:lastColumn="0" w:oddVBand="0" w:evenVBand="0" w:oddHBand="0" w:evenHBand="0" w:firstRowFirstColumn="0" w:firstRowLastColumn="0" w:lastRowFirstColumn="0" w:lastRowLastColumn="0"/>
            </w:pPr>
            <w:r w:rsidRPr="008B213B">
              <w:t>Advanced</w:t>
            </w:r>
          </w:p>
        </w:tc>
        <w:tc>
          <w:tcPr>
            <w:tcW w:w="0" w:type="auto"/>
            <w:vMerge/>
          </w:tcPr>
          <w:p w14:paraId="29D1FD9D" w14:textId="77777777" w:rsidR="004A67CB" w:rsidRPr="008B213B" w:rsidRDefault="004A67CB" w:rsidP="008B213B">
            <w:pPr>
              <w:pStyle w:val="TableofAuthorities"/>
              <w:cnfStyle w:val="100000000000" w:firstRow="1" w:lastRow="0" w:firstColumn="0" w:lastColumn="0" w:oddVBand="0" w:evenVBand="0" w:oddHBand="0" w:evenHBand="0" w:firstRowFirstColumn="0" w:firstRowLastColumn="0" w:lastRowFirstColumn="0" w:lastRowLastColumn="0"/>
            </w:pPr>
          </w:p>
        </w:tc>
        <w:tc>
          <w:tcPr>
            <w:tcW w:w="0" w:type="auto"/>
            <w:vMerge/>
          </w:tcPr>
          <w:p w14:paraId="77FB48D3" w14:textId="77777777" w:rsidR="004A67CB" w:rsidRPr="008B213B" w:rsidRDefault="004A67CB" w:rsidP="008B213B">
            <w:pPr>
              <w:pStyle w:val="TableofAuthorities"/>
              <w:cnfStyle w:val="100000000000" w:firstRow="1" w:lastRow="0" w:firstColumn="0" w:lastColumn="0" w:oddVBand="0" w:evenVBand="0" w:oddHBand="0" w:evenHBand="0" w:firstRowFirstColumn="0" w:firstRowLastColumn="0" w:lastRowFirstColumn="0" w:lastRowLastColumn="0"/>
            </w:pPr>
          </w:p>
        </w:tc>
        <w:tc>
          <w:tcPr>
            <w:tcW w:w="0" w:type="auto"/>
            <w:vMerge/>
          </w:tcPr>
          <w:p w14:paraId="7E25C0DB" w14:textId="77777777" w:rsidR="004A67CB" w:rsidRPr="008B213B" w:rsidRDefault="004A67CB" w:rsidP="008B213B">
            <w:pPr>
              <w:pStyle w:val="TableofAuthorities"/>
              <w:cnfStyle w:val="100000000000" w:firstRow="1" w:lastRow="0" w:firstColumn="0" w:lastColumn="0" w:oddVBand="0" w:evenVBand="0" w:oddHBand="0" w:evenHBand="0" w:firstRowFirstColumn="0" w:firstRowLastColumn="0" w:lastRowFirstColumn="0" w:lastRowLastColumn="0"/>
            </w:pPr>
          </w:p>
        </w:tc>
        <w:tc>
          <w:tcPr>
            <w:tcW w:w="0" w:type="auto"/>
          </w:tcPr>
          <w:p w14:paraId="09649BA8" w14:textId="77777777" w:rsidR="004A67CB" w:rsidRPr="008B213B" w:rsidRDefault="004A67CB" w:rsidP="008B213B">
            <w:pPr>
              <w:pStyle w:val="TableofAuthorities"/>
              <w:cnfStyle w:val="100000000000" w:firstRow="1" w:lastRow="0" w:firstColumn="0" w:lastColumn="0" w:oddVBand="0" w:evenVBand="0" w:oddHBand="0" w:evenHBand="0" w:firstRowFirstColumn="0" w:firstRowLastColumn="0" w:lastRowFirstColumn="0" w:lastRowLastColumn="0"/>
            </w:pPr>
            <w:r w:rsidRPr="008B213B">
              <w:t>Stage 1</w:t>
            </w:r>
          </w:p>
        </w:tc>
        <w:tc>
          <w:tcPr>
            <w:tcW w:w="0" w:type="auto"/>
          </w:tcPr>
          <w:p w14:paraId="73B42683" w14:textId="77777777" w:rsidR="004A67CB" w:rsidRPr="008B213B" w:rsidRDefault="004A67CB" w:rsidP="008B213B">
            <w:pPr>
              <w:pStyle w:val="TableofAuthorities"/>
              <w:cnfStyle w:val="100000000000" w:firstRow="1" w:lastRow="0" w:firstColumn="0" w:lastColumn="0" w:oddVBand="0" w:evenVBand="0" w:oddHBand="0" w:evenHBand="0" w:firstRowFirstColumn="0" w:firstRowLastColumn="0" w:lastRowFirstColumn="0" w:lastRowLastColumn="0"/>
            </w:pPr>
            <w:r w:rsidRPr="008B213B">
              <w:t>Stage 2</w:t>
            </w:r>
          </w:p>
        </w:tc>
        <w:tc>
          <w:tcPr>
            <w:tcW w:w="0" w:type="auto"/>
          </w:tcPr>
          <w:p w14:paraId="61366F6A" w14:textId="77777777" w:rsidR="004A67CB" w:rsidRPr="008B213B" w:rsidRDefault="004A67CB" w:rsidP="008B213B">
            <w:pPr>
              <w:pStyle w:val="TableofAuthorities"/>
              <w:cnfStyle w:val="100000000000" w:firstRow="1" w:lastRow="0" w:firstColumn="0" w:lastColumn="0" w:oddVBand="0" w:evenVBand="0" w:oddHBand="0" w:evenHBand="0" w:firstRowFirstColumn="0" w:firstRowLastColumn="0" w:lastRowFirstColumn="0" w:lastRowLastColumn="0"/>
            </w:pPr>
            <w:r w:rsidRPr="008B213B">
              <w:t>Stage 3</w:t>
            </w:r>
          </w:p>
        </w:tc>
        <w:tc>
          <w:tcPr>
            <w:tcW w:w="0" w:type="auto"/>
          </w:tcPr>
          <w:p w14:paraId="005D3138" w14:textId="77777777" w:rsidR="004A67CB" w:rsidRPr="008B213B" w:rsidRDefault="004A67CB" w:rsidP="008B213B">
            <w:pPr>
              <w:pStyle w:val="TableofAuthorities"/>
              <w:cnfStyle w:val="100000000000" w:firstRow="1" w:lastRow="0" w:firstColumn="0" w:lastColumn="0" w:oddVBand="0" w:evenVBand="0" w:oddHBand="0" w:evenHBand="0" w:firstRowFirstColumn="0" w:firstRowLastColumn="0" w:lastRowFirstColumn="0" w:lastRowLastColumn="0"/>
            </w:pPr>
            <w:r w:rsidRPr="008B213B">
              <w:t>Stage 4</w:t>
            </w:r>
          </w:p>
        </w:tc>
        <w:tc>
          <w:tcPr>
            <w:tcW w:w="0" w:type="auto"/>
            <w:vMerge/>
          </w:tcPr>
          <w:p w14:paraId="1235E08D" w14:textId="77777777" w:rsidR="004A67CB" w:rsidRPr="008B213B" w:rsidRDefault="004A67CB" w:rsidP="008B213B">
            <w:pPr>
              <w:pStyle w:val="TableofAuthorities"/>
              <w:cnfStyle w:val="100000000000" w:firstRow="1" w:lastRow="0" w:firstColumn="0" w:lastColumn="0" w:oddVBand="0" w:evenVBand="0" w:oddHBand="0" w:evenHBand="0" w:firstRowFirstColumn="0" w:firstRowLastColumn="0" w:lastRowFirstColumn="0" w:lastRowLastColumn="0"/>
            </w:pPr>
          </w:p>
        </w:tc>
        <w:tc>
          <w:tcPr>
            <w:tcW w:w="0" w:type="auto"/>
          </w:tcPr>
          <w:p w14:paraId="37F44556" w14:textId="77777777" w:rsidR="004A67CB" w:rsidRPr="008B213B" w:rsidRDefault="004A67CB" w:rsidP="008B213B">
            <w:pPr>
              <w:pStyle w:val="TableofAuthorities"/>
              <w:cnfStyle w:val="100000000000" w:firstRow="1" w:lastRow="0" w:firstColumn="0" w:lastColumn="0" w:oddVBand="0" w:evenVBand="0" w:oddHBand="0" w:evenHBand="0" w:firstRowFirstColumn="0" w:firstRowLastColumn="0" w:lastRowFirstColumn="0" w:lastRowLastColumn="0"/>
            </w:pPr>
            <w:r w:rsidRPr="008B213B">
              <w:t>2020</w:t>
            </w:r>
          </w:p>
        </w:tc>
        <w:tc>
          <w:tcPr>
            <w:tcW w:w="0" w:type="auto"/>
          </w:tcPr>
          <w:p w14:paraId="3114BA5C" w14:textId="77777777" w:rsidR="004A67CB" w:rsidRPr="008B213B" w:rsidRDefault="004A67CB" w:rsidP="008B213B">
            <w:pPr>
              <w:pStyle w:val="TableofAuthorities"/>
              <w:cnfStyle w:val="100000000000" w:firstRow="1" w:lastRow="0" w:firstColumn="0" w:lastColumn="0" w:oddVBand="0" w:evenVBand="0" w:oddHBand="0" w:evenHBand="0" w:firstRowFirstColumn="0" w:firstRowLastColumn="0" w:lastRowFirstColumn="0" w:lastRowLastColumn="0"/>
            </w:pPr>
            <w:r w:rsidRPr="008B213B">
              <w:t>2021</w:t>
            </w:r>
          </w:p>
        </w:tc>
        <w:tc>
          <w:tcPr>
            <w:tcW w:w="0" w:type="auto"/>
          </w:tcPr>
          <w:p w14:paraId="033E175E" w14:textId="77777777" w:rsidR="004A67CB" w:rsidRPr="008B213B" w:rsidRDefault="004A67CB" w:rsidP="008B213B">
            <w:pPr>
              <w:pStyle w:val="TableofAuthorities"/>
              <w:cnfStyle w:val="100000000000" w:firstRow="1" w:lastRow="0" w:firstColumn="0" w:lastColumn="0" w:oddVBand="0" w:evenVBand="0" w:oddHBand="0" w:evenHBand="0" w:firstRowFirstColumn="0" w:firstRowLastColumn="0" w:lastRowFirstColumn="0" w:lastRowLastColumn="0"/>
            </w:pPr>
            <w:r w:rsidRPr="008B213B">
              <w:t>2020</w:t>
            </w:r>
          </w:p>
        </w:tc>
        <w:tc>
          <w:tcPr>
            <w:tcW w:w="0" w:type="auto"/>
          </w:tcPr>
          <w:p w14:paraId="0013309E" w14:textId="77777777" w:rsidR="004A67CB" w:rsidRPr="008B213B" w:rsidRDefault="004A67CB" w:rsidP="008B213B">
            <w:pPr>
              <w:pStyle w:val="TableofAuthorities"/>
              <w:cnfStyle w:val="100000000000" w:firstRow="1" w:lastRow="0" w:firstColumn="0" w:lastColumn="0" w:oddVBand="0" w:evenVBand="0" w:oddHBand="0" w:evenHBand="0" w:firstRowFirstColumn="0" w:firstRowLastColumn="0" w:lastRowFirstColumn="0" w:lastRowLastColumn="0"/>
            </w:pPr>
            <w:r w:rsidRPr="008B213B">
              <w:t>2021</w:t>
            </w:r>
          </w:p>
        </w:tc>
      </w:tr>
      <w:tr w:rsidR="002715EF" w:rsidRPr="008B213B" w14:paraId="5C82B555" w14:textId="77777777" w:rsidTr="008B21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648B400" w14:textId="77777777" w:rsidR="004A67CB" w:rsidRPr="008B213B" w:rsidRDefault="004A67CB" w:rsidP="008B213B">
            <w:r w:rsidRPr="008B213B">
              <w:t>1</w:t>
            </w:r>
          </w:p>
        </w:tc>
        <w:tc>
          <w:tcPr>
            <w:tcW w:w="0" w:type="auto"/>
            <w:hideMark/>
          </w:tcPr>
          <w:p w14:paraId="0E2E542C"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3 months</w:t>
            </w:r>
          </w:p>
        </w:tc>
        <w:tc>
          <w:tcPr>
            <w:tcW w:w="0" w:type="auto"/>
            <w:hideMark/>
          </w:tcPr>
          <w:p w14:paraId="225FCC3E"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 xml:space="preserve">No reduction </w:t>
            </w:r>
          </w:p>
        </w:tc>
        <w:tc>
          <w:tcPr>
            <w:tcW w:w="0" w:type="auto"/>
            <w:hideMark/>
          </w:tcPr>
          <w:p w14:paraId="502B1919"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No</w:t>
            </w:r>
          </w:p>
        </w:tc>
        <w:tc>
          <w:tcPr>
            <w:tcW w:w="0" w:type="auto"/>
            <w:hideMark/>
          </w:tcPr>
          <w:p w14:paraId="206EC53A"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7,900</w:t>
            </w:r>
          </w:p>
        </w:tc>
        <w:tc>
          <w:tcPr>
            <w:tcW w:w="0" w:type="auto"/>
            <w:hideMark/>
          </w:tcPr>
          <w:p w14:paraId="5491002F"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4,300</w:t>
            </w:r>
          </w:p>
        </w:tc>
        <w:tc>
          <w:tcPr>
            <w:tcW w:w="0" w:type="auto"/>
            <w:hideMark/>
          </w:tcPr>
          <w:p w14:paraId="59C0FB2A"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750</w:t>
            </w:r>
          </w:p>
        </w:tc>
        <w:tc>
          <w:tcPr>
            <w:tcW w:w="0" w:type="auto"/>
            <w:hideMark/>
          </w:tcPr>
          <w:p w14:paraId="5B707045"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2,300</w:t>
            </w:r>
          </w:p>
        </w:tc>
        <w:tc>
          <w:tcPr>
            <w:tcW w:w="0" w:type="auto"/>
          </w:tcPr>
          <w:p w14:paraId="038FE422"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340</w:t>
            </w:r>
          </w:p>
        </w:tc>
        <w:tc>
          <w:tcPr>
            <w:tcW w:w="0" w:type="auto"/>
            <w:hideMark/>
          </w:tcPr>
          <w:p w14:paraId="422F9064"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-170</w:t>
            </w:r>
          </w:p>
        </w:tc>
        <w:tc>
          <w:tcPr>
            <w:tcW w:w="0" w:type="auto"/>
            <w:hideMark/>
          </w:tcPr>
          <w:p w14:paraId="35C33454"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800</w:t>
            </w:r>
          </w:p>
        </w:tc>
        <w:tc>
          <w:tcPr>
            <w:tcW w:w="0" w:type="auto"/>
            <w:hideMark/>
          </w:tcPr>
          <w:p w14:paraId="1CBB58DA"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920</w:t>
            </w:r>
          </w:p>
        </w:tc>
        <w:tc>
          <w:tcPr>
            <w:tcW w:w="0" w:type="auto"/>
            <w:hideMark/>
          </w:tcPr>
          <w:p w14:paraId="5A4C70F8"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750</w:t>
            </w:r>
          </w:p>
        </w:tc>
        <w:tc>
          <w:tcPr>
            <w:tcW w:w="0" w:type="auto"/>
            <w:hideMark/>
          </w:tcPr>
          <w:p w14:paraId="4196C8C3"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1,200</w:t>
            </w:r>
          </w:p>
        </w:tc>
        <w:tc>
          <w:tcPr>
            <w:tcW w:w="0" w:type="auto"/>
            <w:hideMark/>
          </w:tcPr>
          <w:p w14:paraId="50A0C58B"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-340,000</w:t>
            </w:r>
          </w:p>
        </w:tc>
        <w:tc>
          <w:tcPr>
            <w:tcW w:w="0" w:type="auto"/>
            <w:hideMark/>
          </w:tcPr>
          <w:p w14:paraId="42C74421"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0</w:t>
            </w:r>
          </w:p>
        </w:tc>
        <w:tc>
          <w:tcPr>
            <w:tcW w:w="0" w:type="auto"/>
            <w:hideMark/>
          </w:tcPr>
          <w:p w14:paraId="718D8FA2"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-19,000</w:t>
            </w:r>
          </w:p>
        </w:tc>
        <w:tc>
          <w:tcPr>
            <w:tcW w:w="0" w:type="auto"/>
            <w:hideMark/>
          </w:tcPr>
          <w:p w14:paraId="5ECC3E66"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 xml:space="preserve">-570 </w:t>
            </w:r>
            <w:r w:rsidR="00972AAE" w:rsidRPr="008B213B">
              <w:t>e</w:t>
            </w:r>
          </w:p>
        </w:tc>
      </w:tr>
      <w:tr w:rsidR="008B213B" w:rsidRPr="008B213B" w14:paraId="15853AFB" w14:textId="77777777" w:rsidTr="008B213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D735566" w14:textId="77777777" w:rsidR="004A67CB" w:rsidRPr="008B213B" w:rsidRDefault="004A67CB" w:rsidP="008B213B">
            <w:r w:rsidRPr="008B213B">
              <w:t>2</w:t>
            </w:r>
          </w:p>
        </w:tc>
        <w:tc>
          <w:tcPr>
            <w:tcW w:w="0" w:type="auto"/>
            <w:hideMark/>
          </w:tcPr>
          <w:p w14:paraId="6C9FE386"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6 months</w:t>
            </w:r>
          </w:p>
        </w:tc>
        <w:tc>
          <w:tcPr>
            <w:tcW w:w="0" w:type="auto"/>
            <w:hideMark/>
          </w:tcPr>
          <w:p w14:paraId="4CE871BB"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 xml:space="preserve">No reduction </w:t>
            </w:r>
          </w:p>
        </w:tc>
        <w:tc>
          <w:tcPr>
            <w:tcW w:w="0" w:type="auto"/>
            <w:hideMark/>
          </w:tcPr>
          <w:p w14:paraId="0C5FFC10"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No</w:t>
            </w:r>
          </w:p>
        </w:tc>
        <w:tc>
          <w:tcPr>
            <w:tcW w:w="0" w:type="auto"/>
            <w:hideMark/>
          </w:tcPr>
          <w:p w14:paraId="59559F38"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16,000</w:t>
            </w:r>
          </w:p>
        </w:tc>
        <w:tc>
          <w:tcPr>
            <w:tcW w:w="0" w:type="auto"/>
            <w:hideMark/>
          </w:tcPr>
          <w:p w14:paraId="44CA0408"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8,500</w:t>
            </w:r>
          </w:p>
        </w:tc>
        <w:tc>
          <w:tcPr>
            <w:tcW w:w="0" w:type="auto"/>
            <w:hideMark/>
          </w:tcPr>
          <w:p w14:paraId="150974D6"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1,500</w:t>
            </w:r>
          </w:p>
        </w:tc>
        <w:tc>
          <w:tcPr>
            <w:tcW w:w="0" w:type="auto"/>
            <w:hideMark/>
          </w:tcPr>
          <w:p w14:paraId="26D3E5A0"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4,100</w:t>
            </w:r>
          </w:p>
        </w:tc>
        <w:tc>
          <w:tcPr>
            <w:tcW w:w="0" w:type="auto"/>
          </w:tcPr>
          <w:p w14:paraId="2A1CE13A"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700</w:t>
            </w:r>
          </w:p>
        </w:tc>
        <w:tc>
          <w:tcPr>
            <w:tcW w:w="0" w:type="auto"/>
            <w:hideMark/>
          </w:tcPr>
          <w:p w14:paraId="30F92718"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-270</w:t>
            </w:r>
          </w:p>
        </w:tc>
        <w:tc>
          <w:tcPr>
            <w:tcW w:w="0" w:type="auto"/>
            <w:hideMark/>
          </w:tcPr>
          <w:p w14:paraId="615D7FF6"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1,500</w:t>
            </w:r>
          </w:p>
        </w:tc>
        <w:tc>
          <w:tcPr>
            <w:tcW w:w="0" w:type="auto"/>
            <w:hideMark/>
          </w:tcPr>
          <w:p w14:paraId="5B02DBB4"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1,600</w:t>
            </w:r>
          </w:p>
        </w:tc>
        <w:tc>
          <w:tcPr>
            <w:tcW w:w="0" w:type="auto"/>
            <w:hideMark/>
          </w:tcPr>
          <w:p w14:paraId="17B37258"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1,300</w:t>
            </w:r>
          </w:p>
        </w:tc>
        <w:tc>
          <w:tcPr>
            <w:tcW w:w="0" w:type="auto"/>
            <w:hideMark/>
          </w:tcPr>
          <w:p w14:paraId="5A36474D"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2,200</w:t>
            </w:r>
          </w:p>
        </w:tc>
        <w:tc>
          <w:tcPr>
            <w:tcW w:w="0" w:type="auto"/>
            <w:hideMark/>
          </w:tcPr>
          <w:p w14:paraId="6F5A2AB0"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-670,000</w:t>
            </w:r>
          </w:p>
        </w:tc>
        <w:tc>
          <w:tcPr>
            <w:tcW w:w="0" w:type="auto"/>
            <w:hideMark/>
          </w:tcPr>
          <w:p w14:paraId="71249A58"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0</w:t>
            </w:r>
          </w:p>
        </w:tc>
        <w:tc>
          <w:tcPr>
            <w:tcW w:w="0" w:type="auto"/>
            <w:hideMark/>
          </w:tcPr>
          <w:p w14:paraId="24421E47"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-37,000</w:t>
            </w:r>
          </w:p>
        </w:tc>
        <w:tc>
          <w:tcPr>
            <w:tcW w:w="0" w:type="auto"/>
            <w:hideMark/>
          </w:tcPr>
          <w:p w14:paraId="17904A75"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-1,100</w:t>
            </w:r>
            <w:r w:rsidR="00972AAE" w:rsidRPr="008B213B">
              <w:t xml:space="preserve"> e</w:t>
            </w:r>
          </w:p>
        </w:tc>
      </w:tr>
      <w:tr w:rsidR="002715EF" w:rsidRPr="008B213B" w14:paraId="3DF3CBC4" w14:textId="77777777" w:rsidTr="008B21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333465CF" w14:textId="77777777" w:rsidR="004A67CB" w:rsidRPr="008B213B" w:rsidRDefault="004A67CB" w:rsidP="008B213B">
            <w:r w:rsidRPr="008B213B">
              <w:t>3</w:t>
            </w:r>
          </w:p>
        </w:tc>
        <w:tc>
          <w:tcPr>
            <w:tcW w:w="0" w:type="auto"/>
            <w:hideMark/>
          </w:tcPr>
          <w:p w14:paraId="7C3279A2"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12 months</w:t>
            </w:r>
          </w:p>
        </w:tc>
        <w:tc>
          <w:tcPr>
            <w:tcW w:w="0" w:type="auto"/>
            <w:hideMark/>
          </w:tcPr>
          <w:p w14:paraId="377127F9"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50% reduction a</w:t>
            </w:r>
          </w:p>
        </w:tc>
        <w:tc>
          <w:tcPr>
            <w:tcW w:w="0" w:type="auto"/>
            <w:hideMark/>
          </w:tcPr>
          <w:p w14:paraId="0B17597F"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No</w:t>
            </w:r>
          </w:p>
        </w:tc>
        <w:tc>
          <w:tcPr>
            <w:tcW w:w="0" w:type="auto"/>
            <w:hideMark/>
          </w:tcPr>
          <w:p w14:paraId="19D10F0B"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48,000</w:t>
            </w:r>
          </w:p>
        </w:tc>
        <w:tc>
          <w:tcPr>
            <w:tcW w:w="0" w:type="auto"/>
            <w:hideMark/>
          </w:tcPr>
          <w:p w14:paraId="043ACB6D"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26,000</w:t>
            </w:r>
          </w:p>
        </w:tc>
        <w:tc>
          <w:tcPr>
            <w:tcW w:w="0" w:type="auto"/>
            <w:hideMark/>
          </w:tcPr>
          <w:p w14:paraId="5E9AD170"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4,500</w:t>
            </w:r>
          </w:p>
        </w:tc>
        <w:tc>
          <w:tcPr>
            <w:tcW w:w="0" w:type="auto"/>
            <w:hideMark/>
          </w:tcPr>
          <w:p w14:paraId="7461A268"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12,000</w:t>
            </w:r>
          </w:p>
        </w:tc>
        <w:tc>
          <w:tcPr>
            <w:tcW w:w="0" w:type="auto"/>
          </w:tcPr>
          <w:p w14:paraId="60A05F1F"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2,100</w:t>
            </w:r>
          </w:p>
        </w:tc>
        <w:tc>
          <w:tcPr>
            <w:tcW w:w="0" w:type="auto"/>
            <w:hideMark/>
          </w:tcPr>
          <w:p w14:paraId="036E2579"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-940</w:t>
            </w:r>
          </w:p>
        </w:tc>
        <w:tc>
          <w:tcPr>
            <w:tcW w:w="0" w:type="auto"/>
            <w:hideMark/>
          </w:tcPr>
          <w:p w14:paraId="33A03414"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4,600</w:t>
            </w:r>
          </w:p>
        </w:tc>
        <w:tc>
          <w:tcPr>
            <w:tcW w:w="0" w:type="auto"/>
            <w:hideMark/>
          </w:tcPr>
          <w:p w14:paraId="23FAA1AF"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4,800</w:t>
            </w:r>
          </w:p>
        </w:tc>
        <w:tc>
          <w:tcPr>
            <w:tcW w:w="0" w:type="auto"/>
            <w:hideMark/>
          </w:tcPr>
          <w:p w14:paraId="611975D0"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3,800</w:t>
            </w:r>
          </w:p>
        </w:tc>
        <w:tc>
          <w:tcPr>
            <w:tcW w:w="0" w:type="auto"/>
            <w:hideMark/>
          </w:tcPr>
          <w:p w14:paraId="28C99218"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6,500</w:t>
            </w:r>
          </w:p>
        </w:tc>
        <w:tc>
          <w:tcPr>
            <w:tcW w:w="0" w:type="auto"/>
            <w:hideMark/>
          </w:tcPr>
          <w:p w14:paraId="57F65AEA"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-1,300,000</w:t>
            </w:r>
          </w:p>
        </w:tc>
        <w:tc>
          <w:tcPr>
            <w:tcW w:w="0" w:type="auto"/>
            <w:hideMark/>
          </w:tcPr>
          <w:p w14:paraId="210AA5B1"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-690,000</w:t>
            </w:r>
          </w:p>
        </w:tc>
        <w:tc>
          <w:tcPr>
            <w:tcW w:w="0" w:type="auto"/>
            <w:hideMark/>
          </w:tcPr>
          <w:p w14:paraId="3083333F"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-74,000</w:t>
            </w:r>
          </w:p>
        </w:tc>
        <w:tc>
          <w:tcPr>
            <w:tcW w:w="0" w:type="auto"/>
            <w:hideMark/>
          </w:tcPr>
          <w:p w14:paraId="3451B75A"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-40,000</w:t>
            </w:r>
          </w:p>
        </w:tc>
      </w:tr>
      <w:tr w:rsidR="008B213B" w:rsidRPr="008B213B" w14:paraId="399C3E15" w14:textId="77777777" w:rsidTr="008B213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4CDCF066" w14:textId="77777777" w:rsidR="004A67CB" w:rsidRPr="008B213B" w:rsidRDefault="004A67CB" w:rsidP="008B213B">
            <w:r w:rsidRPr="008B213B">
              <w:t>4</w:t>
            </w:r>
          </w:p>
        </w:tc>
        <w:tc>
          <w:tcPr>
            <w:tcW w:w="0" w:type="auto"/>
            <w:hideMark/>
          </w:tcPr>
          <w:p w14:paraId="52FF5CDC"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3 months</w:t>
            </w:r>
          </w:p>
        </w:tc>
        <w:tc>
          <w:tcPr>
            <w:tcW w:w="0" w:type="auto"/>
            <w:hideMark/>
          </w:tcPr>
          <w:p w14:paraId="299A3BAA"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50% reduction a</w:t>
            </w:r>
          </w:p>
        </w:tc>
        <w:tc>
          <w:tcPr>
            <w:tcW w:w="0" w:type="auto"/>
            <w:hideMark/>
          </w:tcPr>
          <w:p w14:paraId="1CEFB723"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Yes</w:t>
            </w:r>
          </w:p>
        </w:tc>
        <w:tc>
          <w:tcPr>
            <w:tcW w:w="0" w:type="auto"/>
            <w:hideMark/>
          </w:tcPr>
          <w:p w14:paraId="33516D0B"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16,000</w:t>
            </w:r>
          </w:p>
        </w:tc>
        <w:tc>
          <w:tcPr>
            <w:tcW w:w="0" w:type="auto"/>
            <w:hideMark/>
          </w:tcPr>
          <w:p w14:paraId="55D102BB"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8,600</w:t>
            </w:r>
          </w:p>
        </w:tc>
        <w:tc>
          <w:tcPr>
            <w:tcW w:w="0" w:type="auto"/>
            <w:hideMark/>
          </w:tcPr>
          <w:p w14:paraId="4E62A191"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1,500</w:t>
            </w:r>
          </w:p>
        </w:tc>
        <w:tc>
          <w:tcPr>
            <w:tcW w:w="0" w:type="auto"/>
            <w:hideMark/>
          </w:tcPr>
          <w:p w14:paraId="38DD0527"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4,300</w:t>
            </w:r>
          </w:p>
        </w:tc>
        <w:tc>
          <w:tcPr>
            <w:tcW w:w="0" w:type="auto"/>
          </w:tcPr>
          <w:p w14:paraId="121B7BF8"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680</w:t>
            </w:r>
          </w:p>
        </w:tc>
        <w:tc>
          <w:tcPr>
            <w:tcW w:w="0" w:type="auto"/>
            <w:hideMark/>
          </w:tcPr>
          <w:p w14:paraId="436F818E"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-290</w:t>
            </w:r>
          </w:p>
        </w:tc>
        <w:tc>
          <w:tcPr>
            <w:tcW w:w="0" w:type="auto"/>
            <w:hideMark/>
          </w:tcPr>
          <w:p w14:paraId="27CA01B9"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1,400</w:t>
            </w:r>
          </w:p>
        </w:tc>
        <w:tc>
          <w:tcPr>
            <w:tcW w:w="0" w:type="auto"/>
            <w:hideMark/>
          </w:tcPr>
          <w:p w14:paraId="0BB0E795"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1,800</w:t>
            </w:r>
          </w:p>
        </w:tc>
        <w:tc>
          <w:tcPr>
            <w:tcW w:w="0" w:type="auto"/>
            <w:hideMark/>
          </w:tcPr>
          <w:p w14:paraId="1CB0FCA6"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1,400</w:t>
            </w:r>
          </w:p>
        </w:tc>
        <w:tc>
          <w:tcPr>
            <w:tcW w:w="0" w:type="auto"/>
            <w:hideMark/>
          </w:tcPr>
          <w:p w14:paraId="4CD924A6"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2,400</w:t>
            </w:r>
          </w:p>
        </w:tc>
        <w:tc>
          <w:tcPr>
            <w:tcW w:w="0" w:type="auto"/>
            <w:hideMark/>
          </w:tcPr>
          <w:p w14:paraId="415FE4EC"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-340,000</w:t>
            </w:r>
          </w:p>
        </w:tc>
        <w:tc>
          <w:tcPr>
            <w:tcW w:w="0" w:type="auto"/>
            <w:hideMark/>
          </w:tcPr>
          <w:p w14:paraId="16DE0BCD"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-340,000</w:t>
            </w:r>
          </w:p>
        </w:tc>
        <w:tc>
          <w:tcPr>
            <w:tcW w:w="0" w:type="auto"/>
            <w:hideMark/>
          </w:tcPr>
          <w:p w14:paraId="5F7777AF"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-19,000</w:t>
            </w:r>
          </w:p>
        </w:tc>
        <w:tc>
          <w:tcPr>
            <w:tcW w:w="0" w:type="auto"/>
            <w:hideMark/>
          </w:tcPr>
          <w:p w14:paraId="053767F8"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-19,000</w:t>
            </w:r>
          </w:p>
        </w:tc>
      </w:tr>
      <w:tr w:rsidR="002715EF" w:rsidRPr="008B213B" w14:paraId="0B98B96F" w14:textId="77777777" w:rsidTr="008B21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3A066CD1" w14:textId="77777777" w:rsidR="004A67CB" w:rsidRPr="008B213B" w:rsidRDefault="004A67CB" w:rsidP="008B213B">
            <w:r w:rsidRPr="008B213B">
              <w:lastRenderedPageBreak/>
              <w:t>5</w:t>
            </w:r>
          </w:p>
        </w:tc>
        <w:tc>
          <w:tcPr>
            <w:tcW w:w="0" w:type="auto"/>
            <w:hideMark/>
          </w:tcPr>
          <w:p w14:paraId="238968D1"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6 months</w:t>
            </w:r>
          </w:p>
        </w:tc>
        <w:tc>
          <w:tcPr>
            <w:tcW w:w="0" w:type="auto"/>
            <w:hideMark/>
          </w:tcPr>
          <w:p w14:paraId="6986DA10"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50% reduction a</w:t>
            </w:r>
          </w:p>
        </w:tc>
        <w:tc>
          <w:tcPr>
            <w:tcW w:w="0" w:type="auto"/>
            <w:hideMark/>
          </w:tcPr>
          <w:p w14:paraId="7568843B"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Yes</w:t>
            </w:r>
          </w:p>
        </w:tc>
        <w:tc>
          <w:tcPr>
            <w:tcW w:w="0" w:type="auto"/>
            <w:hideMark/>
          </w:tcPr>
          <w:p w14:paraId="45A5C544"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24,000</w:t>
            </w:r>
          </w:p>
        </w:tc>
        <w:tc>
          <w:tcPr>
            <w:tcW w:w="0" w:type="auto"/>
            <w:hideMark/>
          </w:tcPr>
          <w:p w14:paraId="038DA909"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13,000</w:t>
            </w:r>
          </w:p>
        </w:tc>
        <w:tc>
          <w:tcPr>
            <w:tcW w:w="0" w:type="auto"/>
            <w:hideMark/>
          </w:tcPr>
          <w:p w14:paraId="6C9A5DE3"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2,200</w:t>
            </w:r>
          </w:p>
        </w:tc>
        <w:tc>
          <w:tcPr>
            <w:tcW w:w="0" w:type="auto"/>
            <w:hideMark/>
          </w:tcPr>
          <w:p w14:paraId="7910C054"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4,100</w:t>
            </w:r>
          </w:p>
        </w:tc>
        <w:tc>
          <w:tcPr>
            <w:tcW w:w="0" w:type="auto"/>
          </w:tcPr>
          <w:p w14:paraId="12AF41E4"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1,000</w:t>
            </w:r>
          </w:p>
        </w:tc>
        <w:tc>
          <w:tcPr>
            <w:tcW w:w="0" w:type="auto"/>
            <w:hideMark/>
          </w:tcPr>
          <w:p w14:paraId="687F868A"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-270</w:t>
            </w:r>
          </w:p>
        </w:tc>
        <w:tc>
          <w:tcPr>
            <w:tcW w:w="0" w:type="auto"/>
            <w:hideMark/>
          </w:tcPr>
          <w:p w14:paraId="7F595D9B"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1,500</w:t>
            </w:r>
          </w:p>
        </w:tc>
        <w:tc>
          <w:tcPr>
            <w:tcW w:w="0" w:type="auto"/>
            <w:hideMark/>
          </w:tcPr>
          <w:p w14:paraId="2268FEB8"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1,600</w:t>
            </w:r>
          </w:p>
        </w:tc>
        <w:tc>
          <w:tcPr>
            <w:tcW w:w="0" w:type="auto"/>
            <w:hideMark/>
          </w:tcPr>
          <w:p w14:paraId="3100929D"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1,300</w:t>
            </w:r>
          </w:p>
        </w:tc>
        <w:tc>
          <w:tcPr>
            <w:tcW w:w="0" w:type="auto"/>
            <w:hideMark/>
          </w:tcPr>
          <w:p w14:paraId="7E056C98"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2,200</w:t>
            </w:r>
          </w:p>
        </w:tc>
        <w:tc>
          <w:tcPr>
            <w:tcW w:w="0" w:type="auto"/>
            <w:hideMark/>
          </w:tcPr>
          <w:p w14:paraId="31240213"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-510,000</w:t>
            </w:r>
          </w:p>
        </w:tc>
        <w:tc>
          <w:tcPr>
            <w:tcW w:w="0" w:type="auto"/>
            <w:hideMark/>
          </w:tcPr>
          <w:p w14:paraId="4D705A4F"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-210,000</w:t>
            </w:r>
          </w:p>
        </w:tc>
        <w:tc>
          <w:tcPr>
            <w:tcW w:w="0" w:type="auto"/>
            <w:hideMark/>
          </w:tcPr>
          <w:p w14:paraId="6A456682"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-28,000</w:t>
            </w:r>
          </w:p>
        </w:tc>
        <w:tc>
          <w:tcPr>
            <w:tcW w:w="0" w:type="auto"/>
            <w:hideMark/>
          </w:tcPr>
          <w:p w14:paraId="037A72F4"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-10,000</w:t>
            </w:r>
          </w:p>
        </w:tc>
      </w:tr>
      <w:tr w:rsidR="008B213B" w:rsidRPr="008B213B" w14:paraId="7BFE6422" w14:textId="77777777" w:rsidTr="008B213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7D0E930A" w14:textId="77777777" w:rsidR="004A67CB" w:rsidRPr="008B213B" w:rsidRDefault="004A67CB" w:rsidP="008B213B">
            <w:r w:rsidRPr="008B213B">
              <w:t>6</w:t>
            </w:r>
          </w:p>
        </w:tc>
        <w:tc>
          <w:tcPr>
            <w:tcW w:w="0" w:type="auto"/>
            <w:hideMark/>
          </w:tcPr>
          <w:p w14:paraId="332BDDEB"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12 months</w:t>
            </w:r>
          </w:p>
        </w:tc>
        <w:tc>
          <w:tcPr>
            <w:tcW w:w="0" w:type="auto"/>
            <w:hideMark/>
          </w:tcPr>
          <w:p w14:paraId="34ED60CE"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 xml:space="preserve">No reduction </w:t>
            </w:r>
          </w:p>
        </w:tc>
        <w:tc>
          <w:tcPr>
            <w:tcW w:w="0" w:type="auto"/>
            <w:hideMark/>
          </w:tcPr>
          <w:p w14:paraId="11A78FE9"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Yes</w:t>
            </w:r>
          </w:p>
        </w:tc>
        <w:tc>
          <w:tcPr>
            <w:tcW w:w="0" w:type="auto"/>
            <w:hideMark/>
          </w:tcPr>
          <w:p w14:paraId="6448A5A6"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32,000</w:t>
            </w:r>
          </w:p>
        </w:tc>
        <w:tc>
          <w:tcPr>
            <w:tcW w:w="0" w:type="auto"/>
            <w:hideMark/>
          </w:tcPr>
          <w:p w14:paraId="5207C07F"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17,000</w:t>
            </w:r>
          </w:p>
        </w:tc>
        <w:tc>
          <w:tcPr>
            <w:tcW w:w="0" w:type="auto"/>
            <w:hideMark/>
          </w:tcPr>
          <w:p w14:paraId="0E70B742"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3,100</w:t>
            </w:r>
          </w:p>
        </w:tc>
        <w:tc>
          <w:tcPr>
            <w:tcW w:w="0" w:type="auto"/>
            <w:hideMark/>
          </w:tcPr>
          <w:p w14:paraId="153320C4"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830</w:t>
            </w:r>
          </w:p>
        </w:tc>
        <w:tc>
          <w:tcPr>
            <w:tcW w:w="0" w:type="auto"/>
          </w:tcPr>
          <w:p w14:paraId="657CC51C"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1,400</w:t>
            </w:r>
          </w:p>
        </w:tc>
        <w:tc>
          <w:tcPr>
            <w:tcW w:w="0" w:type="auto"/>
            <w:hideMark/>
          </w:tcPr>
          <w:p w14:paraId="7EA2AF11"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-66</w:t>
            </w:r>
          </w:p>
        </w:tc>
        <w:tc>
          <w:tcPr>
            <w:tcW w:w="0" w:type="auto"/>
            <w:hideMark/>
          </w:tcPr>
          <w:p w14:paraId="42230E98"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410</w:t>
            </w:r>
          </w:p>
        </w:tc>
        <w:tc>
          <w:tcPr>
            <w:tcW w:w="0" w:type="auto"/>
            <w:hideMark/>
          </w:tcPr>
          <w:p w14:paraId="55F3BAF4"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230</w:t>
            </w:r>
          </w:p>
        </w:tc>
        <w:tc>
          <w:tcPr>
            <w:tcW w:w="0" w:type="auto"/>
            <w:hideMark/>
          </w:tcPr>
          <w:p w14:paraId="02580566"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260</w:t>
            </w:r>
          </w:p>
        </w:tc>
        <w:tc>
          <w:tcPr>
            <w:tcW w:w="0" w:type="auto"/>
            <w:hideMark/>
          </w:tcPr>
          <w:p w14:paraId="05D3DCF8"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460</w:t>
            </w:r>
          </w:p>
        </w:tc>
        <w:tc>
          <w:tcPr>
            <w:tcW w:w="0" w:type="auto"/>
            <w:hideMark/>
          </w:tcPr>
          <w:p w14:paraId="2BD0D171"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-1,300,000</w:t>
            </w:r>
          </w:p>
        </w:tc>
        <w:tc>
          <w:tcPr>
            <w:tcW w:w="0" w:type="auto"/>
            <w:hideMark/>
          </w:tcPr>
          <w:p w14:paraId="04FFA121"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+1,200,000</w:t>
            </w:r>
          </w:p>
        </w:tc>
        <w:tc>
          <w:tcPr>
            <w:tcW w:w="0" w:type="auto"/>
            <w:hideMark/>
          </w:tcPr>
          <w:p w14:paraId="5DD52559"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-74,000</w:t>
            </w:r>
          </w:p>
        </w:tc>
        <w:tc>
          <w:tcPr>
            <w:tcW w:w="0" w:type="auto"/>
            <w:hideMark/>
          </w:tcPr>
          <w:p w14:paraId="5506ABEC" w14:textId="77777777" w:rsidR="004A67CB" w:rsidRPr="008B213B" w:rsidRDefault="004A67CB" w:rsidP="008B213B">
            <w:pPr>
              <w:cnfStyle w:val="000000000000" w:firstRow="0" w:lastRow="0" w:firstColumn="0" w:lastColumn="0" w:oddVBand="0" w:evenVBand="0" w:oddHBand="0" w:evenHBand="0" w:firstRowFirstColumn="0" w:firstRowLastColumn="0" w:lastRowFirstColumn="0" w:lastRowLastColumn="0"/>
            </w:pPr>
            <w:r w:rsidRPr="008B213B">
              <w:t>+72,000</w:t>
            </w:r>
          </w:p>
        </w:tc>
      </w:tr>
      <w:tr w:rsidR="002715EF" w:rsidRPr="008B213B" w14:paraId="40AE626E" w14:textId="77777777" w:rsidTr="008B21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9545FAA" w14:textId="77777777" w:rsidR="004A67CB" w:rsidRPr="008B213B" w:rsidRDefault="004A67CB" w:rsidP="008B213B">
            <w:r w:rsidRPr="008B213B">
              <w:t>7</w:t>
            </w:r>
          </w:p>
        </w:tc>
        <w:tc>
          <w:tcPr>
            <w:tcW w:w="0" w:type="auto"/>
            <w:hideMark/>
          </w:tcPr>
          <w:p w14:paraId="64E6EB93"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12 months</w:t>
            </w:r>
          </w:p>
        </w:tc>
        <w:tc>
          <w:tcPr>
            <w:tcW w:w="0" w:type="auto"/>
            <w:hideMark/>
          </w:tcPr>
          <w:p w14:paraId="09E8590C"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50% reduction a</w:t>
            </w:r>
          </w:p>
        </w:tc>
        <w:tc>
          <w:tcPr>
            <w:tcW w:w="0" w:type="auto"/>
            <w:hideMark/>
          </w:tcPr>
          <w:p w14:paraId="31ACD164"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Yes</w:t>
            </w:r>
          </w:p>
        </w:tc>
        <w:tc>
          <w:tcPr>
            <w:tcW w:w="0" w:type="auto"/>
            <w:hideMark/>
          </w:tcPr>
          <w:p w14:paraId="4DE9AD5D"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48,000</w:t>
            </w:r>
          </w:p>
        </w:tc>
        <w:tc>
          <w:tcPr>
            <w:tcW w:w="0" w:type="auto"/>
            <w:hideMark/>
          </w:tcPr>
          <w:p w14:paraId="18AC9FEE"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26,000</w:t>
            </w:r>
          </w:p>
        </w:tc>
        <w:tc>
          <w:tcPr>
            <w:tcW w:w="0" w:type="auto"/>
            <w:hideMark/>
          </w:tcPr>
          <w:p w14:paraId="31802A74"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4,500</w:t>
            </w:r>
          </w:p>
        </w:tc>
        <w:tc>
          <w:tcPr>
            <w:tcW w:w="0" w:type="auto"/>
            <w:hideMark/>
          </w:tcPr>
          <w:p w14:paraId="1CE97870"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4,600</w:t>
            </w:r>
          </w:p>
        </w:tc>
        <w:tc>
          <w:tcPr>
            <w:tcW w:w="0" w:type="auto"/>
          </w:tcPr>
          <w:p w14:paraId="43BE216D"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2,100</w:t>
            </w:r>
          </w:p>
        </w:tc>
        <w:tc>
          <w:tcPr>
            <w:tcW w:w="0" w:type="auto"/>
            <w:hideMark/>
          </w:tcPr>
          <w:p w14:paraId="70152A09"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-410</w:t>
            </w:r>
          </w:p>
        </w:tc>
        <w:tc>
          <w:tcPr>
            <w:tcW w:w="0" w:type="auto"/>
            <w:hideMark/>
          </w:tcPr>
          <w:p w14:paraId="76FA9A7F"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1,700</w:t>
            </w:r>
          </w:p>
        </w:tc>
        <w:tc>
          <w:tcPr>
            <w:tcW w:w="0" w:type="auto"/>
            <w:hideMark/>
          </w:tcPr>
          <w:p w14:paraId="0705E477"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1,800</w:t>
            </w:r>
          </w:p>
        </w:tc>
        <w:tc>
          <w:tcPr>
            <w:tcW w:w="0" w:type="auto"/>
            <w:hideMark/>
          </w:tcPr>
          <w:p w14:paraId="081A531E"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1,500</w:t>
            </w:r>
          </w:p>
        </w:tc>
        <w:tc>
          <w:tcPr>
            <w:tcW w:w="0" w:type="auto"/>
            <w:hideMark/>
          </w:tcPr>
          <w:p w14:paraId="74F36DFA"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2,500</w:t>
            </w:r>
          </w:p>
        </w:tc>
        <w:tc>
          <w:tcPr>
            <w:tcW w:w="0" w:type="auto"/>
            <w:hideMark/>
          </w:tcPr>
          <w:p w14:paraId="39CF05FC"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-1,300,000</w:t>
            </w:r>
          </w:p>
        </w:tc>
        <w:tc>
          <w:tcPr>
            <w:tcW w:w="0" w:type="auto"/>
            <w:hideMark/>
          </w:tcPr>
          <w:p w14:paraId="56255941"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+530,000</w:t>
            </w:r>
          </w:p>
        </w:tc>
        <w:tc>
          <w:tcPr>
            <w:tcW w:w="0" w:type="auto"/>
            <w:hideMark/>
          </w:tcPr>
          <w:p w14:paraId="71DE021B"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-74,000</w:t>
            </w:r>
          </w:p>
        </w:tc>
        <w:tc>
          <w:tcPr>
            <w:tcW w:w="0" w:type="auto"/>
            <w:hideMark/>
          </w:tcPr>
          <w:p w14:paraId="6D03AA6F" w14:textId="77777777" w:rsidR="004A67CB" w:rsidRPr="008B213B" w:rsidRDefault="004A67CB" w:rsidP="008B213B">
            <w:pPr>
              <w:cnfStyle w:val="000000100000" w:firstRow="0" w:lastRow="0" w:firstColumn="0" w:lastColumn="0" w:oddVBand="0" w:evenVBand="0" w:oddHBand="1" w:evenHBand="0" w:firstRowFirstColumn="0" w:firstRowLastColumn="0" w:lastRowFirstColumn="0" w:lastRowLastColumn="0"/>
            </w:pPr>
            <w:r w:rsidRPr="008B213B">
              <w:t>+35,000</w:t>
            </w:r>
          </w:p>
        </w:tc>
      </w:tr>
    </w:tbl>
    <w:bookmarkEnd w:id="5"/>
    <w:p w14:paraId="730170CD" w14:textId="77777777" w:rsidR="00262CBC" w:rsidRPr="004B61AD" w:rsidRDefault="00756F1A" w:rsidP="004B61AD">
      <w:pPr>
        <w:spacing w:before="0" w:after="0" w:line="240" w:lineRule="auto"/>
        <w:rPr>
          <w:rStyle w:val="SubtleReference"/>
        </w:rPr>
      </w:pPr>
      <w:r w:rsidRPr="004B61AD">
        <w:rPr>
          <w:rStyle w:val="SubtleReference"/>
        </w:rPr>
        <w:t>a</w:t>
      </w:r>
      <w:r w:rsidR="009510E8" w:rsidRPr="004B61AD">
        <w:rPr>
          <w:rStyle w:val="SubtleReference"/>
        </w:rPr>
        <w:t xml:space="preserve"> 50% reduction in participation for all individuals invited in the 12 months following the disruption (~20% participation)</w:t>
      </w:r>
      <w:r w:rsidR="00262CBC" w:rsidRPr="004B61AD">
        <w:rPr>
          <w:rStyle w:val="SubtleReference"/>
        </w:rPr>
        <w:t xml:space="preserve">. </w:t>
      </w:r>
    </w:p>
    <w:p w14:paraId="19514E9A" w14:textId="77777777" w:rsidR="00456444" w:rsidRPr="004B61AD" w:rsidRDefault="00831636" w:rsidP="004B61AD">
      <w:pPr>
        <w:spacing w:before="0" w:after="0" w:line="240" w:lineRule="auto"/>
        <w:contextualSpacing/>
        <w:rPr>
          <w:rStyle w:val="SubtleReference"/>
        </w:rPr>
      </w:pPr>
      <w:r w:rsidRPr="004B61AD">
        <w:rPr>
          <w:rStyle w:val="SubtleReference"/>
        </w:rPr>
        <w:t>b</w:t>
      </w:r>
      <w:r w:rsidR="00262CBC" w:rsidRPr="004B61AD">
        <w:rPr>
          <w:rStyle w:val="SubtleReference"/>
        </w:rPr>
        <w:t xml:space="preserve"> Adenoma and CRC that would have been detected by colonoscopy but were not are considered missed or delayed, including those that would have been detected in 2020 but were detected in 2021 instead.</w:t>
      </w:r>
    </w:p>
    <w:p w14:paraId="5F413399" w14:textId="77777777" w:rsidR="00972AAE" w:rsidRPr="004B61AD" w:rsidRDefault="0089644F" w:rsidP="004B61AD">
      <w:pPr>
        <w:spacing w:before="0" w:after="0" w:line="240" w:lineRule="auto"/>
        <w:contextualSpacing/>
        <w:rPr>
          <w:rStyle w:val="SubtleReference"/>
        </w:rPr>
      </w:pPr>
      <w:r w:rsidRPr="004B61AD">
        <w:rPr>
          <w:rStyle w:val="SubtleReference"/>
        </w:rPr>
        <w:t>c</w:t>
      </w:r>
      <w:r w:rsidR="00972AAE" w:rsidRPr="004B61AD">
        <w:rPr>
          <w:rStyle w:val="SubtleReference"/>
        </w:rPr>
        <w:t xml:space="preserve"> </w:t>
      </w:r>
      <w:proofErr w:type="gramStart"/>
      <w:r w:rsidRPr="004B61AD">
        <w:rPr>
          <w:rStyle w:val="SubtleReference"/>
        </w:rPr>
        <w:t>The</w:t>
      </w:r>
      <w:proofErr w:type="gramEnd"/>
      <w:r w:rsidRPr="004B61AD">
        <w:rPr>
          <w:rStyle w:val="SubtleReference"/>
        </w:rPr>
        <w:t xml:space="preserve"> number of cases in which an advanced adenoma progress to cancer or a cancer progressed to a worse stage or over the following year</w:t>
      </w:r>
      <w:r w:rsidR="00BF3054" w:rsidRPr="004B61AD">
        <w:rPr>
          <w:rStyle w:val="SubtleReference"/>
        </w:rPr>
        <w:t xml:space="preserve"> for individuals whose </w:t>
      </w:r>
      <w:r w:rsidR="008D5726" w:rsidRPr="004B61AD">
        <w:rPr>
          <w:rStyle w:val="SubtleReference"/>
        </w:rPr>
        <w:t>routine</w:t>
      </w:r>
      <w:r w:rsidR="00BF3054" w:rsidRPr="004B61AD">
        <w:rPr>
          <w:rStyle w:val="SubtleReference"/>
        </w:rPr>
        <w:t xml:space="preserve"> screening was </w:t>
      </w:r>
      <w:r w:rsidRPr="004B61AD">
        <w:rPr>
          <w:rStyle w:val="SubtleReference"/>
        </w:rPr>
        <w:t>miss</w:t>
      </w:r>
      <w:r w:rsidR="00BF3054" w:rsidRPr="004B61AD">
        <w:rPr>
          <w:rStyle w:val="SubtleReference"/>
        </w:rPr>
        <w:t>ed</w:t>
      </w:r>
      <w:r w:rsidRPr="004B61AD">
        <w:rPr>
          <w:rStyle w:val="SubtleReference"/>
        </w:rPr>
        <w:t xml:space="preserve"> or delay</w:t>
      </w:r>
      <w:r w:rsidR="00BF3054" w:rsidRPr="004B61AD">
        <w:rPr>
          <w:rStyle w:val="SubtleReference"/>
        </w:rPr>
        <w:t>ed</w:t>
      </w:r>
      <w:r w:rsidRPr="004B61AD">
        <w:rPr>
          <w:rStyle w:val="SubtleReference"/>
        </w:rPr>
        <w:t xml:space="preserve"> in 2020 or 202</w:t>
      </w:r>
      <w:r w:rsidR="001D795E" w:rsidRPr="004B61AD">
        <w:rPr>
          <w:rStyle w:val="SubtleReference"/>
        </w:rPr>
        <w:t>1</w:t>
      </w:r>
    </w:p>
    <w:p w14:paraId="636563A0" w14:textId="77777777" w:rsidR="00DD47A3" w:rsidRPr="004B61AD" w:rsidRDefault="00972AAE" w:rsidP="004B61AD">
      <w:pPr>
        <w:spacing w:before="0" w:after="0" w:line="240" w:lineRule="auto"/>
        <w:contextualSpacing/>
        <w:rPr>
          <w:rStyle w:val="SubtleReference"/>
        </w:rPr>
      </w:pPr>
      <w:proofErr w:type="spellStart"/>
      <w:r w:rsidRPr="004B61AD">
        <w:rPr>
          <w:rStyle w:val="SubtleReference"/>
        </w:rPr>
        <w:t>d</w:t>
      </w:r>
      <w:r w:rsidR="00DD47A3" w:rsidRPr="004B61AD">
        <w:rPr>
          <w:rStyle w:val="SubtleReference"/>
        </w:rPr>
        <w:t>NBCSP</w:t>
      </w:r>
      <w:proofErr w:type="spellEnd"/>
      <w:r w:rsidR="00DD47A3" w:rsidRPr="004B61AD">
        <w:rPr>
          <w:rStyle w:val="SubtleReference"/>
        </w:rPr>
        <w:t xml:space="preserve">-related colonoscopy demand refers to both follow-up colonoscopies after a positive </w:t>
      </w:r>
      <w:proofErr w:type="spellStart"/>
      <w:r w:rsidR="00DD47A3" w:rsidRPr="004B61AD">
        <w:rPr>
          <w:rStyle w:val="SubtleReference"/>
        </w:rPr>
        <w:t>iFOBT</w:t>
      </w:r>
      <w:proofErr w:type="spellEnd"/>
      <w:r w:rsidR="00DD47A3" w:rsidRPr="004B61AD">
        <w:rPr>
          <w:rStyle w:val="SubtleReference"/>
        </w:rPr>
        <w:t>, and surveillance colonoscopies for people who have previously had a follow-up colonoscopy</w:t>
      </w:r>
    </w:p>
    <w:p w14:paraId="43ABD24F" w14:textId="77777777" w:rsidR="00756F1A" w:rsidRPr="004866BE" w:rsidRDefault="00972AAE" w:rsidP="004B61AD">
      <w:pPr>
        <w:spacing w:before="0" w:after="0" w:line="240" w:lineRule="auto"/>
        <w:contextualSpacing/>
        <w:rPr>
          <w:sz w:val="18"/>
        </w:rPr>
      </w:pPr>
      <w:r w:rsidRPr="004B61AD">
        <w:rPr>
          <w:rStyle w:val="SubtleReference"/>
        </w:rPr>
        <w:t>e</w:t>
      </w:r>
      <w:r w:rsidR="00756F1A" w:rsidRPr="004B61AD">
        <w:rPr>
          <w:rStyle w:val="SubtleReference"/>
        </w:rPr>
        <w:t xml:space="preserve"> Colonoscopy demand is reduced, due to fewer surveillance colonoscopies from individuals who would have had a positive </w:t>
      </w:r>
      <w:proofErr w:type="spellStart"/>
      <w:r w:rsidR="00756F1A" w:rsidRPr="004B61AD">
        <w:rPr>
          <w:rStyle w:val="SubtleReference"/>
        </w:rPr>
        <w:t>iFOBT</w:t>
      </w:r>
      <w:proofErr w:type="spellEnd"/>
      <w:r w:rsidR="00756F1A" w:rsidRPr="004B61AD">
        <w:rPr>
          <w:rStyle w:val="SubtleReference"/>
        </w:rPr>
        <w:t xml:space="preserve"> in 2020</w:t>
      </w:r>
      <w:r w:rsidR="00756F1A" w:rsidRPr="004866BE">
        <w:rPr>
          <w:sz w:val="18"/>
        </w:rPr>
        <w:t>.</w:t>
      </w:r>
    </w:p>
    <w:p w14:paraId="31AFEABB" w14:textId="77777777" w:rsidR="00946962" w:rsidRDefault="00946962" w:rsidP="009E1A6A">
      <w:pPr>
        <w:spacing w:after="0"/>
        <w:rPr>
          <w:sz w:val="18"/>
          <w:szCs w:val="18"/>
        </w:rPr>
      </w:pPr>
    </w:p>
    <w:p w14:paraId="44CCCD18" w14:textId="77777777" w:rsidR="001135B7" w:rsidRPr="00D41284" w:rsidRDefault="001135B7" w:rsidP="00D41284">
      <w:pPr>
        <w:sectPr w:rsidR="001135B7" w:rsidRPr="00D41284" w:rsidSect="004B61AD">
          <w:headerReference w:type="default" r:id="rId17"/>
          <w:pgSz w:w="16838" w:h="11906" w:orient="landscape"/>
          <w:pgMar w:top="1440" w:right="1440" w:bottom="1276" w:left="1440" w:header="708" w:footer="708" w:gutter="0"/>
          <w:cols w:space="708"/>
          <w:docGrid w:linePitch="360"/>
        </w:sectPr>
      </w:pPr>
    </w:p>
    <w:p w14:paraId="7FE4DE4B" w14:textId="77777777" w:rsidR="00E271C7" w:rsidRPr="004866BE" w:rsidRDefault="00E271C7" w:rsidP="00E271C7">
      <w:pPr>
        <w:pStyle w:val="Caption"/>
        <w:keepNext/>
      </w:pPr>
      <w:r w:rsidRPr="004866BE">
        <w:lastRenderedPageBreak/>
        <w:t xml:space="preserve">Table 4 – Estimated effects of screening pauses on areas affected by the Hot Zone policy, </w:t>
      </w:r>
      <w:proofErr w:type="gramStart"/>
      <w:r w:rsidRPr="004866BE">
        <w:t>i.e.</w:t>
      </w:r>
      <w:proofErr w:type="gramEnd"/>
      <w:r w:rsidRPr="004866BE">
        <w:t xml:space="preserve"> with limited screening invitation timeframes. All results are presented relative to the comparator, no change to screening in 2020 in the same area. Any pause to screening would disproportionately affect areas with shorter screening invitation timeframes. For each screening invitation timeframe length, the start and end months of the timeframe were taken as the average of all postcodes with that timeframe length. For these analyses, Scenarios 1 and 2 were modelled. All results are for the 2020 screening cohort </w:t>
      </w:r>
      <w:proofErr w:type="gramStart"/>
      <w:r w:rsidRPr="004866BE">
        <w:t>only, and</w:t>
      </w:r>
      <w:proofErr w:type="gramEnd"/>
      <w:r w:rsidRPr="004866BE">
        <w:t xml:space="preserve"> are presented to two significant figures.</w:t>
      </w:r>
    </w:p>
    <w:tbl>
      <w:tblPr>
        <w:tblStyle w:val="GridTable4-Accent1"/>
        <w:tblW w:w="0" w:type="auto"/>
        <w:tblLook w:val="04A0" w:firstRow="1" w:lastRow="0" w:firstColumn="1" w:lastColumn="0" w:noHBand="0" w:noVBand="1"/>
        <w:tblDescription w:val="Table 4 – Estimated effects of screening pauses on areas affected by the Hot Zone policy, i.e. with limited screening invitation timeframes. All results are presented relative to the comparator, no change to screening in 2020 in the same area. Any pause to screening would disproportionately affect areas with shorter screening invitation timeframes. For each screening invitation timeframe length, the start and end months of the timeframe were taken as the average of all postcodes with that timeframe length. For these analyses, Scenarios 1 and 2 were modelled. All results are for the 2020 screening cohort only, and are presented to two significant figures."/>
      </w:tblPr>
      <w:tblGrid>
        <w:gridCol w:w="3259"/>
        <w:gridCol w:w="1337"/>
        <w:gridCol w:w="1336"/>
        <w:gridCol w:w="1336"/>
        <w:gridCol w:w="1336"/>
        <w:gridCol w:w="1336"/>
        <w:gridCol w:w="1336"/>
        <w:gridCol w:w="1336"/>
        <w:gridCol w:w="1336"/>
      </w:tblGrid>
      <w:tr w:rsidR="00E271C7" w:rsidRPr="002715EF" w14:paraId="6B25353D" w14:textId="77777777" w:rsidTr="002715EF">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A30D584" w14:textId="77777777" w:rsidR="00E271C7" w:rsidRPr="002715EF" w:rsidRDefault="00E271C7" w:rsidP="002715EF"/>
        </w:tc>
        <w:tc>
          <w:tcPr>
            <w:tcW w:w="0" w:type="auto"/>
            <w:gridSpan w:val="2"/>
            <w:hideMark/>
          </w:tcPr>
          <w:p w14:paraId="0E7BDC95" w14:textId="77777777" w:rsidR="00E271C7" w:rsidRPr="002715EF" w:rsidRDefault="00E271C7" w:rsidP="002715EF">
            <w:pPr>
              <w:cnfStyle w:val="100000000000" w:firstRow="1" w:lastRow="0" w:firstColumn="0" w:lastColumn="0" w:oddVBand="0" w:evenVBand="0" w:oddHBand="0" w:evenHBand="0" w:firstRowFirstColumn="0" w:firstRowLastColumn="0" w:lastRowFirstColumn="0" w:lastRowLastColumn="0"/>
            </w:pPr>
            <w:r w:rsidRPr="002715EF">
              <w:t xml:space="preserve">Decrease in </w:t>
            </w:r>
            <w:proofErr w:type="spellStart"/>
            <w:r w:rsidRPr="002715EF">
              <w:t>iFOBT</w:t>
            </w:r>
            <w:proofErr w:type="spellEnd"/>
            <w:r w:rsidRPr="002715EF">
              <w:t xml:space="preserve"> screening kits returned, 2020</w:t>
            </w:r>
          </w:p>
        </w:tc>
        <w:tc>
          <w:tcPr>
            <w:tcW w:w="0" w:type="auto"/>
            <w:gridSpan w:val="2"/>
            <w:hideMark/>
          </w:tcPr>
          <w:p w14:paraId="40C9F960" w14:textId="77777777" w:rsidR="00E271C7" w:rsidRPr="002715EF" w:rsidRDefault="00E271C7" w:rsidP="002715EF">
            <w:pPr>
              <w:cnfStyle w:val="100000000000" w:firstRow="1" w:lastRow="0" w:firstColumn="0" w:lastColumn="0" w:oddVBand="0" w:evenVBand="0" w:oddHBand="0" w:evenHBand="0" w:firstRowFirstColumn="0" w:firstRowLastColumn="0" w:lastRowFirstColumn="0" w:lastRowLastColumn="0"/>
            </w:pPr>
            <w:r w:rsidRPr="002715EF">
              <w:t>Decrease in CRC cases detected, 2020</w:t>
            </w:r>
          </w:p>
        </w:tc>
        <w:tc>
          <w:tcPr>
            <w:tcW w:w="0" w:type="auto"/>
            <w:gridSpan w:val="2"/>
            <w:hideMark/>
          </w:tcPr>
          <w:p w14:paraId="1F70A906" w14:textId="77777777" w:rsidR="00E271C7" w:rsidRPr="002715EF" w:rsidRDefault="00E271C7" w:rsidP="002715EF">
            <w:pPr>
              <w:cnfStyle w:val="100000000000" w:firstRow="1" w:lastRow="0" w:firstColumn="0" w:lastColumn="0" w:oddVBand="0" w:evenVBand="0" w:oddHBand="0" w:evenHBand="0" w:firstRowFirstColumn="0" w:firstRowLastColumn="0" w:lastRowFirstColumn="0" w:lastRowLastColumn="0"/>
            </w:pPr>
            <w:r w:rsidRPr="002715EF">
              <w:t>Increase in CRC cases detected, 2020-2060</w:t>
            </w:r>
          </w:p>
        </w:tc>
        <w:tc>
          <w:tcPr>
            <w:tcW w:w="0" w:type="auto"/>
            <w:gridSpan w:val="2"/>
            <w:hideMark/>
          </w:tcPr>
          <w:p w14:paraId="40111A28" w14:textId="77777777" w:rsidR="00E271C7" w:rsidRPr="002715EF" w:rsidRDefault="00E271C7" w:rsidP="002715EF">
            <w:pPr>
              <w:cnfStyle w:val="100000000000" w:firstRow="1" w:lastRow="0" w:firstColumn="0" w:lastColumn="0" w:oddVBand="0" w:evenVBand="0" w:oddHBand="0" w:evenHBand="0" w:firstRowFirstColumn="0" w:firstRowLastColumn="0" w:lastRowFirstColumn="0" w:lastRowLastColumn="0"/>
            </w:pPr>
            <w:r w:rsidRPr="002715EF">
              <w:t xml:space="preserve">Increase in CRC </w:t>
            </w:r>
            <w:r w:rsidR="00B26EA7" w:rsidRPr="002715EF">
              <w:t>d</w:t>
            </w:r>
            <w:r w:rsidRPr="002715EF">
              <w:t>eaths, 2020-2060</w:t>
            </w:r>
          </w:p>
        </w:tc>
      </w:tr>
      <w:tr w:rsidR="009B51E3" w:rsidRPr="002715EF" w14:paraId="175EED12" w14:textId="77777777" w:rsidTr="002715EF">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D7854A8" w14:textId="77777777" w:rsidR="00E271C7" w:rsidRPr="002715EF" w:rsidRDefault="00E271C7" w:rsidP="002715EF">
            <w:pPr>
              <w:pStyle w:val="TableofAuthorities"/>
            </w:pPr>
            <w:r w:rsidRPr="002715EF">
              <w:t>Screening invitation timeframe (months)</w:t>
            </w:r>
          </w:p>
        </w:tc>
        <w:tc>
          <w:tcPr>
            <w:tcW w:w="0" w:type="auto"/>
            <w:noWrap/>
            <w:hideMark/>
          </w:tcPr>
          <w:p w14:paraId="5C546F4C" w14:textId="77777777" w:rsidR="00E271C7" w:rsidRPr="002715EF" w:rsidRDefault="00E271C7"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 xml:space="preserve">3 </w:t>
            </w:r>
            <w:proofErr w:type="gramStart"/>
            <w:r w:rsidRPr="002715EF">
              <w:t>month</w:t>
            </w:r>
            <w:proofErr w:type="gramEnd"/>
            <w:r w:rsidRPr="002715EF">
              <w:t xml:space="preserve"> pause</w:t>
            </w:r>
          </w:p>
        </w:tc>
        <w:tc>
          <w:tcPr>
            <w:tcW w:w="0" w:type="auto"/>
            <w:noWrap/>
            <w:hideMark/>
          </w:tcPr>
          <w:p w14:paraId="2E3E8E47" w14:textId="77777777" w:rsidR="00E271C7" w:rsidRPr="002715EF" w:rsidRDefault="00E271C7"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 xml:space="preserve">6 </w:t>
            </w:r>
            <w:proofErr w:type="gramStart"/>
            <w:r w:rsidRPr="002715EF">
              <w:t>month</w:t>
            </w:r>
            <w:proofErr w:type="gramEnd"/>
            <w:r w:rsidRPr="002715EF">
              <w:t xml:space="preserve"> pause</w:t>
            </w:r>
          </w:p>
        </w:tc>
        <w:tc>
          <w:tcPr>
            <w:tcW w:w="0" w:type="auto"/>
            <w:noWrap/>
            <w:hideMark/>
          </w:tcPr>
          <w:p w14:paraId="30E50133" w14:textId="77777777" w:rsidR="00E271C7" w:rsidRPr="002715EF" w:rsidRDefault="00E271C7"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 xml:space="preserve">3 </w:t>
            </w:r>
            <w:proofErr w:type="gramStart"/>
            <w:r w:rsidRPr="002715EF">
              <w:t>month</w:t>
            </w:r>
            <w:proofErr w:type="gramEnd"/>
            <w:r w:rsidRPr="002715EF">
              <w:t xml:space="preserve"> pause</w:t>
            </w:r>
          </w:p>
        </w:tc>
        <w:tc>
          <w:tcPr>
            <w:tcW w:w="0" w:type="auto"/>
            <w:noWrap/>
            <w:hideMark/>
          </w:tcPr>
          <w:p w14:paraId="5C6BDF56" w14:textId="77777777" w:rsidR="00E271C7" w:rsidRPr="002715EF" w:rsidRDefault="00E271C7"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 xml:space="preserve">6 </w:t>
            </w:r>
            <w:proofErr w:type="gramStart"/>
            <w:r w:rsidRPr="002715EF">
              <w:t>month</w:t>
            </w:r>
            <w:proofErr w:type="gramEnd"/>
            <w:r w:rsidRPr="002715EF">
              <w:t xml:space="preserve"> pause</w:t>
            </w:r>
          </w:p>
        </w:tc>
        <w:tc>
          <w:tcPr>
            <w:tcW w:w="0" w:type="auto"/>
            <w:noWrap/>
            <w:hideMark/>
          </w:tcPr>
          <w:p w14:paraId="3163CFF8" w14:textId="77777777" w:rsidR="00E271C7" w:rsidRPr="002715EF" w:rsidRDefault="00E271C7"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 xml:space="preserve">3 </w:t>
            </w:r>
            <w:proofErr w:type="gramStart"/>
            <w:r w:rsidRPr="002715EF">
              <w:t>month</w:t>
            </w:r>
            <w:proofErr w:type="gramEnd"/>
            <w:r w:rsidRPr="002715EF">
              <w:t xml:space="preserve"> pause</w:t>
            </w:r>
          </w:p>
        </w:tc>
        <w:tc>
          <w:tcPr>
            <w:tcW w:w="0" w:type="auto"/>
            <w:noWrap/>
            <w:hideMark/>
          </w:tcPr>
          <w:p w14:paraId="5D2E1BE2" w14:textId="77777777" w:rsidR="00E271C7" w:rsidRPr="002715EF" w:rsidRDefault="00E271C7"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 xml:space="preserve">6 </w:t>
            </w:r>
            <w:proofErr w:type="gramStart"/>
            <w:r w:rsidRPr="002715EF">
              <w:t>month</w:t>
            </w:r>
            <w:proofErr w:type="gramEnd"/>
            <w:r w:rsidRPr="002715EF">
              <w:t xml:space="preserve"> pause</w:t>
            </w:r>
          </w:p>
        </w:tc>
        <w:tc>
          <w:tcPr>
            <w:tcW w:w="0" w:type="auto"/>
            <w:noWrap/>
            <w:hideMark/>
          </w:tcPr>
          <w:p w14:paraId="4CF08F2F" w14:textId="77777777" w:rsidR="00E271C7" w:rsidRPr="002715EF" w:rsidRDefault="00E271C7"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 xml:space="preserve">3 </w:t>
            </w:r>
            <w:proofErr w:type="gramStart"/>
            <w:r w:rsidRPr="002715EF">
              <w:t>month</w:t>
            </w:r>
            <w:proofErr w:type="gramEnd"/>
            <w:r w:rsidRPr="002715EF">
              <w:t xml:space="preserve"> pause</w:t>
            </w:r>
          </w:p>
        </w:tc>
        <w:tc>
          <w:tcPr>
            <w:tcW w:w="0" w:type="auto"/>
            <w:noWrap/>
            <w:hideMark/>
          </w:tcPr>
          <w:p w14:paraId="43B1CEFF" w14:textId="77777777" w:rsidR="00E271C7" w:rsidRPr="002715EF" w:rsidRDefault="00E271C7"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 xml:space="preserve">6 </w:t>
            </w:r>
            <w:proofErr w:type="gramStart"/>
            <w:r w:rsidRPr="002715EF">
              <w:t>month</w:t>
            </w:r>
            <w:proofErr w:type="gramEnd"/>
            <w:r w:rsidRPr="002715EF">
              <w:t xml:space="preserve"> pause</w:t>
            </w:r>
          </w:p>
        </w:tc>
      </w:tr>
      <w:tr w:rsidR="00E271C7" w:rsidRPr="002715EF" w14:paraId="0F6C3992" w14:textId="77777777" w:rsidTr="002715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noWrap/>
            <w:hideMark/>
          </w:tcPr>
          <w:p w14:paraId="2FB99C9D" w14:textId="77777777" w:rsidR="00E271C7" w:rsidRPr="002715EF" w:rsidRDefault="00E271C7" w:rsidP="002715EF">
            <w:r w:rsidRPr="002715EF">
              <w:t>1</w:t>
            </w:r>
          </w:p>
        </w:tc>
        <w:tc>
          <w:tcPr>
            <w:tcW w:w="0" w:type="auto"/>
            <w:noWrap/>
            <w:hideMark/>
          </w:tcPr>
          <w:p w14:paraId="7EB9FB0A"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100%</w:t>
            </w:r>
          </w:p>
        </w:tc>
        <w:tc>
          <w:tcPr>
            <w:tcW w:w="0" w:type="auto"/>
            <w:noWrap/>
            <w:hideMark/>
          </w:tcPr>
          <w:p w14:paraId="3FE09DD4"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100%</w:t>
            </w:r>
          </w:p>
        </w:tc>
        <w:tc>
          <w:tcPr>
            <w:tcW w:w="0" w:type="auto"/>
            <w:noWrap/>
            <w:hideMark/>
          </w:tcPr>
          <w:p w14:paraId="271396C6"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44%</w:t>
            </w:r>
          </w:p>
        </w:tc>
        <w:tc>
          <w:tcPr>
            <w:tcW w:w="0" w:type="auto"/>
            <w:noWrap/>
            <w:hideMark/>
          </w:tcPr>
          <w:p w14:paraId="358BEBB8"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44%</w:t>
            </w:r>
          </w:p>
        </w:tc>
        <w:tc>
          <w:tcPr>
            <w:tcW w:w="0" w:type="auto"/>
            <w:noWrap/>
            <w:hideMark/>
          </w:tcPr>
          <w:p w14:paraId="53DEB7C0"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4.6%</w:t>
            </w:r>
          </w:p>
        </w:tc>
        <w:tc>
          <w:tcPr>
            <w:tcW w:w="0" w:type="auto"/>
            <w:noWrap/>
            <w:hideMark/>
          </w:tcPr>
          <w:p w14:paraId="223C2CA6"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4.6%</w:t>
            </w:r>
          </w:p>
        </w:tc>
        <w:tc>
          <w:tcPr>
            <w:tcW w:w="0" w:type="auto"/>
            <w:noWrap/>
            <w:hideMark/>
          </w:tcPr>
          <w:p w14:paraId="7989A55B"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7.3%</w:t>
            </w:r>
          </w:p>
        </w:tc>
        <w:tc>
          <w:tcPr>
            <w:tcW w:w="0" w:type="auto"/>
            <w:noWrap/>
            <w:hideMark/>
          </w:tcPr>
          <w:p w14:paraId="30999815"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7.3%</w:t>
            </w:r>
          </w:p>
        </w:tc>
      </w:tr>
      <w:tr w:rsidR="00E271C7" w:rsidRPr="002715EF" w14:paraId="6CFD2799" w14:textId="77777777" w:rsidTr="002715EF">
        <w:trPr>
          <w:trHeight w:val="397"/>
        </w:trPr>
        <w:tc>
          <w:tcPr>
            <w:cnfStyle w:val="001000000000" w:firstRow="0" w:lastRow="0" w:firstColumn="1" w:lastColumn="0" w:oddVBand="0" w:evenVBand="0" w:oddHBand="0" w:evenHBand="0" w:firstRowFirstColumn="0" w:firstRowLastColumn="0" w:lastRowFirstColumn="0" w:lastRowLastColumn="0"/>
            <w:tcW w:w="0" w:type="auto"/>
            <w:noWrap/>
            <w:hideMark/>
          </w:tcPr>
          <w:p w14:paraId="45E944A5" w14:textId="77777777" w:rsidR="00E271C7" w:rsidRPr="002715EF" w:rsidRDefault="00E271C7" w:rsidP="002715EF">
            <w:r w:rsidRPr="002715EF">
              <w:t>2</w:t>
            </w:r>
          </w:p>
        </w:tc>
        <w:tc>
          <w:tcPr>
            <w:tcW w:w="0" w:type="auto"/>
            <w:noWrap/>
            <w:hideMark/>
          </w:tcPr>
          <w:p w14:paraId="20FB4709"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72%</w:t>
            </w:r>
          </w:p>
        </w:tc>
        <w:tc>
          <w:tcPr>
            <w:tcW w:w="0" w:type="auto"/>
            <w:noWrap/>
            <w:hideMark/>
          </w:tcPr>
          <w:p w14:paraId="62E0D69F"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100%</w:t>
            </w:r>
          </w:p>
        </w:tc>
        <w:tc>
          <w:tcPr>
            <w:tcW w:w="0" w:type="auto"/>
            <w:noWrap/>
            <w:hideMark/>
          </w:tcPr>
          <w:p w14:paraId="66966DFF"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32%</w:t>
            </w:r>
          </w:p>
        </w:tc>
        <w:tc>
          <w:tcPr>
            <w:tcW w:w="0" w:type="auto"/>
            <w:noWrap/>
            <w:hideMark/>
          </w:tcPr>
          <w:p w14:paraId="3406C07B"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44%</w:t>
            </w:r>
          </w:p>
        </w:tc>
        <w:tc>
          <w:tcPr>
            <w:tcW w:w="0" w:type="auto"/>
            <w:noWrap/>
            <w:hideMark/>
          </w:tcPr>
          <w:p w14:paraId="0212F74B"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3.3%</w:t>
            </w:r>
          </w:p>
        </w:tc>
        <w:tc>
          <w:tcPr>
            <w:tcW w:w="0" w:type="auto"/>
            <w:noWrap/>
            <w:hideMark/>
          </w:tcPr>
          <w:p w14:paraId="2CA5AC19"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4.6%</w:t>
            </w:r>
          </w:p>
        </w:tc>
        <w:tc>
          <w:tcPr>
            <w:tcW w:w="0" w:type="auto"/>
            <w:noWrap/>
            <w:hideMark/>
          </w:tcPr>
          <w:p w14:paraId="6AC8093B"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5.3%</w:t>
            </w:r>
          </w:p>
        </w:tc>
        <w:tc>
          <w:tcPr>
            <w:tcW w:w="0" w:type="auto"/>
            <w:noWrap/>
            <w:hideMark/>
          </w:tcPr>
          <w:p w14:paraId="17171E96"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7.3%</w:t>
            </w:r>
          </w:p>
        </w:tc>
      </w:tr>
      <w:tr w:rsidR="00E271C7" w:rsidRPr="002715EF" w14:paraId="0C31FB2B" w14:textId="77777777" w:rsidTr="002715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noWrap/>
            <w:hideMark/>
          </w:tcPr>
          <w:p w14:paraId="46E500E2" w14:textId="77777777" w:rsidR="00E271C7" w:rsidRPr="002715EF" w:rsidRDefault="00E271C7" w:rsidP="002715EF">
            <w:r w:rsidRPr="002715EF">
              <w:t>3</w:t>
            </w:r>
          </w:p>
        </w:tc>
        <w:tc>
          <w:tcPr>
            <w:tcW w:w="0" w:type="auto"/>
            <w:noWrap/>
            <w:hideMark/>
          </w:tcPr>
          <w:p w14:paraId="5A5FB1F2"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52%</w:t>
            </w:r>
          </w:p>
        </w:tc>
        <w:tc>
          <w:tcPr>
            <w:tcW w:w="0" w:type="auto"/>
            <w:noWrap/>
            <w:hideMark/>
          </w:tcPr>
          <w:p w14:paraId="243A7492"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100%</w:t>
            </w:r>
          </w:p>
        </w:tc>
        <w:tc>
          <w:tcPr>
            <w:tcW w:w="0" w:type="auto"/>
            <w:noWrap/>
            <w:hideMark/>
          </w:tcPr>
          <w:p w14:paraId="7196CED7"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23%</w:t>
            </w:r>
          </w:p>
        </w:tc>
        <w:tc>
          <w:tcPr>
            <w:tcW w:w="0" w:type="auto"/>
            <w:noWrap/>
            <w:hideMark/>
          </w:tcPr>
          <w:p w14:paraId="418A0B16"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44%</w:t>
            </w:r>
          </w:p>
        </w:tc>
        <w:tc>
          <w:tcPr>
            <w:tcW w:w="0" w:type="auto"/>
            <w:noWrap/>
            <w:hideMark/>
          </w:tcPr>
          <w:p w14:paraId="67D823EE"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2.4%</w:t>
            </w:r>
          </w:p>
        </w:tc>
        <w:tc>
          <w:tcPr>
            <w:tcW w:w="0" w:type="auto"/>
            <w:noWrap/>
            <w:hideMark/>
          </w:tcPr>
          <w:p w14:paraId="69E7529A"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4.6%</w:t>
            </w:r>
          </w:p>
        </w:tc>
        <w:tc>
          <w:tcPr>
            <w:tcW w:w="0" w:type="auto"/>
            <w:noWrap/>
            <w:hideMark/>
          </w:tcPr>
          <w:p w14:paraId="6A58C26C"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3.8%</w:t>
            </w:r>
          </w:p>
        </w:tc>
        <w:tc>
          <w:tcPr>
            <w:tcW w:w="0" w:type="auto"/>
            <w:noWrap/>
            <w:hideMark/>
          </w:tcPr>
          <w:p w14:paraId="6A279953"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7.3%</w:t>
            </w:r>
          </w:p>
        </w:tc>
      </w:tr>
      <w:tr w:rsidR="00E271C7" w:rsidRPr="002715EF" w14:paraId="7953AC23" w14:textId="77777777" w:rsidTr="002715EF">
        <w:trPr>
          <w:trHeight w:val="397"/>
        </w:trPr>
        <w:tc>
          <w:tcPr>
            <w:cnfStyle w:val="001000000000" w:firstRow="0" w:lastRow="0" w:firstColumn="1" w:lastColumn="0" w:oddVBand="0" w:evenVBand="0" w:oddHBand="0" w:evenHBand="0" w:firstRowFirstColumn="0" w:firstRowLastColumn="0" w:lastRowFirstColumn="0" w:lastRowLastColumn="0"/>
            <w:tcW w:w="0" w:type="auto"/>
            <w:noWrap/>
            <w:hideMark/>
          </w:tcPr>
          <w:p w14:paraId="747D5751" w14:textId="77777777" w:rsidR="00E271C7" w:rsidRPr="002715EF" w:rsidRDefault="00E271C7" w:rsidP="002715EF">
            <w:r w:rsidRPr="002715EF">
              <w:t>4</w:t>
            </w:r>
          </w:p>
        </w:tc>
        <w:tc>
          <w:tcPr>
            <w:tcW w:w="0" w:type="auto"/>
            <w:noWrap/>
            <w:hideMark/>
          </w:tcPr>
          <w:p w14:paraId="078BAF32"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48%</w:t>
            </w:r>
          </w:p>
        </w:tc>
        <w:tc>
          <w:tcPr>
            <w:tcW w:w="0" w:type="auto"/>
            <w:noWrap/>
            <w:hideMark/>
          </w:tcPr>
          <w:p w14:paraId="14CCD2E1"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100%</w:t>
            </w:r>
          </w:p>
        </w:tc>
        <w:tc>
          <w:tcPr>
            <w:tcW w:w="0" w:type="auto"/>
            <w:noWrap/>
            <w:hideMark/>
          </w:tcPr>
          <w:p w14:paraId="10C2C0AE"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21%</w:t>
            </w:r>
          </w:p>
        </w:tc>
        <w:tc>
          <w:tcPr>
            <w:tcW w:w="0" w:type="auto"/>
            <w:noWrap/>
            <w:hideMark/>
          </w:tcPr>
          <w:p w14:paraId="1A669CDE"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44%</w:t>
            </w:r>
          </w:p>
        </w:tc>
        <w:tc>
          <w:tcPr>
            <w:tcW w:w="0" w:type="auto"/>
            <w:noWrap/>
            <w:hideMark/>
          </w:tcPr>
          <w:p w14:paraId="6D9CB954"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2.2%</w:t>
            </w:r>
          </w:p>
        </w:tc>
        <w:tc>
          <w:tcPr>
            <w:tcW w:w="0" w:type="auto"/>
            <w:noWrap/>
            <w:hideMark/>
          </w:tcPr>
          <w:p w14:paraId="307EACB3"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4.6%</w:t>
            </w:r>
          </w:p>
        </w:tc>
        <w:tc>
          <w:tcPr>
            <w:tcW w:w="0" w:type="auto"/>
            <w:noWrap/>
            <w:hideMark/>
          </w:tcPr>
          <w:p w14:paraId="06B41923"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3.5%</w:t>
            </w:r>
          </w:p>
        </w:tc>
        <w:tc>
          <w:tcPr>
            <w:tcW w:w="0" w:type="auto"/>
            <w:noWrap/>
            <w:hideMark/>
          </w:tcPr>
          <w:p w14:paraId="4634F97B"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7.3%</w:t>
            </w:r>
          </w:p>
        </w:tc>
      </w:tr>
      <w:tr w:rsidR="00E271C7" w:rsidRPr="002715EF" w14:paraId="053CADD5" w14:textId="77777777" w:rsidTr="002715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noWrap/>
            <w:hideMark/>
          </w:tcPr>
          <w:p w14:paraId="19FFAD5C" w14:textId="77777777" w:rsidR="00E271C7" w:rsidRPr="002715EF" w:rsidRDefault="00E271C7" w:rsidP="002715EF">
            <w:r w:rsidRPr="002715EF">
              <w:t>5</w:t>
            </w:r>
          </w:p>
        </w:tc>
        <w:tc>
          <w:tcPr>
            <w:tcW w:w="0" w:type="auto"/>
            <w:noWrap/>
            <w:hideMark/>
          </w:tcPr>
          <w:p w14:paraId="00AA529B"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40%</w:t>
            </w:r>
          </w:p>
        </w:tc>
        <w:tc>
          <w:tcPr>
            <w:tcW w:w="0" w:type="auto"/>
            <w:noWrap/>
            <w:hideMark/>
          </w:tcPr>
          <w:p w14:paraId="212FAFEB"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100%</w:t>
            </w:r>
          </w:p>
        </w:tc>
        <w:tc>
          <w:tcPr>
            <w:tcW w:w="0" w:type="auto"/>
            <w:noWrap/>
            <w:hideMark/>
          </w:tcPr>
          <w:p w14:paraId="3D7C9946"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18%</w:t>
            </w:r>
          </w:p>
        </w:tc>
        <w:tc>
          <w:tcPr>
            <w:tcW w:w="0" w:type="auto"/>
            <w:noWrap/>
            <w:hideMark/>
          </w:tcPr>
          <w:p w14:paraId="7010DBAB"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44%</w:t>
            </w:r>
          </w:p>
        </w:tc>
        <w:tc>
          <w:tcPr>
            <w:tcW w:w="0" w:type="auto"/>
            <w:noWrap/>
            <w:hideMark/>
          </w:tcPr>
          <w:p w14:paraId="51C83159"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1.8%</w:t>
            </w:r>
          </w:p>
        </w:tc>
        <w:tc>
          <w:tcPr>
            <w:tcW w:w="0" w:type="auto"/>
            <w:noWrap/>
            <w:hideMark/>
          </w:tcPr>
          <w:p w14:paraId="0819F17C"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4.6%</w:t>
            </w:r>
          </w:p>
        </w:tc>
        <w:tc>
          <w:tcPr>
            <w:tcW w:w="0" w:type="auto"/>
            <w:noWrap/>
            <w:hideMark/>
          </w:tcPr>
          <w:p w14:paraId="6651E6D4"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2.9%</w:t>
            </w:r>
          </w:p>
        </w:tc>
        <w:tc>
          <w:tcPr>
            <w:tcW w:w="0" w:type="auto"/>
            <w:noWrap/>
            <w:hideMark/>
          </w:tcPr>
          <w:p w14:paraId="6F11497A"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7.3%</w:t>
            </w:r>
          </w:p>
        </w:tc>
      </w:tr>
      <w:tr w:rsidR="00E271C7" w:rsidRPr="002715EF" w14:paraId="4F4EDEC5" w14:textId="77777777" w:rsidTr="002715EF">
        <w:trPr>
          <w:trHeight w:val="397"/>
        </w:trPr>
        <w:tc>
          <w:tcPr>
            <w:cnfStyle w:val="001000000000" w:firstRow="0" w:lastRow="0" w:firstColumn="1" w:lastColumn="0" w:oddVBand="0" w:evenVBand="0" w:oddHBand="0" w:evenHBand="0" w:firstRowFirstColumn="0" w:firstRowLastColumn="0" w:lastRowFirstColumn="0" w:lastRowLastColumn="0"/>
            <w:tcW w:w="0" w:type="auto"/>
            <w:noWrap/>
            <w:hideMark/>
          </w:tcPr>
          <w:p w14:paraId="03E5760F" w14:textId="77777777" w:rsidR="00E271C7" w:rsidRPr="002715EF" w:rsidRDefault="00E271C7" w:rsidP="002715EF">
            <w:r w:rsidRPr="002715EF">
              <w:t>6</w:t>
            </w:r>
          </w:p>
        </w:tc>
        <w:tc>
          <w:tcPr>
            <w:tcW w:w="0" w:type="auto"/>
            <w:noWrap/>
            <w:hideMark/>
          </w:tcPr>
          <w:p w14:paraId="14EEE156"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49%</w:t>
            </w:r>
          </w:p>
        </w:tc>
        <w:tc>
          <w:tcPr>
            <w:tcW w:w="0" w:type="auto"/>
            <w:noWrap/>
            <w:hideMark/>
          </w:tcPr>
          <w:p w14:paraId="2B476973"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99%</w:t>
            </w:r>
          </w:p>
        </w:tc>
        <w:tc>
          <w:tcPr>
            <w:tcW w:w="0" w:type="auto"/>
            <w:noWrap/>
            <w:hideMark/>
          </w:tcPr>
          <w:p w14:paraId="6DA52602"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22%</w:t>
            </w:r>
          </w:p>
        </w:tc>
        <w:tc>
          <w:tcPr>
            <w:tcW w:w="0" w:type="auto"/>
            <w:noWrap/>
            <w:hideMark/>
          </w:tcPr>
          <w:p w14:paraId="73B014A2"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43%</w:t>
            </w:r>
          </w:p>
        </w:tc>
        <w:tc>
          <w:tcPr>
            <w:tcW w:w="0" w:type="auto"/>
            <w:noWrap/>
            <w:hideMark/>
          </w:tcPr>
          <w:p w14:paraId="45147912"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2.2%</w:t>
            </w:r>
          </w:p>
        </w:tc>
        <w:tc>
          <w:tcPr>
            <w:tcW w:w="0" w:type="auto"/>
            <w:noWrap/>
            <w:hideMark/>
          </w:tcPr>
          <w:p w14:paraId="3D7588DF"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4.5%</w:t>
            </w:r>
          </w:p>
        </w:tc>
        <w:tc>
          <w:tcPr>
            <w:tcW w:w="0" w:type="auto"/>
            <w:noWrap/>
            <w:hideMark/>
          </w:tcPr>
          <w:p w14:paraId="6110AAFA"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3.6%</w:t>
            </w:r>
          </w:p>
        </w:tc>
        <w:tc>
          <w:tcPr>
            <w:tcW w:w="0" w:type="auto"/>
            <w:noWrap/>
            <w:hideMark/>
          </w:tcPr>
          <w:p w14:paraId="577C1C19"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7.2%</w:t>
            </w:r>
          </w:p>
        </w:tc>
      </w:tr>
      <w:tr w:rsidR="00E271C7" w:rsidRPr="002715EF" w14:paraId="23C9A729" w14:textId="77777777" w:rsidTr="002715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noWrap/>
            <w:hideMark/>
          </w:tcPr>
          <w:p w14:paraId="1FC516CB" w14:textId="77777777" w:rsidR="00E271C7" w:rsidRPr="002715EF" w:rsidRDefault="00E271C7" w:rsidP="002715EF">
            <w:r w:rsidRPr="002715EF">
              <w:t>7</w:t>
            </w:r>
          </w:p>
        </w:tc>
        <w:tc>
          <w:tcPr>
            <w:tcW w:w="0" w:type="auto"/>
            <w:noWrap/>
            <w:hideMark/>
          </w:tcPr>
          <w:p w14:paraId="67081A73"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42%</w:t>
            </w:r>
          </w:p>
        </w:tc>
        <w:tc>
          <w:tcPr>
            <w:tcW w:w="0" w:type="auto"/>
            <w:noWrap/>
            <w:hideMark/>
          </w:tcPr>
          <w:p w14:paraId="3CEB8A2A"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85%</w:t>
            </w:r>
          </w:p>
        </w:tc>
        <w:tc>
          <w:tcPr>
            <w:tcW w:w="0" w:type="auto"/>
            <w:noWrap/>
            <w:hideMark/>
          </w:tcPr>
          <w:p w14:paraId="332045AD"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18%</w:t>
            </w:r>
          </w:p>
        </w:tc>
        <w:tc>
          <w:tcPr>
            <w:tcW w:w="0" w:type="auto"/>
            <w:noWrap/>
            <w:hideMark/>
          </w:tcPr>
          <w:p w14:paraId="781DBE35"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37%</w:t>
            </w:r>
          </w:p>
        </w:tc>
        <w:tc>
          <w:tcPr>
            <w:tcW w:w="0" w:type="auto"/>
            <w:noWrap/>
            <w:hideMark/>
          </w:tcPr>
          <w:p w14:paraId="2816F895"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1.9%</w:t>
            </w:r>
          </w:p>
        </w:tc>
        <w:tc>
          <w:tcPr>
            <w:tcW w:w="0" w:type="auto"/>
            <w:noWrap/>
            <w:hideMark/>
          </w:tcPr>
          <w:p w14:paraId="144B3364"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3.9%</w:t>
            </w:r>
          </w:p>
        </w:tc>
        <w:tc>
          <w:tcPr>
            <w:tcW w:w="0" w:type="auto"/>
            <w:noWrap/>
            <w:hideMark/>
          </w:tcPr>
          <w:p w14:paraId="23FF2CD7"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3.1%</w:t>
            </w:r>
          </w:p>
        </w:tc>
        <w:tc>
          <w:tcPr>
            <w:tcW w:w="0" w:type="auto"/>
            <w:noWrap/>
            <w:hideMark/>
          </w:tcPr>
          <w:p w14:paraId="0F67FFB6"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6.2%</w:t>
            </w:r>
          </w:p>
        </w:tc>
      </w:tr>
      <w:tr w:rsidR="00E271C7" w:rsidRPr="002715EF" w14:paraId="2A1F3332" w14:textId="77777777" w:rsidTr="002715EF">
        <w:trPr>
          <w:trHeight w:val="397"/>
        </w:trPr>
        <w:tc>
          <w:tcPr>
            <w:cnfStyle w:val="001000000000" w:firstRow="0" w:lastRow="0" w:firstColumn="1" w:lastColumn="0" w:oddVBand="0" w:evenVBand="0" w:oddHBand="0" w:evenHBand="0" w:firstRowFirstColumn="0" w:firstRowLastColumn="0" w:lastRowFirstColumn="0" w:lastRowLastColumn="0"/>
            <w:tcW w:w="0" w:type="auto"/>
            <w:noWrap/>
            <w:hideMark/>
          </w:tcPr>
          <w:p w14:paraId="0A1E92A9" w14:textId="77777777" w:rsidR="00E271C7" w:rsidRPr="002715EF" w:rsidRDefault="00E271C7" w:rsidP="002715EF">
            <w:r w:rsidRPr="002715EF">
              <w:t>8</w:t>
            </w:r>
          </w:p>
        </w:tc>
        <w:tc>
          <w:tcPr>
            <w:tcW w:w="0" w:type="auto"/>
            <w:noWrap/>
            <w:hideMark/>
          </w:tcPr>
          <w:p w14:paraId="51ED0ACD"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37%</w:t>
            </w:r>
          </w:p>
        </w:tc>
        <w:tc>
          <w:tcPr>
            <w:tcW w:w="0" w:type="auto"/>
            <w:noWrap/>
            <w:hideMark/>
          </w:tcPr>
          <w:p w14:paraId="0DC4372A"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75%</w:t>
            </w:r>
          </w:p>
        </w:tc>
        <w:tc>
          <w:tcPr>
            <w:tcW w:w="0" w:type="auto"/>
            <w:noWrap/>
            <w:hideMark/>
          </w:tcPr>
          <w:p w14:paraId="3B84EDD2"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16%</w:t>
            </w:r>
          </w:p>
        </w:tc>
        <w:tc>
          <w:tcPr>
            <w:tcW w:w="0" w:type="auto"/>
            <w:noWrap/>
            <w:hideMark/>
          </w:tcPr>
          <w:p w14:paraId="75A46787"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33%</w:t>
            </w:r>
          </w:p>
        </w:tc>
        <w:tc>
          <w:tcPr>
            <w:tcW w:w="0" w:type="auto"/>
            <w:noWrap/>
            <w:hideMark/>
          </w:tcPr>
          <w:p w14:paraId="3F24A8DE"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1.7%</w:t>
            </w:r>
          </w:p>
        </w:tc>
        <w:tc>
          <w:tcPr>
            <w:tcW w:w="0" w:type="auto"/>
            <w:noWrap/>
            <w:hideMark/>
          </w:tcPr>
          <w:p w14:paraId="7C6F2C2E"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3.4%</w:t>
            </w:r>
          </w:p>
        </w:tc>
        <w:tc>
          <w:tcPr>
            <w:tcW w:w="0" w:type="auto"/>
            <w:noWrap/>
            <w:hideMark/>
          </w:tcPr>
          <w:p w14:paraId="4FFED141"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2.7%</w:t>
            </w:r>
          </w:p>
        </w:tc>
        <w:tc>
          <w:tcPr>
            <w:tcW w:w="0" w:type="auto"/>
            <w:noWrap/>
            <w:hideMark/>
          </w:tcPr>
          <w:p w14:paraId="7DAE7DDB"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5.5%</w:t>
            </w:r>
          </w:p>
        </w:tc>
      </w:tr>
      <w:tr w:rsidR="00E271C7" w:rsidRPr="002715EF" w14:paraId="6817D084" w14:textId="77777777" w:rsidTr="002715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noWrap/>
            <w:hideMark/>
          </w:tcPr>
          <w:p w14:paraId="09FBC9BA" w14:textId="77777777" w:rsidR="00E271C7" w:rsidRPr="002715EF" w:rsidRDefault="00E271C7" w:rsidP="002715EF">
            <w:r w:rsidRPr="002715EF">
              <w:t>9</w:t>
            </w:r>
          </w:p>
        </w:tc>
        <w:tc>
          <w:tcPr>
            <w:tcW w:w="0" w:type="auto"/>
            <w:noWrap/>
            <w:hideMark/>
          </w:tcPr>
          <w:p w14:paraId="1B769FC4"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33%</w:t>
            </w:r>
          </w:p>
        </w:tc>
        <w:tc>
          <w:tcPr>
            <w:tcW w:w="0" w:type="auto"/>
            <w:noWrap/>
            <w:hideMark/>
          </w:tcPr>
          <w:p w14:paraId="30DBE8B6"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66%</w:t>
            </w:r>
          </w:p>
        </w:tc>
        <w:tc>
          <w:tcPr>
            <w:tcW w:w="0" w:type="auto"/>
            <w:noWrap/>
            <w:hideMark/>
          </w:tcPr>
          <w:p w14:paraId="7F7B6508"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14%</w:t>
            </w:r>
          </w:p>
        </w:tc>
        <w:tc>
          <w:tcPr>
            <w:tcW w:w="0" w:type="auto"/>
            <w:noWrap/>
            <w:hideMark/>
          </w:tcPr>
          <w:p w14:paraId="3BDFD8B8"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29%</w:t>
            </w:r>
          </w:p>
        </w:tc>
        <w:tc>
          <w:tcPr>
            <w:tcW w:w="0" w:type="auto"/>
            <w:noWrap/>
            <w:hideMark/>
          </w:tcPr>
          <w:p w14:paraId="1589EB94"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1.5%</w:t>
            </w:r>
          </w:p>
        </w:tc>
        <w:tc>
          <w:tcPr>
            <w:tcW w:w="0" w:type="auto"/>
            <w:noWrap/>
            <w:hideMark/>
          </w:tcPr>
          <w:p w14:paraId="671F5359"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3.0%</w:t>
            </w:r>
          </w:p>
        </w:tc>
        <w:tc>
          <w:tcPr>
            <w:tcW w:w="0" w:type="auto"/>
            <w:noWrap/>
            <w:hideMark/>
          </w:tcPr>
          <w:p w14:paraId="37CD5B38"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2.4%</w:t>
            </w:r>
          </w:p>
        </w:tc>
        <w:tc>
          <w:tcPr>
            <w:tcW w:w="0" w:type="auto"/>
            <w:noWrap/>
            <w:hideMark/>
          </w:tcPr>
          <w:p w14:paraId="5C313DAC"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4.8%</w:t>
            </w:r>
          </w:p>
        </w:tc>
      </w:tr>
      <w:tr w:rsidR="00E271C7" w:rsidRPr="002715EF" w14:paraId="7F17B477" w14:textId="77777777" w:rsidTr="002715EF">
        <w:trPr>
          <w:trHeight w:val="397"/>
        </w:trPr>
        <w:tc>
          <w:tcPr>
            <w:cnfStyle w:val="001000000000" w:firstRow="0" w:lastRow="0" w:firstColumn="1" w:lastColumn="0" w:oddVBand="0" w:evenVBand="0" w:oddHBand="0" w:evenHBand="0" w:firstRowFirstColumn="0" w:firstRowLastColumn="0" w:lastRowFirstColumn="0" w:lastRowLastColumn="0"/>
            <w:tcW w:w="0" w:type="auto"/>
            <w:noWrap/>
            <w:hideMark/>
          </w:tcPr>
          <w:p w14:paraId="74A73A68" w14:textId="77777777" w:rsidR="00E271C7" w:rsidRPr="002715EF" w:rsidRDefault="00E271C7" w:rsidP="002715EF">
            <w:r w:rsidRPr="002715EF">
              <w:lastRenderedPageBreak/>
              <w:t>10</w:t>
            </w:r>
          </w:p>
        </w:tc>
        <w:tc>
          <w:tcPr>
            <w:tcW w:w="0" w:type="auto"/>
            <w:noWrap/>
            <w:hideMark/>
          </w:tcPr>
          <w:p w14:paraId="4E789B8B"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30%</w:t>
            </w:r>
          </w:p>
        </w:tc>
        <w:tc>
          <w:tcPr>
            <w:tcW w:w="0" w:type="auto"/>
            <w:noWrap/>
            <w:hideMark/>
          </w:tcPr>
          <w:p w14:paraId="03F415C4"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60%</w:t>
            </w:r>
          </w:p>
        </w:tc>
        <w:tc>
          <w:tcPr>
            <w:tcW w:w="0" w:type="auto"/>
            <w:noWrap/>
            <w:hideMark/>
          </w:tcPr>
          <w:p w14:paraId="45F3B3C1"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13%</w:t>
            </w:r>
          </w:p>
        </w:tc>
        <w:tc>
          <w:tcPr>
            <w:tcW w:w="0" w:type="auto"/>
            <w:noWrap/>
            <w:hideMark/>
          </w:tcPr>
          <w:p w14:paraId="3143CBC1"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26%</w:t>
            </w:r>
          </w:p>
        </w:tc>
        <w:tc>
          <w:tcPr>
            <w:tcW w:w="0" w:type="auto"/>
            <w:noWrap/>
            <w:hideMark/>
          </w:tcPr>
          <w:p w14:paraId="10EC8063"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1.4%</w:t>
            </w:r>
          </w:p>
        </w:tc>
        <w:tc>
          <w:tcPr>
            <w:tcW w:w="0" w:type="auto"/>
            <w:noWrap/>
            <w:hideMark/>
          </w:tcPr>
          <w:p w14:paraId="5C05FE33"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2.7%</w:t>
            </w:r>
          </w:p>
        </w:tc>
        <w:tc>
          <w:tcPr>
            <w:tcW w:w="0" w:type="auto"/>
            <w:noWrap/>
            <w:hideMark/>
          </w:tcPr>
          <w:p w14:paraId="6CF5D91E"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2.2%</w:t>
            </w:r>
          </w:p>
        </w:tc>
        <w:tc>
          <w:tcPr>
            <w:tcW w:w="0" w:type="auto"/>
            <w:noWrap/>
            <w:hideMark/>
          </w:tcPr>
          <w:p w14:paraId="2E975800"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4.4%</w:t>
            </w:r>
          </w:p>
        </w:tc>
      </w:tr>
      <w:tr w:rsidR="00E271C7" w:rsidRPr="002715EF" w14:paraId="0C58F236" w14:textId="77777777" w:rsidTr="002715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noWrap/>
            <w:hideMark/>
          </w:tcPr>
          <w:p w14:paraId="4B732979" w14:textId="77777777" w:rsidR="00E271C7" w:rsidRPr="002715EF" w:rsidRDefault="00E271C7" w:rsidP="002715EF">
            <w:r w:rsidRPr="002715EF">
              <w:t>11</w:t>
            </w:r>
          </w:p>
        </w:tc>
        <w:tc>
          <w:tcPr>
            <w:tcW w:w="0" w:type="auto"/>
            <w:noWrap/>
            <w:hideMark/>
          </w:tcPr>
          <w:p w14:paraId="1C0AE4B2"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27%</w:t>
            </w:r>
          </w:p>
        </w:tc>
        <w:tc>
          <w:tcPr>
            <w:tcW w:w="0" w:type="auto"/>
            <w:noWrap/>
            <w:hideMark/>
          </w:tcPr>
          <w:p w14:paraId="68F43D0E"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54%</w:t>
            </w:r>
          </w:p>
        </w:tc>
        <w:tc>
          <w:tcPr>
            <w:tcW w:w="0" w:type="auto"/>
            <w:noWrap/>
            <w:hideMark/>
          </w:tcPr>
          <w:p w14:paraId="7CD72B5B"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12%</w:t>
            </w:r>
          </w:p>
        </w:tc>
        <w:tc>
          <w:tcPr>
            <w:tcW w:w="0" w:type="auto"/>
            <w:noWrap/>
            <w:hideMark/>
          </w:tcPr>
          <w:p w14:paraId="65A74A20"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24%</w:t>
            </w:r>
          </w:p>
        </w:tc>
        <w:tc>
          <w:tcPr>
            <w:tcW w:w="0" w:type="auto"/>
            <w:noWrap/>
            <w:hideMark/>
          </w:tcPr>
          <w:p w14:paraId="5DD3A86E"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1.2%</w:t>
            </w:r>
          </w:p>
        </w:tc>
        <w:tc>
          <w:tcPr>
            <w:tcW w:w="0" w:type="auto"/>
            <w:noWrap/>
            <w:hideMark/>
          </w:tcPr>
          <w:p w14:paraId="1BF17900"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2.5%</w:t>
            </w:r>
          </w:p>
        </w:tc>
        <w:tc>
          <w:tcPr>
            <w:tcW w:w="0" w:type="auto"/>
            <w:noWrap/>
            <w:hideMark/>
          </w:tcPr>
          <w:p w14:paraId="19BBC434"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2.0%</w:t>
            </w:r>
          </w:p>
        </w:tc>
        <w:tc>
          <w:tcPr>
            <w:tcW w:w="0" w:type="auto"/>
            <w:noWrap/>
            <w:hideMark/>
          </w:tcPr>
          <w:p w14:paraId="5362B224" w14:textId="77777777" w:rsidR="00E271C7" w:rsidRPr="002715EF" w:rsidRDefault="00E271C7" w:rsidP="002715EF">
            <w:pPr>
              <w:cnfStyle w:val="000000100000" w:firstRow="0" w:lastRow="0" w:firstColumn="0" w:lastColumn="0" w:oddVBand="0" w:evenVBand="0" w:oddHBand="1" w:evenHBand="0" w:firstRowFirstColumn="0" w:firstRowLastColumn="0" w:lastRowFirstColumn="0" w:lastRowLastColumn="0"/>
            </w:pPr>
            <w:r w:rsidRPr="002715EF">
              <w:t>3.9%</w:t>
            </w:r>
          </w:p>
        </w:tc>
      </w:tr>
      <w:tr w:rsidR="00E271C7" w:rsidRPr="002715EF" w14:paraId="1B0B795C" w14:textId="77777777" w:rsidTr="002715EF">
        <w:trPr>
          <w:trHeight w:val="397"/>
        </w:trPr>
        <w:tc>
          <w:tcPr>
            <w:cnfStyle w:val="001000000000" w:firstRow="0" w:lastRow="0" w:firstColumn="1" w:lastColumn="0" w:oddVBand="0" w:evenVBand="0" w:oddHBand="0" w:evenHBand="0" w:firstRowFirstColumn="0" w:firstRowLastColumn="0" w:lastRowFirstColumn="0" w:lastRowLastColumn="0"/>
            <w:tcW w:w="0" w:type="auto"/>
            <w:noWrap/>
            <w:hideMark/>
          </w:tcPr>
          <w:p w14:paraId="4B50C102" w14:textId="77777777" w:rsidR="00E271C7" w:rsidRPr="002715EF" w:rsidRDefault="00E271C7" w:rsidP="002715EF">
            <w:r w:rsidRPr="002715EF">
              <w:t>12</w:t>
            </w:r>
          </w:p>
        </w:tc>
        <w:tc>
          <w:tcPr>
            <w:tcW w:w="0" w:type="auto"/>
            <w:noWrap/>
            <w:hideMark/>
          </w:tcPr>
          <w:p w14:paraId="740936D3"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25%</w:t>
            </w:r>
          </w:p>
        </w:tc>
        <w:tc>
          <w:tcPr>
            <w:tcW w:w="0" w:type="auto"/>
            <w:noWrap/>
            <w:hideMark/>
          </w:tcPr>
          <w:p w14:paraId="20893956"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50%</w:t>
            </w:r>
          </w:p>
        </w:tc>
        <w:tc>
          <w:tcPr>
            <w:tcW w:w="0" w:type="auto"/>
            <w:noWrap/>
            <w:hideMark/>
          </w:tcPr>
          <w:p w14:paraId="4B69554F"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11%</w:t>
            </w:r>
          </w:p>
        </w:tc>
        <w:tc>
          <w:tcPr>
            <w:tcW w:w="0" w:type="auto"/>
            <w:noWrap/>
            <w:hideMark/>
          </w:tcPr>
          <w:p w14:paraId="22FA92F7"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22%</w:t>
            </w:r>
          </w:p>
        </w:tc>
        <w:tc>
          <w:tcPr>
            <w:tcW w:w="0" w:type="auto"/>
            <w:noWrap/>
            <w:hideMark/>
          </w:tcPr>
          <w:p w14:paraId="01E4CA5A"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1.1%</w:t>
            </w:r>
          </w:p>
        </w:tc>
        <w:tc>
          <w:tcPr>
            <w:tcW w:w="0" w:type="auto"/>
            <w:noWrap/>
            <w:hideMark/>
          </w:tcPr>
          <w:p w14:paraId="41339026"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2.3%</w:t>
            </w:r>
          </w:p>
        </w:tc>
        <w:tc>
          <w:tcPr>
            <w:tcW w:w="0" w:type="auto"/>
            <w:noWrap/>
            <w:hideMark/>
          </w:tcPr>
          <w:p w14:paraId="722DD726"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1.8%</w:t>
            </w:r>
          </w:p>
        </w:tc>
        <w:tc>
          <w:tcPr>
            <w:tcW w:w="0" w:type="auto"/>
            <w:noWrap/>
            <w:hideMark/>
          </w:tcPr>
          <w:p w14:paraId="63A3B960" w14:textId="77777777" w:rsidR="00E271C7" w:rsidRPr="002715EF" w:rsidRDefault="00E271C7" w:rsidP="002715EF">
            <w:pPr>
              <w:cnfStyle w:val="000000000000" w:firstRow="0" w:lastRow="0" w:firstColumn="0" w:lastColumn="0" w:oddVBand="0" w:evenVBand="0" w:oddHBand="0" w:evenHBand="0" w:firstRowFirstColumn="0" w:firstRowLastColumn="0" w:lastRowFirstColumn="0" w:lastRowLastColumn="0"/>
            </w:pPr>
            <w:r w:rsidRPr="002715EF">
              <w:t>3.6%</w:t>
            </w:r>
          </w:p>
        </w:tc>
      </w:tr>
    </w:tbl>
    <w:p w14:paraId="2DE295BD" w14:textId="77777777" w:rsidR="00946962" w:rsidRPr="004866BE" w:rsidRDefault="00946962" w:rsidP="00D41284">
      <w:pPr>
        <w:pStyle w:val="Caption"/>
        <w:pageBreakBefore/>
      </w:pPr>
      <w:r w:rsidRPr="004866BE">
        <w:lastRenderedPageBreak/>
        <w:t xml:space="preserve">Table </w:t>
      </w:r>
      <w:r w:rsidR="00E271C7" w:rsidRPr="004866BE">
        <w:t>5</w:t>
      </w:r>
      <w:r w:rsidRPr="004866BE">
        <w:t xml:space="preserve">–Outcomes for the comparator stratified by </w:t>
      </w:r>
      <w:r w:rsidR="001C4E85">
        <w:t xml:space="preserve">state or </w:t>
      </w:r>
      <w:r w:rsidR="00BC64E3">
        <w:t>territory</w:t>
      </w:r>
      <w:r w:rsidRPr="004866BE">
        <w:t>– NBCSP screening continues in 2020-2021 with no change to participation rates or treatment. Note that these outcomes are only for the modelled cohorts – those born 1945</w:t>
      </w:r>
      <w:r w:rsidR="4ED830C2" w:rsidRPr="004866BE">
        <w:t>-</w:t>
      </w:r>
      <w:r w:rsidRPr="004866BE">
        <w:t xml:space="preserve">1971, and therefore eligible for screening in 2020/2021. </w:t>
      </w:r>
      <w:r w:rsidR="006520C9" w:rsidRPr="004866BE">
        <w:t xml:space="preserve">To calculate </w:t>
      </w:r>
      <w:r w:rsidR="00BC64E3" w:rsidRPr="00BC64E3">
        <w:t xml:space="preserve">jurisdiction </w:t>
      </w:r>
      <w:r w:rsidR="006520C9" w:rsidRPr="004866BE">
        <w:t xml:space="preserve">-specific results, outcomes were adjusted to account for the age and sex breakdown of the </w:t>
      </w:r>
      <w:r w:rsidR="00BC64E3" w:rsidRPr="00BC64E3">
        <w:t>jurisdiction</w:t>
      </w:r>
      <w:r w:rsidR="006520C9" w:rsidRPr="004866BE">
        <w:t xml:space="preserve">, and </w:t>
      </w:r>
      <w:r w:rsidR="00AB7F43" w:rsidRPr="004866BE">
        <w:t xml:space="preserve">the overall participation for that </w:t>
      </w:r>
      <w:r w:rsidR="00BC64E3" w:rsidRPr="00BC64E3">
        <w:t>jurisdiction</w:t>
      </w:r>
      <w:r w:rsidR="00AB7F43" w:rsidRPr="004866BE">
        <w:t xml:space="preserve">. </w:t>
      </w:r>
      <w:r w:rsidRPr="004866BE">
        <w:t>All values are shown to two significant figures</w:t>
      </w:r>
      <w:r w:rsidR="001C5785" w:rsidRPr="004866BE">
        <w:t>.</w:t>
      </w:r>
    </w:p>
    <w:tbl>
      <w:tblPr>
        <w:tblStyle w:val="GridTable4-Accent1"/>
        <w:tblW w:w="13379" w:type="dxa"/>
        <w:tblLook w:val="04A0" w:firstRow="1" w:lastRow="0" w:firstColumn="1" w:lastColumn="0" w:noHBand="0" w:noVBand="1"/>
        <w:tblDescription w:val="Table 5–Outcomes for the comparator stratified by state or territory– NBCSP screening continues in 2020-2021 with no change to participation rates or treatment. Note that these outcomes are only for the modelled cohorts – those born 1945-1971, and therefore eligible for screening in 2020/2021. To calculate jurisdiction -specific results, outcomes were adjusted to account for the age and sex breakdown of the jurisdiction, and the overall participation for that jurisdiction. All values are shown to two significant figures."/>
      </w:tblPr>
      <w:tblGrid>
        <w:gridCol w:w="4536"/>
        <w:gridCol w:w="939"/>
        <w:gridCol w:w="1004"/>
        <w:gridCol w:w="1361"/>
        <w:gridCol w:w="1072"/>
        <w:gridCol w:w="1072"/>
        <w:gridCol w:w="1139"/>
        <w:gridCol w:w="1061"/>
        <w:gridCol w:w="1195"/>
      </w:tblGrid>
      <w:tr w:rsidR="00D41284" w:rsidRPr="00D41284" w14:paraId="05065C51" w14:textId="77777777" w:rsidTr="002715EF">
        <w:trPr>
          <w:cnfStyle w:val="100000000000" w:firstRow="1" w:lastRow="0" w:firstColumn="0" w:lastColumn="0" w:oddVBand="0" w:evenVBand="0" w:oddHBand="0" w:evenHBand="0" w:firstRowFirstColumn="0" w:firstRowLastColumn="0" w:lastRowFirstColumn="0" w:lastRowLastColumn="0"/>
          <w:trHeight w:val="1314"/>
          <w:tblHeader/>
        </w:trPr>
        <w:tc>
          <w:tcPr>
            <w:cnfStyle w:val="001000000000" w:firstRow="0" w:lastRow="0" w:firstColumn="1" w:lastColumn="0" w:oddVBand="0" w:evenVBand="0" w:oddHBand="0" w:evenHBand="0" w:firstRowFirstColumn="0" w:firstRowLastColumn="0" w:lastRowFirstColumn="0" w:lastRowLastColumn="0"/>
            <w:tcW w:w="4536" w:type="dxa"/>
            <w:noWrap/>
            <w:hideMark/>
          </w:tcPr>
          <w:p w14:paraId="0EB042BF" w14:textId="77777777" w:rsidR="00A4327A" w:rsidRPr="00D41284" w:rsidRDefault="00A4327A" w:rsidP="00D41284"/>
        </w:tc>
        <w:tc>
          <w:tcPr>
            <w:tcW w:w="939" w:type="dxa"/>
            <w:noWrap/>
            <w:hideMark/>
          </w:tcPr>
          <w:p w14:paraId="1AFD4A78" w14:textId="77777777" w:rsidR="00A4327A" w:rsidRPr="00D41284" w:rsidRDefault="00D43F1B" w:rsidP="00D41284">
            <w:pPr>
              <w:cnfStyle w:val="100000000000" w:firstRow="1" w:lastRow="0" w:firstColumn="0" w:lastColumn="0" w:oddVBand="0" w:evenVBand="0" w:oddHBand="0" w:evenHBand="0" w:firstRowFirstColumn="0" w:firstRowLastColumn="0" w:lastRowFirstColumn="0" w:lastRowLastColumn="0"/>
            </w:pPr>
            <w:r w:rsidRPr="00D41284">
              <w:t>New South Wales</w:t>
            </w:r>
          </w:p>
        </w:tc>
        <w:tc>
          <w:tcPr>
            <w:tcW w:w="1004" w:type="dxa"/>
            <w:noWrap/>
            <w:hideMark/>
          </w:tcPr>
          <w:p w14:paraId="021E9019" w14:textId="77777777" w:rsidR="00A4327A" w:rsidRPr="00D41284" w:rsidRDefault="00A4327A" w:rsidP="00D41284">
            <w:pPr>
              <w:cnfStyle w:val="100000000000" w:firstRow="1" w:lastRow="0" w:firstColumn="0" w:lastColumn="0" w:oddVBand="0" w:evenVBand="0" w:oddHBand="0" w:evenHBand="0" w:firstRowFirstColumn="0" w:firstRowLastColumn="0" w:lastRowFirstColumn="0" w:lastRowLastColumn="0"/>
            </w:pPr>
            <w:r w:rsidRPr="00D41284">
              <w:t>Victoria</w:t>
            </w:r>
          </w:p>
        </w:tc>
        <w:tc>
          <w:tcPr>
            <w:tcW w:w="1361" w:type="dxa"/>
            <w:noWrap/>
            <w:hideMark/>
          </w:tcPr>
          <w:p w14:paraId="698AD2E4" w14:textId="77777777" w:rsidR="00A4327A" w:rsidRPr="00D41284" w:rsidRDefault="00A4327A" w:rsidP="00D41284">
            <w:pPr>
              <w:cnfStyle w:val="100000000000" w:firstRow="1" w:lastRow="0" w:firstColumn="0" w:lastColumn="0" w:oddVBand="0" w:evenVBand="0" w:oddHBand="0" w:evenHBand="0" w:firstRowFirstColumn="0" w:firstRowLastColumn="0" w:lastRowFirstColumn="0" w:lastRowLastColumn="0"/>
            </w:pPr>
            <w:r w:rsidRPr="00D41284">
              <w:t>Queensland</w:t>
            </w:r>
          </w:p>
        </w:tc>
        <w:tc>
          <w:tcPr>
            <w:tcW w:w="1072" w:type="dxa"/>
            <w:noWrap/>
            <w:hideMark/>
          </w:tcPr>
          <w:p w14:paraId="0DC95D6F" w14:textId="77777777" w:rsidR="00A4327A" w:rsidRPr="00D41284" w:rsidRDefault="00A4327A" w:rsidP="00D41284">
            <w:pPr>
              <w:cnfStyle w:val="100000000000" w:firstRow="1" w:lastRow="0" w:firstColumn="0" w:lastColumn="0" w:oddVBand="0" w:evenVBand="0" w:oddHBand="0" w:evenHBand="0" w:firstRowFirstColumn="0" w:firstRowLastColumn="0" w:lastRowFirstColumn="0" w:lastRowLastColumn="0"/>
            </w:pPr>
            <w:r w:rsidRPr="00D41284">
              <w:t>South Australia</w:t>
            </w:r>
          </w:p>
        </w:tc>
        <w:tc>
          <w:tcPr>
            <w:tcW w:w="1072" w:type="dxa"/>
            <w:noWrap/>
            <w:hideMark/>
          </w:tcPr>
          <w:p w14:paraId="01122553" w14:textId="77777777" w:rsidR="00A4327A" w:rsidRPr="00D41284" w:rsidRDefault="00A4327A" w:rsidP="00D41284">
            <w:pPr>
              <w:cnfStyle w:val="100000000000" w:firstRow="1" w:lastRow="0" w:firstColumn="0" w:lastColumn="0" w:oddVBand="0" w:evenVBand="0" w:oddHBand="0" w:evenHBand="0" w:firstRowFirstColumn="0" w:firstRowLastColumn="0" w:lastRowFirstColumn="0" w:lastRowLastColumn="0"/>
            </w:pPr>
            <w:r w:rsidRPr="00D41284">
              <w:t>Western Australia</w:t>
            </w:r>
          </w:p>
        </w:tc>
        <w:tc>
          <w:tcPr>
            <w:tcW w:w="1139" w:type="dxa"/>
            <w:noWrap/>
            <w:hideMark/>
          </w:tcPr>
          <w:p w14:paraId="302E84E5" w14:textId="77777777" w:rsidR="00A4327A" w:rsidRPr="00D41284" w:rsidRDefault="00A4327A" w:rsidP="00D41284">
            <w:pPr>
              <w:cnfStyle w:val="100000000000" w:firstRow="1" w:lastRow="0" w:firstColumn="0" w:lastColumn="0" w:oddVBand="0" w:evenVBand="0" w:oddHBand="0" w:evenHBand="0" w:firstRowFirstColumn="0" w:firstRowLastColumn="0" w:lastRowFirstColumn="0" w:lastRowLastColumn="0"/>
            </w:pPr>
            <w:r w:rsidRPr="00D41284">
              <w:t>Tasmania</w:t>
            </w:r>
          </w:p>
        </w:tc>
        <w:tc>
          <w:tcPr>
            <w:tcW w:w="1061" w:type="dxa"/>
            <w:noWrap/>
            <w:hideMark/>
          </w:tcPr>
          <w:p w14:paraId="03AD1153" w14:textId="77777777" w:rsidR="00A4327A" w:rsidRPr="00D41284" w:rsidRDefault="00A4327A" w:rsidP="00D41284">
            <w:pPr>
              <w:cnfStyle w:val="100000000000" w:firstRow="1" w:lastRow="0" w:firstColumn="0" w:lastColumn="0" w:oddVBand="0" w:evenVBand="0" w:oddHBand="0" w:evenHBand="0" w:firstRowFirstColumn="0" w:firstRowLastColumn="0" w:lastRowFirstColumn="0" w:lastRowLastColumn="0"/>
            </w:pPr>
            <w:r w:rsidRPr="00D41284">
              <w:t>Northern Territory</w:t>
            </w:r>
          </w:p>
        </w:tc>
        <w:tc>
          <w:tcPr>
            <w:tcW w:w="1195" w:type="dxa"/>
            <w:noWrap/>
            <w:hideMark/>
          </w:tcPr>
          <w:p w14:paraId="217E4AC0" w14:textId="77777777" w:rsidR="00A4327A" w:rsidRPr="00D41284" w:rsidRDefault="00D43F1B" w:rsidP="00D41284">
            <w:pPr>
              <w:cnfStyle w:val="100000000000" w:firstRow="1" w:lastRow="0" w:firstColumn="0" w:lastColumn="0" w:oddVBand="0" w:evenVBand="0" w:oddHBand="0" w:evenHBand="0" w:firstRowFirstColumn="0" w:firstRowLastColumn="0" w:lastRowFirstColumn="0" w:lastRowLastColumn="0"/>
            </w:pPr>
            <w:r w:rsidRPr="00D41284">
              <w:t>Australian Capital Territory</w:t>
            </w:r>
          </w:p>
        </w:tc>
      </w:tr>
      <w:tr w:rsidR="00710F90" w:rsidRPr="004866BE" w14:paraId="682777E7" w14:textId="77777777" w:rsidTr="002715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60103FDE" w14:textId="77777777" w:rsidR="00A4327A" w:rsidRPr="004866BE" w:rsidRDefault="18AFE6BC" w:rsidP="000A4F4B">
            <w:pPr>
              <w:rPr>
                <w:rFonts w:eastAsia="Times New Roman"/>
                <w:color w:val="000000"/>
                <w:lang w:eastAsia="en-AU"/>
              </w:rPr>
            </w:pPr>
            <w:proofErr w:type="spellStart"/>
            <w:r w:rsidRPr="004866BE">
              <w:rPr>
                <w:rFonts w:eastAsia="Times New Roman"/>
                <w:color w:val="000000" w:themeColor="text1"/>
                <w:lang w:eastAsia="en-AU"/>
              </w:rPr>
              <w:t>iFOBT</w:t>
            </w:r>
            <w:proofErr w:type="spellEnd"/>
            <w:r w:rsidRPr="004866BE">
              <w:rPr>
                <w:rFonts w:eastAsia="Times New Roman"/>
                <w:color w:val="000000" w:themeColor="text1"/>
                <w:lang w:eastAsia="en-AU"/>
              </w:rPr>
              <w:t xml:space="preserve"> demand, 2020</w:t>
            </w:r>
          </w:p>
        </w:tc>
        <w:tc>
          <w:tcPr>
            <w:tcW w:w="939" w:type="dxa"/>
            <w:noWrap/>
            <w:hideMark/>
          </w:tcPr>
          <w:p w14:paraId="6A6EFED3"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430,000</w:t>
            </w:r>
          </w:p>
        </w:tc>
        <w:tc>
          <w:tcPr>
            <w:tcW w:w="1004" w:type="dxa"/>
            <w:noWrap/>
            <w:hideMark/>
          </w:tcPr>
          <w:p w14:paraId="3F32DEA3"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340,000</w:t>
            </w:r>
          </w:p>
        </w:tc>
        <w:tc>
          <w:tcPr>
            <w:tcW w:w="1361" w:type="dxa"/>
            <w:noWrap/>
            <w:hideMark/>
          </w:tcPr>
          <w:p w14:paraId="1D93E1F8"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270,000</w:t>
            </w:r>
          </w:p>
        </w:tc>
        <w:tc>
          <w:tcPr>
            <w:tcW w:w="1072" w:type="dxa"/>
            <w:noWrap/>
            <w:hideMark/>
          </w:tcPr>
          <w:p w14:paraId="4D5096E6"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100,000</w:t>
            </w:r>
          </w:p>
        </w:tc>
        <w:tc>
          <w:tcPr>
            <w:tcW w:w="1072" w:type="dxa"/>
            <w:noWrap/>
            <w:hideMark/>
          </w:tcPr>
          <w:p w14:paraId="27B9CB0D"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140,000</w:t>
            </w:r>
          </w:p>
        </w:tc>
        <w:tc>
          <w:tcPr>
            <w:tcW w:w="1139" w:type="dxa"/>
            <w:noWrap/>
            <w:hideMark/>
          </w:tcPr>
          <w:p w14:paraId="1DAF6EDE"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34,000</w:t>
            </w:r>
          </w:p>
        </w:tc>
        <w:tc>
          <w:tcPr>
            <w:tcW w:w="1061" w:type="dxa"/>
            <w:noWrap/>
            <w:hideMark/>
          </w:tcPr>
          <w:p w14:paraId="6E3CF683"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10,000</w:t>
            </w:r>
          </w:p>
        </w:tc>
        <w:tc>
          <w:tcPr>
            <w:tcW w:w="1195" w:type="dxa"/>
            <w:noWrap/>
            <w:hideMark/>
          </w:tcPr>
          <w:p w14:paraId="33CA04D0"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20,000</w:t>
            </w:r>
          </w:p>
        </w:tc>
      </w:tr>
      <w:tr w:rsidR="00710F90" w:rsidRPr="004866BE" w14:paraId="3335E6F6" w14:textId="77777777" w:rsidTr="002715EF">
        <w:trPr>
          <w:trHeight w:val="39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4D2FB8AD" w14:textId="77777777" w:rsidR="00A4327A" w:rsidRPr="004866BE" w:rsidRDefault="18AFE6BC" w:rsidP="000A4F4B">
            <w:pPr>
              <w:rPr>
                <w:rFonts w:eastAsia="Times New Roman"/>
                <w:color w:val="000000"/>
                <w:lang w:eastAsia="en-AU"/>
              </w:rPr>
            </w:pPr>
            <w:proofErr w:type="spellStart"/>
            <w:r w:rsidRPr="004866BE">
              <w:rPr>
                <w:rFonts w:eastAsia="Times New Roman"/>
                <w:color w:val="000000" w:themeColor="text1"/>
                <w:lang w:eastAsia="en-AU"/>
              </w:rPr>
              <w:t>iFOBT</w:t>
            </w:r>
            <w:proofErr w:type="spellEnd"/>
            <w:r w:rsidRPr="004866BE">
              <w:rPr>
                <w:rFonts w:eastAsia="Times New Roman"/>
                <w:color w:val="000000" w:themeColor="text1"/>
                <w:lang w:eastAsia="en-AU"/>
              </w:rPr>
              <w:t xml:space="preserve"> demand, 2021</w:t>
            </w:r>
          </w:p>
        </w:tc>
        <w:tc>
          <w:tcPr>
            <w:tcW w:w="939" w:type="dxa"/>
            <w:noWrap/>
            <w:hideMark/>
          </w:tcPr>
          <w:p w14:paraId="3ACCA3EF"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440,000</w:t>
            </w:r>
          </w:p>
        </w:tc>
        <w:tc>
          <w:tcPr>
            <w:tcW w:w="1004" w:type="dxa"/>
            <w:noWrap/>
            <w:hideMark/>
          </w:tcPr>
          <w:p w14:paraId="57B9CE8E"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350,000</w:t>
            </w:r>
          </w:p>
        </w:tc>
        <w:tc>
          <w:tcPr>
            <w:tcW w:w="1361" w:type="dxa"/>
            <w:noWrap/>
            <w:hideMark/>
          </w:tcPr>
          <w:p w14:paraId="0E360969"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280,000</w:t>
            </w:r>
          </w:p>
        </w:tc>
        <w:tc>
          <w:tcPr>
            <w:tcW w:w="1072" w:type="dxa"/>
            <w:noWrap/>
            <w:hideMark/>
          </w:tcPr>
          <w:p w14:paraId="4A13C33B"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100,000</w:t>
            </w:r>
          </w:p>
        </w:tc>
        <w:tc>
          <w:tcPr>
            <w:tcW w:w="1072" w:type="dxa"/>
            <w:noWrap/>
            <w:hideMark/>
          </w:tcPr>
          <w:p w14:paraId="73359036"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140,000</w:t>
            </w:r>
          </w:p>
        </w:tc>
        <w:tc>
          <w:tcPr>
            <w:tcW w:w="1139" w:type="dxa"/>
            <w:noWrap/>
            <w:hideMark/>
          </w:tcPr>
          <w:p w14:paraId="68EA6964"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35,000</w:t>
            </w:r>
          </w:p>
        </w:tc>
        <w:tc>
          <w:tcPr>
            <w:tcW w:w="1061" w:type="dxa"/>
            <w:noWrap/>
            <w:hideMark/>
          </w:tcPr>
          <w:p w14:paraId="03DA1240"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11,000</w:t>
            </w:r>
          </w:p>
        </w:tc>
        <w:tc>
          <w:tcPr>
            <w:tcW w:w="1195" w:type="dxa"/>
            <w:noWrap/>
            <w:hideMark/>
          </w:tcPr>
          <w:p w14:paraId="5FFACA75"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20,000</w:t>
            </w:r>
          </w:p>
        </w:tc>
      </w:tr>
      <w:tr w:rsidR="00710F90" w:rsidRPr="004866BE" w14:paraId="01F2FE9A" w14:textId="77777777" w:rsidTr="002715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35EA39E5" w14:textId="77777777" w:rsidR="00A4327A" w:rsidRPr="004866BE" w:rsidRDefault="18AFE6BC" w:rsidP="000A4F4B">
            <w:pPr>
              <w:rPr>
                <w:rFonts w:eastAsia="Times New Roman"/>
                <w:color w:val="000000"/>
                <w:lang w:eastAsia="en-AU"/>
              </w:rPr>
            </w:pPr>
            <w:r w:rsidRPr="004866BE">
              <w:rPr>
                <w:rFonts w:eastAsia="Times New Roman"/>
                <w:color w:val="000000" w:themeColor="text1"/>
                <w:lang w:eastAsia="en-AU"/>
              </w:rPr>
              <w:t>NBCSP-related colonoscopy demand, 2020</w:t>
            </w:r>
          </w:p>
        </w:tc>
        <w:tc>
          <w:tcPr>
            <w:tcW w:w="939" w:type="dxa"/>
            <w:noWrap/>
            <w:hideMark/>
          </w:tcPr>
          <w:p w14:paraId="75BBC773"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30,000</w:t>
            </w:r>
          </w:p>
        </w:tc>
        <w:tc>
          <w:tcPr>
            <w:tcW w:w="1004" w:type="dxa"/>
            <w:noWrap/>
            <w:hideMark/>
          </w:tcPr>
          <w:p w14:paraId="3FDF8EFF"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23,000</w:t>
            </w:r>
          </w:p>
        </w:tc>
        <w:tc>
          <w:tcPr>
            <w:tcW w:w="1361" w:type="dxa"/>
            <w:noWrap/>
            <w:hideMark/>
          </w:tcPr>
          <w:p w14:paraId="7E7DAF2A"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19,000</w:t>
            </w:r>
          </w:p>
        </w:tc>
        <w:tc>
          <w:tcPr>
            <w:tcW w:w="1072" w:type="dxa"/>
            <w:noWrap/>
            <w:hideMark/>
          </w:tcPr>
          <w:p w14:paraId="36B5D8FE"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7,200</w:t>
            </w:r>
          </w:p>
        </w:tc>
        <w:tc>
          <w:tcPr>
            <w:tcW w:w="1072" w:type="dxa"/>
            <w:noWrap/>
            <w:hideMark/>
          </w:tcPr>
          <w:p w14:paraId="79525020"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9,400</w:t>
            </w:r>
          </w:p>
        </w:tc>
        <w:tc>
          <w:tcPr>
            <w:tcW w:w="1139" w:type="dxa"/>
            <w:noWrap/>
            <w:hideMark/>
          </w:tcPr>
          <w:p w14:paraId="65D8E33E"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2,400</w:t>
            </w:r>
          </w:p>
        </w:tc>
        <w:tc>
          <w:tcPr>
            <w:tcW w:w="1061" w:type="dxa"/>
            <w:noWrap/>
            <w:hideMark/>
          </w:tcPr>
          <w:p w14:paraId="4C92B909"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680</w:t>
            </w:r>
          </w:p>
        </w:tc>
        <w:tc>
          <w:tcPr>
            <w:tcW w:w="1195" w:type="dxa"/>
            <w:noWrap/>
            <w:hideMark/>
          </w:tcPr>
          <w:p w14:paraId="33D15D3F"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1,400</w:t>
            </w:r>
          </w:p>
        </w:tc>
      </w:tr>
      <w:tr w:rsidR="00710F90" w:rsidRPr="004866BE" w14:paraId="6D5FFB06" w14:textId="77777777" w:rsidTr="002715EF">
        <w:trPr>
          <w:trHeight w:val="39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621DFCB6" w14:textId="77777777" w:rsidR="00A4327A" w:rsidRPr="004866BE" w:rsidRDefault="18AFE6BC" w:rsidP="000A4F4B">
            <w:pPr>
              <w:rPr>
                <w:rFonts w:eastAsia="Times New Roman"/>
                <w:color w:val="000000"/>
                <w:lang w:eastAsia="en-AU"/>
              </w:rPr>
            </w:pPr>
            <w:r w:rsidRPr="004866BE">
              <w:rPr>
                <w:rFonts w:eastAsia="Times New Roman"/>
                <w:color w:val="000000" w:themeColor="text1"/>
                <w:lang w:eastAsia="en-AU"/>
              </w:rPr>
              <w:t>NBCSP-related colonoscopy demand, 2021</w:t>
            </w:r>
          </w:p>
        </w:tc>
        <w:tc>
          <w:tcPr>
            <w:tcW w:w="939" w:type="dxa"/>
            <w:noWrap/>
            <w:hideMark/>
          </w:tcPr>
          <w:p w14:paraId="3374B6C0"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33,000</w:t>
            </w:r>
          </w:p>
        </w:tc>
        <w:tc>
          <w:tcPr>
            <w:tcW w:w="1004" w:type="dxa"/>
            <w:noWrap/>
            <w:hideMark/>
          </w:tcPr>
          <w:p w14:paraId="1F93AC0F"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25,000</w:t>
            </w:r>
          </w:p>
        </w:tc>
        <w:tc>
          <w:tcPr>
            <w:tcW w:w="1361" w:type="dxa"/>
            <w:noWrap/>
            <w:hideMark/>
          </w:tcPr>
          <w:p w14:paraId="7F3C79C9"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21,000</w:t>
            </w:r>
          </w:p>
        </w:tc>
        <w:tc>
          <w:tcPr>
            <w:tcW w:w="1072" w:type="dxa"/>
            <w:noWrap/>
            <w:hideMark/>
          </w:tcPr>
          <w:p w14:paraId="4E191904"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7,800</w:t>
            </w:r>
          </w:p>
        </w:tc>
        <w:tc>
          <w:tcPr>
            <w:tcW w:w="1072" w:type="dxa"/>
            <w:noWrap/>
            <w:hideMark/>
          </w:tcPr>
          <w:p w14:paraId="33E1982E"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10,000</w:t>
            </w:r>
          </w:p>
        </w:tc>
        <w:tc>
          <w:tcPr>
            <w:tcW w:w="1139" w:type="dxa"/>
            <w:noWrap/>
            <w:hideMark/>
          </w:tcPr>
          <w:p w14:paraId="7097DB80"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2,600</w:t>
            </w:r>
          </w:p>
        </w:tc>
        <w:tc>
          <w:tcPr>
            <w:tcW w:w="1061" w:type="dxa"/>
            <w:noWrap/>
            <w:hideMark/>
          </w:tcPr>
          <w:p w14:paraId="0CCC9F96"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730</w:t>
            </w:r>
          </w:p>
        </w:tc>
        <w:tc>
          <w:tcPr>
            <w:tcW w:w="1195" w:type="dxa"/>
            <w:noWrap/>
            <w:hideMark/>
          </w:tcPr>
          <w:p w14:paraId="2112E821"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1,500</w:t>
            </w:r>
          </w:p>
        </w:tc>
      </w:tr>
      <w:tr w:rsidR="00710F90" w:rsidRPr="004866BE" w14:paraId="1CDFF9DE" w14:textId="77777777" w:rsidTr="002715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162E087F" w14:textId="77777777" w:rsidR="00A4327A" w:rsidRPr="004866BE" w:rsidRDefault="18AFE6BC" w:rsidP="000A4F4B">
            <w:pPr>
              <w:rPr>
                <w:rFonts w:eastAsia="Times New Roman"/>
                <w:color w:val="000000"/>
                <w:lang w:eastAsia="en-AU"/>
              </w:rPr>
            </w:pPr>
            <w:r w:rsidRPr="004866BE">
              <w:rPr>
                <w:rFonts w:eastAsia="Times New Roman"/>
                <w:color w:val="000000" w:themeColor="text1"/>
                <w:lang w:eastAsia="en-AU"/>
              </w:rPr>
              <w:t xml:space="preserve">CRC </w:t>
            </w:r>
            <w:r w:rsidR="002A605A" w:rsidRPr="004866BE">
              <w:rPr>
                <w:rFonts w:eastAsia="Times New Roman"/>
                <w:color w:val="000000" w:themeColor="text1"/>
                <w:lang w:eastAsia="en-AU"/>
              </w:rPr>
              <w:t>Cases</w:t>
            </w:r>
            <w:r w:rsidRPr="004866BE">
              <w:rPr>
                <w:rFonts w:eastAsia="Times New Roman"/>
                <w:color w:val="000000" w:themeColor="text1"/>
                <w:lang w:eastAsia="en-AU"/>
              </w:rPr>
              <w:t>, 2020</w:t>
            </w:r>
          </w:p>
        </w:tc>
        <w:tc>
          <w:tcPr>
            <w:tcW w:w="939" w:type="dxa"/>
            <w:noWrap/>
            <w:hideMark/>
          </w:tcPr>
          <w:p w14:paraId="7F08B897"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3,400</w:t>
            </w:r>
          </w:p>
        </w:tc>
        <w:tc>
          <w:tcPr>
            <w:tcW w:w="1004" w:type="dxa"/>
            <w:noWrap/>
            <w:hideMark/>
          </w:tcPr>
          <w:p w14:paraId="0C9E6B80"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2,600</w:t>
            </w:r>
          </w:p>
        </w:tc>
        <w:tc>
          <w:tcPr>
            <w:tcW w:w="1361" w:type="dxa"/>
            <w:noWrap/>
            <w:hideMark/>
          </w:tcPr>
          <w:p w14:paraId="348EBDAE"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2,100</w:t>
            </w:r>
          </w:p>
        </w:tc>
        <w:tc>
          <w:tcPr>
            <w:tcW w:w="1072" w:type="dxa"/>
            <w:noWrap/>
            <w:hideMark/>
          </w:tcPr>
          <w:p w14:paraId="630F8E2E"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810</w:t>
            </w:r>
          </w:p>
        </w:tc>
        <w:tc>
          <w:tcPr>
            <w:tcW w:w="1072" w:type="dxa"/>
            <w:noWrap/>
            <w:hideMark/>
          </w:tcPr>
          <w:p w14:paraId="66CE6FF9"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1,100</w:t>
            </w:r>
          </w:p>
        </w:tc>
        <w:tc>
          <w:tcPr>
            <w:tcW w:w="1139" w:type="dxa"/>
            <w:noWrap/>
            <w:hideMark/>
          </w:tcPr>
          <w:p w14:paraId="18AA8790"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270</w:t>
            </w:r>
          </w:p>
        </w:tc>
        <w:tc>
          <w:tcPr>
            <w:tcW w:w="1061" w:type="dxa"/>
            <w:noWrap/>
            <w:hideMark/>
          </w:tcPr>
          <w:p w14:paraId="611F6C90"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74</w:t>
            </w:r>
          </w:p>
        </w:tc>
        <w:tc>
          <w:tcPr>
            <w:tcW w:w="1195" w:type="dxa"/>
            <w:noWrap/>
            <w:hideMark/>
          </w:tcPr>
          <w:p w14:paraId="0D94B492"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150</w:t>
            </w:r>
          </w:p>
        </w:tc>
      </w:tr>
      <w:tr w:rsidR="00710F90" w:rsidRPr="004866BE" w14:paraId="55EEB1DF" w14:textId="77777777" w:rsidTr="002715EF">
        <w:trPr>
          <w:trHeight w:val="39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57816F4C" w14:textId="77777777" w:rsidR="00A4327A" w:rsidRPr="004866BE" w:rsidRDefault="18AFE6BC" w:rsidP="000A4F4B">
            <w:pPr>
              <w:rPr>
                <w:rFonts w:eastAsia="Times New Roman"/>
                <w:color w:val="000000"/>
                <w:lang w:eastAsia="en-AU"/>
              </w:rPr>
            </w:pPr>
            <w:r w:rsidRPr="004866BE">
              <w:rPr>
                <w:rFonts w:eastAsia="Times New Roman"/>
                <w:color w:val="000000" w:themeColor="text1"/>
                <w:lang w:eastAsia="en-AU"/>
              </w:rPr>
              <w:t xml:space="preserve">CRC </w:t>
            </w:r>
            <w:r w:rsidR="002A605A" w:rsidRPr="004866BE">
              <w:rPr>
                <w:rFonts w:eastAsia="Times New Roman"/>
                <w:color w:val="000000" w:themeColor="text1"/>
                <w:lang w:eastAsia="en-AU"/>
              </w:rPr>
              <w:t>Cases</w:t>
            </w:r>
            <w:r w:rsidRPr="004866BE">
              <w:rPr>
                <w:rFonts w:eastAsia="Times New Roman"/>
                <w:color w:val="000000" w:themeColor="text1"/>
                <w:lang w:eastAsia="en-AU"/>
              </w:rPr>
              <w:t>, 2021</w:t>
            </w:r>
          </w:p>
        </w:tc>
        <w:tc>
          <w:tcPr>
            <w:tcW w:w="939" w:type="dxa"/>
            <w:noWrap/>
            <w:hideMark/>
          </w:tcPr>
          <w:p w14:paraId="1B97928D"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3,400</w:t>
            </w:r>
          </w:p>
        </w:tc>
        <w:tc>
          <w:tcPr>
            <w:tcW w:w="1004" w:type="dxa"/>
            <w:noWrap/>
            <w:hideMark/>
          </w:tcPr>
          <w:p w14:paraId="20DDD9D5"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2,700</w:t>
            </w:r>
          </w:p>
        </w:tc>
        <w:tc>
          <w:tcPr>
            <w:tcW w:w="1361" w:type="dxa"/>
            <w:noWrap/>
            <w:hideMark/>
          </w:tcPr>
          <w:p w14:paraId="79FA731A"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2,200</w:t>
            </w:r>
          </w:p>
        </w:tc>
        <w:tc>
          <w:tcPr>
            <w:tcW w:w="1072" w:type="dxa"/>
            <w:noWrap/>
            <w:hideMark/>
          </w:tcPr>
          <w:p w14:paraId="181EAB87"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820</w:t>
            </w:r>
          </w:p>
        </w:tc>
        <w:tc>
          <w:tcPr>
            <w:tcW w:w="1072" w:type="dxa"/>
            <w:noWrap/>
            <w:hideMark/>
          </w:tcPr>
          <w:p w14:paraId="6BA70FEA"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1,100</w:t>
            </w:r>
          </w:p>
        </w:tc>
        <w:tc>
          <w:tcPr>
            <w:tcW w:w="1139" w:type="dxa"/>
            <w:noWrap/>
            <w:hideMark/>
          </w:tcPr>
          <w:p w14:paraId="031A74DB"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280</w:t>
            </w:r>
          </w:p>
        </w:tc>
        <w:tc>
          <w:tcPr>
            <w:tcW w:w="1061" w:type="dxa"/>
            <w:noWrap/>
            <w:hideMark/>
          </w:tcPr>
          <w:p w14:paraId="290197F4"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76</w:t>
            </w:r>
          </w:p>
        </w:tc>
        <w:tc>
          <w:tcPr>
            <w:tcW w:w="1195" w:type="dxa"/>
            <w:noWrap/>
            <w:hideMark/>
          </w:tcPr>
          <w:p w14:paraId="3D2F2D6E"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150</w:t>
            </w:r>
          </w:p>
        </w:tc>
      </w:tr>
      <w:tr w:rsidR="00710F90" w:rsidRPr="004866BE" w14:paraId="4766D52C" w14:textId="77777777" w:rsidTr="002715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412A9AD8" w14:textId="77777777" w:rsidR="00A4327A" w:rsidRPr="004866BE" w:rsidRDefault="18AFE6BC" w:rsidP="000A4F4B">
            <w:pPr>
              <w:rPr>
                <w:rFonts w:eastAsia="Times New Roman"/>
                <w:color w:val="000000"/>
                <w:lang w:eastAsia="en-AU"/>
              </w:rPr>
            </w:pPr>
            <w:r w:rsidRPr="004866BE">
              <w:rPr>
                <w:rFonts w:eastAsia="Times New Roman"/>
                <w:color w:val="000000" w:themeColor="text1"/>
                <w:lang w:eastAsia="en-AU"/>
              </w:rPr>
              <w:t xml:space="preserve">CRC </w:t>
            </w:r>
            <w:r w:rsidR="002A605A" w:rsidRPr="004866BE">
              <w:rPr>
                <w:rFonts w:eastAsia="Times New Roman"/>
                <w:color w:val="000000" w:themeColor="text1"/>
                <w:lang w:eastAsia="en-AU"/>
              </w:rPr>
              <w:t>Cases</w:t>
            </w:r>
            <w:r w:rsidRPr="004866BE">
              <w:rPr>
                <w:rFonts w:eastAsia="Times New Roman"/>
                <w:color w:val="000000" w:themeColor="text1"/>
                <w:lang w:eastAsia="en-AU"/>
              </w:rPr>
              <w:t>, 2020-2060</w:t>
            </w:r>
          </w:p>
        </w:tc>
        <w:tc>
          <w:tcPr>
            <w:tcW w:w="939" w:type="dxa"/>
            <w:noWrap/>
            <w:hideMark/>
          </w:tcPr>
          <w:p w14:paraId="1A831A5A"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120,000</w:t>
            </w:r>
          </w:p>
        </w:tc>
        <w:tc>
          <w:tcPr>
            <w:tcW w:w="1004" w:type="dxa"/>
            <w:noWrap/>
            <w:hideMark/>
          </w:tcPr>
          <w:p w14:paraId="3296A5EB"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95,000</w:t>
            </w:r>
          </w:p>
        </w:tc>
        <w:tc>
          <w:tcPr>
            <w:tcW w:w="1361" w:type="dxa"/>
            <w:noWrap/>
            <w:hideMark/>
          </w:tcPr>
          <w:p w14:paraId="5867FD30"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76,000</w:t>
            </w:r>
          </w:p>
        </w:tc>
        <w:tc>
          <w:tcPr>
            <w:tcW w:w="1072" w:type="dxa"/>
            <w:noWrap/>
            <w:hideMark/>
          </w:tcPr>
          <w:p w14:paraId="28690BF5"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28,000</w:t>
            </w:r>
          </w:p>
        </w:tc>
        <w:tc>
          <w:tcPr>
            <w:tcW w:w="1072" w:type="dxa"/>
            <w:noWrap/>
            <w:hideMark/>
          </w:tcPr>
          <w:p w14:paraId="60FC7099"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38,000</w:t>
            </w:r>
          </w:p>
        </w:tc>
        <w:tc>
          <w:tcPr>
            <w:tcW w:w="1139" w:type="dxa"/>
            <w:noWrap/>
            <w:hideMark/>
          </w:tcPr>
          <w:p w14:paraId="4F787912"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9,300</w:t>
            </w:r>
          </w:p>
        </w:tc>
        <w:tc>
          <w:tcPr>
            <w:tcW w:w="1061" w:type="dxa"/>
            <w:noWrap/>
            <w:hideMark/>
          </w:tcPr>
          <w:p w14:paraId="5BC9790F"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3,100</w:t>
            </w:r>
          </w:p>
        </w:tc>
        <w:tc>
          <w:tcPr>
            <w:tcW w:w="1195" w:type="dxa"/>
            <w:noWrap/>
            <w:hideMark/>
          </w:tcPr>
          <w:p w14:paraId="5B362644" w14:textId="77777777" w:rsidR="00A4327A" w:rsidRPr="004866BE" w:rsidRDefault="18AFE6BC" w:rsidP="000A4F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5,600</w:t>
            </w:r>
          </w:p>
        </w:tc>
      </w:tr>
      <w:tr w:rsidR="00710F90" w:rsidRPr="004866BE" w14:paraId="5A47DC68" w14:textId="77777777" w:rsidTr="002715EF">
        <w:trPr>
          <w:trHeight w:val="39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4F0CC3FD" w14:textId="77777777" w:rsidR="00A4327A" w:rsidRPr="004866BE" w:rsidRDefault="18AFE6BC" w:rsidP="000A4F4B">
            <w:pPr>
              <w:rPr>
                <w:rFonts w:eastAsia="Times New Roman"/>
                <w:color w:val="000000"/>
                <w:lang w:eastAsia="en-AU"/>
              </w:rPr>
            </w:pPr>
            <w:r w:rsidRPr="004866BE">
              <w:rPr>
                <w:rFonts w:eastAsia="Times New Roman"/>
                <w:color w:val="000000" w:themeColor="text1"/>
                <w:lang w:eastAsia="en-AU"/>
              </w:rPr>
              <w:t>CRC Deaths, 2020-2060</w:t>
            </w:r>
          </w:p>
        </w:tc>
        <w:tc>
          <w:tcPr>
            <w:tcW w:w="939" w:type="dxa"/>
            <w:noWrap/>
            <w:hideMark/>
          </w:tcPr>
          <w:p w14:paraId="37C793EE"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40,000</w:t>
            </w:r>
          </w:p>
        </w:tc>
        <w:tc>
          <w:tcPr>
            <w:tcW w:w="1004" w:type="dxa"/>
            <w:noWrap/>
            <w:hideMark/>
          </w:tcPr>
          <w:p w14:paraId="7E82F530"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31,000</w:t>
            </w:r>
          </w:p>
        </w:tc>
        <w:tc>
          <w:tcPr>
            <w:tcW w:w="1361" w:type="dxa"/>
            <w:noWrap/>
            <w:hideMark/>
          </w:tcPr>
          <w:p w14:paraId="01052994"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25,000</w:t>
            </w:r>
          </w:p>
        </w:tc>
        <w:tc>
          <w:tcPr>
            <w:tcW w:w="1072" w:type="dxa"/>
            <w:noWrap/>
            <w:hideMark/>
          </w:tcPr>
          <w:p w14:paraId="3E18BF0C"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9,300</w:t>
            </w:r>
          </w:p>
        </w:tc>
        <w:tc>
          <w:tcPr>
            <w:tcW w:w="1072" w:type="dxa"/>
            <w:noWrap/>
            <w:hideMark/>
          </w:tcPr>
          <w:p w14:paraId="5666169C"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13,000</w:t>
            </w:r>
          </w:p>
        </w:tc>
        <w:tc>
          <w:tcPr>
            <w:tcW w:w="1139" w:type="dxa"/>
            <w:noWrap/>
            <w:hideMark/>
          </w:tcPr>
          <w:p w14:paraId="257E4F84"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3,100</w:t>
            </w:r>
          </w:p>
        </w:tc>
        <w:tc>
          <w:tcPr>
            <w:tcW w:w="1061" w:type="dxa"/>
            <w:noWrap/>
            <w:hideMark/>
          </w:tcPr>
          <w:p w14:paraId="79BD438E"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1,000</w:t>
            </w:r>
          </w:p>
        </w:tc>
        <w:tc>
          <w:tcPr>
            <w:tcW w:w="1195" w:type="dxa"/>
            <w:noWrap/>
            <w:hideMark/>
          </w:tcPr>
          <w:p w14:paraId="6CD59F29" w14:textId="77777777" w:rsidR="00A4327A" w:rsidRPr="004866BE" w:rsidRDefault="18AFE6BC" w:rsidP="000A4F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4866BE">
              <w:rPr>
                <w:rFonts w:eastAsia="Times New Roman"/>
                <w:color w:val="000000" w:themeColor="text1"/>
                <w:lang w:eastAsia="en-AU"/>
              </w:rPr>
              <w:t>1,900</w:t>
            </w:r>
          </w:p>
        </w:tc>
      </w:tr>
    </w:tbl>
    <w:p w14:paraId="11DF6D02" w14:textId="77777777" w:rsidR="000C2C19" w:rsidRPr="004866BE" w:rsidRDefault="000C2C19" w:rsidP="009E1A6A">
      <w:pPr>
        <w:spacing w:after="0"/>
        <w:sectPr w:rsidR="000C2C19" w:rsidRPr="004866BE" w:rsidSect="0067591D">
          <w:headerReference w:type="default" r:id="rId18"/>
          <w:pgSz w:w="16838" w:h="11906" w:orient="landscape"/>
          <w:pgMar w:top="1440" w:right="1440" w:bottom="1440" w:left="1440" w:header="708" w:footer="708" w:gutter="0"/>
          <w:cols w:space="708"/>
          <w:docGrid w:linePitch="360"/>
        </w:sectPr>
      </w:pPr>
    </w:p>
    <w:p w14:paraId="4365966E" w14:textId="77777777" w:rsidR="002B5178" w:rsidRPr="004866BE" w:rsidRDefault="000C2C19" w:rsidP="00744784">
      <w:pPr>
        <w:pStyle w:val="Caption"/>
        <w:keepNext/>
      </w:pPr>
      <w:r w:rsidRPr="004866BE">
        <w:lastRenderedPageBreak/>
        <w:t xml:space="preserve">Table </w:t>
      </w:r>
      <w:r w:rsidR="00E271C7" w:rsidRPr="004866BE">
        <w:t>6</w:t>
      </w:r>
      <w:r w:rsidRPr="004866BE">
        <w:t xml:space="preserve"> – </w:t>
      </w:r>
      <w:proofErr w:type="spellStart"/>
      <w:r w:rsidR="1F87DEAC" w:rsidRPr="004866BE">
        <w:t>iFOBT</w:t>
      </w:r>
      <w:proofErr w:type="spellEnd"/>
      <w:r w:rsidR="1F87DEAC" w:rsidRPr="004866BE">
        <w:t xml:space="preserve"> demand </w:t>
      </w:r>
      <w:r w:rsidR="006A4A77" w:rsidRPr="004866BE">
        <w:t xml:space="preserve">outcomes by </w:t>
      </w:r>
      <w:bookmarkStart w:id="7" w:name="_Hlk39227679"/>
      <w:r w:rsidR="00570541">
        <w:t>jurisdiction</w:t>
      </w:r>
      <w:r w:rsidR="00385DAA" w:rsidRPr="004866BE">
        <w:t xml:space="preserve"> </w:t>
      </w:r>
      <w:bookmarkEnd w:id="7"/>
      <w:r w:rsidR="00385DAA" w:rsidRPr="004866BE">
        <w:t xml:space="preserve">vs comparator </w:t>
      </w:r>
      <w:r w:rsidR="7F4F0EE8" w:rsidRPr="004866BE">
        <w:t>shown in Table 4</w:t>
      </w:r>
      <w:r w:rsidR="00385DAA" w:rsidRPr="004866BE">
        <w:t xml:space="preserve">. The modelled cohort is those individuals due to receive a screening invitation in 2020 or 2021. </w:t>
      </w:r>
      <w:r w:rsidR="00CC48E7" w:rsidRPr="004866BE">
        <w:t xml:space="preserve">Please note that, due to the prevalence of the hot-zone policy, </w:t>
      </w:r>
      <w:r w:rsidR="00B17CD9" w:rsidRPr="004866BE">
        <w:t xml:space="preserve">health outcomes in </w:t>
      </w:r>
      <w:r w:rsidR="00CC48E7" w:rsidRPr="004866BE">
        <w:t xml:space="preserve">the Northern Territory </w:t>
      </w:r>
      <w:r w:rsidR="00B17CD9" w:rsidRPr="004866BE">
        <w:t xml:space="preserve">have a larger relative increase than other </w:t>
      </w:r>
      <w:r w:rsidR="00C751E6" w:rsidRPr="00C751E6">
        <w:t>jurisdiction</w:t>
      </w:r>
      <w:r w:rsidR="00C751E6">
        <w:t>s</w:t>
      </w:r>
      <w:r w:rsidR="00B17CD9" w:rsidRPr="004866BE">
        <w:t xml:space="preserve">, as any interruption to screening represents a larger proportion of eligible screening months lost. </w:t>
      </w:r>
      <w:r w:rsidR="00385DAA" w:rsidRPr="004866BE">
        <w:t>All values are shown to two significant figures.</w:t>
      </w:r>
    </w:p>
    <w:tbl>
      <w:tblPr>
        <w:tblStyle w:val="GridTable4-Accent1"/>
        <w:tblW w:w="0" w:type="auto"/>
        <w:tblLook w:val="04A0" w:firstRow="1" w:lastRow="0" w:firstColumn="1" w:lastColumn="0" w:noHBand="0" w:noVBand="1"/>
        <w:tblDescription w:val="Table 6 – iFOBT demand outcomes by jurisdiction vs comparator shown in Table 4. The modelled cohort is those individuals due to receive a screening invitation in 2020 or 2021. Please note that, due to the prevalence of the hot-zone policy, health outcomes in the Northern Territory have a larger relative increase than other jurisdictions, as any interruption to screening represents a larger proportion of eligible screening months lost. All values are shown to two significant figures."/>
      </w:tblPr>
      <w:tblGrid>
        <w:gridCol w:w="641"/>
        <w:gridCol w:w="957"/>
        <w:gridCol w:w="543"/>
        <w:gridCol w:w="725"/>
        <w:gridCol w:w="873"/>
        <w:gridCol w:w="973"/>
        <w:gridCol w:w="627"/>
        <w:gridCol w:w="592"/>
        <w:gridCol w:w="1363"/>
        <w:gridCol w:w="958"/>
        <w:gridCol w:w="543"/>
        <w:gridCol w:w="725"/>
        <w:gridCol w:w="873"/>
        <w:gridCol w:w="973"/>
        <w:gridCol w:w="627"/>
        <w:gridCol w:w="592"/>
        <w:gridCol w:w="1363"/>
      </w:tblGrid>
      <w:tr w:rsidR="00D222D9" w:rsidRPr="00D41284" w14:paraId="322B2D80" w14:textId="77777777" w:rsidTr="008B213B">
        <w:trPr>
          <w:cnfStyle w:val="100000000000" w:firstRow="1" w:lastRow="0" w:firstColumn="0" w:lastColumn="0" w:oddVBand="0" w:evenVBand="0" w:oddHBand="0" w:evenHBand="0" w:firstRowFirstColumn="0" w:firstRowLastColumn="0" w:lastRowFirstColumn="0" w:lastRowLastColumn="0"/>
          <w:trHeight w:val="446"/>
          <w:tblHeader/>
        </w:trPr>
        <w:tc>
          <w:tcPr>
            <w:cnfStyle w:val="001000000000" w:firstRow="0" w:lastRow="0" w:firstColumn="1" w:lastColumn="0" w:oddVBand="0" w:evenVBand="0" w:oddHBand="0" w:evenHBand="0" w:firstRowFirstColumn="0" w:firstRowLastColumn="0" w:lastRowFirstColumn="0" w:lastRowLastColumn="0"/>
            <w:tcW w:w="0" w:type="auto"/>
            <w:noWrap/>
          </w:tcPr>
          <w:p w14:paraId="2B48D659" w14:textId="77777777" w:rsidR="00D222D9" w:rsidRPr="00D41284" w:rsidRDefault="00D222D9" w:rsidP="008B213B"/>
        </w:tc>
        <w:tc>
          <w:tcPr>
            <w:tcW w:w="0" w:type="auto"/>
            <w:gridSpan w:val="8"/>
            <w:noWrap/>
          </w:tcPr>
          <w:p w14:paraId="2453ECC0" w14:textId="77777777" w:rsidR="00D222D9" w:rsidRPr="00D41284" w:rsidRDefault="00D222D9" w:rsidP="008B213B">
            <w:pPr>
              <w:cnfStyle w:val="100000000000" w:firstRow="1" w:lastRow="0" w:firstColumn="0" w:lastColumn="0" w:oddVBand="0" w:evenVBand="0" w:oddHBand="0" w:evenHBand="0" w:firstRowFirstColumn="0" w:firstRowLastColumn="0" w:lastRowFirstColumn="0" w:lastRowLastColumn="0"/>
            </w:pPr>
            <w:r w:rsidRPr="00D41284">
              <w:t xml:space="preserve">Change in </w:t>
            </w:r>
            <w:proofErr w:type="spellStart"/>
            <w:r w:rsidRPr="00D41284">
              <w:t>iFOBT</w:t>
            </w:r>
            <w:proofErr w:type="spellEnd"/>
            <w:r w:rsidRPr="00D41284">
              <w:t xml:space="preserve"> demand, 2020 (thousands)</w:t>
            </w:r>
          </w:p>
        </w:tc>
        <w:tc>
          <w:tcPr>
            <w:tcW w:w="0" w:type="auto"/>
            <w:gridSpan w:val="8"/>
            <w:noWrap/>
          </w:tcPr>
          <w:p w14:paraId="42AE421D" w14:textId="77777777" w:rsidR="00D222D9" w:rsidRPr="00D41284" w:rsidRDefault="00D222D9" w:rsidP="008B213B">
            <w:pPr>
              <w:cnfStyle w:val="100000000000" w:firstRow="1" w:lastRow="0" w:firstColumn="0" w:lastColumn="0" w:oddVBand="0" w:evenVBand="0" w:oddHBand="0" w:evenHBand="0" w:firstRowFirstColumn="0" w:firstRowLastColumn="0" w:lastRowFirstColumn="0" w:lastRowLastColumn="0"/>
            </w:pPr>
            <w:r w:rsidRPr="00D41284">
              <w:t xml:space="preserve">Change in </w:t>
            </w:r>
            <w:proofErr w:type="spellStart"/>
            <w:r w:rsidRPr="00D41284">
              <w:t>iFOBT</w:t>
            </w:r>
            <w:proofErr w:type="spellEnd"/>
            <w:r w:rsidRPr="00D41284">
              <w:t xml:space="preserve"> demand, 2021 (thousands)</w:t>
            </w:r>
          </w:p>
        </w:tc>
      </w:tr>
      <w:tr w:rsidR="008B213B" w:rsidRPr="00D41284" w14:paraId="5CC692F9" w14:textId="77777777" w:rsidTr="008B213B">
        <w:trPr>
          <w:cnfStyle w:val="100000000000" w:firstRow="1" w:lastRow="0" w:firstColumn="0" w:lastColumn="0" w:oddVBand="0" w:evenVBand="0" w:oddHBand="0" w:evenHBand="0" w:firstRowFirstColumn="0" w:firstRowLastColumn="0" w:lastRowFirstColumn="0" w:lastRowLastColumn="0"/>
          <w:trHeight w:val="2279"/>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D7D4E9C" w14:textId="77777777" w:rsidR="00D43F1B" w:rsidRPr="00D41284" w:rsidRDefault="00D43F1B" w:rsidP="008B213B">
            <w:pPr>
              <w:pStyle w:val="TableofAuthorities"/>
            </w:pPr>
          </w:p>
        </w:tc>
        <w:tc>
          <w:tcPr>
            <w:tcW w:w="0" w:type="auto"/>
            <w:noWrap/>
            <w:hideMark/>
          </w:tcPr>
          <w:p w14:paraId="0B3D789D" w14:textId="77777777" w:rsidR="00D43F1B" w:rsidRPr="00D41284" w:rsidRDefault="00D43F1B" w:rsidP="008B213B">
            <w:pPr>
              <w:pStyle w:val="TableofAuthorities"/>
              <w:cnfStyle w:val="100000000000" w:firstRow="1" w:lastRow="0" w:firstColumn="0" w:lastColumn="0" w:oddVBand="0" w:evenVBand="0" w:oddHBand="0" w:evenHBand="0" w:firstRowFirstColumn="0" w:firstRowLastColumn="0" w:lastRowFirstColumn="0" w:lastRowLastColumn="0"/>
            </w:pPr>
            <w:r w:rsidRPr="00D41284">
              <w:t>New South Wales</w:t>
            </w:r>
          </w:p>
        </w:tc>
        <w:tc>
          <w:tcPr>
            <w:tcW w:w="0" w:type="auto"/>
            <w:noWrap/>
            <w:hideMark/>
          </w:tcPr>
          <w:p w14:paraId="5048CC84" w14:textId="77777777" w:rsidR="00D43F1B" w:rsidRPr="00D41284" w:rsidRDefault="00D43F1B" w:rsidP="008B213B">
            <w:pPr>
              <w:pStyle w:val="TableofAuthorities"/>
              <w:cnfStyle w:val="100000000000" w:firstRow="1" w:lastRow="0" w:firstColumn="0" w:lastColumn="0" w:oddVBand="0" w:evenVBand="0" w:oddHBand="0" w:evenHBand="0" w:firstRowFirstColumn="0" w:firstRowLastColumn="0" w:lastRowFirstColumn="0" w:lastRowLastColumn="0"/>
            </w:pPr>
            <w:r w:rsidRPr="00D41284">
              <w:t>Victoria</w:t>
            </w:r>
          </w:p>
        </w:tc>
        <w:tc>
          <w:tcPr>
            <w:tcW w:w="0" w:type="auto"/>
            <w:noWrap/>
            <w:hideMark/>
          </w:tcPr>
          <w:p w14:paraId="13DAC79C" w14:textId="77777777" w:rsidR="00D43F1B" w:rsidRPr="00D41284" w:rsidRDefault="00D43F1B" w:rsidP="008B213B">
            <w:pPr>
              <w:pStyle w:val="TableofAuthorities"/>
              <w:cnfStyle w:val="100000000000" w:firstRow="1" w:lastRow="0" w:firstColumn="0" w:lastColumn="0" w:oddVBand="0" w:evenVBand="0" w:oddHBand="0" w:evenHBand="0" w:firstRowFirstColumn="0" w:firstRowLastColumn="0" w:lastRowFirstColumn="0" w:lastRowLastColumn="0"/>
            </w:pPr>
            <w:r w:rsidRPr="00D41284">
              <w:t>Queensland</w:t>
            </w:r>
          </w:p>
        </w:tc>
        <w:tc>
          <w:tcPr>
            <w:tcW w:w="0" w:type="auto"/>
            <w:noWrap/>
            <w:hideMark/>
          </w:tcPr>
          <w:p w14:paraId="4B28757A" w14:textId="77777777" w:rsidR="00D43F1B" w:rsidRPr="00D41284" w:rsidRDefault="00D43F1B" w:rsidP="008B213B">
            <w:pPr>
              <w:pStyle w:val="TableofAuthorities"/>
              <w:cnfStyle w:val="100000000000" w:firstRow="1" w:lastRow="0" w:firstColumn="0" w:lastColumn="0" w:oddVBand="0" w:evenVBand="0" w:oddHBand="0" w:evenHBand="0" w:firstRowFirstColumn="0" w:firstRowLastColumn="0" w:lastRowFirstColumn="0" w:lastRowLastColumn="0"/>
            </w:pPr>
            <w:r w:rsidRPr="00D41284">
              <w:t>South Australia</w:t>
            </w:r>
          </w:p>
        </w:tc>
        <w:tc>
          <w:tcPr>
            <w:tcW w:w="0" w:type="auto"/>
            <w:noWrap/>
            <w:hideMark/>
          </w:tcPr>
          <w:p w14:paraId="6A2F9FEF" w14:textId="77777777" w:rsidR="00D43F1B" w:rsidRPr="00D41284" w:rsidRDefault="00D43F1B" w:rsidP="008B213B">
            <w:pPr>
              <w:pStyle w:val="TableofAuthorities"/>
              <w:cnfStyle w:val="100000000000" w:firstRow="1" w:lastRow="0" w:firstColumn="0" w:lastColumn="0" w:oddVBand="0" w:evenVBand="0" w:oddHBand="0" w:evenHBand="0" w:firstRowFirstColumn="0" w:firstRowLastColumn="0" w:lastRowFirstColumn="0" w:lastRowLastColumn="0"/>
            </w:pPr>
            <w:r w:rsidRPr="00D41284">
              <w:t>Western Australia</w:t>
            </w:r>
          </w:p>
        </w:tc>
        <w:tc>
          <w:tcPr>
            <w:tcW w:w="0" w:type="auto"/>
            <w:noWrap/>
            <w:hideMark/>
          </w:tcPr>
          <w:p w14:paraId="40179321" w14:textId="77777777" w:rsidR="00D43F1B" w:rsidRPr="00D41284" w:rsidRDefault="00D43F1B" w:rsidP="008B213B">
            <w:pPr>
              <w:pStyle w:val="TableofAuthorities"/>
              <w:cnfStyle w:val="100000000000" w:firstRow="1" w:lastRow="0" w:firstColumn="0" w:lastColumn="0" w:oddVBand="0" w:evenVBand="0" w:oddHBand="0" w:evenHBand="0" w:firstRowFirstColumn="0" w:firstRowLastColumn="0" w:lastRowFirstColumn="0" w:lastRowLastColumn="0"/>
            </w:pPr>
            <w:r w:rsidRPr="00D41284">
              <w:t>Tasmania</w:t>
            </w:r>
          </w:p>
        </w:tc>
        <w:tc>
          <w:tcPr>
            <w:tcW w:w="0" w:type="auto"/>
          </w:tcPr>
          <w:p w14:paraId="637423C4" w14:textId="77777777" w:rsidR="00D43F1B" w:rsidRPr="00D41284" w:rsidRDefault="00D43F1B" w:rsidP="008B213B">
            <w:pPr>
              <w:pStyle w:val="TableofAuthorities"/>
              <w:cnfStyle w:val="100000000000" w:firstRow="1" w:lastRow="0" w:firstColumn="0" w:lastColumn="0" w:oddVBand="0" w:evenVBand="0" w:oddHBand="0" w:evenHBand="0" w:firstRowFirstColumn="0" w:firstRowLastColumn="0" w:lastRowFirstColumn="0" w:lastRowLastColumn="0"/>
            </w:pPr>
            <w:r w:rsidRPr="00D41284">
              <w:t>Northern Territory a</w:t>
            </w:r>
          </w:p>
        </w:tc>
        <w:tc>
          <w:tcPr>
            <w:tcW w:w="0" w:type="auto"/>
            <w:noWrap/>
            <w:hideMark/>
          </w:tcPr>
          <w:p w14:paraId="798CFAAE" w14:textId="77777777" w:rsidR="00D43F1B" w:rsidRPr="00D41284" w:rsidRDefault="00D43F1B" w:rsidP="008B213B">
            <w:pPr>
              <w:pStyle w:val="TableofAuthorities"/>
              <w:cnfStyle w:val="100000000000" w:firstRow="1" w:lastRow="0" w:firstColumn="0" w:lastColumn="0" w:oddVBand="0" w:evenVBand="0" w:oddHBand="0" w:evenHBand="0" w:firstRowFirstColumn="0" w:firstRowLastColumn="0" w:lastRowFirstColumn="0" w:lastRowLastColumn="0"/>
            </w:pPr>
            <w:r w:rsidRPr="00D41284">
              <w:t>Australian Capital Territory</w:t>
            </w:r>
          </w:p>
        </w:tc>
        <w:tc>
          <w:tcPr>
            <w:tcW w:w="0" w:type="auto"/>
            <w:noWrap/>
            <w:hideMark/>
          </w:tcPr>
          <w:p w14:paraId="3079D54E" w14:textId="77777777" w:rsidR="00D43F1B" w:rsidRPr="00D41284" w:rsidRDefault="00D43F1B" w:rsidP="008B213B">
            <w:pPr>
              <w:pStyle w:val="TableofAuthorities"/>
              <w:cnfStyle w:val="100000000000" w:firstRow="1" w:lastRow="0" w:firstColumn="0" w:lastColumn="0" w:oddVBand="0" w:evenVBand="0" w:oddHBand="0" w:evenHBand="0" w:firstRowFirstColumn="0" w:firstRowLastColumn="0" w:lastRowFirstColumn="0" w:lastRowLastColumn="0"/>
            </w:pPr>
            <w:r w:rsidRPr="00D41284">
              <w:t>New South Wales</w:t>
            </w:r>
          </w:p>
        </w:tc>
        <w:tc>
          <w:tcPr>
            <w:tcW w:w="0" w:type="auto"/>
            <w:noWrap/>
            <w:hideMark/>
          </w:tcPr>
          <w:p w14:paraId="4CF8E0FC" w14:textId="77777777" w:rsidR="00D43F1B" w:rsidRPr="00D41284" w:rsidRDefault="00D43F1B" w:rsidP="008B213B">
            <w:pPr>
              <w:pStyle w:val="TableofAuthorities"/>
              <w:cnfStyle w:val="100000000000" w:firstRow="1" w:lastRow="0" w:firstColumn="0" w:lastColumn="0" w:oddVBand="0" w:evenVBand="0" w:oddHBand="0" w:evenHBand="0" w:firstRowFirstColumn="0" w:firstRowLastColumn="0" w:lastRowFirstColumn="0" w:lastRowLastColumn="0"/>
            </w:pPr>
            <w:r w:rsidRPr="00D41284">
              <w:t>Victoria</w:t>
            </w:r>
          </w:p>
        </w:tc>
        <w:tc>
          <w:tcPr>
            <w:tcW w:w="0" w:type="auto"/>
            <w:noWrap/>
            <w:hideMark/>
          </w:tcPr>
          <w:p w14:paraId="02DC009D" w14:textId="77777777" w:rsidR="00D43F1B" w:rsidRPr="00D41284" w:rsidRDefault="00D43F1B" w:rsidP="008B213B">
            <w:pPr>
              <w:pStyle w:val="TableofAuthorities"/>
              <w:cnfStyle w:val="100000000000" w:firstRow="1" w:lastRow="0" w:firstColumn="0" w:lastColumn="0" w:oddVBand="0" w:evenVBand="0" w:oddHBand="0" w:evenHBand="0" w:firstRowFirstColumn="0" w:firstRowLastColumn="0" w:lastRowFirstColumn="0" w:lastRowLastColumn="0"/>
            </w:pPr>
            <w:r w:rsidRPr="00D41284">
              <w:t>Queensland</w:t>
            </w:r>
          </w:p>
        </w:tc>
        <w:tc>
          <w:tcPr>
            <w:tcW w:w="0" w:type="auto"/>
            <w:noWrap/>
            <w:hideMark/>
          </w:tcPr>
          <w:p w14:paraId="4D102B13" w14:textId="77777777" w:rsidR="00D43F1B" w:rsidRPr="00D41284" w:rsidRDefault="00D43F1B" w:rsidP="008B213B">
            <w:pPr>
              <w:pStyle w:val="TableofAuthorities"/>
              <w:cnfStyle w:val="100000000000" w:firstRow="1" w:lastRow="0" w:firstColumn="0" w:lastColumn="0" w:oddVBand="0" w:evenVBand="0" w:oddHBand="0" w:evenHBand="0" w:firstRowFirstColumn="0" w:firstRowLastColumn="0" w:lastRowFirstColumn="0" w:lastRowLastColumn="0"/>
            </w:pPr>
            <w:r w:rsidRPr="00D41284">
              <w:t>South Australia</w:t>
            </w:r>
          </w:p>
        </w:tc>
        <w:tc>
          <w:tcPr>
            <w:tcW w:w="0" w:type="auto"/>
            <w:noWrap/>
            <w:hideMark/>
          </w:tcPr>
          <w:p w14:paraId="00515FE9" w14:textId="77777777" w:rsidR="00D43F1B" w:rsidRPr="00D41284" w:rsidRDefault="00D43F1B" w:rsidP="008B213B">
            <w:pPr>
              <w:pStyle w:val="TableofAuthorities"/>
              <w:cnfStyle w:val="100000000000" w:firstRow="1" w:lastRow="0" w:firstColumn="0" w:lastColumn="0" w:oddVBand="0" w:evenVBand="0" w:oddHBand="0" w:evenHBand="0" w:firstRowFirstColumn="0" w:firstRowLastColumn="0" w:lastRowFirstColumn="0" w:lastRowLastColumn="0"/>
            </w:pPr>
            <w:r w:rsidRPr="00D41284">
              <w:t>Western Australia</w:t>
            </w:r>
          </w:p>
        </w:tc>
        <w:tc>
          <w:tcPr>
            <w:tcW w:w="0" w:type="auto"/>
            <w:noWrap/>
            <w:hideMark/>
          </w:tcPr>
          <w:p w14:paraId="4CD91641" w14:textId="77777777" w:rsidR="00D43F1B" w:rsidRPr="00D41284" w:rsidRDefault="00D43F1B" w:rsidP="008B213B">
            <w:pPr>
              <w:pStyle w:val="TableofAuthorities"/>
              <w:cnfStyle w:val="100000000000" w:firstRow="1" w:lastRow="0" w:firstColumn="0" w:lastColumn="0" w:oddVBand="0" w:evenVBand="0" w:oddHBand="0" w:evenHBand="0" w:firstRowFirstColumn="0" w:firstRowLastColumn="0" w:lastRowFirstColumn="0" w:lastRowLastColumn="0"/>
            </w:pPr>
            <w:r w:rsidRPr="00D41284">
              <w:t>Tasmania</w:t>
            </w:r>
          </w:p>
        </w:tc>
        <w:tc>
          <w:tcPr>
            <w:tcW w:w="0" w:type="auto"/>
          </w:tcPr>
          <w:p w14:paraId="3F37A6B0" w14:textId="77777777" w:rsidR="00D43F1B" w:rsidRPr="00D41284" w:rsidRDefault="00D43F1B" w:rsidP="008B213B">
            <w:pPr>
              <w:pStyle w:val="TableofAuthorities"/>
              <w:cnfStyle w:val="100000000000" w:firstRow="1" w:lastRow="0" w:firstColumn="0" w:lastColumn="0" w:oddVBand="0" w:evenVBand="0" w:oddHBand="0" w:evenHBand="0" w:firstRowFirstColumn="0" w:firstRowLastColumn="0" w:lastRowFirstColumn="0" w:lastRowLastColumn="0"/>
            </w:pPr>
            <w:r w:rsidRPr="00D41284">
              <w:t>Northern Territory a</w:t>
            </w:r>
          </w:p>
        </w:tc>
        <w:tc>
          <w:tcPr>
            <w:tcW w:w="0" w:type="auto"/>
            <w:noWrap/>
            <w:hideMark/>
          </w:tcPr>
          <w:p w14:paraId="55028574" w14:textId="77777777" w:rsidR="00D43F1B" w:rsidRPr="00D41284" w:rsidRDefault="00D43F1B" w:rsidP="008B213B">
            <w:pPr>
              <w:pStyle w:val="TableofAuthorities"/>
              <w:cnfStyle w:val="100000000000" w:firstRow="1" w:lastRow="0" w:firstColumn="0" w:lastColumn="0" w:oddVBand="0" w:evenVBand="0" w:oddHBand="0" w:evenHBand="0" w:firstRowFirstColumn="0" w:firstRowLastColumn="0" w:lastRowFirstColumn="0" w:lastRowLastColumn="0"/>
            </w:pPr>
            <w:r w:rsidRPr="00D41284">
              <w:t>Australian Capital Territory</w:t>
            </w:r>
          </w:p>
        </w:tc>
      </w:tr>
      <w:tr w:rsidR="008B213B" w:rsidRPr="00D41284" w14:paraId="68FC162B" w14:textId="77777777" w:rsidTr="008B21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9014082" w14:textId="77777777" w:rsidR="00D43F1B" w:rsidRPr="00D41284" w:rsidRDefault="00D43F1B" w:rsidP="008B213B">
            <w:r w:rsidRPr="00D41284">
              <w:t>Scenario 1</w:t>
            </w:r>
          </w:p>
        </w:tc>
        <w:tc>
          <w:tcPr>
            <w:tcW w:w="0" w:type="auto"/>
            <w:noWrap/>
            <w:hideMark/>
          </w:tcPr>
          <w:p w14:paraId="5014A433"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-100</w:t>
            </w:r>
          </w:p>
        </w:tc>
        <w:tc>
          <w:tcPr>
            <w:tcW w:w="0" w:type="auto"/>
            <w:noWrap/>
            <w:hideMark/>
          </w:tcPr>
          <w:p w14:paraId="42EC24B9"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-89</w:t>
            </w:r>
          </w:p>
        </w:tc>
        <w:tc>
          <w:tcPr>
            <w:tcW w:w="0" w:type="auto"/>
            <w:noWrap/>
            <w:hideMark/>
          </w:tcPr>
          <w:p w14:paraId="7849B222"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-67</w:t>
            </w:r>
          </w:p>
        </w:tc>
        <w:tc>
          <w:tcPr>
            <w:tcW w:w="0" w:type="auto"/>
            <w:noWrap/>
            <w:hideMark/>
          </w:tcPr>
          <w:p w14:paraId="3E43B5E4"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-27</w:t>
            </w:r>
          </w:p>
        </w:tc>
        <w:tc>
          <w:tcPr>
            <w:tcW w:w="0" w:type="auto"/>
            <w:noWrap/>
            <w:hideMark/>
          </w:tcPr>
          <w:p w14:paraId="46A5C943"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-38</w:t>
            </w:r>
          </w:p>
        </w:tc>
        <w:tc>
          <w:tcPr>
            <w:tcW w:w="0" w:type="auto"/>
            <w:noWrap/>
            <w:hideMark/>
          </w:tcPr>
          <w:p w14:paraId="6126FC95"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-9.6</w:t>
            </w:r>
          </w:p>
        </w:tc>
        <w:tc>
          <w:tcPr>
            <w:tcW w:w="0" w:type="auto"/>
          </w:tcPr>
          <w:p w14:paraId="2FB4D9E4"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-3.5</w:t>
            </w:r>
          </w:p>
        </w:tc>
        <w:tc>
          <w:tcPr>
            <w:tcW w:w="0" w:type="auto"/>
            <w:noWrap/>
            <w:hideMark/>
          </w:tcPr>
          <w:p w14:paraId="4817B9AC"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-5.3</w:t>
            </w:r>
          </w:p>
        </w:tc>
        <w:tc>
          <w:tcPr>
            <w:tcW w:w="0" w:type="auto"/>
            <w:noWrap/>
            <w:hideMark/>
          </w:tcPr>
          <w:p w14:paraId="513ADE04"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0</w:t>
            </w:r>
          </w:p>
        </w:tc>
        <w:tc>
          <w:tcPr>
            <w:tcW w:w="0" w:type="auto"/>
            <w:noWrap/>
            <w:hideMark/>
          </w:tcPr>
          <w:p w14:paraId="5A6413D2"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0</w:t>
            </w:r>
          </w:p>
        </w:tc>
        <w:tc>
          <w:tcPr>
            <w:tcW w:w="0" w:type="auto"/>
            <w:noWrap/>
            <w:hideMark/>
          </w:tcPr>
          <w:p w14:paraId="4C594D5C"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0</w:t>
            </w:r>
          </w:p>
        </w:tc>
        <w:tc>
          <w:tcPr>
            <w:tcW w:w="0" w:type="auto"/>
            <w:noWrap/>
            <w:hideMark/>
          </w:tcPr>
          <w:p w14:paraId="18F995BF"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0</w:t>
            </w:r>
          </w:p>
        </w:tc>
        <w:tc>
          <w:tcPr>
            <w:tcW w:w="0" w:type="auto"/>
            <w:noWrap/>
            <w:hideMark/>
          </w:tcPr>
          <w:p w14:paraId="39F27344"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0</w:t>
            </w:r>
          </w:p>
        </w:tc>
        <w:tc>
          <w:tcPr>
            <w:tcW w:w="0" w:type="auto"/>
            <w:noWrap/>
            <w:hideMark/>
          </w:tcPr>
          <w:p w14:paraId="253CB7FE"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0</w:t>
            </w:r>
          </w:p>
        </w:tc>
        <w:tc>
          <w:tcPr>
            <w:tcW w:w="0" w:type="auto"/>
          </w:tcPr>
          <w:p w14:paraId="256B5F45"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0</w:t>
            </w:r>
          </w:p>
        </w:tc>
        <w:tc>
          <w:tcPr>
            <w:tcW w:w="0" w:type="auto"/>
            <w:noWrap/>
            <w:hideMark/>
          </w:tcPr>
          <w:p w14:paraId="2332A54C"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0</w:t>
            </w:r>
          </w:p>
        </w:tc>
      </w:tr>
      <w:tr w:rsidR="008B213B" w:rsidRPr="00D41284" w14:paraId="7B828485" w14:textId="77777777" w:rsidTr="008B213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9EB6D5A" w14:textId="77777777" w:rsidR="00D43F1B" w:rsidRPr="00D41284" w:rsidRDefault="00D43F1B" w:rsidP="008B213B">
            <w:r w:rsidRPr="00D41284">
              <w:t>Scenario 2</w:t>
            </w:r>
          </w:p>
        </w:tc>
        <w:tc>
          <w:tcPr>
            <w:tcW w:w="0" w:type="auto"/>
            <w:noWrap/>
            <w:hideMark/>
          </w:tcPr>
          <w:p w14:paraId="47CEE797"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-200</w:t>
            </w:r>
          </w:p>
        </w:tc>
        <w:tc>
          <w:tcPr>
            <w:tcW w:w="0" w:type="auto"/>
            <w:noWrap/>
            <w:hideMark/>
          </w:tcPr>
          <w:p w14:paraId="67977A26"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-180</w:t>
            </w:r>
          </w:p>
        </w:tc>
        <w:tc>
          <w:tcPr>
            <w:tcW w:w="0" w:type="auto"/>
            <w:noWrap/>
            <w:hideMark/>
          </w:tcPr>
          <w:p w14:paraId="3935EC08"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-130</w:t>
            </w:r>
          </w:p>
        </w:tc>
        <w:tc>
          <w:tcPr>
            <w:tcW w:w="0" w:type="auto"/>
            <w:noWrap/>
            <w:hideMark/>
          </w:tcPr>
          <w:p w14:paraId="64ACBBC8"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-53</w:t>
            </w:r>
          </w:p>
        </w:tc>
        <w:tc>
          <w:tcPr>
            <w:tcW w:w="0" w:type="auto"/>
            <w:noWrap/>
            <w:hideMark/>
          </w:tcPr>
          <w:p w14:paraId="51ACCF6E"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-77</w:t>
            </w:r>
          </w:p>
        </w:tc>
        <w:tc>
          <w:tcPr>
            <w:tcW w:w="0" w:type="auto"/>
            <w:noWrap/>
            <w:hideMark/>
          </w:tcPr>
          <w:p w14:paraId="6D9E9EC0"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-19</w:t>
            </w:r>
          </w:p>
        </w:tc>
        <w:tc>
          <w:tcPr>
            <w:tcW w:w="0" w:type="auto"/>
          </w:tcPr>
          <w:p w14:paraId="793D2C40"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-7.1</w:t>
            </w:r>
          </w:p>
        </w:tc>
        <w:tc>
          <w:tcPr>
            <w:tcW w:w="0" w:type="auto"/>
            <w:noWrap/>
            <w:hideMark/>
          </w:tcPr>
          <w:p w14:paraId="3AD780DF"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-11</w:t>
            </w:r>
          </w:p>
        </w:tc>
        <w:tc>
          <w:tcPr>
            <w:tcW w:w="0" w:type="auto"/>
            <w:noWrap/>
            <w:hideMark/>
          </w:tcPr>
          <w:p w14:paraId="7877BAF5"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0</w:t>
            </w:r>
          </w:p>
        </w:tc>
        <w:tc>
          <w:tcPr>
            <w:tcW w:w="0" w:type="auto"/>
            <w:noWrap/>
            <w:hideMark/>
          </w:tcPr>
          <w:p w14:paraId="244C41F1"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0</w:t>
            </w:r>
          </w:p>
        </w:tc>
        <w:tc>
          <w:tcPr>
            <w:tcW w:w="0" w:type="auto"/>
            <w:noWrap/>
            <w:hideMark/>
          </w:tcPr>
          <w:p w14:paraId="1C8A749F"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0</w:t>
            </w:r>
          </w:p>
        </w:tc>
        <w:tc>
          <w:tcPr>
            <w:tcW w:w="0" w:type="auto"/>
            <w:noWrap/>
            <w:hideMark/>
          </w:tcPr>
          <w:p w14:paraId="06A8C8D7"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0</w:t>
            </w:r>
          </w:p>
        </w:tc>
        <w:tc>
          <w:tcPr>
            <w:tcW w:w="0" w:type="auto"/>
            <w:noWrap/>
            <w:hideMark/>
          </w:tcPr>
          <w:p w14:paraId="142D81C0"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0</w:t>
            </w:r>
          </w:p>
        </w:tc>
        <w:tc>
          <w:tcPr>
            <w:tcW w:w="0" w:type="auto"/>
            <w:noWrap/>
            <w:hideMark/>
          </w:tcPr>
          <w:p w14:paraId="30D76B95"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0</w:t>
            </w:r>
          </w:p>
        </w:tc>
        <w:tc>
          <w:tcPr>
            <w:tcW w:w="0" w:type="auto"/>
          </w:tcPr>
          <w:p w14:paraId="5346FBE2"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0</w:t>
            </w:r>
          </w:p>
        </w:tc>
        <w:tc>
          <w:tcPr>
            <w:tcW w:w="0" w:type="auto"/>
            <w:noWrap/>
            <w:hideMark/>
          </w:tcPr>
          <w:p w14:paraId="6539F540"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0</w:t>
            </w:r>
          </w:p>
        </w:tc>
      </w:tr>
      <w:tr w:rsidR="008B213B" w:rsidRPr="00D41284" w14:paraId="48401E03" w14:textId="77777777" w:rsidTr="008B21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922CE36" w14:textId="77777777" w:rsidR="00D43F1B" w:rsidRPr="00D41284" w:rsidRDefault="00D43F1B" w:rsidP="008B213B">
            <w:r w:rsidRPr="00D41284">
              <w:t>Scenario 3</w:t>
            </w:r>
          </w:p>
        </w:tc>
        <w:tc>
          <w:tcPr>
            <w:tcW w:w="0" w:type="auto"/>
            <w:noWrap/>
            <w:hideMark/>
          </w:tcPr>
          <w:p w14:paraId="274DDD0A"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-400</w:t>
            </w:r>
          </w:p>
        </w:tc>
        <w:tc>
          <w:tcPr>
            <w:tcW w:w="0" w:type="auto"/>
            <w:noWrap/>
            <w:hideMark/>
          </w:tcPr>
          <w:p w14:paraId="71257FED"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-350</w:t>
            </w:r>
          </w:p>
        </w:tc>
        <w:tc>
          <w:tcPr>
            <w:tcW w:w="0" w:type="auto"/>
            <w:noWrap/>
            <w:hideMark/>
          </w:tcPr>
          <w:p w14:paraId="46A9A93F"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-270</w:t>
            </w:r>
          </w:p>
        </w:tc>
        <w:tc>
          <w:tcPr>
            <w:tcW w:w="0" w:type="auto"/>
            <w:noWrap/>
            <w:hideMark/>
          </w:tcPr>
          <w:p w14:paraId="75CEC35B"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-110</w:t>
            </w:r>
          </w:p>
        </w:tc>
        <w:tc>
          <w:tcPr>
            <w:tcW w:w="0" w:type="auto"/>
            <w:noWrap/>
            <w:hideMark/>
          </w:tcPr>
          <w:p w14:paraId="1829625D"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-150</w:t>
            </w:r>
          </w:p>
        </w:tc>
        <w:tc>
          <w:tcPr>
            <w:tcW w:w="0" w:type="auto"/>
            <w:noWrap/>
            <w:hideMark/>
          </w:tcPr>
          <w:p w14:paraId="06AF3745"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-38</w:t>
            </w:r>
          </w:p>
        </w:tc>
        <w:tc>
          <w:tcPr>
            <w:tcW w:w="0" w:type="auto"/>
          </w:tcPr>
          <w:p w14:paraId="0AE80F5C"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-7.1</w:t>
            </w:r>
          </w:p>
        </w:tc>
        <w:tc>
          <w:tcPr>
            <w:tcW w:w="0" w:type="auto"/>
            <w:noWrap/>
            <w:hideMark/>
          </w:tcPr>
          <w:p w14:paraId="03A2063B"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-21</w:t>
            </w:r>
          </w:p>
        </w:tc>
        <w:tc>
          <w:tcPr>
            <w:tcW w:w="0" w:type="auto"/>
            <w:noWrap/>
            <w:hideMark/>
          </w:tcPr>
          <w:p w14:paraId="79D5B5AF"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-200</w:t>
            </w:r>
          </w:p>
        </w:tc>
        <w:tc>
          <w:tcPr>
            <w:tcW w:w="0" w:type="auto"/>
            <w:noWrap/>
            <w:hideMark/>
          </w:tcPr>
          <w:p w14:paraId="16A7F9E1"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-180</w:t>
            </w:r>
          </w:p>
        </w:tc>
        <w:tc>
          <w:tcPr>
            <w:tcW w:w="0" w:type="auto"/>
            <w:noWrap/>
            <w:hideMark/>
          </w:tcPr>
          <w:p w14:paraId="4529F797"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-140</w:t>
            </w:r>
          </w:p>
        </w:tc>
        <w:tc>
          <w:tcPr>
            <w:tcW w:w="0" w:type="auto"/>
            <w:noWrap/>
            <w:hideMark/>
          </w:tcPr>
          <w:p w14:paraId="760C474D"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-54</w:t>
            </w:r>
          </w:p>
        </w:tc>
        <w:tc>
          <w:tcPr>
            <w:tcW w:w="0" w:type="auto"/>
            <w:noWrap/>
            <w:hideMark/>
          </w:tcPr>
          <w:p w14:paraId="501840F2"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-78</w:t>
            </w:r>
          </w:p>
        </w:tc>
        <w:tc>
          <w:tcPr>
            <w:tcW w:w="0" w:type="auto"/>
            <w:noWrap/>
            <w:hideMark/>
          </w:tcPr>
          <w:p w14:paraId="4D805403"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-20</w:t>
            </w:r>
          </w:p>
        </w:tc>
        <w:tc>
          <w:tcPr>
            <w:tcW w:w="0" w:type="auto"/>
          </w:tcPr>
          <w:p w14:paraId="4F23D799"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-3.6</w:t>
            </w:r>
          </w:p>
        </w:tc>
        <w:tc>
          <w:tcPr>
            <w:tcW w:w="0" w:type="auto"/>
            <w:noWrap/>
            <w:hideMark/>
          </w:tcPr>
          <w:p w14:paraId="2D12E0A0"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-11</w:t>
            </w:r>
          </w:p>
        </w:tc>
      </w:tr>
      <w:tr w:rsidR="008B213B" w:rsidRPr="00D41284" w14:paraId="0BA06305" w14:textId="77777777" w:rsidTr="008B213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ECC224B" w14:textId="77777777" w:rsidR="00D43F1B" w:rsidRPr="00D41284" w:rsidRDefault="00D43F1B" w:rsidP="008B213B">
            <w:r w:rsidRPr="00D41284">
              <w:lastRenderedPageBreak/>
              <w:t>Scenario 4</w:t>
            </w:r>
          </w:p>
        </w:tc>
        <w:tc>
          <w:tcPr>
            <w:tcW w:w="0" w:type="auto"/>
            <w:noWrap/>
            <w:hideMark/>
          </w:tcPr>
          <w:p w14:paraId="584C82D8"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-100</w:t>
            </w:r>
          </w:p>
        </w:tc>
        <w:tc>
          <w:tcPr>
            <w:tcW w:w="0" w:type="auto"/>
            <w:noWrap/>
            <w:hideMark/>
          </w:tcPr>
          <w:p w14:paraId="0A446C04"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-89</w:t>
            </w:r>
          </w:p>
        </w:tc>
        <w:tc>
          <w:tcPr>
            <w:tcW w:w="0" w:type="auto"/>
            <w:noWrap/>
            <w:hideMark/>
          </w:tcPr>
          <w:p w14:paraId="7DF09D3B"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-67</w:t>
            </w:r>
          </w:p>
        </w:tc>
        <w:tc>
          <w:tcPr>
            <w:tcW w:w="0" w:type="auto"/>
            <w:noWrap/>
            <w:hideMark/>
          </w:tcPr>
          <w:p w14:paraId="12CCE117"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-27</w:t>
            </w:r>
          </w:p>
        </w:tc>
        <w:tc>
          <w:tcPr>
            <w:tcW w:w="0" w:type="auto"/>
            <w:noWrap/>
            <w:hideMark/>
          </w:tcPr>
          <w:p w14:paraId="58E3DE2F"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-38</w:t>
            </w:r>
          </w:p>
        </w:tc>
        <w:tc>
          <w:tcPr>
            <w:tcW w:w="0" w:type="auto"/>
            <w:noWrap/>
            <w:hideMark/>
          </w:tcPr>
          <w:p w14:paraId="38CF9F12"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-9.6</w:t>
            </w:r>
          </w:p>
        </w:tc>
        <w:tc>
          <w:tcPr>
            <w:tcW w:w="0" w:type="auto"/>
          </w:tcPr>
          <w:p w14:paraId="101641E5"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-1.8</w:t>
            </w:r>
          </w:p>
        </w:tc>
        <w:tc>
          <w:tcPr>
            <w:tcW w:w="0" w:type="auto"/>
            <w:noWrap/>
            <w:hideMark/>
          </w:tcPr>
          <w:p w14:paraId="40EAA530"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-5.3</w:t>
            </w:r>
          </w:p>
        </w:tc>
        <w:tc>
          <w:tcPr>
            <w:tcW w:w="0" w:type="auto"/>
            <w:noWrap/>
            <w:hideMark/>
          </w:tcPr>
          <w:p w14:paraId="04D008B8"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-100</w:t>
            </w:r>
          </w:p>
        </w:tc>
        <w:tc>
          <w:tcPr>
            <w:tcW w:w="0" w:type="auto"/>
            <w:noWrap/>
            <w:hideMark/>
          </w:tcPr>
          <w:p w14:paraId="3BEB2BFF"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-91</w:t>
            </w:r>
          </w:p>
        </w:tc>
        <w:tc>
          <w:tcPr>
            <w:tcW w:w="0" w:type="auto"/>
            <w:noWrap/>
            <w:hideMark/>
          </w:tcPr>
          <w:p w14:paraId="4803B578"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-69</w:t>
            </w:r>
          </w:p>
        </w:tc>
        <w:tc>
          <w:tcPr>
            <w:tcW w:w="0" w:type="auto"/>
            <w:noWrap/>
            <w:hideMark/>
          </w:tcPr>
          <w:p w14:paraId="5155A2A5"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-27</w:t>
            </w:r>
          </w:p>
        </w:tc>
        <w:tc>
          <w:tcPr>
            <w:tcW w:w="0" w:type="auto"/>
            <w:noWrap/>
            <w:hideMark/>
          </w:tcPr>
          <w:p w14:paraId="5D4D7CEA"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-39</w:t>
            </w:r>
          </w:p>
        </w:tc>
        <w:tc>
          <w:tcPr>
            <w:tcW w:w="0" w:type="auto"/>
            <w:noWrap/>
            <w:hideMark/>
          </w:tcPr>
          <w:p w14:paraId="00BE0935"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-9.8</w:t>
            </w:r>
          </w:p>
        </w:tc>
        <w:tc>
          <w:tcPr>
            <w:tcW w:w="0" w:type="auto"/>
          </w:tcPr>
          <w:p w14:paraId="1573F4D2"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-1.8</w:t>
            </w:r>
          </w:p>
        </w:tc>
        <w:tc>
          <w:tcPr>
            <w:tcW w:w="0" w:type="auto"/>
            <w:noWrap/>
            <w:hideMark/>
          </w:tcPr>
          <w:p w14:paraId="1C83E978"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-5.4</w:t>
            </w:r>
          </w:p>
        </w:tc>
      </w:tr>
      <w:tr w:rsidR="008B213B" w:rsidRPr="00D41284" w14:paraId="0CDEAF7F" w14:textId="77777777" w:rsidTr="008B21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3037E6A" w14:textId="77777777" w:rsidR="00D43F1B" w:rsidRPr="00D41284" w:rsidRDefault="00D43F1B" w:rsidP="008B213B">
            <w:r w:rsidRPr="00D41284">
              <w:t>Scenario 5</w:t>
            </w:r>
          </w:p>
        </w:tc>
        <w:tc>
          <w:tcPr>
            <w:tcW w:w="0" w:type="auto"/>
            <w:noWrap/>
            <w:hideMark/>
          </w:tcPr>
          <w:p w14:paraId="58155E31"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-150</w:t>
            </w:r>
          </w:p>
        </w:tc>
        <w:tc>
          <w:tcPr>
            <w:tcW w:w="0" w:type="auto"/>
            <w:noWrap/>
            <w:hideMark/>
          </w:tcPr>
          <w:p w14:paraId="46CB7067"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-130</w:t>
            </w:r>
          </w:p>
        </w:tc>
        <w:tc>
          <w:tcPr>
            <w:tcW w:w="0" w:type="auto"/>
            <w:noWrap/>
            <w:hideMark/>
          </w:tcPr>
          <w:p w14:paraId="05A40579"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-100</w:t>
            </w:r>
          </w:p>
        </w:tc>
        <w:tc>
          <w:tcPr>
            <w:tcW w:w="0" w:type="auto"/>
            <w:noWrap/>
            <w:hideMark/>
          </w:tcPr>
          <w:p w14:paraId="0072B593"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-40</w:t>
            </w:r>
          </w:p>
        </w:tc>
        <w:tc>
          <w:tcPr>
            <w:tcW w:w="0" w:type="auto"/>
            <w:noWrap/>
            <w:hideMark/>
          </w:tcPr>
          <w:p w14:paraId="4BAC67DF"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-57</w:t>
            </w:r>
          </w:p>
        </w:tc>
        <w:tc>
          <w:tcPr>
            <w:tcW w:w="0" w:type="auto"/>
            <w:noWrap/>
            <w:hideMark/>
          </w:tcPr>
          <w:p w14:paraId="3019BAF1"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-14</w:t>
            </w:r>
          </w:p>
        </w:tc>
        <w:tc>
          <w:tcPr>
            <w:tcW w:w="0" w:type="auto"/>
          </w:tcPr>
          <w:p w14:paraId="66258830"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-2.7</w:t>
            </w:r>
          </w:p>
        </w:tc>
        <w:tc>
          <w:tcPr>
            <w:tcW w:w="0" w:type="auto"/>
            <w:noWrap/>
            <w:hideMark/>
          </w:tcPr>
          <w:p w14:paraId="48E69512"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-7.9</w:t>
            </w:r>
          </w:p>
        </w:tc>
        <w:tc>
          <w:tcPr>
            <w:tcW w:w="0" w:type="auto"/>
            <w:noWrap/>
            <w:hideMark/>
          </w:tcPr>
          <w:p w14:paraId="50F1A223"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-62</w:t>
            </w:r>
          </w:p>
        </w:tc>
        <w:tc>
          <w:tcPr>
            <w:tcW w:w="0" w:type="auto"/>
            <w:noWrap/>
            <w:hideMark/>
          </w:tcPr>
          <w:p w14:paraId="60E6074F"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-56</w:t>
            </w:r>
          </w:p>
        </w:tc>
        <w:tc>
          <w:tcPr>
            <w:tcW w:w="0" w:type="auto"/>
            <w:noWrap/>
            <w:hideMark/>
          </w:tcPr>
          <w:p w14:paraId="73B33F6F"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-42</w:t>
            </w:r>
          </w:p>
        </w:tc>
        <w:tc>
          <w:tcPr>
            <w:tcW w:w="0" w:type="auto"/>
            <w:noWrap/>
            <w:hideMark/>
          </w:tcPr>
          <w:p w14:paraId="3E956815"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-17</w:t>
            </w:r>
          </w:p>
        </w:tc>
        <w:tc>
          <w:tcPr>
            <w:tcW w:w="0" w:type="auto"/>
            <w:noWrap/>
            <w:hideMark/>
          </w:tcPr>
          <w:p w14:paraId="04C6B0B2"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-24</w:t>
            </w:r>
          </w:p>
        </w:tc>
        <w:tc>
          <w:tcPr>
            <w:tcW w:w="0" w:type="auto"/>
            <w:noWrap/>
            <w:hideMark/>
          </w:tcPr>
          <w:p w14:paraId="55753F94"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-6.0</w:t>
            </w:r>
          </w:p>
        </w:tc>
        <w:tc>
          <w:tcPr>
            <w:tcW w:w="0" w:type="auto"/>
          </w:tcPr>
          <w:p w14:paraId="0E150356"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-1.1</w:t>
            </w:r>
          </w:p>
        </w:tc>
        <w:tc>
          <w:tcPr>
            <w:tcW w:w="0" w:type="auto"/>
            <w:noWrap/>
            <w:hideMark/>
          </w:tcPr>
          <w:p w14:paraId="572DA34D"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-3.2</w:t>
            </w:r>
          </w:p>
        </w:tc>
      </w:tr>
      <w:tr w:rsidR="008B213B" w:rsidRPr="00D41284" w14:paraId="5C0BD51E" w14:textId="77777777" w:rsidTr="008B213B">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5FF4B8A" w14:textId="77777777" w:rsidR="00D43F1B" w:rsidRPr="00D41284" w:rsidRDefault="00D43F1B" w:rsidP="008B213B">
            <w:r w:rsidRPr="00D41284">
              <w:t>Scenario 6</w:t>
            </w:r>
          </w:p>
        </w:tc>
        <w:tc>
          <w:tcPr>
            <w:tcW w:w="0" w:type="auto"/>
            <w:noWrap/>
            <w:hideMark/>
          </w:tcPr>
          <w:p w14:paraId="3E01D403"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-400</w:t>
            </w:r>
          </w:p>
        </w:tc>
        <w:tc>
          <w:tcPr>
            <w:tcW w:w="0" w:type="auto"/>
            <w:noWrap/>
            <w:hideMark/>
          </w:tcPr>
          <w:p w14:paraId="672F39A0"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-350</w:t>
            </w:r>
          </w:p>
        </w:tc>
        <w:tc>
          <w:tcPr>
            <w:tcW w:w="0" w:type="auto"/>
            <w:noWrap/>
            <w:hideMark/>
          </w:tcPr>
          <w:p w14:paraId="19C2945B"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-270</w:t>
            </w:r>
          </w:p>
        </w:tc>
        <w:tc>
          <w:tcPr>
            <w:tcW w:w="0" w:type="auto"/>
            <w:noWrap/>
            <w:hideMark/>
          </w:tcPr>
          <w:p w14:paraId="58C229BE"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-110</w:t>
            </w:r>
          </w:p>
        </w:tc>
        <w:tc>
          <w:tcPr>
            <w:tcW w:w="0" w:type="auto"/>
            <w:noWrap/>
            <w:hideMark/>
          </w:tcPr>
          <w:p w14:paraId="2BC85131"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-150</w:t>
            </w:r>
          </w:p>
        </w:tc>
        <w:tc>
          <w:tcPr>
            <w:tcW w:w="0" w:type="auto"/>
            <w:noWrap/>
            <w:hideMark/>
          </w:tcPr>
          <w:p w14:paraId="3EDF7F3F"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-38</w:t>
            </w:r>
          </w:p>
        </w:tc>
        <w:tc>
          <w:tcPr>
            <w:tcW w:w="0" w:type="auto"/>
          </w:tcPr>
          <w:p w14:paraId="1F216171"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-7.1</w:t>
            </w:r>
          </w:p>
        </w:tc>
        <w:tc>
          <w:tcPr>
            <w:tcW w:w="0" w:type="auto"/>
            <w:noWrap/>
            <w:hideMark/>
          </w:tcPr>
          <w:p w14:paraId="5EA3DF73"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-21</w:t>
            </w:r>
          </w:p>
        </w:tc>
        <w:tc>
          <w:tcPr>
            <w:tcW w:w="0" w:type="auto"/>
            <w:noWrap/>
            <w:hideMark/>
          </w:tcPr>
          <w:p w14:paraId="4FC02FD8"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360</w:t>
            </w:r>
          </w:p>
        </w:tc>
        <w:tc>
          <w:tcPr>
            <w:tcW w:w="0" w:type="auto"/>
            <w:noWrap/>
            <w:hideMark/>
          </w:tcPr>
          <w:p w14:paraId="1AF84EFB"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320</w:t>
            </w:r>
          </w:p>
        </w:tc>
        <w:tc>
          <w:tcPr>
            <w:tcW w:w="0" w:type="auto"/>
            <w:noWrap/>
            <w:hideMark/>
          </w:tcPr>
          <w:p w14:paraId="42FAC109"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240</w:t>
            </w:r>
          </w:p>
        </w:tc>
        <w:tc>
          <w:tcPr>
            <w:tcW w:w="0" w:type="auto"/>
            <w:noWrap/>
            <w:hideMark/>
          </w:tcPr>
          <w:p w14:paraId="28CC458C"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96</w:t>
            </w:r>
          </w:p>
        </w:tc>
        <w:tc>
          <w:tcPr>
            <w:tcW w:w="0" w:type="auto"/>
            <w:noWrap/>
            <w:hideMark/>
          </w:tcPr>
          <w:p w14:paraId="3F94C614"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140</w:t>
            </w:r>
          </w:p>
        </w:tc>
        <w:tc>
          <w:tcPr>
            <w:tcW w:w="0" w:type="auto"/>
            <w:noWrap/>
            <w:hideMark/>
          </w:tcPr>
          <w:p w14:paraId="497FCC46"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35</w:t>
            </w:r>
          </w:p>
        </w:tc>
        <w:tc>
          <w:tcPr>
            <w:tcW w:w="0" w:type="auto"/>
          </w:tcPr>
          <w:p w14:paraId="46CC7F8F"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6.6</w:t>
            </w:r>
          </w:p>
        </w:tc>
        <w:tc>
          <w:tcPr>
            <w:tcW w:w="0" w:type="auto"/>
            <w:noWrap/>
            <w:hideMark/>
          </w:tcPr>
          <w:p w14:paraId="2E465A88" w14:textId="77777777" w:rsidR="00D43F1B" w:rsidRPr="00D41284" w:rsidRDefault="00D43F1B" w:rsidP="008B213B">
            <w:pPr>
              <w:cnfStyle w:val="000000000000" w:firstRow="0" w:lastRow="0" w:firstColumn="0" w:lastColumn="0" w:oddVBand="0" w:evenVBand="0" w:oddHBand="0" w:evenHBand="0" w:firstRowFirstColumn="0" w:firstRowLastColumn="0" w:lastRowFirstColumn="0" w:lastRowLastColumn="0"/>
            </w:pPr>
            <w:r w:rsidRPr="00D41284">
              <w:t>19</w:t>
            </w:r>
          </w:p>
        </w:tc>
      </w:tr>
      <w:tr w:rsidR="008B213B" w:rsidRPr="00D41284" w14:paraId="5FD6C58C" w14:textId="77777777" w:rsidTr="008B21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4CFBC533" w14:textId="77777777" w:rsidR="00D43F1B" w:rsidRPr="00D41284" w:rsidRDefault="00D43F1B" w:rsidP="008B213B">
            <w:r w:rsidRPr="00D41284">
              <w:t>Scenario 7</w:t>
            </w:r>
          </w:p>
        </w:tc>
        <w:tc>
          <w:tcPr>
            <w:tcW w:w="0" w:type="auto"/>
            <w:noWrap/>
            <w:hideMark/>
          </w:tcPr>
          <w:p w14:paraId="71C9258B"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-400</w:t>
            </w:r>
          </w:p>
        </w:tc>
        <w:tc>
          <w:tcPr>
            <w:tcW w:w="0" w:type="auto"/>
            <w:noWrap/>
            <w:hideMark/>
          </w:tcPr>
          <w:p w14:paraId="4CB2348A"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-350</w:t>
            </w:r>
          </w:p>
        </w:tc>
        <w:tc>
          <w:tcPr>
            <w:tcW w:w="0" w:type="auto"/>
            <w:noWrap/>
            <w:hideMark/>
          </w:tcPr>
          <w:p w14:paraId="6B967376"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-270</w:t>
            </w:r>
          </w:p>
        </w:tc>
        <w:tc>
          <w:tcPr>
            <w:tcW w:w="0" w:type="auto"/>
            <w:noWrap/>
            <w:hideMark/>
          </w:tcPr>
          <w:p w14:paraId="05D87433"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-110</w:t>
            </w:r>
          </w:p>
        </w:tc>
        <w:tc>
          <w:tcPr>
            <w:tcW w:w="0" w:type="auto"/>
            <w:noWrap/>
            <w:hideMark/>
          </w:tcPr>
          <w:p w14:paraId="5BEE8598"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-150</w:t>
            </w:r>
          </w:p>
        </w:tc>
        <w:tc>
          <w:tcPr>
            <w:tcW w:w="0" w:type="auto"/>
            <w:noWrap/>
            <w:hideMark/>
          </w:tcPr>
          <w:p w14:paraId="6887F37B"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-38</w:t>
            </w:r>
          </w:p>
        </w:tc>
        <w:tc>
          <w:tcPr>
            <w:tcW w:w="0" w:type="auto"/>
          </w:tcPr>
          <w:p w14:paraId="429498AA"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-7.1</w:t>
            </w:r>
          </w:p>
        </w:tc>
        <w:tc>
          <w:tcPr>
            <w:tcW w:w="0" w:type="auto"/>
            <w:noWrap/>
            <w:hideMark/>
          </w:tcPr>
          <w:p w14:paraId="59B18993"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-21</w:t>
            </w:r>
          </w:p>
        </w:tc>
        <w:tc>
          <w:tcPr>
            <w:tcW w:w="0" w:type="auto"/>
            <w:noWrap/>
            <w:hideMark/>
          </w:tcPr>
          <w:p w14:paraId="0AF7A1C0"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160</w:t>
            </w:r>
          </w:p>
        </w:tc>
        <w:tc>
          <w:tcPr>
            <w:tcW w:w="0" w:type="auto"/>
            <w:noWrap/>
            <w:hideMark/>
          </w:tcPr>
          <w:p w14:paraId="5904F1F4"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140</w:t>
            </w:r>
          </w:p>
        </w:tc>
        <w:tc>
          <w:tcPr>
            <w:tcW w:w="0" w:type="auto"/>
            <w:noWrap/>
            <w:hideMark/>
          </w:tcPr>
          <w:p w14:paraId="2DC3081D"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110</w:t>
            </w:r>
          </w:p>
        </w:tc>
        <w:tc>
          <w:tcPr>
            <w:tcW w:w="0" w:type="auto"/>
            <w:noWrap/>
            <w:hideMark/>
          </w:tcPr>
          <w:p w14:paraId="2E1B1EA6"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42</w:t>
            </w:r>
          </w:p>
        </w:tc>
        <w:tc>
          <w:tcPr>
            <w:tcW w:w="0" w:type="auto"/>
            <w:noWrap/>
            <w:hideMark/>
          </w:tcPr>
          <w:p w14:paraId="61737F2C"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61</w:t>
            </w:r>
          </w:p>
        </w:tc>
        <w:tc>
          <w:tcPr>
            <w:tcW w:w="0" w:type="auto"/>
            <w:noWrap/>
            <w:hideMark/>
          </w:tcPr>
          <w:p w14:paraId="26E2B605"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15</w:t>
            </w:r>
          </w:p>
        </w:tc>
        <w:tc>
          <w:tcPr>
            <w:tcW w:w="0" w:type="auto"/>
          </w:tcPr>
          <w:p w14:paraId="626D9B08"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3.0</w:t>
            </w:r>
          </w:p>
        </w:tc>
        <w:tc>
          <w:tcPr>
            <w:tcW w:w="0" w:type="auto"/>
            <w:noWrap/>
            <w:hideMark/>
          </w:tcPr>
          <w:p w14:paraId="21E16B1C" w14:textId="77777777" w:rsidR="00D43F1B" w:rsidRPr="00D41284" w:rsidRDefault="00D43F1B" w:rsidP="008B213B">
            <w:pPr>
              <w:cnfStyle w:val="000000100000" w:firstRow="0" w:lastRow="0" w:firstColumn="0" w:lastColumn="0" w:oddVBand="0" w:evenVBand="0" w:oddHBand="1" w:evenHBand="0" w:firstRowFirstColumn="0" w:firstRowLastColumn="0" w:lastRowFirstColumn="0" w:lastRowLastColumn="0"/>
            </w:pPr>
            <w:r w:rsidRPr="00D41284">
              <w:t>8.4</w:t>
            </w:r>
          </w:p>
        </w:tc>
      </w:tr>
    </w:tbl>
    <w:p w14:paraId="45CA77E6" w14:textId="77777777" w:rsidR="00D62CE8" w:rsidRPr="004B61AD" w:rsidRDefault="00D222D9" w:rsidP="009E1A6A">
      <w:pPr>
        <w:spacing w:after="0"/>
        <w:rPr>
          <w:rStyle w:val="SubtleReference"/>
        </w:rPr>
      </w:pPr>
      <w:r w:rsidRPr="004B61AD">
        <w:rPr>
          <w:rStyle w:val="SubtleReference"/>
        </w:rPr>
        <w:t>a</w:t>
      </w:r>
      <w:r w:rsidR="00911A12" w:rsidRPr="004B61AD">
        <w:rPr>
          <w:rStyle w:val="SubtleReference"/>
        </w:rPr>
        <w:t xml:space="preserve"> </w:t>
      </w:r>
      <w:proofErr w:type="gramStart"/>
      <w:r w:rsidRPr="004B61AD">
        <w:rPr>
          <w:rStyle w:val="SubtleReference"/>
        </w:rPr>
        <w:t>As</w:t>
      </w:r>
      <w:proofErr w:type="gramEnd"/>
      <w:r w:rsidRPr="004B61AD">
        <w:rPr>
          <w:rStyle w:val="SubtleReference"/>
        </w:rPr>
        <w:t xml:space="preserve"> results for the Northern Territory were adjusted to account for the </w:t>
      </w:r>
      <w:r w:rsidR="001A0AF8" w:rsidRPr="004B61AD">
        <w:rPr>
          <w:rStyle w:val="SubtleReference"/>
        </w:rPr>
        <w:t>H</w:t>
      </w:r>
      <w:r w:rsidRPr="004B61AD">
        <w:rPr>
          <w:rStyle w:val="SubtleReference"/>
        </w:rPr>
        <w:t xml:space="preserve">ot </w:t>
      </w:r>
      <w:r w:rsidR="001A0AF8" w:rsidRPr="004B61AD">
        <w:rPr>
          <w:rStyle w:val="SubtleReference"/>
        </w:rPr>
        <w:t>Z</w:t>
      </w:r>
      <w:r w:rsidRPr="004B61AD">
        <w:rPr>
          <w:rStyle w:val="SubtleReference"/>
        </w:rPr>
        <w:t xml:space="preserve">one policy, these results may not be directly comparable to other </w:t>
      </w:r>
      <w:r w:rsidR="00C751E6" w:rsidRPr="004B61AD">
        <w:rPr>
          <w:rStyle w:val="SubtleReference"/>
        </w:rPr>
        <w:t xml:space="preserve">jurisdictions </w:t>
      </w:r>
      <w:r w:rsidRPr="004B61AD">
        <w:rPr>
          <w:rStyle w:val="SubtleReference"/>
        </w:rPr>
        <w:t>or nationwide results.</w:t>
      </w:r>
    </w:p>
    <w:p w14:paraId="03668548" w14:textId="77777777" w:rsidR="00D222D9" w:rsidRDefault="00D222D9" w:rsidP="009E1A6A">
      <w:pPr>
        <w:spacing w:after="0"/>
        <w:rPr>
          <w:sz w:val="18"/>
          <w:szCs w:val="18"/>
        </w:rPr>
      </w:pPr>
    </w:p>
    <w:p w14:paraId="0F13BCA7" w14:textId="77777777" w:rsidR="000C2C19" w:rsidRDefault="000C2C19" w:rsidP="009E1A6A">
      <w:pPr>
        <w:spacing w:after="0"/>
        <w:rPr>
          <w:sz w:val="18"/>
          <w:szCs w:val="18"/>
        </w:rPr>
        <w:sectPr w:rsidR="000C2C19" w:rsidSect="0067591D">
          <w:headerReference w:type="default" r:id="rId19"/>
          <w:pgSz w:w="16838" w:h="11906" w:orient="landscape"/>
          <w:pgMar w:top="1440" w:right="1440" w:bottom="1440" w:left="1440" w:header="708" w:footer="708" w:gutter="0"/>
          <w:cols w:space="708"/>
          <w:docGrid w:linePitch="360"/>
        </w:sectPr>
      </w:pPr>
    </w:p>
    <w:p w14:paraId="03390D91" w14:textId="77777777" w:rsidR="00310A11" w:rsidRPr="004866BE" w:rsidRDefault="00937A16" w:rsidP="002715EF">
      <w:pPr>
        <w:pStyle w:val="Caption"/>
      </w:pPr>
      <w:r w:rsidRPr="004866BE">
        <w:lastRenderedPageBreak/>
        <w:t xml:space="preserve">Table </w:t>
      </w:r>
      <w:r w:rsidR="00E271C7" w:rsidRPr="004866BE">
        <w:t>7</w:t>
      </w:r>
      <w:r w:rsidR="003E4733" w:rsidRPr="004866BE">
        <w:t xml:space="preserve"> – </w:t>
      </w:r>
      <w:r w:rsidR="00FD0E4E" w:rsidRPr="004866BE">
        <w:t>NBCSP-related c</w:t>
      </w:r>
      <w:r w:rsidR="7EA42D87" w:rsidRPr="004866BE">
        <w:t xml:space="preserve">olonoscopy demand </w:t>
      </w:r>
      <w:r w:rsidR="003E4733" w:rsidRPr="004866BE">
        <w:t xml:space="preserve">by </w:t>
      </w:r>
      <w:r w:rsidR="005C129C" w:rsidRPr="005C129C">
        <w:t xml:space="preserve">jurisdiction </w:t>
      </w:r>
      <w:r w:rsidR="000C3B23" w:rsidRPr="004866BE">
        <w:t>vs comparator</w:t>
      </w:r>
      <w:r w:rsidR="0A3B73E0" w:rsidRPr="004866BE">
        <w:t xml:space="preserve"> shown in Table 4</w:t>
      </w:r>
      <w:r w:rsidR="000C3B23" w:rsidRPr="004866BE">
        <w:t>. The modelled cohort is those individuals due to receive a screening invitation in 2020 or 2021. All values are shown to two significant figures.</w:t>
      </w:r>
    </w:p>
    <w:tbl>
      <w:tblPr>
        <w:tblStyle w:val="GridTable4-Accent1"/>
        <w:tblW w:w="14317" w:type="dxa"/>
        <w:tblLayout w:type="fixed"/>
        <w:tblLook w:val="04A0" w:firstRow="1" w:lastRow="0" w:firstColumn="1" w:lastColumn="0" w:noHBand="0" w:noVBand="1"/>
        <w:tblDescription w:val="Table 7 – NBCSP-related colonoscopy demand by jurisdiction vs comparator shown in Table 4. The modelled cohort is those individuals due to receive a screening invitation in 2020 or 2021. All values are shown to two significant figures."/>
      </w:tblPr>
      <w:tblGrid>
        <w:gridCol w:w="1276"/>
        <w:gridCol w:w="993"/>
        <w:gridCol w:w="770"/>
        <w:gridCol w:w="851"/>
        <w:gridCol w:w="788"/>
        <w:gridCol w:w="851"/>
        <w:gridCol w:w="709"/>
        <w:gridCol w:w="743"/>
        <w:gridCol w:w="815"/>
        <w:gridCol w:w="815"/>
        <w:gridCol w:w="815"/>
        <w:gridCol w:w="815"/>
        <w:gridCol w:w="815"/>
        <w:gridCol w:w="815"/>
        <w:gridCol w:w="815"/>
        <w:gridCol w:w="728"/>
        <w:gridCol w:w="903"/>
      </w:tblGrid>
      <w:tr w:rsidR="00D222D9" w:rsidRPr="002715EF" w14:paraId="1620F7E3" w14:textId="77777777" w:rsidTr="002715EF">
        <w:trPr>
          <w:cnfStyle w:val="100000000000" w:firstRow="1" w:lastRow="0" w:firstColumn="0" w:lastColumn="0" w:oddVBand="0" w:evenVBand="0" w:oddHBand="0" w:evenHBand="0" w:firstRowFirstColumn="0" w:firstRowLastColumn="0" w:lastRowFirstColumn="0" w:lastRowLastColumn="0"/>
          <w:trHeight w:val="446"/>
          <w:tblHeader/>
        </w:trPr>
        <w:tc>
          <w:tcPr>
            <w:cnfStyle w:val="001000000000" w:firstRow="0" w:lastRow="0" w:firstColumn="1" w:lastColumn="0" w:oddVBand="0" w:evenVBand="0" w:oddHBand="0" w:evenHBand="0" w:firstRowFirstColumn="0" w:firstRowLastColumn="0" w:lastRowFirstColumn="0" w:lastRowLastColumn="0"/>
            <w:tcW w:w="1276" w:type="dxa"/>
            <w:noWrap/>
          </w:tcPr>
          <w:p w14:paraId="3ECA1E4F" w14:textId="77777777" w:rsidR="00D222D9" w:rsidRPr="002715EF" w:rsidRDefault="00D222D9" w:rsidP="002715EF"/>
        </w:tc>
        <w:tc>
          <w:tcPr>
            <w:tcW w:w="6520" w:type="dxa"/>
            <w:gridSpan w:val="8"/>
            <w:noWrap/>
          </w:tcPr>
          <w:p w14:paraId="6AF9A41A" w14:textId="77777777" w:rsidR="00D222D9" w:rsidRPr="002715EF" w:rsidRDefault="00D222D9" w:rsidP="002715EF">
            <w:pPr>
              <w:cnfStyle w:val="100000000000" w:firstRow="1" w:lastRow="0" w:firstColumn="0" w:lastColumn="0" w:oddVBand="0" w:evenVBand="0" w:oddHBand="0" w:evenHBand="0" w:firstRowFirstColumn="0" w:firstRowLastColumn="0" w:lastRowFirstColumn="0" w:lastRowLastColumn="0"/>
            </w:pPr>
            <w:r w:rsidRPr="002715EF">
              <w:t>Change in NBCSP-related colonoscopy demand, 2020</w:t>
            </w:r>
          </w:p>
        </w:tc>
        <w:tc>
          <w:tcPr>
            <w:tcW w:w="6521" w:type="dxa"/>
            <w:gridSpan w:val="8"/>
            <w:noWrap/>
          </w:tcPr>
          <w:p w14:paraId="06195D67" w14:textId="77777777" w:rsidR="00D222D9" w:rsidRPr="002715EF" w:rsidRDefault="00D222D9" w:rsidP="002715EF">
            <w:pPr>
              <w:cnfStyle w:val="100000000000" w:firstRow="1" w:lastRow="0" w:firstColumn="0" w:lastColumn="0" w:oddVBand="0" w:evenVBand="0" w:oddHBand="0" w:evenHBand="0" w:firstRowFirstColumn="0" w:firstRowLastColumn="0" w:lastRowFirstColumn="0" w:lastRowLastColumn="0"/>
            </w:pPr>
            <w:r w:rsidRPr="002715EF">
              <w:t>Change in NBCSP-related colonoscopy demand, 2021</w:t>
            </w:r>
          </w:p>
        </w:tc>
      </w:tr>
      <w:tr w:rsidR="002715EF" w:rsidRPr="002715EF" w14:paraId="1524C733" w14:textId="77777777" w:rsidTr="002715EF">
        <w:trPr>
          <w:cnfStyle w:val="100000000000" w:firstRow="1" w:lastRow="0" w:firstColumn="0" w:lastColumn="0" w:oddVBand="0" w:evenVBand="0" w:oddHBand="0" w:evenHBand="0" w:firstRowFirstColumn="0" w:firstRowLastColumn="0" w:lastRowFirstColumn="0" w:lastRowLastColumn="0"/>
          <w:trHeight w:val="2279"/>
          <w:tblHead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9D26D2D" w14:textId="77777777" w:rsidR="00D222D9" w:rsidRPr="002715EF" w:rsidRDefault="00D222D9" w:rsidP="002715EF">
            <w:pPr>
              <w:pStyle w:val="TableofAuthorities"/>
            </w:pPr>
          </w:p>
        </w:tc>
        <w:tc>
          <w:tcPr>
            <w:tcW w:w="993" w:type="dxa"/>
            <w:noWrap/>
            <w:hideMark/>
          </w:tcPr>
          <w:p w14:paraId="68B3032E" w14:textId="77777777" w:rsidR="00D222D9" w:rsidRPr="002715EF" w:rsidRDefault="00D43F1B"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New South Wales</w:t>
            </w:r>
          </w:p>
        </w:tc>
        <w:tc>
          <w:tcPr>
            <w:tcW w:w="770" w:type="dxa"/>
            <w:noWrap/>
            <w:hideMark/>
          </w:tcPr>
          <w:p w14:paraId="368DDF84"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Victoria</w:t>
            </w:r>
          </w:p>
        </w:tc>
        <w:tc>
          <w:tcPr>
            <w:tcW w:w="851" w:type="dxa"/>
            <w:noWrap/>
            <w:hideMark/>
          </w:tcPr>
          <w:p w14:paraId="7BC4A2B1"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Queensland</w:t>
            </w:r>
          </w:p>
        </w:tc>
        <w:tc>
          <w:tcPr>
            <w:tcW w:w="788" w:type="dxa"/>
            <w:noWrap/>
            <w:hideMark/>
          </w:tcPr>
          <w:p w14:paraId="41A2550A"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South Australia</w:t>
            </w:r>
          </w:p>
        </w:tc>
        <w:tc>
          <w:tcPr>
            <w:tcW w:w="851" w:type="dxa"/>
            <w:noWrap/>
            <w:hideMark/>
          </w:tcPr>
          <w:p w14:paraId="0BA53A7A"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Western Australia</w:t>
            </w:r>
          </w:p>
        </w:tc>
        <w:tc>
          <w:tcPr>
            <w:tcW w:w="709" w:type="dxa"/>
            <w:noWrap/>
            <w:hideMark/>
          </w:tcPr>
          <w:p w14:paraId="5CC105A1"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Tasmania</w:t>
            </w:r>
          </w:p>
        </w:tc>
        <w:tc>
          <w:tcPr>
            <w:tcW w:w="743" w:type="dxa"/>
          </w:tcPr>
          <w:p w14:paraId="7401CAE0"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Northern Territory a</w:t>
            </w:r>
          </w:p>
        </w:tc>
        <w:tc>
          <w:tcPr>
            <w:tcW w:w="815" w:type="dxa"/>
            <w:noWrap/>
            <w:hideMark/>
          </w:tcPr>
          <w:p w14:paraId="03D0E7F8" w14:textId="77777777" w:rsidR="00D222D9" w:rsidRPr="002715EF" w:rsidRDefault="00D43F1B"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Australian Capital Territory</w:t>
            </w:r>
          </w:p>
        </w:tc>
        <w:tc>
          <w:tcPr>
            <w:tcW w:w="815" w:type="dxa"/>
            <w:noWrap/>
            <w:hideMark/>
          </w:tcPr>
          <w:p w14:paraId="005FBA7D" w14:textId="77777777" w:rsidR="00D222D9" w:rsidRPr="002715EF" w:rsidRDefault="00D43F1B"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New South Wales</w:t>
            </w:r>
          </w:p>
        </w:tc>
        <w:tc>
          <w:tcPr>
            <w:tcW w:w="815" w:type="dxa"/>
            <w:noWrap/>
            <w:hideMark/>
          </w:tcPr>
          <w:p w14:paraId="7381F305"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Victoria</w:t>
            </w:r>
          </w:p>
        </w:tc>
        <w:tc>
          <w:tcPr>
            <w:tcW w:w="815" w:type="dxa"/>
            <w:noWrap/>
            <w:hideMark/>
          </w:tcPr>
          <w:p w14:paraId="5B550E10"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Queensland</w:t>
            </w:r>
          </w:p>
        </w:tc>
        <w:tc>
          <w:tcPr>
            <w:tcW w:w="815" w:type="dxa"/>
            <w:noWrap/>
            <w:hideMark/>
          </w:tcPr>
          <w:p w14:paraId="69095ECA"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South Australia</w:t>
            </w:r>
          </w:p>
        </w:tc>
        <w:tc>
          <w:tcPr>
            <w:tcW w:w="815" w:type="dxa"/>
            <w:noWrap/>
            <w:hideMark/>
          </w:tcPr>
          <w:p w14:paraId="27866990"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Western Australia</w:t>
            </w:r>
          </w:p>
        </w:tc>
        <w:tc>
          <w:tcPr>
            <w:tcW w:w="815" w:type="dxa"/>
            <w:noWrap/>
            <w:hideMark/>
          </w:tcPr>
          <w:p w14:paraId="6A8C8EA7"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Tasmania</w:t>
            </w:r>
          </w:p>
        </w:tc>
        <w:tc>
          <w:tcPr>
            <w:tcW w:w="728" w:type="dxa"/>
          </w:tcPr>
          <w:p w14:paraId="2D49989A"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 xml:space="preserve">Northern </w:t>
            </w:r>
            <w:r w:rsidR="00486F7E" w:rsidRPr="002715EF">
              <w:t>Territory a</w:t>
            </w:r>
          </w:p>
        </w:tc>
        <w:tc>
          <w:tcPr>
            <w:tcW w:w="903" w:type="dxa"/>
            <w:noWrap/>
            <w:hideMark/>
          </w:tcPr>
          <w:p w14:paraId="7B70100D" w14:textId="77777777" w:rsidR="00D222D9" w:rsidRPr="002715EF" w:rsidRDefault="00D43F1B"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Australian Capital Territory</w:t>
            </w:r>
          </w:p>
        </w:tc>
      </w:tr>
      <w:tr w:rsidR="002715EF" w:rsidRPr="002715EF" w14:paraId="41A18E0B" w14:textId="77777777" w:rsidTr="002715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EFAA866" w14:textId="77777777" w:rsidR="00D222D9" w:rsidRPr="002715EF" w:rsidRDefault="00D222D9" w:rsidP="002715EF">
            <w:r w:rsidRPr="002715EF">
              <w:t>Scenario 1</w:t>
            </w:r>
          </w:p>
        </w:tc>
        <w:tc>
          <w:tcPr>
            <w:tcW w:w="993" w:type="dxa"/>
            <w:noWrap/>
            <w:hideMark/>
          </w:tcPr>
          <w:p w14:paraId="311B25BA"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-5,500</w:t>
            </w:r>
          </w:p>
        </w:tc>
        <w:tc>
          <w:tcPr>
            <w:tcW w:w="770" w:type="dxa"/>
            <w:noWrap/>
            <w:hideMark/>
          </w:tcPr>
          <w:p w14:paraId="79830DC9"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-4,900</w:t>
            </w:r>
          </w:p>
        </w:tc>
        <w:tc>
          <w:tcPr>
            <w:tcW w:w="851" w:type="dxa"/>
            <w:noWrap/>
            <w:hideMark/>
          </w:tcPr>
          <w:p w14:paraId="33B4C138"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-3,700</w:t>
            </w:r>
          </w:p>
        </w:tc>
        <w:tc>
          <w:tcPr>
            <w:tcW w:w="788" w:type="dxa"/>
            <w:noWrap/>
            <w:hideMark/>
          </w:tcPr>
          <w:p w14:paraId="38655C15"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-1,500</w:t>
            </w:r>
          </w:p>
        </w:tc>
        <w:tc>
          <w:tcPr>
            <w:tcW w:w="851" w:type="dxa"/>
            <w:noWrap/>
            <w:hideMark/>
          </w:tcPr>
          <w:p w14:paraId="238A6A32"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-2,100</w:t>
            </w:r>
          </w:p>
        </w:tc>
        <w:tc>
          <w:tcPr>
            <w:tcW w:w="709" w:type="dxa"/>
            <w:noWrap/>
            <w:hideMark/>
          </w:tcPr>
          <w:p w14:paraId="1018CE78"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-540</w:t>
            </w:r>
          </w:p>
        </w:tc>
        <w:tc>
          <w:tcPr>
            <w:tcW w:w="743" w:type="dxa"/>
          </w:tcPr>
          <w:p w14:paraId="22B57DF4"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-190</w:t>
            </w:r>
          </w:p>
        </w:tc>
        <w:tc>
          <w:tcPr>
            <w:tcW w:w="815" w:type="dxa"/>
            <w:noWrap/>
            <w:hideMark/>
          </w:tcPr>
          <w:p w14:paraId="27ADC180"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-290</w:t>
            </w:r>
          </w:p>
        </w:tc>
        <w:tc>
          <w:tcPr>
            <w:tcW w:w="815" w:type="dxa"/>
            <w:noWrap/>
            <w:hideMark/>
          </w:tcPr>
          <w:p w14:paraId="4FE50665"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-170</w:t>
            </w:r>
          </w:p>
        </w:tc>
        <w:tc>
          <w:tcPr>
            <w:tcW w:w="815" w:type="dxa"/>
            <w:noWrap/>
            <w:hideMark/>
          </w:tcPr>
          <w:p w14:paraId="203321B1"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-150</w:t>
            </w:r>
          </w:p>
        </w:tc>
        <w:tc>
          <w:tcPr>
            <w:tcW w:w="815" w:type="dxa"/>
            <w:noWrap/>
            <w:hideMark/>
          </w:tcPr>
          <w:p w14:paraId="64A04456"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-110</w:t>
            </w:r>
          </w:p>
        </w:tc>
        <w:tc>
          <w:tcPr>
            <w:tcW w:w="815" w:type="dxa"/>
            <w:noWrap/>
            <w:hideMark/>
          </w:tcPr>
          <w:p w14:paraId="736A8A8E"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-47</w:t>
            </w:r>
          </w:p>
        </w:tc>
        <w:tc>
          <w:tcPr>
            <w:tcW w:w="815" w:type="dxa"/>
            <w:noWrap/>
            <w:hideMark/>
          </w:tcPr>
          <w:p w14:paraId="59525854"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-63</w:t>
            </w:r>
          </w:p>
        </w:tc>
        <w:tc>
          <w:tcPr>
            <w:tcW w:w="815" w:type="dxa"/>
            <w:noWrap/>
            <w:hideMark/>
          </w:tcPr>
          <w:p w14:paraId="47137A56"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-17</w:t>
            </w:r>
          </w:p>
        </w:tc>
        <w:tc>
          <w:tcPr>
            <w:tcW w:w="728" w:type="dxa"/>
          </w:tcPr>
          <w:p w14:paraId="51491DB1"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-5</w:t>
            </w:r>
          </w:p>
        </w:tc>
        <w:tc>
          <w:tcPr>
            <w:tcW w:w="903" w:type="dxa"/>
            <w:noWrap/>
            <w:hideMark/>
          </w:tcPr>
          <w:p w14:paraId="7D04F114"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-9</w:t>
            </w:r>
          </w:p>
        </w:tc>
      </w:tr>
      <w:tr w:rsidR="002715EF" w:rsidRPr="002715EF" w14:paraId="1EF0A7A7" w14:textId="77777777" w:rsidTr="002715EF">
        <w:trPr>
          <w:trHeight w:val="397"/>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DD3068C" w14:textId="77777777" w:rsidR="00D222D9" w:rsidRPr="002715EF" w:rsidRDefault="00D222D9" w:rsidP="002715EF">
            <w:r w:rsidRPr="002715EF">
              <w:t>Scenario 2</w:t>
            </w:r>
          </w:p>
        </w:tc>
        <w:tc>
          <w:tcPr>
            <w:tcW w:w="993" w:type="dxa"/>
            <w:noWrap/>
            <w:hideMark/>
          </w:tcPr>
          <w:p w14:paraId="53AF1ECC"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-11,000</w:t>
            </w:r>
          </w:p>
        </w:tc>
        <w:tc>
          <w:tcPr>
            <w:tcW w:w="770" w:type="dxa"/>
            <w:noWrap/>
            <w:hideMark/>
          </w:tcPr>
          <w:p w14:paraId="003D4E5B"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-9,800</w:t>
            </w:r>
          </w:p>
        </w:tc>
        <w:tc>
          <w:tcPr>
            <w:tcW w:w="851" w:type="dxa"/>
            <w:noWrap/>
            <w:hideMark/>
          </w:tcPr>
          <w:p w14:paraId="4AF3AF28"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-7,400</w:t>
            </w:r>
          </w:p>
        </w:tc>
        <w:tc>
          <w:tcPr>
            <w:tcW w:w="788" w:type="dxa"/>
            <w:noWrap/>
            <w:hideMark/>
          </w:tcPr>
          <w:p w14:paraId="019370EC"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-3,000</w:t>
            </w:r>
          </w:p>
        </w:tc>
        <w:tc>
          <w:tcPr>
            <w:tcW w:w="851" w:type="dxa"/>
            <w:noWrap/>
            <w:hideMark/>
          </w:tcPr>
          <w:p w14:paraId="105FB201"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-4,200</w:t>
            </w:r>
          </w:p>
        </w:tc>
        <w:tc>
          <w:tcPr>
            <w:tcW w:w="709" w:type="dxa"/>
            <w:noWrap/>
            <w:hideMark/>
          </w:tcPr>
          <w:p w14:paraId="423C808B"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-1,100</w:t>
            </w:r>
          </w:p>
        </w:tc>
        <w:tc>
          <w:tcPr>
            <w:tcW w:w="743" w:type="dxa"/>
          </w:tcPr>
          <w:p w14:paraId="261C31F9"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-370</w:t>
            </w:r>
          </w:p>
        </w:tc>
        <w:tc>
          <w:tcPr>
            <w:tcW w:w="815" w:type="dxa"/>
            <w:noWrap/>
            <w:hideMark/>
          </w:tcPr>
          <w:p w14:paraId="22B5D49B"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-580</w:t>
            </w:r>
          </w:p>
        </w:tc>
        <w:tc>
          <w:tcPr>
            <w:tcW w:w="815" w:type="dxa"/>
            <w:noWrap/>
            <w:hideMark/>
          </w:tcPr>
          <w:p w14:paraId="34AA0C29"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-340</w:t>
            </w:r>
          </w:p>
        </w:tc>
        <w:tc>
          <w:tcPr>
            <w:tcW w:w="815" w:type="dxa"/>
            <w:noWrap/>
            <w:hideMark/>
          </w:tcPr>
          <w:p w14:paraId="7AA1502A"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-300</w:t>
            </w:r>
          </w:p>
        </w:tc>
        <w:tc>
          <w:tcPr>
            <w:tcW w:w="815" w:type="dxa"/>
            <w:noWrap/>
            <w:hideMark/>
          </w:tcPr>
          <w:p w14:paraId="198D6235"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-230</w:t>
            </w:r>
          </w:p>
        </w:tc>
        <w:tc>
          <w:tcPr>
            <w:tcW w:w="815" w:type="dxa"/>
            <w:noWrap/>
            <w:hideMark/>
          </w:tcPr>
          <w:p w14:paraId="5FFD43F9"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-93</w:t>
            </w:r>
          </w:p>
        </w:tc>
        <w:tc>
          <w:tcPr>
            <w:tcW w:w="815" w:type="dxa"/>
            <w:noWrap/>
            <w:hideMark/>
          </w:tcPr>
          <w:p w14:paraId="1225948E"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-130</w:t>
            </w:r>
          </w:p>
        </w:tc>
        <w:tc>
          <w:tcPr>
            <w:tcW w:w="815" w:type="dxa"/>
            <w:noWrap/>
            <w:hideMark/>
          </w:tcPr>
          <w:p w14:paraId="46C0D10B"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-34</w:t>
            </w:r>
          </w:p>
        </w:tc>
        <w:tc>
          <w:tcPr>
            <w:tcW w:w="728" w:type="dxa"/>
          </w:tcPr>
          <w:p w14:paraId="6E207B72"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-9</w:t>
            </w:r>
          </w:p>
        </w:tc>
        <w:tc>
          <w:tcPr>
            <w:tcW w:w="903" w:type="dxa"/>
            <w:noWrap/>
            <w:hideMark/>
          </w:tcPr>
          <w:p w14:paraId="6F2CA631"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-17</w:t>
            </w:r>
          </w:p>
        </w:tc>
      </w:tr>
      <w:tr w:rsidR="002715EF" w:rsidRPr="002715EF" w14:paraId="3CDE169C" w14:textId="77777777" w:rsidTr="002715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15C8345" w14:textId="77777777" w:rsidR="00D222D9" w:rsidRPr="002715EF" w:rsidRDefault="00D222D9" w:rsidP="002715EF">
            <w:r w:rsidRPr="002715EF">
              <w:t>Scenario 3</w:t>
            </w:r>
          </w:p>
        </w:tc>
        <w:tc>
          <w:tcPr>
            <w:tcW w:w="993" w:type="dxa"/>
            <w:noWrap/>
            <w:hideMark/>
          </w:tcPr>
          <w:p w14:paraId="25249A20"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-22,000</w:t>
            </w:r>
          </w:p>
        </w:tc>
        <w:tc>
          <w:tcPr>
            <w:tcW w:w="770" w:type="dxa"/>
            <w:noWrap/>
            <w:hideMark/>
          </w:tcPr>
          <w:p w14:paraId="08398FFA"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-19,000</w:t>
            </w:r>
          </w:p>
        </w:tc>
        <w:tc>
          <w:tcPr>
            <w:tcW w:w="851" w:type="dxa"/>
            <w:noWrap/>
            <w:hideMark/>
          </w:tcPr>
          <w:p w14:paraId="23550ED6"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-15,000</w:t>
            </w:r>
          </w:p>
        </w:tc>
        <w:tc>
          <w:tcPr>
            <w:tcW w:w="788" w:type="dxa"/>
            <w:noWrap/>
            <w:hideMark/>
          </w:tcPr>
          <w:p w14:paraId="1126F73F"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-5,900</w:t>
            </w:r>
          </w:p>
        </w:tc>
        <w:tc>
          <w:tcPr>
            <w:tcW w:w="851" w:type="dxa"/>
            <w:noWrap/>
            <w:hideMark/>
          </w:tcPr>
          <w:p w14:paraId="1EE7D4A6"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-8,400</w:t>
            </w:r>
          </w:p>
        </w:tc>
        <w:tc>
          <w:tcPr>
            <w:tcW w:w="709" w:type="dxa"/>
            <w:noWrap/>
            <w:hideMark/>
          </w:tcPr>
          <w:p w14:paraId="3ED5B6F3"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-2,100</w:t>
            </w:r>
          </w:p>
        </w:tc>
        <w:tc>
          <w:tcPr>
            <w:tcW w:w="743" w:type="dxa"/>
          </w:tcPr>
          <w:p w14:paraId="27D86F88"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-370</w:t>
            </w:r>
          </w:p>
        </w:tc>
        <w:tc>
          <w:tcPr>
            <w:tcW w:w="815" w:type="dxa"/>
            <w:noWrap/>
            <w:hideMark/>
          </w:tcPr>
          <w:p w14:paraId="353B736C"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-1,200</w:t>
            </w:r>
          </w:p>
        </w:tc>
        <w:tc>
          <w:tcPr>
            <w:tcW w:w="815" w:type="dxa"/>
            <w:noWrap/>
            <w:hideMark/>
          </w:tcPr>
          <w:p w14:paraId="44C7C6DB"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-12,000</w:t>
            </w:r>
          </w:p>
        </w:tc>
        <w:tc>
          <w:tcPr>
            <w:tcW w:w="815" w:type="dxa"/>
            <w:noWrap/>
            <w:hideMark/>
          </w:tcPr>
          <w:p w14:paraId="3F24AA7B"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-10,000</w:t>
            </w:r>
          </w:p>
        </w:tc>
        <w:tc>
          <w:tcPr>
            <w:tcW w:w="815" w:type="dxa"/>
            <w:noWrap/>
            <w:hideMark/>
          </w:tcPr>
          <w:p w14:paraId="7CAD123D"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-7,900</w:t>
            </w:r>
          </w:p>
        </w:tc>
        <w:tc>
          <w:tcPr>
            <w:tcW w:w="815" w:type="dxa"/>
            <w:noWrap/>
            <w:hideMark/>
          </w:tcPr>
          <w:p w14:paraId="16A19B09"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-3,100</w:t>
            </w:r>
          </w:p>
        </w:tc>
        <w:tc>
          <w:tcPr>
            <w:tcW w:w="815" w:type="dxa"/>
            <w:noWrap/>
            <w:hideMark/>
          </w:tcPr>
          <w:p w14:paraId="50C558E6"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-4,500</w:t>
            </w:r>
          </w:p>
        </w:tc>
        <w:tc>
          <w:tcPr>
            <w:tcW w:w="815" w:type="dxa"/>
            <w:noWrap/>
            <w:hideMark/>
          </w:tcPr>
          <w:p w14:paraId="3DF044F9"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-1,100</w:t>
            </w:r>
          </w:p>
        </w:tc>
        <w:tc>
          <w:tcPr>
            <w:tcW w:w="728" w:type="dxa"/>
          </w:tcPr>
          <w:p w14:paraId="4592E0FE"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-200</w:t>
            </w:r>
          </w:p>
        </w:tc>
        <w:tc>
          <w:tcPr>
            <w:tcW w:w="903" w:type="dxa"/>
            <w:noWrap/>
            <w:hideMark/>
          </w:tcPr>
          <w:p w14:paraId="2ECE56A0"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-610</w:t>
            </w:r>
          </w:p>
        </w:tc>
      </w:tr>
      <w:tr w:rsidR="002715EF" w:rsidRPr="002715EF" w14:paraId="2B539384" w14:textId="77777777" w:rsidTr="002715EF">
        <w:trPr>
          <w:trHeight w:val="397"/>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F163A63" w14:textId="77777777" w:rsidR="00D222D9" w:rsidRPr="002715EF" w:rsidRDefault="00D222D9" w:rsidP="002715EF">
            <w:r w:rsidRPr="002715EF">
              <w:t>Scenario 4</w:t>
            </w:r>
          </w:p>
        </w:tc>
        <w:tc>
          <w:tcPr>
            <w:tcW w:w="993" w:type="dxa"/>
            <w:noWrap/>
            <w:hideMark/>
          </w:tcPr>
          <w:p w14:paraId="02CAA808"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-5,500</w:t>
            </w:r>
          </w:p>
        </w:tc>
        <w:tc>
          <w:tcPr>
            <w:tcW w:w="770" w:type="dxa"/>
            <w:noWrap/>
            <w:hideMark/>
          </w:tcPr>
          <w:p w14:paraId="339CF9FF"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-4,900</w:t>
            </w:r>
          </w:p>
        </w:tc>
        <w:tc>
          <w:tcPr>
            <w:tcW w:w="851" w:type="dxa"/>
            <w:noWrap/>
            <w:hideMark/>
          </w:tcPr>
          <w:p w14:paraId="282F833B"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-3,700</w:t>
            </w:r>
          </w:p>
        </w:tc>
        <w:tc>
          <w:tcPr>
            <w:tcW w:w="788" w:type="dxa"/>
            <w:noWrap/>
            <w:hideMark/>
          </w:tcPr>
          <w:p w14:paraId="41CA45E0"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-1,500</w:t>
            </w:r>
          </w:p>
        </w:tc>
        <w:tc>
          <w:tcPr>
            <w:tcW w:w="851" w:type="dxa"/>
            <w:noWrap/>
            <w:hideMark/>
          </w:tcPr>
          <w:p w14:paraId="07E77B3E"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-2,100</w:t>
            </w:r>
          </w:p>
        </w:tc>
        <w:tc>
          <w:tcPr>
            <w:tcW w:w="709" w:type="dxa"/>
            <w:noWrap/>
            <w:hideMark/>
          </w:tcPr>
          <w:p w14:paraId="566FBD55"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-540</w:t>
            </w:r>
          </w:p>
        </w:tc>
        <w:tc>
          <w:tcPr>
            <w:tcW w:w="743" w:type="dxa"/>
          </w:tcPr>
          <w:p w14:paraId="17BF4E7B"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-94</w:t>
            </w:r>
          </w:p>
        </w:tc>
        <w:tc>
          <w:tcPr>
            <w:tcW w:w="815" w:type="dxa"/>
            <w:noWrap/>
            <w:hideMark/>
          </w:tcPr>
          <w:p w14:paraId="21328E0A"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-290</w:t>
            </w:r>
          </w:p>
        </w:tc>
        <w:tc>
          <w:tcPr>
            <w:tcW w:w="815" w:type="dxa"/>
            <w:noWrap/>
            <w:hideMark/>
          </w:tcPr>
          <w:p w14:paraId="2B7FE8CE"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-5,700</w:t>
            </w:r>
          </w:p>
        </w:tc>
        <w:tc>
          <w:tcPr>
            <w:tcW w:w="815" w:type="dxa"/>
            <w:noWrap/>
            <w:hideMark/>
          </w:tcPr>
          <w:p w14:paraId="6512F223"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-5,100</w:t>
            </w:r>
          </w:p>
        </w:tc>
        <w:tc>
          <w:tcPr>
            <w:tcW w:w="815" w:type="dxa"/>
            <w:noWrap/>
            <w:hideMark/>
          </w:tcPr>
          <w:p w14:paraId="22E0179C"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-3,900</w:t>
            </w:r>
          </w:p>
        </w:tc>
        <w:tc>
          <w:tcPr>
            <w:tcW w:w="815" w:type="dxa"/>
            <w:noWrap/>
            <w:hideMark/>
          </w:tcPr>
          <w:p w14:paraId="09F68EEC"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-1,500</w:t>
            </w:r>
          </w:p>
        </w:tc>
        <w:tc>
          <w:tcPr>
            <w:tcW w:w="815" w:type="dxa"/>
            <w:noWrap/>
            <w:hideMark/>
          </w:tcPr>
          <w:p w14:paraId="52D59FA4"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-2,200</w:t>
            </w:r>
          </w:p>
        </w:tc>
        <w:tc>
          <w:tcPr>
            <w:tcW w:w="815" w:type="dxa"/>
            <w:noWrap/>
            <w:hideMark/>
          </w:tcPr>
          <w:p w14:paraId="685A4159"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-550</w:t>
            </w:r>
          </w:p>
        </w:tc>
        <w:tc>
          <w:tcPr>
            <w:tcW w:w="728" w:type="dxa"/>
          </w:tcPr>
          <w:p w14:paraId="6989ED50"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-96</w:t>
            </w:r>
          </w:p>
        </w:tc>
        <w:tc>
          <w:tcPr>
            <w:tcW w:w="903" w:type="dxa"/>
            <w:noWrap/>
            <w:hideMark/>
          </w:tcPr>
          <w:p w14:paraId="6B620B2C"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-300</w:t>
            </w:r>
          </w:p>
        </w:tc>
      </w:tr>
      <w:tr w:rsidR="002715EF" w:rsidRPr="002715EF" w14:paraId="691A69DB" w14:textId="77777777" w:rsidTr="002715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04F0499" w14:textId="77777777" w:rsidR="002B415A" w:rsidRPr="002715EF" w:rsidRDefault="002B415A" w:rsidP="002715EF">
            <w:r w:rsidRPr="002715EF">
              <w:t>Scenario 5</w:t>
            </w:r>
          </w:p>
        </w:tc>
        <w:tc>
          <w:tcPr>
            <w:tcW w:w="993" w:type="dxa"/>
            <w:noWrap/>
            <w:hideMark/>
          </w:tcPr>
          <w:p w14:paraId="32702CA9"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-8,300</w:t>
            </w:r>
          </w:p>
        </w:tc>
        <w:tc>
          <w:tcPr>
            <w:tcW w:w="770" w:type="dxa"/>
            <w:noWrap/>
            <w:hideMark/>
          </w:tcPr>
          <w:p w14:paraId="146E2963"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-7,300</w:t>
            </w:r>
          </w:p>
        </w:tc>
        <w:tc>
          <w:tcPr>
            <w:tcW w:w="851" w:type="dxa"/>
            <w:noWrap/>
            <w:hideMark/>
          </w:tcPr>
          <w:p w14:paraId="61367435"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-5,600</w:t>
            </w:r>
          </w:p>
        </w:tc>
        <w:tc>
          <w:tcPr>
            <w:tcW w:w="788" w:type="dxa"/>
            <w:noWrap/>
            <w:hideMark/>
          </w:tcPr>
          <w:p w14:paraId="01150CC5"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-2,200</w:t>
            </w:r>
          </w:p>
        </w:tc>
        <w:tc>
          <w:tcPr>
            <w:tcW w:w="851" w:type="dxa"/>
            <w:noWrap/>
            <w:hideMark/>
          </w:tcPr>
          <w:p w14:paraId="1F978A2E"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w:t>
            </w:r>
            <w:r w:rsidR="00433F0B" w:rsidRPr="002715EF">
              <w:t>2,700</w:t>
            </w:r>
          </w:p>
        </w:tc>
        <w:tc>
          <w:tcPr>
            <w:tcW w:w="709" w:type="dxa"/>
            <w:noWrap/>
            <w:hideMark/>
          </w:tcPr>
          <w:p w14:paraId="139CCB6D"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-800</w:t>
            </w:r>
          </w:p>
        </w:tc>
        <w:tc>
          <w:tcPr>
            <w:tcW w:w="743" w:type="dxa"/>
          </w:tcPr>
          <w:p w14:paraId="0134C2DF"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-140</w:t>
            </w:r>
          </w:p>
        </w:tc>
        <w:tc>
          <w:tcPr>
            <w:tcW w:w="815" w:type="dxa"/>
            <w:noWrap/>
            <w:hideMark/>
          </w:tcPr>
          <w:p w14:paraId="60248B90"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-430</w:t>
            </w:r>
          </w:p>
        </w:tc>
        <w:tc>
          <w:tcPr>
            <w:tcW w:w="815" w:type="dxa"/>
            <w:noWrap/>
            <w:hideMark/>
          </w:tcPr>
          <w:p w14:paraId="750AEB64"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-3,000</w:t>
            </w:r>
          </w:p>
        </w:tc>
        <w:tc>
          <w:tcPr>
            <w:tcW w:w="815" w:type="dxa"/>
            <w:noWrap/>
            <w:hideMark/>
          </w:tcPr>
          <w:p w14:paraId="3EF54162"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-2,700</w:t>
            </w:r>
          </w:p>
        </w:tc>
        <w:tc>
          <w:tcPr>
            <w:tcW w:w="815" w:type="dxa"/>
            <w:noWrap/>
            <w:hideMark/>
          </w:tcPr>
          <w:p w14:paraId="61DA0F5C"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-2,100</w:t>
            </w:r>
          </w:p>
        </w:tc>
        <w:tc>
          <w:tcPr>
            <w:tcW w:w="815" w:type="dxa"/>
            <w:noWrap/>
            <w:hideMark/>
          </w:tcPr>
          <w:p w14:paraId="058C368F"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-810</w:t>
            </w:r>
          </w:p>
        </w:tc>
        <w:tc>
          <w:tcPr>
            <w:tcW w:w="815" w:type="dxa"/>
            <w:noWrap/>
            <w:hideMark/>
          </w:tcPr>
          <w:p w14:paraId="6F15C245"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-1,200</w:t>
            </w:r>
          </w:p>
        </w:tc>
        <w:tc>
          <w:tcPr>
            <w:tcW w:w="815" w:type="dxa"/>
            <w:noWrap/>
            <w:hideMark/>
          </w:tcPr>
          <w:p w14:paraId="30CAC55B"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-290</w:t>
            </w:r>
          </w:p>
        </w:tc>
        <w:tc>
          <w:tcPr>
            <w:tcW w:w="728" w:type="dxa"/>
          </w:tcPr>
          <w:p w14:paraId="6E020A4C"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-51</w:t>
            </w:r>
          </w:p>
        </w:tc>
        <w:tc>
          <w:tcPr>
            <w:tcW w:w="903" w:type="dxa"/>
            <w:noWrap/>
            <w:hideMark/>
          </w:tcPr>
          <w:p w14:paraId="5F52086F"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-160</w:t>
            </w:r>
          </w:p>
        </w:tc>
      </w:tr>
      <w:tr w:rsidR="002715EF" w:rsidRPr="002715EF" w14:paraId="62053AB4" w14:textId="77777777" w:rsidTr="002715EF">
        <w:trPr>
          <w:trHeight w:val="397"/>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55BE71A" w14:textId="77777777" w:rsidR="00D222D9" w:rsidRPr="002715EF" w:rsidRDefault="00D222D9" w:rsidP="002715EF">
            <w:r w:rsidRPr="002715EF">
              <w:lastRenderedPageBreak/>
              <w:t>Scenario 6</w:t>
            </w:r>
          </w:p>
        </w:tc>
        <w:tc>
          <w:tcPr>
            <w:tcW w:w="993" w:type="dxa"/>
            <w:noWrap/>
            <w:hideMark/>
          </w:tcPr>
          <w:p w14:paraId="21BDA38B"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-22,000</w:t>
            </w:r>
          </w:p>
        </w:tc>
        <w:tc>
          <w:tcPr>
            <w:tcW w:w="770" w:type="dxa"/>
            <w:noWrap/>
            <w:hideMark/>
          </w:tcPr>
          <w:p w14:paraId="0337CFD6"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-20,000</w:t>
            </w:r>
          </w:p>
        </w:tc>
        <w:tc>
          <w:tcPr>
            <w:tcW w:w="851" w:type="dxa"/>
            <w:noWrap/>
            <w:hideMark/>
          </w:tcPr>
          <w:p w14:paraId="0F2CEB09"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-15,000</w:t>
            </w:r>
          </w:p>
        </w:tc>
        <w:tc>
          <w:tcPr>
            <w:tcW w:w="788" w:type="dxa"/>
            <w:noWrap/>
            <w:hideMark/>
          </w:tcPr>
          <w:p w14:paraId="494164C7"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-5,900</w:t>
            </w:r>
          </w:p>
        </w:tc>
        <w:tc>
          <w:tcPr>
            <w:tcW w:w="851" w:type="dxa"/>
            <w:noWrap/>
            <w:hideMark/>
          </w:tcPr>
          <w:p w14:paraId="6CC41316"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-8,400</w:t>
            </w:r>
          </w:p>
        </w:tc>
        <w:tc>
          <w:tcPr>
            <w:tcW w:w="709" w:type="dxa"/>
            <w:noWrap/>
            <w:hideMark/>
          </w:tcPr>
          <w:p w14:paraId="391D294E"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-2,100</w:t>
            </w:r>
          </w:p>
        </w:tc>
        <w:tc>
          <w:tcPr>
            <w:tcW w:w="743" w:type="dxa"/>
          </w:tcPr>
          <w:p w14:paraId="2EC667FC"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-370</w:t>
            </w:r>
          </w:p>
        </w:tc>
        <w:tc>
          <w:tcPr>
            <w:tcW w:w="815" w:type="dxa"/>
            <w:noWrap/>
            <w:hideMark/>
          </w:tcPr>
          <w:p w14:paraId="0C8FEF70"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-1,200</w:t>
            </w:r>
          </w:p>
        </w:tc>
        <w:tc>
          <w:tcPr>
            <w:tcW w:w="815" w:type="dxa"/>
            <w:noWrap/>
            <w:hideMark/>
          </w:tcPr>
          <w:p w14:paraId="08E15AB5"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21,000</w:t>
            </w:r>
          </w:p>
        </w:tc>
        <w:tc>
          <w:tcPr>
            <w:tcW w:w="815" w:type="dxa"/>
            <w:noWrap/>
            <w:hideMark/>
          </w:tcPr>
          <w:p w14:paraId="48617C03"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19,000</w:t>
            </w:r>
          </w:p>
        </w:tc>
        <w:tc>
          <w:tcPr>
            <w:tcW w:w="815" w:type="dxa"/>
            <w:noWrap/>
            <w:hideMark/>
          </w:tcPr>
          <w:p w14:paraId="5EDF6A03"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14,000</w:t>
            </w:r>
          </w:p>
        </w:tc>
        <w:tc>
          <w:tcPr>
            <w:tcW w:w="815" w:type="dxa"/>
            <w:noWrap/>
            <w:hideMark/>
          </w:tcPr>
          <w:p w14:paraId="3BF2D6A6"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5,700</w:t>
            </w:r>
          </w:p>
        </w:tc>
        <w:tc>
          <w:tcPr>
            <w:tcW w:w="815" w:type="dxa"/>
            <w:noWrap/>
            <w:hideMark/>
          </w:tcPr>
          <w:p w14:paraId="6E2164CF"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8,200</w:t>
            </w:r>
          </w:p>
        </w:tc>
        <w:tc>
          <w:tcPr>
            <w:tcW w:w="815" w:type="dxa"/>
            <w:noWrap/>
            <w:hideMark/>
          </w:tcPr>
          <w:p w14:paraId="1225567C"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2,100</w:t>
            </w:r>
          </w:p>
        </w:tc>
        <w:tc>
          <w:tcPr>
            <w:tcW w:w="728" w:type="dxa"/>
          </w:tcPr>
          <w:p w14:paraId="3D737B22"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370</w:t>
            </w:r>
          </w:p>
        </w:tc>
        <w:tc>
          <w:tcPr>
            <w:tcW w:w="903" w:type="dxa"/>
            <w:noWrap/>
            <w:hideMark/>
          </w:tcPr>
          <w:p w14:paraId="1247A803"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1,100</w:t>
            </w:r>
          </w:p>
        </w:tc>
      </w:tr>
      <w:tr w:rsidR="002715EF" w:rsidRPr="002715EF" w14:paraId="19FE71E0" w14:textId="77777777" w:rsidTr="002715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DA9ED65" w14:textId="77777777" w:rsidR="00D222D9" w:rsidRPr="002715EF" w:rsidRDefault="00D222D9" w:rsidP="002715EF">
            <w:r w:rsidRPr="002715EF">
              <w:t>Scenario 7</w:t>
            </w:r>
          </w:p>
        </w:tc>
        <w:tc>
          <w:tcPr>
            <w:tcW w:w="993" w:type="dxa"/>
            <w:noWrap/>
            <w:hideMark/>
          </w:tcPr>
          <w:p w14:paraId="7B052C01"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-22,000</w:t>
            </w:r>
          </w:p>
        </w:tc>
        <w:tc>
          <w:tcPr>
            <w:tcW w:w="770" w:type="dxa"/>
            <w:noWrap/>
            <w:hideMark/>
          </w:tcPr>
          <w:p w14:paraId="10762D5C"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-20,000</w:t>
            </w:r>
          </w:p>
        </w:tc>
        <w:tc>
          <w:tcPr>
            <w:tcW w:w="851" w:type="dxa"/>
            <w:noWrap/>
            <w:hideMark/>
          </w:tcPr>
          <w:p w14:paraId="20B6D3CD"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-15,000</w:t>
            </w:r>
          </w:p>
        </w:tc>
        <w:tc>
          <w:tcPr>
            <w:tcW w:w="788" w:type="dxa"/>
            <w:noWrap/>
            <w:hideMark/>
          </w:tcPr>
          <w:p w14:paraId="20E82DDA"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-5,900</w:t>
            </w:r>
          </w:p>
        </w:tc>
        <w:tc>
          <w:tcPr>
            <w:tcW w:w="851" w:type="dxa"/>
            <w:noWrap/>
            <w:hideMark/>
          </w:tcPr>
          <w:p w14:paraId="0633B786"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-8,400</w:t>
            </w:r>
          </w:p>
        </w:tc>
        <w:tc>
          <w:tcPr>
            <w:tcW w:w="709" w:type="dxa"/>
            <w:noWrap/>
            <w:hideMark/>
          </w:tcPr>
          <w:p w14:paraId="0914536B"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-2,100</w:t>
            </w:r>
          </w:p>
        </w:tc>
        <w:tc>
          <w:tcPr>
            <w:tcW w:w="743" w:type="dxa"/>
          </w:tcPr>
          <w:p w14:paraId="6BD0EB23"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-370</w:t>
            </w:r>
          </w:p>
        </w:tc>
        <w:tc>
          <w:tcPr>
            <w:tcW w:w="815" w:type="dxa"/>
            <w:noWrap/>
            <w:hideMark/>
          </w:tcPr>
          <w:p w14:paraId="48D9918E"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-1,200</w:t>
            </w:r>
          </w:p>
        </w:tc>
        <w:tc>
          <w:tcPr>
            <w:tcW w:w="815" w:type="dxa"/>
            <w:noWrap/>
            <w:hideMark/>
          </w:tcPr>
          <w:p w14:paraId="5DB1C788"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10,000</w:t>
            </w:r>
          </w:p>
        </w:tc>
        <w:tc>
          <w:tcPr>
            <w:tcW w:w="815" w:type="dxa"/>
            <w:noWrap/>
            <w:hideMark/>
          </w:tcPr>
          <w:p w14:paraId="0840892C"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9,200</w:t>
            </w:r>
          </w:p>
        </w:tc>
        <w:tc>
          <w:tcPr>
            <w:tcW w:w="815" w:type="dxa"/>
            <w:noWrap/>
            <w:hideMark/>
          </w:tcPr>
          <w:p w14:paraId="2EDB0B84"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7,000</w:t>
            </w:r>
          </w:p>
        </w:tc>
        <w:tc>
          <w:tcPr>
            <w:tcW w:w="815" w:type="dxa"/>
            <w:noWrap/>
            <w:hideMark/>
          </w:tcPr>
          <w:p w14:paraId="24559914"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2,800</w:t>
            </w:r>
          </w:p>
        </w:tc>
        <w:tc>
          <w:tcPr>
            <w:tcW w:w="815" w:type="dxa"/>
            <w:noWrap/>
            <w:hideMark/>
          </w:tcPr>
          <w:p w14:paraId="02DE4ABE"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3,900</w:t>
            </w:r>
          </w:p>
        </w:tc>
        <w:tc>
          <w:tcPr>
            <w:tcW w:w="815" w:type="dxa"/>
            <w:noWrap/>
            <w:hideMark/>
          </w:tcPr>
          <w:p w14:paraId="24E61086"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1,000</w:t>
            </w:r>
          </w:p>
        </w:tc>
        <w:tc>
          <w:tcPr>
            <w:tcW w:w="728" w:type="dxa"/>
          </w:tcPr>
          <w:p w14:paraId="2914B2AF"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180</w:t>
            </w:r>
          </w:p>
        </w:tc>
        <w:tc>
          <w:tcPr>
            <w:tcW w:w="903" w:type="dxa"/>
            <w:noWrap/>
            <w:hideMark/>
          </w:tcPr>
          <w:p w14:paraId="1A17B16D"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540</w:t>
            </w:r>
          </w:p>
        </w:tc>
      </w:tr>
    </w:tbl>
    <w:p w14:paraId="6B4A9E3A" w14:textId="77777777" w:rsidR="00D222D9" w:rsidRPr="004B61AD" w:rsidRDefault="00D222D9" w:rsidP="00D222D9">
      <w:pPr>
        <w:spacing w:after="0"/>
        <w:rPr>
          <w:rStyle w:val="SubtleReference"/>
        </w:rPr>
      </w:pPr>
      <w:r w:rsidRPr="004B61AD">
        <w:rPr>
          <w:rStyle w:val="SubtleReference"/>
        </w:rPr>
        <w:t>a</w:t>
      </w:r>
      <w:r w:rsidR="00911A12" w:rsidRPr="004B61AD">
        <w:rPr>
          <w:rStyle w:val="SubtleReference"/>
        </w:rPr>
        <w:t xml:space="preserve"> </w:t>
      </w:r>
      <w:proofErr w:type="gramStart"/>
      <w:r w:rsidRPr="004B61AD">
        <w:rPr>
          <w:rStyle w:val="SubtleReference"/>
        </w:rPr>
        <w:t>As</w:t>
      </w:r>
      <w:proofErr w:type="gramEnd"/>
      <w:r w:rsidRPr="004B61AD">
        <w:rPr>
          <w:rStyle w:val="SubtleReference"/>
        </w:rPr>
        <w:t xml:space="preserve"> results for the Northern Territory were adjusted to account for the </w:t>
      </w:r>
      <w:r w:rsidR="001A0AF8" w:rsidRPr="004B61AD">
        <w:rPr>
          <w:rStyle w:val="SubtleReference"/>
        </w:rPr>
        <w:t>H</w:t>
      </w:r>
      <w:r w:rsidRPr="004B61AD">
        <w:rPr>
          <w:rStyle w:val="SubtleReference"/>
        </w:rPr>
        <w:t xml:space="preserve">ot </w:t>
      </w:r>
      <w:r w:rsidR="001A0AF8" w:rsidRPr="004B61AD">
        <w:rPr>
          <w:rStyle w:val="SubtleReference"/>
        </w:rPr>
        <w:t>Z</w:t>
      </w:r>
      <w:r w:rsidRPr="004B61AD">
        <w:rPr>
          <w:rStyle w:val="SubtleReference"/>
        </w:rPr>
        <w:t xml:space="preserve">one policy, these results may not be directly comparable to other </w:t>
      </w:r>
      <w:r w:rsidR="00C751E6" w:rsidRPr="004B61AD">
        <w:rPr>
          <w:rStyle w:val="SubtleReference"/>
        </w:rPr>
        <w:t xml:space="preserve">jurisdictions </w:t>
      </w:r>
      <w:r w:rsidRPr="004B61AD">
        <w:rPr>
          <w:rStyle w:val="SubtleReference"/>
        </w:rPr>
        <w:t>or nationwide results.</w:t>
      </w:r>
    </w:p>
    <w:p w14:paraId="28A4FD33" w14:textId="77777777" w:rsidR="00ED182C" w:rsidRPr="00310A11" w:rsidRDefault="00ED182C" w:rsidP="00310A11"/>
    <w:p w14:paraId="5C92572E" w14:textId="77777777" w:rsidR="00850E2D" w:rsidRDefault="00850E2D" w:rsidP="00CC14E3">
      <w:pPr>
        <w:sectPr w:rsidR="00850E2D" w:rsidSect="00850E2D">
          <w:headerReference w:type="default" r:id="rId20"/>
          <w:pgSz w:w="16838" w:h="11906" w:orient="landscape"/>
          <w:pgMar w:top="1440" w:right="1440" w:bottom="1440" w:left="1440" w:header="708" w:footer="708" w:gutter="0"/>
          <w:cols w:space="708"/>
          <w:docGrid w:linePitch="360"/>
        </w:sectPr>
      </w:pPr>
    </w:p>
    <w:p w14:paraId="04D0C34D" w14:textId="77777777" w:rsidR="00ED182C" w:rsidRPr="004866BE" w:rsidRDefault="00364184" w:rsidP="002715EF">
      <w:pPr>
        <w:pStyle w:val="Caption"/>
      </w:pPr>
      <w:r w:rsidRPr="004866BE">
        <w:lastRenderedPageBreak/>
        <w:t xml:space="preserve">Table </w:t>
      </w:r>
      <w:r w:rsidR="00E271C7" w:rsidRPr="004866BE">
        <w:t>8</w:t>
      </w:r>
      <w:r w:rsidRPr="004866BE">
        <w:t xml:space="preserve"> – Health outcomes by </w:t>
      </w:r>
      <w:r w:rsidR="005C129C" w:rsidRPr="005C129C">
        <w:t xml:space="preserve">jurisdiction </w:t>
      </w:r>
      <w:r w:rsidR="000C3B23" w:rsidRPr="004866BE">
        <w:t xml:space="preserve">vs comparator </w:t>
      </w:r>
      <w:r w:rsidR="6D8059B2" w:rsidRPr="004866BE">
        <w:t>shown in Table 4</w:t>
      </w:r>
      <w:r w:rsidR="000C3B23" w:rsidRPr="004866BE">
        <w:t>. The modelled cohort is those individuals due to receive a screening invitation in 2020 or 2021.</w:t>
      </w:r>
      <w:r w:rsidRPr="004866BE">
        <w:t xml:space="preserve"> All values are shown to two significant figures.</w:t>
      </w:r>
      <w:r w:rsidR="00ED182C" w:rsidRPr="004866BE">
        <w:t xml:space="preserve"> </w:t>
      </w:r>
    </w:p>
    <w:tbl>
      <w:tblPr>
        <w:tblStyle w:val="GridTable4-Accent1"/>
        <w:tblW w:w="0" w:type="auto"/>
        <w:tblLook w:val="04A0" w:firstRow="1" w:lastRow="0" w:firstColumn="1" w:lastColumn="0" w:noHBand="0" w:noVBand="1"/>
      </w:tblPr>
      <w:tblGrid>
        <w:gridCol w:w="641"/>
        <w:gridCol w:w="957"/>
        <w:gridCol w:w="543"/>
        <w:gridCol w:w="725"/>
        <w:gridCol w:w="873"/>
        <w:gridCol w:w="973"/>
        <w:gridCol w:w="627"/>
        <w:gridCol w:w="592"/>
        <w:gridCol w:w="1363"/>
        <w:gridCol w:w="958"/>
        <w:gridCol w:w="543"/>
        <w:gridCol w:w="725"/>
        <w:gridCol w:w="873"/>
        <w:gridCol w:w="973"/>
        <w:gridCol w:w="627"/>
        <w:gridCol w:w="592"/>
        <w:gridCol w:w="1363"/>
      </w:tblGrid>
      <w:tr w:rsidR="00D222D9" w:rsidRPr="002715EF" w14:paraId="6FBBAF56" w14:textId="77777777" w:rsidTr="002715EF">
        <w:trPr>
          <w:cnfStyle w:val="100000000000" w:firstRow="1" w:lastRow="0" w:firstColumn="0" w:lastColumn="0" w:oddVBand="0" w:evenVBand="0" w:oddHBand="0" w:evenHBand="0" w:firstRowFirstColumn="0" w:firstRowLastColumn="0" w:lastRowFirstColumn="0" w:lastRowLastColumn="0"/>
          <w:trHeight w:val="446"/>
          <w:tblHeader/>
        </w:trPr>
        <w:tc>
          <w:tcPr>
            <w:cnfStyle w:val="001000000000" w:firstRow="0" w:lastRow="0" w:firstColumn="1" w:lastColumn="0" w:oddVBand="0" w:evenVBand="0" w:oddHBand="0" w:evenHBand="0" w:firstRowFirstColumn="0" w:firstRowLastColumn="0" w:lastRowFirstColumn="0" w:lastRowLastColumn="0"/>
            <w:tcW w:w="0" w:type="auto"/>
            <w:noWrap/>
          </w:tcPr>
          <w:p w14:paraId="57E104B6" w14:textId="77777777" w:rsidR="00D222D9" w:rsidRPr="002715EF" w:rsidRDefault="00D222D9" w:rsidP="002715EF"/>
        </w:tc>
        <w:tc>
          <w:tcPr>
            <w:tcW w:w="0" w:type="auto"/>
            <w:gridSpan w:val="8"/>
            <w:noWrap/>
          </w:tcPr>
          <w:p w14:paraId="6E7EAC9B" w14:textId="77777777" w:rsidR="00D222D9" w:rsidRPr="002715EF" w:rsidRDefault="00D222D9" w:rsidP="002715EF">
            <w:pPr>
              <w:cnfStyle w:val="100000000000" w:firstRow="1" w:lastRow="0" w:firstColumn="0" w:lastColumn="0" w:oddVBand="0" w:evenVBand="0" w:oddHBand="0" w:evenHBand="0" w:firstRowFirstColumn="0" w:firstRowLastColumn="0" w:lastRowFirstColumn="0" w:lastRowLastColumn="0"/>
            </w:pPr>
            <w:r w:rsidRPr="002715EF">
              <w:t>CRC cases missed or delayed, 2020</w:t>
            </w:r>
          </w:p>
        </w:tc>
        <w:tc>
          <w:tcPr>
            <w:tcW w:w="0" w:type="auto"/>
            <w:gridSpan w:val="8"/>
            <w:noWrap/>
          </w:tcPr>
          <w:p w14:paraId="0CB0A522" w14:textId="77777777" w:rsidR="00D222D9" w:rsidRPr="002715EF" w:rsidRDefault="00D222D9" w:rsidP="002715EF">
            <w:pPr>
              <w:cnfStyle w:val="100000000000" w:firstRow="1" w:lastRow="0" w:firstColumn="0" w:lastColumn="0" w:oddVBand="0" w:evenVBand="0" w:oddHBand="0" w:evenHBand="0" w:firstRowFirstColumn="0" w:firstRowLastColumn="0" w:lastRowFirstColumn="0" w:lastRowLastColumn="0"/>
            </w:pPr>
            <w:r w:rsidRPr="002715EF">
              <w:t>CRC cases missed or delayed, 2021</w:t>
            </w:r>
          </w:p>
        </w:tc>
      </w:tr>
      <w:tr w:rsidR="002715EF" w:rsidRPr="002715EF" w14:paraId="3097631B" w14:textId="77777777" w:rsidTr="002715EF">
        <w:trPr>
          <w:cnfStyle w:val="100000000000" w:firstRow="1" w:lastRow="0" w:firstColumn="0" w:lastColumn="0" w:oddVBand="0" w:evenVBand="0" w:oddHBand="0" w:evenHBand="0" w:firstRowFirstColumn="0" w:firstRowLastColumn="0" w:lastRowFirstColumn="0" w:lastRowLastColumn="0"/>
          <w:trHeight w:val="2279"/>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E4279F8" w14:textId="77777777" w:rsidR="00D222D9" w:rsidRPr="002715EF" w:rsidRDefault="00D222D9" w:rsidP="002715EF">
            <w:pPr>
              <w:pStyle w:val="TableofAuthorities"/>
            </w:pPr>
          </w:p>
        </w:tc>
        <w:tc>
          <w:tcPr>
            <w:tcW w:w="0" w:type="auto"/>
            <w:noWrap/>
            <w:hideMark/>
          </w:tcPr>
          <w:p w14:paraId="274DDF29" w14:textId="77777777" w:rsidR="00D222D9" w:rsidRPr="002715EF" w:rsidRDefault="00D43F1B"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New South Wales</w:t>
            </w:r>
          </w:p>
        </w:tc>
        <w:tc>
          <w:tcPr>
            <w:tcW w:w="0" w:type="auto"/>
            <w:noWrap/>
            <w:hideMark/>
          </w:tcPr>
          <w:p w14:paraId="7176E6FB"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Victoria</w:t>
            </w:r>
          </w:p>
        </w:tc>
        <w:tc>
          <w:tcPr>
            <w:tcW w:w="0" w:type="auto"/>
            <w:noWrap/>
            <w:hideMark/>
          </w:tcPr>
          <w:p w14:paraId="79882923"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Queensland</w:t>
            </w:r>
          </w:p>
        </w:tc>
        <w:tc>
          <w:tcPr>
            <w:tcW w:w="0" w:type="auto"/>
            <w:noWrap/>
            <w:hideMark/>
          </w:tcPr>
          <w:p w14:paraId="779F0A97"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South Australia</w:t>
            </w:r>
          </w:p>
        </w:tc>
        <w:tc>
          <w:tcPr>
            <w:tcW w:w="0" w:type="auto"/>
            <w:noWrap/>
            <w:hideMark/>
          </w:tcPr>
          <w:p w14:paraId="2B662BD5"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Western Australia</w:t>
            </w:r>
          </w:p>
        </w:tc>
        <w:tc>
          <w:tcPr>
            <w:tcW w:w="0" w:type="auto"/>
            <w:noWrap/>
            <w:hideMark/>
          </w:tcPr>
          <w:p w14:paraId="09AC504A"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Tasmania</w:t>
            </w:r>
          </w:p>
        </w:tc>
        <w:tc>
          <w:tcPr>
            <w:tcW w:w="0" w:type="auto"/>
          </w:tcPr>
          <w:p w14:paraId="3290EC6B"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Northern Territory a</w:t>
            </w:r>
          </w:p>
        </w:tc>
        <w:tc>
          <w:tcPr>
            <w:tcW w:w="0" w:type="auto"/>
            <w:noWrap/>
            <w:hideMark/>
          </w:tcPr>
          <w:p w14:paraId="7CCA8DEC" w14:textId="77777777" w:rsidR="00D222D9" w:rsidRPr="002715EF" w:rsidRDefault="00D43F1B"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Australian Capital Territory</w:t>
            </w:r>
          </w:p>
        </w:tc>
        <w:tc>
          <w:tcPr>
            <w:tcW w:w="0" w:type="auto"/>
            <w:noWrap/>
            <w:hideMark/>
          </w:tcPr>
          <w:p w14:paraId="01B39AC3" w14:textId="77777777" w:rsidR="00D222D9" w:rsidRPr="002715EF" w:rsidRDefault="00D43F1B"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New South Wales</w:t>
            </w:r>
          </w:p>
        </w:tc>
        <w:tc>
          <w:tcPr>
            <w:tcW w:w="0" w:type="auto"/>
            <w:noWrap/>
            <w:hideMark/>
          </w:tcPr>
          <w:p w14:paraId="6244E069"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Victoria</w:t>
            </w:r>
          </w:p>
        </w:tc>
        <w:tc>
          <w:tcPr>
            <w:tcW w:w="0" w:type="auto"/>
            <w:noWrap/>
            <w:hideMark/>
          </w:tcPr>
          <w:p w14:paraId="0762177C"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Queensland</w:t>
            </w:r>
          </w:p>
        </w:tc>
        <w:tc>
          <w:tcPr>
            <w:tcW w:w="0" w:type="auto"/>
            <w:noWrap/>
            <w:hideMark/>
          </w:tcPr>
          <w:p w14:paraId="592B9369"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South Australia</w:t>
            </w:r>
          </w:p>
        </w:tc>
        <w:tc>
          <w:tcPr>
            <w:tcW w:w="0" w:type="auto"/>
            <w:noWrap/>
            <w:hideMark/>
          </w:tcPr>
          <w:p w14:paraId="77C31927"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Western Australia</w:t>
            </w:r>
          </w:p>
        </w:tc>
        <w:tc>
          <w:tcPr>
            <w:tcW w:w="0" w:type="auto"/>
            <w:noWrap/>
            <w:hideMark/>
          </w:tcPr>
          <w:p w14:paraId="12A8F098"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Tasmania</w:t>
            </w:r>
          </w:p>
        </w:tc>
        <w:tc>
          <w:tcPr>
            <w:tcW w:w="0" w:type="auto"/>
          </w:tcPr>
          <w:p w14:paraId="7622C1C5"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Northern Territory a</w:t>
            </w:r>
          </w:p>
        </w:tc>
        <w:tc>
          <w:tcPr>
            <w:tcW w:w="0" w:type="auto"/>
            <w:noWrap/>
            <w:hideMark/>
          </w:tcPr>
          <w:p w14:paraId="2E709881" w14:textId="77777777" w:rsidR="00D222D9" w:rsidRPr="002715EF" w:rsidRDefault="00D43F1B"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Australian Capital Territory</w:t>
            </w:r>
          </w:p>
        </w:tc>
      </w:tr>
      <w:tr w:rsidR="002715EF" w:rsidRPr="002715EF" w14:paraId="565795A4" w14:textId="77777777" w:rsidTr="002715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noWrap/>
            <w:hideMark/>
          </w:tcPr>
          <w:p w14:paraId="3AC1DF45" w14:textId="77777777" w:rsidR="00D222D9" w:rsidRPr="002715EF" w:rsidRDefault="00D222D9" w:rsidP="002715EF">
            <w:r w:rsidRPr="002715EF">
              <w:t>Scenario 1</w:t>
            </w:r>
          </w:p>
        </w:tc>
        <w:tc>
          <w:tcPr>
            <w:tcW w:w="0" w:type="auto"/>
            <w:noWrap/>
            <w:hideMark/>
          </w:tcPr>
          <w:p w14:paraId="3A9F3973"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220</w:t>
            </w:r>
          </w:p>
        </w:tc>
        <w:tc>
          <w:tcPr>
            <w:tcW w:w="0" w:type="auto"/>
            <w:noWrap/>
            <w:hideMark/>
          </w:tcPr>
          <w:p w14:paraId="096BD363"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200</w:t>
            </w:r>
          </w:p>
        </w:tc>
        <w:tc>
          <w:tcPr>
            <w:tcW w:w="0" w:type="auto"/>
            <w:noWrap/>
            <w:hideMark/>
          </w:tcPr>
          <w:p w14:paraId="089931F1"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150</w:t>
            </w:r>
          </w:p>
        </w:tc>
        <w:tc>
          <w:tcPr>
            <w:tcW w:w="0" w:type="auto"/>
            <w:noWrap/>
            <w:hideMark/>
          </w:tcPr>
          <w:p w14:paraId="781DAE22"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60</w:t>
            </w:r>
          </w:p>
        </w:tc>
        <w:tc>
          <w:tcPr>
            <w:tcW w:w="0" w:type="auto"/>
            <w:noWrap/>
            <w:hideMark/>
          </w:tcPr>
          <w:p w14:paraId="25AE4869"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84</w:t>
            </w:r>
          </w:p>
        </w:tc>
        <w:tc>
          <w:tcPr>
            <w:tcW w:w="0" w:type="auto"/>
            <w:noWrap/>
            <w:hideMark/>
          </w:tcPr>
          <w:p w14:paraId="2A1CB9F0"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22</w:t>
            </w:r>
          </w:p>
        </w:tc>
        <w:tc>
          <w:tcPr>
            <w:tcW w:w="0" w:type="auto"/>
          </w:tcPr>
          <w:p w14:paraId="2B160534"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7</w:t>
            </w:r>
          </w:p>
        </w:tc>
        <w:tc>
          <w:tcPr>
            <w:tcW w:w="0" w:type="auto"/>
            <w:noWrap/>
            <w:hideMark/>
          </w:tcPr>
          <w:p w14:paraId="06D26DA4"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11</w:t>
            </w:r>
          </w:p>
        </w:tc>
        <w:tc>
          <w:tcPr>
            <w:tcW w:w="0" w:type="auto"/>
            <w:noWrap/>
            <w:hideMark/>
          </w:tcPr>
          <w:p w14:paraId="51C4E692"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0</w:t>
            </w:r>
          </w:p>
        </w:tc>
        <w:tc>
          <w:tcPr>
            <w:tcW w:w="0" w:type="auto"/>
            <w:noWrap/>
            <w:hideMark/>
          </w:tcPr>
          <w:p w14:paraId="09CE5F83"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0</w:t>
            </w:r>
          </w:p>
        </w:tc>
        <w:tc>
          <w:tcPr>
            <w:tcW w:w="0" w:type="auto"/>
            <w:noWrap/>
            <w:hideMark/>
          </w:tcPr>
          <w:p w14:paraId="4D32CA5A"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0</w:t>
            </w:r>
          </w:p>
        </w:tc>
        <w:tc>
          <w:tcPr>
            <w:tcW w:w="0" w:type="auto"/>
            <w:noWrap/>
            <w:hideMark/>
          </w:tcPr>
          <w:p w14:paraId="3089CD84"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0</w:t>
            </w:r>
          </w:p>
        </w:tc>
        <w:tc>
          <w:tcPr>
            <w:tcW w:w="0" w:type="auto"/>
            <w:noWrap/>
            <w:hideMark/>
          </w:tcPr>
          <w:p w14:paraId="319E0D3B"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0</w:t>
            </w:r>
          </w:p>
        </w:tc>
        <w:tc>
          <w:tcPr>
            <w:tcW w:w="0" w:type="auto"/>
            <w:noWrap/>
            <w:hideMark/>
          </w:tcPr>
          <w:p w14:paraId="176E66D4"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0</w:t>
            </w:r>
          </w:p>
        </w:tc>
        <w:tc>
          <w:tcPr>
            <w:tcW w:w="0" w:type="auto"/>
          </w:tcPr>
          <w:p w14:paraId="016B970E"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0</w:t>
            </w:r>
          </w:p>
        </w:tc>
        <w:tc>
          <w:tcPr>
            <w:tcW w:w="0" w:type="auto"/>
            <w:noWrap/>
            <w:hideMark/>
          </w:tcPr>
          <w:p w14:paraId="178EA4DE"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0</w:t>
            </w:r>
          </w:p>
        </w:tc>
      </w:tr>
      <w:tr w:rsidR="002715EF" w:rsidRPr="002715EF" w14:paraId="1240CA06" w14:textId="77777777" w:rsidTr="002715EF">
        <w:trPr>
          <w:trHeight w:val="397"/>
        </w:trPr>
        <w:tc>
          <w:tcPr>
            <w:cnfStyle w:val="001000000000" w:firstRow="0" w:lastRow="0" w:firstColumn="1" w:lastColumn="0" w:oddVBand="0" w:evenVBand="0" w:oddHBand="0" w:evenHBand="0" w:firstRowFirstColumn="0" w:firstRowLastColumn="0" w:lastRowFirstColumn="0" w:lastRowLastColumn="0"/>
            <w:tcW w:w="0" w:type="auto"/>
            <w:noWrap/>
            <w:hideMark/>
          </w:tcPr>
          <w:p w14:paraId="7914945F" w14:textId="77777777" w:rsidR="00D222D9" w:rsidRPr="002715EF" w:rsidRDefault="00D222D9" w:rsidP="002715EF">
            <w:r w:rsidRPr="002715EF">
              <w:t>Scenario 2</w:t>
            </w:r>
          </w:p>
        </w:tc>
        <w:tc>
          <w:tcPr>
            <w:tcW w:w="0" w:type="auto"/>
            <w:noWrap/>
            <w:hideMark/>
          </w:tcPr>
          <w:p w14:paraId="258CF64D"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450</w:t>
            </w:r>
          </w:p>
        </w:tc>
        <w:tc>
          <w:tcPr>
            <w:tcW w:w="0" w:type="auto"/>
            <w:noWrap/>
            <w:hideMark/>
          </w:tcPr>
          <w:p w14:paraId="2BD1B021"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400</w:t>
            </w:r>
          </w:p>
        </w:tc>
        <w:tc>
          <w:tcPr>
            <w:tcW w:w="0" w:type="auto"/>
            <w:noWrap/>
            <w:hideMark/>
          </w:tcPr>
          <w:p w14:paraId="265EB8C2"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300</w:t>
            </w:r>
          </w:p>
        </w:tc>
        <w:tc>
          <w:tcPr>
            <w:tcW w:w="0" w:type="auto"/>
            <w:noWrap/>
            <w:hideMark/>
          </w:tcPr>
          <w:p w14:paraId="1AE2AAFE"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120</w:t>
            </w:r>
          </w:p>
        </w:tc>
        <w:tc>
          <w:tcPr>
            <w:tcW w:w="0" w:type="auto"/>
            <w:noWrap/>
            <w:hideMark/>
          </w:tcPr>
          <w:p w14:paraId="04C694D0"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170</w:t>
            </w:r>
          </w:p>
        </w:tc>
        <w:tc>
          <w:tcPr>
            <w:tcW w:w="0" w:type="auto"/>
            <w:noWrap/>
            <w:hideMark/>
          </w:tcPr>
          <w:p w14:paraId="5147AE6D"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45</w:t>
            </w:r>
          </w:p>
        </w:tc>
        <w:tc>
          <w:tcPr>
            <w:tcW w:w="0" w:type="auto"/>
          </w:tcPr>
          <w:p w14:paraId="45FB74A6"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7</w:t>
            </w:r>
          </w:p>
        </w:tc>
        <w:tc>
          <w:tcPr>
            <w:tcW w:w="0" w:type="auto"/>
            <w:noWrap/>
            <w:hideMark/>
          </w:tcPr>
          <w:p w14:paraId="5AB6D11B"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23</w:t>
            </w:r>
          </w:p>
        </w:tc>
        <w:tc>
          <w:tcPr>
            <w:tcW w:w="0" w:type="auto"/>
            <w:noWrap/>
            <w:hideMark/>
          </w:tcPr>
          <w:p w14:paraId="3280D99E"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0</w:t>
            </w:r>
          </w:p>
        </w:tc>
        <w:tc>
          <w:tcPr>
            <w:tcW w:w="0" w:type="auto"/>
            <w:noWrap/>
            <w:hideMark/>
          </w:tcPr>
          <w:p w14:paraId="14294FF4"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0</w:t>
            </w:r>
          </w:p>
        </w:tc>
        <w:tc>
          <w:tcPr>
            <w:tcW w:w="0" w:type="auto"/>
            <w:noWrap/>
            <w:hideMark/>
          </w:tcPr>
          <w:p w14:paraId="0FECF70B"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0</w:t>
            </w:r>
          </w:p>
        </w:tc>
        <w:tc>
          <w:tcPr>
            <w:tcW w:w="0" w:type="auto"/>
            <w:noWrap/>
            <w:hideMark/>
          </w:tcPr>
          <w:p w14:paraId="10CE2BB4"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0</w:t>
            </w:r>
          </w:p>
        </w:tc>
        <w:tc>
          <w:tcPr>
            <w:tcW w:w="0" w:type="auto"/>
            <w:noWrap/>
            <w:hideMark/>
          </w:tcPr>
          <w:p w14:paraId="506F4F8A"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0</w:t>
            </w:r>
          </w:p>
        </w:tc>
        <w:tc>
          <w:tcPr>
            <w:tcW w:w="0" w:type="auto"/>
            <w:noWrap/>
            <w:hideMark/>
          </w:tcPr>
          <w:p w14:paraId="594B2EFB"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0</w:t>
            </w:r>
          </w:p>
        </w:tc>
        <w:tc>
          <w:tcPr>
            <w:tcW w:w="0" w:type="auto"/>
          </w:tcPr>
          <w:p w14:paraId="345648D2"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0</w:t>
            </w:r>
          </w:p>
        </w:tc>
        <w:tc>
          <w:tcPr>
            <w:tcW w:w="0" w:type="auto"/>
            <w:noWrap/>
            <w:hideMark/>
          </w:tcPr>
          <w:p w14:paraId="6D3480DF"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0</w:t>
            </w:r>
          </w:p>
        </w:tc>
      </w:tr>
      <w:tr w:rsidR="002715EF" w:rsidRPr="002715EF" w14:paraId="2E390194" w14:textId="77777777" w:rsidTr="002715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noWrap/>
            <w:hideMark/>
          </w:tcPr>
          <w:p w14:paraId="5A9307F1" w14:textId="77777777" w:rsidR="00D222D9" w:rsidRPr="002715EF" w:rsidRDefault="00D222D9" w:rsidP="002715EF">
            <w:r w:rsidRPr="002715EF">
              <w:t>Scenario 3</w:t>
            </w:r>
          </w:p>
        </w:tc>
        <w:tc>
          <w:tcPr>
            <w:tcW w:w="0" w:type="auto"/>
            <w:noWrap/>
            <w:hideMark/>
          </w:tcPr>
          <w:p w14:paraId="55A4987E"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910</w:t>
            </w:r>
          </w:p>
        </w:tc>
        <w:tc>
          <w:tcPr>
            <w:tcW w:w="0" w:type="auto"/>
            <w:noWrap/>
            <w:hideMark/>
          </w:tcPr>
          <w:p w14:paraId="267B01DA"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800</w:t>
            </w:r>
          </w:p>
        </w:tc>
        <w:tc>
          <w:tcPr>
            <w:tcW w:w="0" w:type="auto"/>
            <w:noWrap/>
            <w:hideMark/>
          </w:tcPr>
          <w:p w14:paraId="5802C722"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610</w:t>
            </w:r>
          </w:p>
        </w:tc>
        <w:tc>
          <w:tcPr>
            <w:tcW w:w="0" w:type="auto"/>
            <w:noWrap/>
            <w:hideMark/>
          </w:tcPr>
          <w:p w14:paraId="7D9E535E"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250</w:t>
            </w:r>
          </w:p>
        </w:tc>
        <w:tc>
          <w:tcPr>
            <w:tcW w:w="0" w:type="auto"/>
            <w:noWrap/>
            <w:hideMark/>
          </w:tcPr>
          <w:p w14:paraId="3DF12C31"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340</w:t>
            </w:r>
          </w:p>
        </w:tc>
        <w:tc>
          <w:tcPr>
            <w:tcW w:w="0" w:type="auto"/>
            <w:noWrap/>
            <w:hideMark/>
          </w:tcPr>
          <w:p w14:paraId="68393521"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90</w:t>
            </w:r>
          </w:p>
        </w:tc>
        <w:tc>
          <w:tcPr>
            <w:tcW w:w="0" w:type="auto"/>
          </w:tcPr>
          <w:p w14:paraId="75B83150"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14</w:t>
            </w:r>
          </w:p>
        </w:tc>
        <w:tc>
          <w:tcPr>
            <w:tcW w:w="0" w:type="auto"/>
            <w:noWrap/>
            <w:hideMark/>
          </w:tcPr>
          <w:p w14:paraId="3648D3B5"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46</w:t>
            </w:r>
          </w:p>
        </w:tc>
        <w:tc>
          <w:tcPr>
            <w:tcW w:w="0" w:type="auto"/>
            <w:noWrap/>
            <w:hideMark/>
          </w:tcPr>
          <w:p w14:paraId="22EE9428"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440</w:t>
            </w:r>
          </w:p>
        </w:tc>
        <w:tc>
          <w:tcPr>
            <w:tcW w:w="0" w:type="auto"/>
            <w:noWrap/>
            <w:hideMark/>
          </w:tcPr>
          <w:p w14:paraId="35B68E5C"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390</w:t>
            </w:r>
          </w:p>
        </w:tc>
        <w:tc>
          <w:tcPr>
            <w:tcW w:w="0" w:type="auto"/>
            <w:noWrap/>
            <w:hideMark/>
          </w:tcPr>
          <w:p w14:paraId="3780325E"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300</w:t>
            </w:r>
          </w:p>
        </w:tc>
        <w:tc>
          <w:tcPr>
            <w:tcW w:w="0" w:type="auto"/>
            <w:noWrap/>
            <w:hideMark/>
          </w:tcPr>
          <w:p w14:paraId="4C191CE9"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120</w:t>
            </w:r>
          </w:p>
        </w:tc>
        <w:tc>
          <w:tcPr>
            <w:tcW w:w="0" w:type="auto"/>
            <w:noWrap/>
            <w:hideMark/>
          </w:tcPr>
          <w:p w14:paraId="7A76EB89"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170</w:t>
            </w:r>
          </w:p>
        </w:tc>
        <w:tc>
          <w:tcPr>
            <w:tcW w:w="0" w:type="auto"/>
            <w:noWrap/>
            <w:hideMark/>
          </w:tcPr>
          <w:p w14:paraId="3F36DF41"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43</w:t>
            </w:r>
          </w:p>
        </w:tc>
        <w:tc>
          <w:tcPr>
            <w:tcW w:w="0" w:type="auto"/>
          </w:tcPr>
          <w:p w14:paraId="371F9D73"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7</w:t>
            </w:r>
          </w:p>
        </w:tc>
        <w:tc>
          <w:tcPr>
            <w:tcW w:w="0" w:type="auto"/>
            <w:noWrap/>
            <w:hideMark/>
          </w:tcPr>
          <w:p w14:paraId="52E820A3"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22</w:t>
            </w:r>
          </w:p>
        </w:tc>
      </w:tr>
      <w:tr w:rsidR="002715EF" w:rsidRPr="002715EF" w14:paraId="0EE5EBB2" w14:textId="77777777" w:rsidTr="002715EF">
        <w:trPr>
          <w:trHeight w:val="397"/>
        </w:trPr>
        <w:tc>
          <w:tcPr>
            <w:cnfStyle w:val="001000000000" w:firstRow="0" w:lastRow="0" w:firstColumn="1" w:lastColumn="0" w:oddVBand="0" w:evenVBand="0" w:oddHBand="0" w:evenHBand="0" w:firstRowFirstColumn="0" w:firstRowLastColumn="0" w:lastRowFirstColumn="0" w:lastRowLastColumn="0"/>
            <w:tcW w:w="0" w:type="auto"/>
            <w:noWrap/>
            <w:hideMark/>
          </w:tcPr>
          <w:p w14:paraId="5BFE67FA" w14:textId="77777777" w:rsidR="00D222D9" w:rsidRPr="002715EF" w:rsidRDefault="00D222D9" w:rsidP="002715EF">
            <w:r w:rsidRPr="002715EF">
              <w:t>Scenario 4</w:t>
            </w:r>
          </w:p>
        </w:tc>
        <w:tc>
          <w:tcPr>
            <w:tcW w:w="0" w:type="auto"/>
            <w:noWrap/>
            <w:hideMark/>
          </w:tcPr>
          <w:p w14:paraId="49E7BA29"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220</w:t>
            </w:r>
          </w:p>
        </w:tc>
        <w:tc>
          <w:tcPr>
            <w:tcW w:w="0" w:type="auto"/>
            <w:noWrap/>
            <w:hideMark/>
          </w:tcPr>
          <w:p w14:paraId="59DD96A7"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200</w:t>
            </w:r>
          </w:p>
        </w:tc>
        <w:tc>
          <w:tcPr>
            <w:tcW w:w="0" w:type="auto"/>
            <w:noWrap/>
            <w:hideMark/>
          </w:tcPr>
          <w:p w14:paraId="24E963C1"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150</w:t>
            </w:r>
          </w:p>
        </w:tc>
        <w:tc>
          <w:tcPr>
            <w:tcW w:w="0" w:type="auto"/>
            <w:noWrap/>
            <w:hideMark/>
          </w:tcPr>
          <w:p w14:paraId="28A4A9D9"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60</w:t>
            </w:r>
          </w:p>
        </w:tc>
        <w:tc>
          <w:tcPr>
            <w:tcW w:w="0" w:type="auto"/>
            <w:noWrap/>
            <w:hideMark/>
          </w:tcPr>
          <w:p w14:paraId="5014AF4A"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84</w:t>
            </w:r>
          </w:p>
        </w:tc>
        <w:tc>
          <w:tcPr>
            <w:tcW w:w="0" w:type="auto"/>
            <w:noWrap/>
            <w:hideMark/>
          </w:tcPr>
          <w:p w14:paraId="44959255"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22</w:t>
            </w:r>
          </w:p>
        </w:tc>
        <w:tc>
          <w:tcPr>
            <w:tcW w:w="0" w:type="auto"/>
          </w:tcPr>
          <w:p w14:paraId="391BA8A9"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4</w:t>
            </w:r>
          </w:p>
        </w:tc>
        <w:tc>
          <w:tcPr>
            <w:tcW w:w="0" w:type="auto"/>
            <w:noWrap/>
            <w:hideMark/>
          </w:tcPr>
          <w:p w14:paraId="752236CE"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11</w:t>
            </w:r>
          </w:p>
        </w:tc>
        <w:tc>
          <w:tcPr>
            <w:tcW w:w="0" w:type="auto"/>
            <w:noWrap/>
            <w:hideMark/>
          </w:tcPr>
          <w:p w14:paraId="3C9D6DC1"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210</w:t>
            </w:r>
          </w:p>
        </w:tc>
        <w:tc>
          <w:tcPr>
            <w:tcW w:w="0" w:type="auto"/>
            <w:noWrap/>
            <w:hideMark/>
          </w:tcPr>
          <w:p w14:paraId="7E8854C2"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190</w:t>
            </w:r>
          </w:p>
        </w:tc>
        <w:tc>
          <w:tcPr>
            <w:tcW w:w="0" w:type="auto"/>
            <w:noWrap/>
            <w:hideMark/>
          </w:tcPr>
          <w:p w14:paraId="4F2899E6"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140</w:t>
            </w:r>
          </w:p>
        </w:tc>
        <w:tc>
          <w:tcPr>
            <w:tcW w:w="0" w:type="auto"/>
            <w:noWrap/>
            <w:hideMark/>
          </w:tcPr>
          <w:p w14:paraId="63A4FD78"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57</w:t>
            </w:r>
          </w:p>
        </w:tc>
        <w:tc>
          <w:tcPr>
            <w:tcW w:w="0" w:type="auto"/>
            <w:noWrap/>
            <w:hideMark/>
          </w:tcPr>
          <w:p w14:paraId="4B9CDA88"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80</w:t>
            </w:r>
          </w:p>
        </w:tc>
        <w:tc>
          <w:tcPr>
            <w:tcW w:w="0" w:type="auto"/>
            <w:noWrap/>
            <w:hideMark/>
          </w:tcPr>
          <w:p w14:paraId="5B78697F"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21</w:t>
            </w:r>
          </w:p>
        </w:tc>
        <w:tc>
          <w:tcPr>
            <w:tcW w:w="0" w:type="auto"/>
          </w:tcPr>
          <w:p w14:paraId="35742207"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3</w:t>
            </w:r>
          </w:p>
        </w:tc>
        <w:tc>
          <w:tcPr>
            <w:tcW w:w="0" w:type="auto"/>
            <w:noWrap/>
            <w:hideMark/>
          </w:tcPr>
          <w:p w14:paraId="434A27CE"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11</w:t>
            </w:r>
          </w:p>
        </w:tc>
      </w:tr>
      <w:tr w:rsidR="002715EF" w:rsidRPr="002715EF" w14:paraId="0C9210A0" w14:textId="77777777" w:rsidTr="002715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noWrap/>
            <w:hideMark/>
          </w:tcPr>
          <w:p w14:paraId="258FC7AF" w14:textId="77777777" w:rsidR="002B415A" w:rsidRPr="002715EF" w:rsidRDefault="002B415A" w:rsidP="002715EF">
            <w:r w:rsidRPr="002715EF">
              <w:lastRenderedPageBreak/>
              <w:t>Scenario 5</w:t>
            </w:r>
          </w:p>
        </w:tc>
        <w:tc>
          <w:tcPr>
            <w:tcW w:w="0" w:type="auto"/>
            <w:noWrap/>
            <w:hideMark/>
          </w:tcPr>
          <w:p w14:paraId="17EC4B02"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340</w:t>
            </w:r>
          </w:p>
        </w:tc>
        <w:tc>
          <w:tcPr>
            <w:tcW w:w="0" w:type="auto"/>
            <w:noWrap/>
            <w:hideMark/>
          </w:tcPr>
          <w:p w14:paraId="5F065BAC"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300</w:t>
            </w:r>
          </w:p>
        </w:tc>
        <w:tc>
          <w:tcPr>
            <w:tcW w:w="0" w:type="auto"/>
            <w:noWrap/>
            <w:hideMark/>
          </w:tcPr>
          <w:p w14:paraId="11F7CE6C"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230</w:t>
            </w:r>
          </w:p>
        </w:tc>
        <w:tc>
          <w:tcPr>
            <w:tcW w:w="0" w:type="auto"/>
            <w:noWrap/>
            <w:hideMark/>
          </w:tcPr>
          <w:p w14:paraId="6AB6BF27"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92</w:t>
            </w:r>
          </w:p>
        </w:tc>
        <w:tc>
          <w:tcPr>
            <w:tcW w:w="0" w:type="auto"/>
            <w:noWrap/>
            <w:hideMark/>
          </w:tcPr>
          <w:p w14:paraId="7FD024AA"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130</w:t>
            </w:r>
          </w:p>
        </w:tc>
        <w:tc>
          <w:tcPr>
            <w:tcW w:w="0" w:type="auto"/>
            <w:noWrap/>
            <w:hideMark/>
          </w:tcPr>
          <w:p w14:paraId="6F1B845E"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34</w:t>
            </w:r>
          </w:p>
        </w:tc>
        <w:tc>
          <w:tcPr>
            <w:tcW w:w="0" w:type="auto"/>
          </w:tcPr>
          <w:p w14:paraId="0DB1F8AC"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5</w:t>
            </w:r>
          </w:p>
        </w:tc>
        <w:tc>
          <w:tcPr>
            <w:tcW w:w="0" w:type="auto"/>
            <w:noWrap/>
            <w:hideMark/>
          </w:tcPr>
          <w:p w14:paraId="7F9D8EF6"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17</w:t>
            </w:r>
          </w:p>
        </w:tc>
        <w:tc>
          <w:tcPr>
            <w:tcW w:w="0" w:type="auto"/>
            <w:noWrap/>
            <w:hideMark/>
          </w:tcPr>
          <w:p w14:paraId="5A826136"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330</w:t>
            </w:r>
          </w:p>
        </w:tc>
        <w:tc>
          <w:tcPr>
            <w:tcW w:w="0" w:type="auto"/>
            <w:noWrap/>
            <w:hideMark/>
          </w:tcPr>
          <w:p w14:paraId="56D8398B"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290</w:t>
            </w:r>
          </w:p>
        </w:tc>
        <w:tc>
          <w:tcPr>
            <w:tcW w:w="0" w:type="auto"/>
            <w:noWrap/>
            <w:hideMark/>
          </w:tcPr>
          <w:p w14:paraId="40247D09"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220</w:t>
            </w:r>
          </w:p>
        </w:tc>
        <w:tc>
          <w:tcPr>
            <w:tcW w:w="0" w:type="auto"/>
            <w:noWrap/>
            <w:hideMark/>
          </w:tcPr>
          <w:p w14:paraId="52DD9F8E"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88</w:t>
            </w:r>
          </w:p>
        </w:tc>
        <w:tc>
          <w:tcPr>
            <w:tcW w:w="0" w:type="auto"/>
            <w:noWrap/>
            <w:hideMark/>
          </w:tcPr>
          <w:p w14:paraId="1B3EE9E6"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120</w:t>
            </w:r>
          </w:p>
        </w:tc>
        <w:tc>
          <w:tcPr>
            <w:tcW w:w="0" w:type="auto"/>
            <w:noWrap/>
            <w:hideMark/>
          </w:tcPr>
          <w:p w14:paraId="579FD1D4"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32</w:t>
            </w:r>
          </w:p>
        </w:tc>
        <w:tc>
          <w:tcPr>
            <w:tcW w:w="0" w:type="auto"/>
          </w:tcPr>
          <w:p w14:paraId="2941917A"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11</w:t>
            </w:r>
          </w:p>
        </w:tc>
        <w:tc>
          <w:tcPr>
            <w:tcW w:w="0" w:type="auto"/>
            <w:noWrap/>
            <w:hideMark/>
          </w:tcPr>
          <w:p w14:paraId="5376B888"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17</w:t>
            </w:r>
          </w:p>
        </w:tc>
      </w:tr>
      <w:tr w:rsidR="002715EF" w:rsidRPr="002715EF" w14:paraId="74ACBBDD" w14:textId="77777777" w:rsidTr="002715EF">
        <w:trPr>
          <w:trHeight w:val="397"/>
        </w:trPr>
        <w:tc>
          <w:tcPr>
            <w:cnfStyle w:val="001000000000" w:firstRow="0" w:lastRow="0" w:firstColumn="1" w:lastColumn="0" w:oddVBand="0" w:evenVBand="0" w:oddHBand="0" w:evenHBand="0" w:firstRowFirstColumn="0" w:firstRowLastColumn="0" w:lastRowFirstColumn="0" w:lastRowLastColumn="0"/>
            <w:tcW w:w="0" w:type="auto"/>
            <w:noWrap/>
            <w:hideMark/>
          </w:tcPr>
          <w:p w14:paraId="5A948E15" w14:textId="77777777" w:rsidR="00D222D9" w:rsidRPr="002715EF" w:rsidRDefault="00D222D9" w:rsidP="002715EF">
            <w:r w:rsidRPr="002715EF">
              <w:t>Scenario 6</w:t>
            </w:r>
          </w:p>
        </w:tc>
        <w:tc>
          <w:tcPr>
            <w:tcW w:w="0" w:type="auto"/>
            <w:noWrap/>
            <w:hideMark/>
          </w:tcPr>
          <w:p w14:paraId="101BB22B"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910</w:t>
            </w:r>
          </w:p>
        </w:tc>
        <w:tc>
          <w:tcPr>
            <w:tcW w:w="0" w:type="auto"/>
            <w:noWrap/>
            <w:hideMark/>
          </w:tcPr>
          <w:p w14:paraId="118EDCBD"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800</w:t>
            </w:r>
          </w:p>
        </w:tc>
        <w:tc>
          <w:tcPr>
            <w:tcW w:w="0" w:type="auto"/>
            <w:noWrap/>
            <w:hideMark/>
          </w:tcPr>
          <w:p w14:paraId="30B6EC38"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610</w:t>
            </w:r>
          </w:p>
        </w:tc>
        <w:tc>
          <w:tcPr>
            <w:tcW w:w="0" w:type="auto"/>
            <w:noWrap/>
            <w:hideMark/>
          </w:tcPr>
          <w:p w14:paraId="7490E49A"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250</w:t>
            </w:r>
          </w:p>
        </w:tc>
        <w:tc>
          <w:tcPr>
            <w:tcW w:w="0" w:type="auto"/>
            <w:noWrap/>
            <w:hideMark/>
          </w:tcPr>
          <w:p w14:paraId="759ED3FD"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340</w:t>
            </w:r>
          </w:p>
        </w:tc>
        <w:tc>
          <w:tcPr>
            <w:tcW w:w="0" w:type="auto"/>
            <w:noWrap/>
            <w:hideMark/>
          </w:tcPr>
          <w:p w14:paraId="69378E6A"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90</w:t>
            </w:r>
          </w:p>
        </w:tc>
        <w:tc>
          <w:tcPr>
            <w:tcW w:w="0" w:type="auto"/>
          </w:tcPr>
          <w:p w14:paraId="135F5BF1"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14</w:t>
            </w:r>
          </w:p>
        </w:tc>
        <w:tc>
          <w:tcPr>
            <w:tcW w:w="0" w:type="auto"/>
            <w:noWrap/>
            <w:hideMark/>
          </w:tcPr>
          <w:p w14:paraId="4C56E173"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47</w:t>
            </w:r>
          </w:p>
        </w:tc>
        <w:tc>
          <w:tcPr>
            <w:tcW w:w="0" w:type="auto"/>
            <w:noWrap/>
            <w:hideMark/>
          </w:tcPr>
          <w:p w14:paraId="3C13DBC2"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0</w:t>
            </w:r>
          </w:p>
        </w:tc>
        <w:tc>
          <w:tcPr>
            <w:tcW w:w="0" w:type="auto"/>
            <w:noWrap/>
            <w:hideMark/>
          </w:tcPr>
          <w:p w14:paraId="60E2794A"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0</w:t>
            </w:r>
          </w:p>
        </w:tc>
        <w:tc>
          <w:tcPr>
            <w:tcW w:w="0" w:type="auto"/>
            <w:noWrap/>
            <w:hideMark/>
          </w:tcPr>
          <w:p w14:paraId="6B540796"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0</w:t>
            </w:r>
          </w:p>
        </w:tc>
        <w:tc>
          <w:tcPr>
            <w:tcW w:w="0" w:type="auto"/>
            <w:noWrap/>
            <w:hideMark/>
          </w:tcPr>
          <w:p w14:paraId="11B4016D"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0</w:t>
            </w:r>
          </w:p>
        </w:tc>
        <w:tc>
          <w:tcPr>
            <w:tcW w:w="0" w:type="auto"/>
            <w:noWrap/>
            <w:hideMark/>
          </w:tcPr>
          <w:p w14:paraId="41A776DC"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0</w:t>
            </w:r>
          </w:p>
        </w:tc>
        <w:tc>
          <w:tcPr>
            <w:tcW w:w="0" w:type="auto"/>
            <w:noWrap/>
            <w:hideMark/>
          </w:tcPr>
          <w:p w14:paraId="50879B9B"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0</w:t>
            </w:r>
          </w:p>
        </w:tc>
        <w:tc>
          <w:tcPr>
            <w:tcW w:w="0" w:type="auto"/>
          </w:tcPr>
          <w:p w14:paraId="7D69604C"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0</w:t>
            </w:r>
          </w:p>
        </w:tc>
        <w:tc>
          <w:tcPr>
            <w:tcW w:w="0" w:type="auto"/>
            <w:noWrap/>
            <w:hideMark/>
          </w:tcPr>
          <w:p w14:paraId="4EA03F64"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0</w:t>
            </w:r>
          </w:p>
        </w:tc>
      </w:tr>
      <w:tr w:rsidR="002715EF" w:rsidRPr="002715EF" w14:paraId="4CA1A15D" w14:textId="77777777" w:rsidTr="002715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noWrap/>
            <w:hideMark/>
          </w:tcPr>
          <w:p w14:paraId="21AFF3A4" w14:textId="77777777" w:rsidR="00D222D9" w:rsidRPr="002715EF" w:rsidRDefault="00D222D9" w:rsidP="002715EF">
            <w:r w:rsidRPr="002715EF">
              <w:t>Scenario 7</w:t>
            </w:r>
          </w:p>
        </w:tc>
        <w:tc>
          <w:tcPr>
            <w:tcW w:w="0" w:type="auto"/>
            <w:noWrap/>
            <w:hideMark/>
          </w:tcPr>
          <w:p w14:paraId="762292D9"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910</w:t>
            </w:r>
          </w:p>
        </w:tc>
        <w:tc>
          <w:tcPr>
            <w:tcW w:w="0" w:type="auto"/>
            <w:noWrap/>
            <w:hideMark/>
          </w:tcPr>
          <w:p w14:paraId="2768787C"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800</w:t>
            </w:r>
          </w:p>
        </w:tc>
        <w:tc>
          <w:tcPr>
            <w:tcW w:w="0" w:type="auto"/>
            <w:noWrap/>
            <w:hideMark/>
          </w:tcPr>
          <w:p w14:paraId="6DE2E504"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610</w:t>
            </w:r>
          </w:p>
        </w:tc>
        <w:tc>
          <w:tcPr>
            <w:tcW w:w="0" w:type="auto"/>
            <w:noWrap/>
            <w:hideMark/>
          </w:tcPr>
          <w:p w14:paraId="3478BE98"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250</w:t>
            </w:r>
          </w:p>
        </w:tc>
        <w:tc>
          <w:tcPr>
            <w:tcW w:w="0" w:type="auto"/>
            <w:noWrap/>
            <w:hideMark/>
          </w:tcPr>
          <w:p w14:paraId="173495AD"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340</w:t>
            </w:r>
          </w:p>
        </w:tc>
        <w:tc>
          <w:tcPr>
            <w:tcW w:w="0" w:type="auto"/>
            <w:noWrap/>
            <w:hideMark/>
          </w:tcPr>
          <w:p w14:paraId="575EDA20"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90</w:t>
            </w:r>
          </w:p>
        </w:tc>
        <w:tc>
          <w:tcPr>
            <w:tcW w:w="0" w:type="auto"/>
          </w:tcPr>
          <w:p w14:paraId="6CE2D404"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2</w:t>
            </w:r>
          </w:p>
        </w:tc>
        <w:tc>
          <w:tcPr>
            <w:tcW w:w="0" w:type="auto"/>
            <w:noWrap/>
            <w:hideMark/>
          </w:tcPr>
          <w:p w14:paraId="54EC87DA"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47</w:t>
            </w:r>
          </w:p>
        </w:tc>
        <w:tc>
          <w:tcPr>
            <w:tcW w:w="0" w:type="auto"/>
            <w:noWrap/>
            <w:hideMark/>
          </w:tcPr>
          <w:p w14:paraId="11248D57"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440</w:t>
            </w:r>
          </w:p>
        </w:tc>
        <w:tc>
          <w:tcPr>
            <w:tcW w:w="0" w:type="auto"/>
            <w:noWrap/>
            <w:hideMark/>
          </w:tcPr>
          <w:p w14:paraId="424EFF99"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390</w:t>
            </w:r>
          </w:p>
        </w:tc>
        <w:tc>
          <w:tcPr>
            <w:tcW w:w="0" w:type="auto"/>
            <w:noWrap/>
            <w:hideMark/>
          </w:tcPr>
          <w:p w14:paraId="6BB064E0"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300</w:t>
            </w:r>
          </w:p>
        </w:tc>
        <w:tc>
          <w:tcPr>
            <w:tcW w:w="0" w:type="auto"/>
            <w:noWrap/>
            <w:hideMark/>
          </w:tcPr>
          <w:p w14:paraId="691ACC79"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120</w:t>
            </w:r>
          </w:p>
        </w:tc>
        <w:tc>
          <w:tcPr>
            <w:tcW w:w="0" w:type="auto"/>
            <w:noWrap/>
            <w:hideMark/>
          </w:tcPr>
          <w:p w14:paraId="44233BC3"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170</w:t>
            </w:r>
          </w:p>
        </w:tc>
        <w:tc>
          <w:tcPr>
            <w:tcW w:w="0" w:type="auto"/>
            <w:noWrap/>
            <w:hideMark/>
          </w:tcPr>
          <w:p w14:paraId="16B880B5"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43</w:t>
            </w:r>
          </w:p>
        </w:tc>
        <w:tc>
          <w:tcPr>
            <w:tcW w:w="0" w:type="auto"/>
          </w:tcPr>
          <w:p w14:paraId="3F2E6390"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7</w:t>
            </w:r>
          </w:p>
        </w:tc>
        <w:tc>
          <w:tcPr>
            <w:tcW w:w="0" w:type="auto"/>
            <w:noWrap/>
            <w:hideMark/>
          </w:tcPr>
          <w:p w14:paraId="71AE73E9"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22</w:t>
            </w:r>
          </w:p>
        </w:tc>
      </w:tr>
    </w:tbl>
    <w:p w14:paraId="1D556369" w14:textId="77777777" w:rsidR="00D222D9" w:rsidRPr="004B61AD" w:rsidRDefault="00D222D9" w:rsidP="00D222D9">
      <w:pPr>
        <w:spacing w:after="0"/>
        <w:rPr>
          <w:rStyle w:val="SubtleReference"/>
        </w:rPr>
      </w:pPr>
      <w:r w:rsidRPr="004B61AD">
        <w:rPr>
          <w:rStyle w:val="SubtleReference"/>
        </w:rPr>
        <w:t>a</w:t>
      </w:r>
      <w:r w:rsidR="06A8BF80" w:rsidRPr="004B61AD">
        <w:rPr>
          <w:rStyle w:val="SubtleReference"/>
        </w:rPr>
        <w:t xml:space="preserve"> </w:t>
      </w:r>
      <w:proofErr w:type="gramStart"/>
      <w:r w:rsidRPr="004B61AD">
        <w:rPr>
          <w:rStyle w:val="SubtleReference"/>
        </w:rPr>
        <w:t>As</w:t>
      </w:r>
      <w:proofErr w:type="gramEnd"/>
      <w:r w:rsidRPr="004B61AD">
        <w:rPr>
          <w:rStyle w:val="SubtleReference"/>
        </w:rPr>
        <w:t xml:space="preserve"> results for the Northern Territory were adjusted to account for the </w:t>
      </w:r>
      <w:r w:rsidR="000E61D7" w:rsidRPr="004B61AD">
        <w:rPr>
          <w:rStyle w:val="SubtleReference"/>
        </w:rPr>
        <w:t>H</w:t>
      </w:r>
      <w:r w:rsidRPr="004B61AD">
        <w:rPr>
          <w:rStyle w:val="SubtleReference"/>
        </w:rPr>
        <w:t xml:space="preserve">ot </w:t>
      </w:r>
      <w:r w:rsidR="000E61D7" w:rsidRPr="004B61AD">
        <w:rPr>
          <w:rStyle w:val="SubtleReference"/>
        </w:rPr>
        <w:t>Z</w:t>
      </w:r>
      <w:r w:rsidRPr="004B61AD">
        <w:rPr>
          <w:rStyle w:val="SubtleReference"/>
        </w:rPr>
        <w:t xml:space="preserve">one policy, these results may not be directly comparable to other </w:t>
      </w:r>
      <w:r w:rsidR="00275599" w:rsidRPr="004B61AD">
        <w:rPr>
          <w:rStyle w:val="SubtleReference"/>
        </w:rPr>
        <w:t xml:space="preserve">jurisdictions </w:t>
      </w:r>
      <w:r w:rsidRPr="004B61AD">
        <w:rPr>
          <w:rStyle w:val="SubtleReference"/>
        </w:rPr>
        <w:t>or nationwide results.</w:t>
      </w:r>
    </w:p>
    <w:p w14:paraId="10110752" w14:textId="77777777" w:rsidR="00ED182C" w:rsidRPr="001734B3" w:rsidRDefault="00ED182C" w:rsidP="001734B3"/>
    <w:p w14:paraId="78528018" w14:textId="77777777" w:rsidR="00501BC3" w:rsidRDefault="00501BC3" w:rsidP="000C2C19">
      <w:pPr>
        <w:pStyle w:val="Caption"/>
        <w:keepNext/>
        <w:sectPr w:rsidR="00501BC3" w:rsidSect="0065711F">
          <w:headerReference w:type="default" r:id="rId21"/>
          <w:pgSz w:w="16838" w:h="11906" w:orient="landscape"/>
          <w:pgMar w:top="1440" w:right="1440" w:bottom="1440" w:left="1440" w:header="708" w:footer="708" w:gutter="0"/>
          <w:cols w:space="708"/>
          <w:docGrid w:linePitch="360"/>
        </w:sectPr>
      </w:pPr>
    </w:p>
    <w:p w14:paraId="78550867" w14:textId="243A797A" w:rsidR="002715EF" w:rsidRDefault="002715EF" w:rsidP="002715EF">
      <w:pPr>
        <w:pStyle w:val="Caption"/>
      </w:pPr>
      <w:r w:rsidRPr="002715EF">
        <w:lastRenderedPageBreak/>
        <w:t>Table 9 – Health outcomes by jurisdiction vs comparator shown in Table 4. The modelled cohort is those individuals due to receive a screening invitation in 2020 or 2021. All values are shown to two significant figures.</w:t>
      </w:r>
    </w:p>
    <w:tbl>
      <w:tblPr>
        <w:tblStyle w:val="GridTable4-Accent1"/>
        <w:tblW w:w="0" w:type="auto"/>
        <w:tblLook w:val="04A0" w:firstRow="1" w:lastRow="0" w:firstColumn="1" w:lastColumn="0" w:noHBand="0" w:noVBand="1"/>
        <w:tblDescription w:val="Table 9 – Health outcomes by jurisdiction vs comparator shown in Table 4. The modelled cohort is those individuals due to receive a screening invitation in 2020 or 2021. All values are shown to two significant figures. "/>
      </w:tblPr>
      <w:tblGrid>
        <w:gridCol w:w="641"/>
        <w:gridCol w:w="957"/>
        <w:gridCol w:w="543"/>
        <w:gridCol w:w="725"/>
        <w:gridCol w:w="873"/>
        <w:gridCol w:w="973"/>
        <w:gridCol w:w="627"/>
        <w:gridCol w:w="592"/>
        <w:gridCol w:w="1363"/>
        <w:gridCol w:w="958"/>
        <w:gridCol w:w="543"/>
        <w:gridCol w:w="725"/>
        <w:gridCol w:w="873"/>
        <w:gridCol w:w="973"/>
        <w:gridCol w:w="627"/>
        <w:gridCol w:w="592"/>
        <w:gridCol w:w="1363"/>
      </w:tblGrid>
      <w:tr w:rsidR="00D222D9" w:rsidRPr="002715EF" w14:paraId="36D3A0E2" w14:textId="77777777" w:rsidTr="002715EF">
        <w:trPr>
          <w:cnfStyle w:val="100000000000" w:firstRow="1" w:lastRow="0" w:firstColumn="0" w:lastColumn="0" w:oddVBand="0" w:evenVBand="0" w:oddHBand="0" w:evenHBand="0" w:firstRowFirstColumn="0" w:firstRowLastColumn="0" w:lastRowFirstColumn="0" w:lastRowLastColumn="0"/>
          <w:trHeight w:val="446"/>
          <w:tblHeader/>
        </w:trPr>
        <w:tc>
          <w:tcPr>
            <w:cnfStyle w:val="001000000000" w:firstRow="0" w:lastRow="0" w:firstColumn="1" w:lastColumn="0" w:oddVBand="0" w:evenVBand="0" w:oddHBand="0" w:evenHBand="0" w:firstRowFirstColumn="0" w:firstRowLastColumn="0" w:lastRowFirstColumn="0" w:lastRowLastColumn="0"/>
            <w:tcW w:w="0" w:type="auto"/>
            <w:noWrap/>
          </w:tcPr>
          <w:p w14:paraId="1009187A" w14:textId="77777777" w:rsidR="00D222D9" w:rsidRPr="002715EF" w:rsidRDefault="00D222D9" w:rsidP="002715EF"/>
        </w:tc>
        <w:tc>
          <w:tcPr>
            <w:tcW w:w="0" w:type="auto"/>
            <w:gridSpan w:val="8"/>
            <w:noWrap/>
          </w:tcPr>
          <w:p w14:paraId="47FCA842" w14:textId="77777777" w:rsidR="00D222D9" w:rsidRPr="002715EF" w:rsidRDefault="00D222D9" w:rsidP="002715EF">
            <w:pPr>
              <w:cnfStyle w:val="100000000000" w:firstRow="1" w:lastRow="0" w:firstColumn="0" w:lastColumn="0" w:oddVBand="0" w:evenVBand="0" w:oddHBand="0" w:evenHBand="0" w:firstRowFirstColumn="0" w:firstRowLastColumn="0" w:lastRowFirstColumn="0" w:lastRowLastColumn="0"/>
            </w:pPr>
            <w:r w:rsidRPr="002715EF">
              <w:t>Additional CRC cases, 2020-2060</w:t>
            </w:r>
          </w:p>
        </w:tc>
        <w:tc>
          <w:tcPr>
            <w:tcW w:w="0" w:type="auto"/>
            <w:gridSpan w:val="8"/>
            <w:noWrap/>
          </w:tcPr>
          <w:p w14:paraId="42CFBEB3" w14:textId="77777777" w:rsidR="00D222D9" w:rsidRPr="002715EF" w:rsidRDefault="00D222D9" w:rsidP="002715EF">
            <w:pPr>
              <w:cnfStyle w:val="100000000000" w:firstRow="1" w:lastRow="0" w:firstColumn="0" w:lastColumn="0" w:oddVBand="0" w:evenVBand="0" w:oddHBand="0" w:evenHBand="0" w:firstRowFirstColumn="0" w:firstRowLastColumn="0" w:lastRowFirstColumn="0" w:lastRowLastColumn="0"/>
            </w:pPr>
            <w:r w:rsidRPr="002715EF">
              <w:t>Additional CRC deaths, 2020-2060</w:t>
            </w:r>
          </w:p>
        </w:tc>
      </w:tr>
      <w:tr w:rsidR="002715EF" w:rsidRPr="002715EF" w14:paraId="6C92F87D" w14:textId="77777777" w:rsidTr="002715EF">
        <w:trPr>
          <w:cnfStyle w:val="100000000000" w:firstRow="1" w:lastRow="0" w:firstColumn="0" w:lastColumn="0" w:oddVBand="0" w:evenVBand="0" w:oddHBand="0" w:evenHBand="0" w:firstRowFirstColumn="0" w:firstRowLastColumn="0" w:lastRowFirstColumn="0" w:lastRowLastColumn="0"/>
          <w:trHeight w:val="2279"/>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FCFDF5B" w14:textId="77777777" w:rsidR="00D222D9" w:rsidRPr="002715EF" w:rsidRDefault="00D222D9" w:rsidP="002715EF">
            <w:pPr>
              <w:pStyle w:val="TableofAuthorities"/>
            </w:pPr>
          </w:p>
        </w:tc>
        <w:tc>
          <w:tcPr>
            <w:tcW w:w="0" w:type="auto"/>
            <w:noWrap/>
            <w:hideMark/>
          </w:tcPr>
          <w:p w14:paraId="14B89D6C" w14:textId="1C6A751D" w:rsidR="00D222D9" w:rsidRPr="002715EF" w:rsidRDefault="00D43F1B"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New South Wales</w:t>
            </w:r>
          </w:p>
        </w:tc>
        <w:tc>
          <w:tcPr>
            <w:tcW w:w="0" w:type="auto"/>
            <w:noWrap/>
            <w:hideMark/>
          </w:tcPr>
          <w:p w14:paraId="097BF95A"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Victoria</w:t>
            </w:r>
          </w:p>
        </w:tc>
        <w:tc>
          <w:tcPr>
            <w:tcW w:w="0" w:type="auto"/>
            <w:noWrap/>
            <w:hideMark/>
          </w:tcPr>
          <w:p w14:paraId="74199F40"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Queensland</w:t>
            </w:r>
          </w:p>
        </w:tc>
        <w:tc>
          <w:tcPr>
            <w:tcW w:w="0" w:type="auto"/>
            <w:noWrap/>
            <w:hideMark/>
          </w:tcPr>
          <w:p w14:paraId="15FF44E0"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South Australia</w:t>
            </w:r>
          </w:p>
        </w:tc>
        <w:tc>
          <w:tcPr>
            <w:tcW w:w="0" w:type="auto"/>
            <w:noWrap/>
            <w:hideMark/>
          </w:tcPr>
          <w:p w14:paraId="7D020B21"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Western Australia</w:t>
            </w:r>
          </w:p>
        </w:tc>
        <w:tc>
          <w:tcPr>
            <w:tcW w:w="0" w:type="auto"/>
            <w:noWrap/>
            <w:hideMark/>
          </w:tcPr>
          <w:p w14:paraId="5271F550"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Tasmania</w:t>
            </w:r>
          </w:p>
        </w:tc>
        <w:tc>
          <w:tcPr>
            <w:tcW w:w="0" w:type="auto"/>
          </w:tcPr>
          <w:p w14:paraId="78DCCF82"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Northern Territory a</w:t>
            </w:r>
          </w:p>
        </w:tc>
        <w:tc>
          <w:tcPr>
            <w:tcW w:w="0" w:type="auto"/>
            <w:noWrap/>
            <w:hideMark/>
          </w:tcPr>
          <w:p w14:paraId="4A119913" w14:textId="77777777" w:rsidR="00D222D9" w:rsidRPr="002715EF" w:rsidRDefault="00D43F1B"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Australian Capital Territory</w:t>
            </w:r>
          </w:p>
        </w:tc>
        <w:tc>
          <w:tcPr>
            <w:tcW w:w="0" w:type="auto"/>
            <w:noWrap/>
            <w:hideMark/>
          </w:tcPr>
          <w:p w14:paraId="202A48A5" w14:textId="77777777" w:rsidR="00D222D9" w:rsidRPr="002715EF" w:rsidRDefault="00D43F1B"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New South Wales</w:t>
            </w:r>
          </w:p>
        </w:tc>
        <w:tc>
          <w:tcPr>
            <w:tcW w:w="0" w:type="auto"/>
            <w:noWrap/>
            <w:hideMark/>
          </w:tcPr>
          <w:p w14:paraId="11319426"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Victoria</w:t>
            </w:r>
          </w:p>
        </w:tc>
        <w:tc>
          <w:tcPr>
            <w:tcW w:w="0" w:type="auto"/>
            <w:noWrap/>
            <w:hideMark/>
          </w:tcPr>
          <w:p w14:paraId="360D1DBE"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Queensland</w:t>
            </w:r>
          </w:p>
        </w:tc>
        <w:tc>
          <w:tcPr>
            <w:tcW w:w="0" w:type="auto"/>
            <w:noWrap/>
            <w:hideMark/>
          </w:tcPr>
          <w:p w14:paraId="303AD4BF"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South Australia</w:t>
            </w:r>
          </w:p>
        </w:tc>
        <w:tc>
          <w:tcPr>
            <w:tcW w:w="0" w:type="auto"/>
            <w:noWrap/>
            <w:hideMark/>
          </w:tcPr>
          <w:p w14:paraId="5C006B3E"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Western Australia</w:t>
            </w:r>
          </w:p>
        </w:tc>
        <w:tc>
          <w:tcPr>
            <w:tcW w:w="0" w:type="auto"/>
            <w:noWrap/>
            <w:hideMark/>
          </w:tcPr>
          <w:p w14:paraId="171F0AC8"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Tasmania</w:t>
            </w:r>
          </w:p>
        </w:tc>
        <w:tc>
          <w:tcPr>
            <w:tcW w:w="0" w:type="auto"/>
          </w:tcPr>
          <w:p w14:paraId="1CED6BA8" w14:textId="77777777" w:rsidR="00D222D9" w:rsidRPr="002715EF" w:rsidRDefault="00D222D9"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Northern Territory a</w:t>
            </w:r>
          </w:p>
        </w:tc>
        <w:tc>
          <w:tcPr>
            <w:tcW w:w="0" w:type="auto"/>
            <w:noWrap/>
            <w:hideMark/>
          </w:tcPr>
          <w:p w14:paraId="5B47CD11" w14:textId="77777777" w:rsidR="00D222D9" w:rsidRPr="002715EF" w:rsidRDefault="00D43F1B" w:rsidP="002715EF">
            <w:pPr>
              <w:pStyle w:val="TableofAuthorities"/>
              <w:cnfStyle w:val="100000000000" w:firstRow="1" w:lastRow="0" w:firstColumn="0" w:lastColumn="0" w:oddVBand="0" w:evenVBand="0" w:oddHBand="0" w:evenHBand="0" w:firstRowFirstColumn="0" w:firstRowLastColumn="0" w:lastRowFirstColumn="0" w:lastRowLastColumn="0"/>
            </w:pPr>
            <w:r w:rsidRPr="002715EF">
              <w:t>Australian Capital Territory</w:t>
            </w:r>
          </w:p>
        </w:tc>
      </w:tr>
      <w:tr w:rsidR="002715EF" w:rsidRPr="002715EF" w14:paraId="1DFA1D29" w14:textId="77777777" w:rsidTr="002715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noWrap/>
            <w:hideMark/>
          </w:tcPr>
          <w:p w14:paraId="5D53C227" w14:textId="77777777" w:rsidR="00D222D9" w:rsidRPr="002715EF" w:rsidRDefault="00D222D9" w:rsidP="002715EF">
            <w:r w:rsidRPr="002715EF">
              <w:t>Scenario 1</w:t>
            </w:r>
          </w:p>
        </w:tc>
        <w:tc>
          <w:tcPr>
            <w:tcW w:w="0" w:type="auto"/>
            <w:noWrap/>
            <w:hideMark/>
          </w:tcPr>
          <w:p w14:paraId="714C3DFD"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680</w:t>
            </w:r>
          </w:p>
        </w:tc>
        <w:tc>
          <w:tcPr>
            <w:tcW w:w="0" w:type="auto"/>
            <w:noWrap/>
            <w:hideMark/>
          </w:tcPr>
          <w:p w14:paraId="14F2FB5D"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610</w:t>
            </w:r>
          </w:p>
        </w:tc>
        <w:tc>
          <w:tcPr>
            <w:tcW w:w="0" w:type="auto"/>
            <w:noWrap/>
            <w:hideMark/>
          </w:tcPr>
          <w:p w14:paraId="48A1DA5A"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460</w:t>
            </w:r>
          </w:p>
        </w:tc>
        <w:tc>
          <w:tcPr>
            <w:tcW w:w="0" w:type="auto"/>
            <w:noWrap/>
            <w:hideMark/>
          </w:tcPr>
          <w:p w14:paraId="0442980C"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180</w:t>
            </w:r>
          </w:p>
        </w:tc>
        <w:tc>
          <w:tcPr>
            <w:tcW w:w="0" w:type="auto"/>
            <w:noWrap/>
            <w:hideMark/>
          </w:tcPr>
          <w:p w14:paraId="09CFC6AD"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270</w:t>
            </w:r>
          </w:p>
        </w:tc>
        <w:tc>
          <w:tcPr>
            <w:tcW w:w="0" w:type="auto"/>
            <w:noWrap/>
            <w:hideMark/>
          </w:tcPr>
          <w:p w14:paraId="030584D0"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63</w:t>
            </w:r>
          </w:p>
        </w:tc>
        <w:tc>
          <w:tcPr>
            <w:tcW w:w="0" w:type="auto"/>
          </w:tcPr>
          <w:p w14:paraId="05C4C841"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24</w:t>
            </w:r>
          </w:p>
        </w:tc>
        <w:tc>
          <w:tcPr>
            <w:tcW w:w="0" w:type="auto"/>
            <w:noWrap/>
            <w:hideMark/>
          </w:tcPr>
          <w:p w14:paraId="69430AED"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37</w:t>
            </w:r>
          </w:p>
        </w:tc>
        <w:tc>
          <w:tcPr>
            <w:tcW w:w="0" w:type="auto"/>
            <w:noWrap/>
            <w:hideMark/>
          </w:tcPr>
          <w:p w14:paraId="4C072877"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370</w:t>
            </w:r>
          </w:p>
        </w:tc>
        <w:tc>
          <w:tcPr>
            <w:tcW w:w="0" w:type="auto"/>
            <w:noWrap/>
            <w:hideMark/>
          </w:tcPr>
          <w:p w14:paraId="49A829E2"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330</w:t>
            </w:r>
          </w:p>
        </w:tc>
        <w:tc>
          <w:tcPr>
            <w:tcW w:w="0" w:type="auto"/>
            <w:noWrap/>
            <w:hideMark/>
          </w:tcPr>
          <w:p w14:paraId="535B95F9"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250</w:t>
            </w:r>
          </w:p>
        </w:tc>
        <w:tc>
          <w:tcPr>
            <w:tcW w:w="0" w:type="auto"/>
            <w:noWrap/>
            <w:hideMark/>
          </w:tcPr>
          <w:p w14:paraId="7B95473F"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96</w:t>
            </w:r>
          </w:p>
        </w:tc>
        <w:tc>
          <w:tcPr>
            <w:tcW w:w="0" w:type="auto"/>
            <w:noWrap/>
            <w:hideMark/>
          </w:tcPr>
          <w:p w14:paraId="28DB3B44"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140</w:t>
            </w:r>
          </w:p>
        </w:tc>
        <w:tc>
          <w:tcPr>
            <w:tcW w:w="0" w:type="auto"/>
            <w:noWrap/>
            <w:hideMark/>
          </w:tcPr>
          <w:p w14:paraId="7D7D7172"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34</w:t>
            </w:r>
          </w:p>
        </w:tc>
        <w:tc>
          <w:tcPr>
            <w:tcW w:w="0" w:type="auto"/>
          </w:tcPr>
          <w:p w14:paraId="50762922"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12</w:t>
            </w:r>
          </w:p>
        </w:tc>
        <w:tc>
          <w:tcPr>
            <w:tcW w:w="0" w:type="auto"/>
            <w:noWrap/>
            <w:hideMark/>
          </w:tcPr>
          <w:p w14:paraId="6014EDF8"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20</w:t>
            </w:r>
          </w:p>
        </w:tc>
      </w:tr>
      <w:tr w:rsidR="002715EF" w:rsidRPr="002715EF" w14:paraId="627B9BC6" w14:textId="77777777" w:rsidTr="002715EF">
        <w:trPr>
          <w:trHeight w:val="397"/>
        </w:trPr>
        <w:tc>
          <w:tcPr>
            <w:cnfStyle w:val="001000000000" w:firstRow="0" w:lastRow="0" w:firstColumn="1" w:lastColumn="0" w:oddVBand="0" w:evenVBand="0" w:oddHBand="0" w:evenHBand="0" w:firstRowFirstColumn="0" w:firstRowLastColumn="0" w:lastRowFirstColumn="0" w:lastRowLastColumn="0"/>
            <w:tcW w:w="0" w:type="auto"/>
            <w:noWrap/>
            <w:hideMark/>
          </w:tcPr>
          <w:p w14:paraId="1F3D6E1C" w14:textId="77777777" w:rsidR="00D222D9" w:rsidRPr="002715EF" w:rsidRDefault="00D222D9" w:rsidP="002715EF">
            <w:r w:rsidRPr="002715EF">
              <w:t>Scenario 2</w:t>
            </w:r>
          </w:p>
        </w:tc>
        <w:tc>
          <w:tcPr>
            <w:tcW w:w="0" w:type="auto"/>
            <w:noWrap/>
            <w:hideMark/>
          </w:tcPr>
          <w:p w14:paraId="12B5F534"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1,200</w:t>
            </w:r>
          </w:p>
        </w:tc>
        <w:tc>
          <w:tcPr>
            <w:tcW w:w="0" w:type="auto"/>
            <w:noWrap/>
            <w:hideMark/>
          </w:tcPr>
          <w:p w14:paraId="698C74E0"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1,100</w:t>
            </w:r>
          </w:p>
        </w:tc>
        <w:tc>
          <w:tcPr>
            <w:tcW w:w="0" w:type="auto"/>
            <w:noWrap/>
            <w:hideMark/>
          </w:tcPr>
          <w:p w14:paraId="4C6C9CED"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830</w:t>
            </w:r>
          </w:p>
        </w:tc>
        <w:tc>
          <w:tcPr>
            <w:tcW w:w="0" w:type="auto"/>
            <w:noWrap/>
            <w:hideMark/>
          </w:tcPr>
          <w:p w14:paraId="7DCD0AFB"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320</w:t>
            </w:r>
          </w:p>
        </w:tc>
        <w:tc>
          <w:tcPr>
            <w:tcW w:w="0" w:type="auto"/>
            <w:noWrap/>
            <w:hideMark/>
          </w:tcPr>
          <w:p w14:paraId="3E2B4C0D"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470</w:t>
            </w:r>
          </w:p>
        </w:tc>
        <w:tc>
          <w:tcPr>
            <w:tcW w:w="0" w:type="auto"/>
            <w:noWrap/>
            <w:hideMark/>
          </w:tcPr>
          <w:p w14:paraId="1E1154C8"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110</w:t>
            </w:r>
          </w:p>
        </w:tc>
        <w:tc>
          <w:tcPr>
            <w:tcW w:w="0" w:type="auto"/>
          </w:tcPr>
          <w:p w14:paraId="19EE5021"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48</w:t>
            </w:r>
          </w:p>
        </w:tc>
        <w:tc>
          <w:tcPr>
            <w:tcW w:w="0" w:type="auto"/>
            <w:noWrap/>
            <w:hideMark/>
          </w:tcPr>
          <w:p w14:paraId="6684C2CD"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66</w:t>
            </w:r>
          </w:p>
        </w:tc>
        <w:tc>
          <w:tcPr>
            <w:tcW w:w="0" w:type="auto"/>
            <w:noWrap/>
            <w:hideMark/>
          </w:tcPr>
          <w:p w14:paraId="0E3210E3"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650</w:t>
            </w:r>
          </w:p>
        </w:tc>
        <w:tc>
          <w:tcPr>
            <w:tcW w:w="0" w:type="auto"/>
            <w:noWrap/>
            <w:hideMark/>
          </w:tcPr>
          <w:p w14:paraId="31BE82D9"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580</w:t>
            </w:r>
          </w:p>
        </w:tc>
        <w:tc>
          <w:tcPr>
            <w:tcW w:w="0" w:type="auto"/>
            <w:noWrap/>
            <w:hideMark/>
          </w:tcPr>
          <w:p w14:paraId="74AE8304"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440</w:t>
            </w:r>
          </w:p>
        </w:tc>
        <w:tc>
          <w:tcPr>
            <w:tcW w:w="0" w:type="auto"/>
            <w:noWrap/>
            <w:hideMark/>
          </w:tcPr>
          <w:p w14:paraId="65E51588"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170</w:t>
            </w:r>
          </w:p>
        </w:tc>
        <w:tc>
          <w:tcPr>
            <w:tcW w:w="0" w:type="auto"/>
            <w:noWrap/>
            <w:hideMark/>
          </w:tcPr>
          <w:p w14:paraId="2077DD99"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250</w:t>
            </w:r>
          </w:p>
        </w:tc>
        <w:tc>
          <w:tcPr>
            <w:tcW w:w="0" w:type="auto"/>
            <w:noWrap/>
            <w:hideMark/>
          </w:tcPr>
          <w:p w14:paraId="317CEC3B"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61</w:t>
            </w:r>
          </w:p>
        </w:tc>
        <w:tc>
          <w:tcPr>
            <w:tcW w:w="0" w:type="auto"/>
          </w:tcPr>
          <w:p w14:paraId="207F6F5F"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25</w:t>
            </w:r>
          </w:p>
        </w:tc>
        <w:tc>
          <w:tcPr>
            <w:tcW w:w="0" w:type="auto"/>
            <w:noWrap/>
            <w:hideMark/>
          </w:tcPr>
          <w:p w14:paraId="53E0647B"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35</w:t>
            </w:r>
          </w:p>
        </w:tc>
      </w:tr>
      <w:tr w:rsidR="002715EF" w:rsidRPr="002715EF" w14:paraId="7EB12E78" w14:textId="77777777" w:rsidTr="002715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noWrap/>
            <w:hideMark/>
          </w:tcPr>
          <w:p w14:paraId="3B13D3A5" w14:textId="77777777" w:rsidR="00D222D9" w:rsidRPr="002715EF" w:rsidRDefault="00D222D9" w:rsidP="002715EF">
            <w:r w:rsidRPr="002715EF">
              <w:t>Scenario 3</w:t>
            </w:r>
          </w:p>
        </w:tc>
        <w:tc>
          <w:tcPr>
            <w:tcW w:w="0" w:type="auto"/>
            <w:noWrap/>
            <w:hideMark/>
          </w:tcPr>
          <w:p w14:paraId="02AB3D2F"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3,600</w:t>
            </w:r>
          </w:p>
        </w:tc>
        <w:tc>
          <w:tcPr>
            <w:tcW w:w="0" w:type="auto"/>
            <w:noWrap/>
            <w:hideMark/>
          </w:tcPr>
          <w:p w14:paraId="7E56D830"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3,200</w:t>
            </w:r>
          </w:p>
        </w:tc>
        <w:tc>
          <w:tcPr>
            <w:tcW w:w="0" w:type="auto"/>
            <w:noWrap/>
            <w:hideMark/>
          </w:tcPr>
          <w:p w14:paraId="64B09868"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2,500</w:t>
            </w:r>
          </w:p>
        </w:tc>
        <w:tc>
          <w:tcPr>
            <w:tcW w:w="0" w:type="auto"/>
            <w:noWrap/>
            <w:hideMark/>
          </w:tcPr>
          <w:p w14:paraId="65D3BEFF"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950</w:t>
            </w:r>
          </w:p>
        </w:tc>
        <w:tc>
          <w:tcPr>
            <w:tcW w:w="0" w:type="auto"/>
            <w:noWrap/>
            <w:hideMark/>
          </w:tcPr>
          <w:p w14:paraId="07532816"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1,400</w:t>
            </w:r>
          </w:p>
        </w:tc>
        <w:tc>
          <w:tcPr>
            <w:tcW w:w="0" w:type="auto"/>
            <w:noWrap/>
            <w:hideMark/>
          </w:tcPr>
          <w:p w14:paraId="1C35999A"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340</w:t>
            </w:r>
          </w:p>
        </w:tc>
        <w:tc>
          <w:tcPr>
            <w:tcW w:w="0" w:type="auto"/>
          </w:tcPr>
          <w:p w14:paraId="4F5278F8"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69</w:t>
            </w:r>
          </w:p>
        </w:tc>
        <w:tc>
          <w:tcPr>
            <w:tcW w:w="0" w:type="auto"/>
            <w:noWrap/>
            <w:hideMark/>
          </w:tcPr>
          <w:p w14:paraId="29F79BA2"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200</w:t>
            </w:r>
          </w:p>
        </w:tc>
        <w:tc>
          <w:tcPr>
            <w:tcW w:w="0" w:type="auto"/>
            <w:noWrap/>
            <w:hideMark/>
          </w:tcPr>
          <w:p w14:paraId="1B1A7204"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1,900</w:t>
            </w:r>
          </w:p>
        </w:tc>
        <w:tc>
          <w:tcPr>
            <w:tcW w:w="0" w:type="auto"/>
            <w:noWrap/>
            <w:hideMark/>
          </w:tcPr>
          <w:p w14:paraId="6094C6F6"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1,700</w:t>
            </w:r>
          </w:p>
        </w:tc>
        <w:tc>
          <w:tcPr>
            <w:tcW w:w="0" w:type="auto"/>
            <w:noWrap/>
            <w:hideMark/>
          </w:tcPr>
          <w:p w14:paraId="46A1BE75"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1,300</w:t>
            </w:r>
          </w:p>
        </w:tc>
        <w:tc>
          <w:tcPr>
            <w:tcW w:w="0" w:type="auto"/>
            <w:noWrap/>
            <w:hideMark/>
          </w:tcPr>
          <w:p w14:paraId="46146858"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510</w:t>
            </w:r>
          </w:p>
        </w:tc>
        <w:tc>
          <w:tcPr>
            <w:tcW w:w="0" w:type="auto"/>
            <w:noWrap/>
            <w:hideMark/>
          </w:tcPr>
          <w:p w14:paraId="17F3C9A5"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750</w:t>
            </w:r>
          </w:p>
        </w:tc>
        <w:tc>
          <w:tcPr>
            <w:tcW w:w="0" w:type="auto"/>
            <w:noWrap/>
            <w:hideMark/>
          </w:tcPr>
          <w:p w14:paraId="7E8B71F7"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180</w:t>
            </w:r>
          </w:p>
        </w:tc>
        <w:tc>
          <w:tcPr>
            <w:tcW w:w="0" w:type="auto"/>
          </w:tcPr>
          <w:p w14:paraId="46A00552"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37</w:t>
            </w:r>
          </w:p>
        </w:tc>
        <w:tc>
          <w:tcPr>
            <w:tcW w:w="0" w:type="auto"/>
            <w:noWrap/>
            <w:hideMark/>
          </w:tcPr>
          <w:p w14:paraId="03F8E68C" w14:textId="77777777" w:rsidR="00D222D9" w:rsidRPr="002715EF" w:rsidRDefault="00D222D9" w:rsidP="002715EF">
            <w:pPr>
              <w:cnfStyle w:val="000000100000" w:firstRow="0" w:lastRow="0" w:firstColumn="0" w:lastColumn="0" w:oddVBand="0" w:evenVBand="0" w:oddHBand="1" w:evenHBand="0" w:firstRowFirstColumn="0" w:firstRowLastColumn="0" w:lastRowFirstColumn="0" w:lastRowLastColumn="0"/>
            </w:pPr>
            <w:r w:rsidRPr="002715EF">
              <w:t>100</w:t>
            </w:r>
          </w:p>
        </w:tc>
      </w:tr>
      <w:tr w:rsidR="002715EF" w:rsidRPr="002715EF" w14:paraId="24CECD73" w14:textId="77777777" w:rsidTr="002715EF">
        <w:trPr>
          <w:trHeight w:val="397"/>
        </w:trPr>
        <w:tc>
          <w:tcPr>
            <w:cnfStyle w:val="001000000000" w:firstRow="0" w:lastRow="0" w:firstColumn="1" w:lastColumn="0" w:oddVBand="0" w:evenVBand="0" w:oddHBand="0" w:evenHBand="0" w:firstRowFirstColumn="0" w:firstRowLastColumn="0" w:lastRowFirstColumn="0" w:lastRowLastColumn="0"/>
            <w:tcW w:w="0" w:type="auto"/>
            <w:noWrap/>
            <w:hideMark/>
          </w:tcPr>
          <w:p w14:paraId="6E50B8D6" w14:textId="77777777" w:rsidR="00D222D9" w:rsidRPr="002715EF" w:rsidRDefault="00D222D9" w:rsidP="002715EF">
            <w:r w:rsidRPr="002715EF">
              <w:t>Scenario 4</w:t>
            </w:r>
          </w:p>
        </w:tc>
        <w:tc>
          <w:tcPr>
            <w:tcW w:w="0" w:type="auto"/>
            <w:noWrap/>
            <w:hideMark/>
          </w:tcPr>
          <w:p w14:paraId="29CFE4B4"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1,300</w:t>
            </w:r>
          </w:p>
        </w:tc>
        <w:tc>
          <w:tcPr>
            <w:tcW w:w="0" w:type="auto"/>
            <w:noWrap/>
            <w:hideMark/>
          </w:tcPr>
          <w:p w14:paraId="278583B7"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1,100</w:t>
            </w:r>
          </w:p>
        </w:tc>
        <w:tc>
          <w:tcPr>
            <w:tcW w:w="0" w:type="auto"/>
            <w:noWrap/>
            <w:hideMark/>
          </w:tcPr>
          <w:p w14:paraId="481AD168"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870</w:t>
            </w:r>
          </w:p>
        </w:tc>
        <w:tc>
          <w:tcPr>
            <w:tcW w:w="0" w:type="auto"/>
            <w:noWrap/>
            <w:hideMark/>
          </w:tcPr>
          <w:p w14:paraId="47E05906"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330</w:t>
            </w:r>
          </w:p>
        </w:tc>
        <w:tc>
          <w:tcPr>
            <w:tcW w:w="0" w:type="auto"/>
            <w:noWrap/>
            <w:hideMark/>
          </w:tcPr>
          <w:p w14:paraId="04C417A5"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500</w:t>
            </w:r>
          </w:p>
        </w:tc>
        <w:tc>
          <w:tcPr>
            <w:tcW w:w="0" w:type="auto"/>
            <w:noWrap/>
            <w:hideMark/>
          </w:tcPr>
          <w:p w14:paraId="71CBCDF6"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120</w:t>
            </w:r>
          </w:p>
        </w:tc>
        <w:tc>
          <w:tcPr>
            <w:tcW w:w="0" w:type="auto"/>
          </w:tcPr>
          <w:p w14:paraId="32A938F9"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25</w:t>
            </w:r>
          </w:p>
        </w:tc>
        <w:tc>
          <w:tcPr>
            <w:tcW w:w="0" w:type="auto"/>
            <w:noWrap/>
            <w:hideMark/>
          </w:tcPr>
          <w:p w14:paraId="20FB83CC"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69</w:t>
            </w:r>
          </w:p>
        </w:tc>
        <w:tc>
          <w:tcPr>
            <w:tcW w:w="0" w:type="auto"/>
            <w:noWrap/>
            <w:hideMark/>
          </w:tcPr>
          <w:p w14:paraId="6BFBECB1"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690</w:t>
            </w:r>
          </w:p>
        </w:tc>
        <w:tc>
          <w:tcPr>
            <w:tcW w:w="0" w:type="auto"/>
            <w:noWrap/>
            <w:hideMark/>
          </w:tcPr>
          <w:p w14:paraId="3AB43C5C"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620</w:t>
            </w:r>
          </w:p>
        </w:tc>
        <w:tc>
          <w:tcPr>
            <w:tcW w:w="0" w:type="auto"/>
            <w:noWrap/>
            <w:hideMark/>
          </w:tcPr>
          <w:p w14:paraId="2F7C6B37"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470</w:t>
            </w:r>
          </w:p>
        </w:tc>
        <w:tc>
          <w:tcPr>
            <w:tcW w:w="0" w:type="auto"/>
            <w:noWrap/>
            <w:hideMark/>
          </w:tcPr>
          <w:p w14:paraId="5329F5FF"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180</w:t>
            </w:r>
          </w:p>
        </w:tc>
        <w:tc>
          <w:tcPr>
            <w:tcW w:w="0" w:type="auto"/>
            <w:noWrap/>
            <w:hideMark/>
          </w:tcPr>
          <w:p w14:paraId="0BCF0963"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270</w:t>
            </w:r>
          </w:p>
        </w:tc>
        <w:tc>
          <w:tcPr>
            <w:tcW w:w="0" w:type="auto"/>
            <w:noWrap/>
            <w:hideMark/>
          </w:tcPr>
          <w:p w14:paraId="20A7D4F6"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65</w:t>
            </w:r>
          </w:p>
        </w:tc>
        <w:tc>
          <w:tcPr>
            <w:tcW w:w="0" w:type="auto"/>
          </w:tcPr>
          <w:p w14:paraId="61A1AB78"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13</w:t>
            </w:r>
          </w:p>
        </w:tc>
        <w:tc>
          <w:tcPr>
            <w:tcW w:w="0" w:type="auto"/>
            <w:noWrap/>
            <w:hideMark/>
          </w:tcPr>
          <w:p w14:paraId="123C0D16"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38</w:t>
            </w:r>
          </w:p>
        </w:tc>
      </w:tr>
      <w:tr w:rsidR="002715EF" w:rsidRPr="002715EF" w14:paraId="2152E707" w14:textId="77777777" w:rsidTr="002715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noWrap/>
            <w:hideMark/>
          </w:tcPr>
          <w:p w14:paraId="2CAC810E" w14:textId="77777777" w:rsidR="002B415A" w:rsidRPr="002715EF" w:rsidRDefault="002B415A" w:rsidP="002715EF">
            <w:r w:rsidRPr="002715EF">
              <w:lastRenderedPageBreak/>
              <w:t>Scenario 5</w:t>
            </w:r>
          </w:p>
        </w:tc>
        <w:tc>
          <w:tcPr>
            <w:tcW w:w="0" w:type="auto"/>
            <w:noWrap/>
            <w:hideMark/>
          </w:tcPr>
          <w:p w14:paraId="70DFCC7A"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1,200</w:t>
            </w:r>
          </w:p>
        </w:tc>
        <w:tc>
          <w:tcPr>
            <w:tcW w:w="0" w:type="auto"/>
            <w:noWrap/>
            <w:hideMark/>
          </w:tcPr>
          <w:p w14:paraId="54B44EB8"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1,100</w:t>
            </w:r>
          </w:p>
        </w:tc>
        <w:tc>
          <w:tcPr>
            <w:tcW w:w="0" w:type="auto"/>
            <w:noWrap/>
            <w:hideMark/>
          </w:tcPr>
          <w:p w14:paraId="243CBFFD"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830</w:t>
            </w:r>
          </w:p>
        </w:tc>
        <w:tc>
          <w:tcPr>
            <w:tcW w:w="0" w:type="auto"/>
            <w:noWrap/>
            <w:hideMark/>
          </w:tcPr>
          <w:p w14:paraId="499E09E7"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320</w:t>
            </w:r>
          </w:p>
        </w:tc>
        <w:tc>
          <w:tcPr>
            <w:tcW w:w="0" w:type="auto"/>
            <w:noWrap/>
            <w:hideMark/>
          </w:tcPr>
          <w:p w14:paraId="4EEEB736"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480</w:t>
            </w:r>
          </w:p>
        </w:tc>
        <w:tc>
          <w:tcPr>
            <w:tcW w:w="0" w:type="auto"/>
            <w:noWrap/>
            <w:hideMark/>
          </w:tcPr>
          <w:p w14:paraId="36F779B8"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110</w:t>
            </w:r>
          </w:p>
        </w:tc>
        <w:tc>
          <w:tcPr>
            <w:tcW w:w="0" w:type="auto"/>
          </w:tcPr>
          <w:p w14:paraId="4F055F49"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23</w:t>
            </w:r>
          </w:p>
        </w:tc>
        <w:tc>
          <w:tcPr>
            <w:tcW w:w="0" w:type="auto"/>
            <w:noWrap/>
            <w:hideMark/>
          </w:tcPr>
          <w:p w14:paraId="1C254C63"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66</w:t>
            </w:r>
          </w:p>
        </w:tc>
        <w:tc>
          <w:tcPr>
            <w:tcW w:w="0" w:type="auto"/>
            <w:noWrap/>
            <w:hideMark/>
          </w:tcPr>
          <w:p w14:paraId="5DF035C6"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650</w:t>
            </w:r>
          </w:p>
        </w:tc>
        <w:tc>
          <w:tcPr>
            <w:tcW w:w="0" w:type="auto"/>
            <w:noWrap/>
            <w:hideMark/>
          </w:tcPr>
          <w:p w14:paraId="634BD587"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580</w:t>
            </w:r>
          </w:p>
        </w:tc>
        <w:tc>
          <w:tcPr>
            <w:tcW w:w="0" w:type="auto"/>
            <w:noWrap/>
            <w:hideMark/>
          </w:tcPr>
          <w:p w14:paraId="6F4B8BC2"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440</w:t>
            </w:r>
          </w:p>
        </w:tc>
        <w:tc>
          <w:tcPr>
            <w:tcW w:w="0" w:type="auto"/>
            <w:noWrap/>
            <w:hideMark/>
          </w:tcPr>
          <w:p w14:paraId="403D8B03"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170</w:t>
            </w:r>
          </w:p>
        </w:tc>
        <w:tc>
          <w:tcPr>
            <w:tcW w:w="0" w:type="auto"/>
            <w:noWrap/>
            <w:hideMark/>
          </w:tcPr>
          <w:p w14:paraId="140ABD8C"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250</w:t>
            </w:r>
          </w:p>
        </w:tc>
        <w:tc>
          <w:tcPr>
            <w:tcW w:w="0" w:type="auto"/>
            <w:noWrap/>
            <w:hideMark/>
          </w:tcPr>
          <w:p w14:paraId="7B1653F6"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60</w:t>
            </w:r>
          </w:p>
        </w:tc>
        <w:tc>
          <w:tcPr>
            <w:tcW w:w="0" w:type="auto"/>
          </w:tcPr>
          <w:p w14:paraId="229FF5BC"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12</w:t>
            </w:r>
          </w:p>
        </w:tc>
        <w:tc>
          <w:tcPr>
            <w:tcW w:w="0" w:type="auto"/>
            <w:noWrap/>
            <w:hideMark/>
          </w:tcPr>
          <w:p w14:paraId="6DA30064" w14:textId="77777777" w:rsidR="002B415A" w:rsidRPr="002715EF" w:rsidRDefault="002B415A" w:rsidP="002715EF">
            <w:pPr>
              <w:cnfStyle w:val="000000100000" w:firstRow="0" w:lastRow="0" w:firstColumn="0" w:lastColumn="0" w:oddVBand="0" w:evenVBand="0" w:oddHBand="1" w:evenHBand="0" w:firstRowFirstColumn="0" w:firstRowLastColumn="0" w:lastRowFirstColumn="0" w:lastRowLastColumn="0"/>
            </w:pPr>
            <w:r w:rsidRPr="002715EF">
              <w:t>35</w:t>
            </w:r>
          </w:p>
        </w:tc>
      </w:tr>
      <w:tr w:rsidR="002715EF" w:rsidRPr="002715EF" w14:paraId="7FCB0D87" w14:textId="77777777" w:rsidTr="002715EF">
        <w:trPr>
          <w:trHeight w:val="397"/>
        </w:trPr>
        <w:tc>
          <w:tcPr>
            <w:cnfStyle w:val="001000000000" w:firstRow="0" w:lastRow="0" w:firstColumn="1" w:lastColumn="0" w:oddVBand="0" w:evenVBand="0" w:oddHBand="0" w:evenHBand="0" w:firstRowFirstColumn="0" w:firstRowLastColumn="0" w:lastRowFirstColumn="0" w:lastRowLastColumn="0"/>
            <w:tcW w:w="0" w:type="auto"/>
            <w:noWrap/>
            <w:hideMark/>
          </w:tcPr>
          <w:p w14:paraId="0475C433" w14:textId="77777777" w:rsidR="00D222D9" w:rsidRPr="002715EF" w:rsidRDefault="00D222D9" w:rsidP="002715EF">
            <w:r w:rsidRPr="002715EF">
              <w:t>Scenario 6</w:t>
            </w:r>
          </w:p>
        </w:tc>
        <w:tc>
          <w:tcPr>
            <w:tcW w:w="0" w:type="auto"/>
            <w:noWrap/>
            <w:hideMark/>
          </w:tcPr>
          <w:p w14:paraId="34F48509"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250</w:t>
            </w:r>
          </w:p>
        </w:tc>
        <w:tc>
          <w:tcPr>
            <w:tcW w:w="0" w:type="auto"/>
            <w:noWrap/>
            <w:hideMark/>
          </w:tcPr>
          <w:p w14:paraId="23A08011"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220</w:t>
            </w:r>
          </w:p>
        </w:tc>
        <w:tc>
          <w:tcPr>
            <w:tcW w:w="0" w:type="auto"/>
            <w:noWrap/>
            <w:hideMark/>
          </w:tcPr>
          <w:p w14:paraId="5F5DBED3"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170</w:t>
            </w:r>
          </w:p>
        </w:tc>
        <w:tc>
          <w:tcPr>
            <w:tcW w:w="0" w:type="auto"/>
            <w:noWrap/>
            <w:hideMark/>
          </w:tcPr>
          <w:p w14:paraId="2A6E9CC4"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65</w:t>
            </w:r>
          </w:p>
        </w:tc>
        <w:tc>
          <w:tcPr>
            <w:tcW w:w="0" w:type="auto"/>
            <w:noWrap/>
            <w:hideMark/>
          </w:tcPr>
          <w:p w14:paraId="7080C532"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96</w:t>
            </w:r>
          </w:p>
        </w:tc>
        <w:tc>
          <w:tcPr>
            <w:tcW w:w="0" w:type="auto"/>
            <w:noWrap/>
            <w:hideMark/>
          </w:tcPr>
          <w:p w14:paraId="1719FFA2"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23</w:t>
            </w:r>
          </w:p>
        </w:tc>
        <w:tc>
          <w:tcPr>
            <w:tcW w:w="0" w:type="auto"/>
          </w:tcPr>
          <w:p w14:paraId="5B70B60D"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5</w:t>
            </w:r>
          </w:p>
        </w:tc>
        <w:tc>
          <w:tcPr>
            <w:tcW w:w="0" w:type="auto"/>
            <w:noWrap/>
            <w:hideMark/>
          </w:tcPr>
          <w:p w14:paraId="0E050683"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13</w:t>
            </w:r>
          </w:p>
        </w:tc>
        <w:tc>
          <w:tcPr>
            <w:tcW w:w="0" w:type="auto"/>
            <w:noWrap/>
            <w:hideMark/>
          </w:tcPr>
          <w:p w14:paraId="71D797BE"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130</w:t>
            </w:r>
          </w:p>
        </w:tc>
        <w:tc>
          <w:tcPr>
            <w:tcW w:w="0" w:type="auto"/>
            <w:noWrap/>
            <w:hideMark/>
          </w:tcPr>
          <w:p w14:paraId="76E55127"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120</w:t>
            </w:r>
          </w:p>
        </w:tc>
        <w:tc>
          <w:tcPr>
            <w:tcW w:w="0" w:type="auto"/>
            <w:noWrap/>
            <w:hideMark/>
          </w:tcPr>
          <w:p w14:paraId="56672C31"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91</w:t>
            </w:r>
          </w:p>
        </w:tc>
        <w:tc>
          <w:tcPr>
            <w:tcW w:w="0" w:type="auto"/>
            <w:noWrap/>
            <w:hideMark/>
          </w:tcPr>
          <w:p w14:paraId="4F174AB6"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35</w:t>
            </w:r>
          </w:p>
        </w:tc>
        <w:tc>
          <w:tcPr>
            <w:tcW w:w="0" w:type="auto"/>
            <w:noWrap/>
            <w:hideMark/>
          </w:tcPr>
          <w:p w14:paraId="4B9A0C12"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53</w:t>
            </w:r>
          </w:p>
        </w:tc>
        <w:tc>
          <w:tcPr>
            <w:tcW w:w="0" w:type="auto"/>
            <w:noWrap/>
            <w:hideMark/>
          </w:tcPr>
          <w:p w14:paraId="6FCDF437"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12</w:t>
            </w:r>
          </w:p>
        </w:tc>
        <w:tc>
          <w:tcPr>
            <w:tcW w:w="0" w:type="auto"/>
          </w:tcPr>
          <w:p w14:paraId="4B1ECE7A"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3</w:t>
            </w:r>
          </w:p>
        </w:tc>
        <w:tc>
          <w:tcPr>
            <w:tcW w:w="0" w:type="auto"/>
            <w:noWrap/>
            <w:hideMark/>
          </w:tcPr>
          <w:p w14:paraId="77E3F8C1" w14:textId="77777777" w:rsidR="00D222D9" w:rsidRPr="002715EF" w:rsidRDefault="00D222D9" w:rsidP="002715EF">
            <w:pPr>
              <w:cnfStyle w:val="000000000000" w:firstRow="0" w:lastRow="0" w:firstColumn="0" w:lastColumn="0" w:oddVBand="0" w:evenVBand="0" w:oddHBand="0" w:evenHBand="0" w:firstRowFirstColumn="0" w:firstRowLastColumn="0" w:lastRowFirstColumn="0" w:lastRowLastColumn="0"/>
            </w:pPr>
            <w:r w:rsidRPr="002715EF">
              <w:t>7</w:t>
            </w:r>
          </w:p>
        </w:tc>
      </w:tr>
    </w:tbl>
    <w:p w14:paraId="11D667B4" w14:textId="77777777" w:rsidR="00D222D9" w:rsidRPr="004B61AD" w:rsidRDefault="00D222D9" w:rsidP="00D222D9">
      <w:pPr>
        <w:spacing w:after="0"/>
        <w:rPr>
          <w:rStyle w:val="SubtleReference"/>
        </w:rPr>
      </w:pPr>
      <w:r w:rsidRPr="004B61AD">
        <w:rPr>
          <w:rStyle w:val="SubtleReference"/>
        </w:rPr>
        <w:t>a</w:t>
      </w:r>
      <w:r w:rsidR="00F015EC" w:rsidRPr="004B61AD">
        <w:rPr>
          <w:rStyle w:val="SubtleReference"/>
        </w:rPr>
        <w:t xml:space="preserve"> </w:t>
      </w:r>
      <w:proofErr w:type="gramStart"/>
      <w:r w:rsidRPr="004B61AD">
        <w:rPr>
          <w:rStyle w:val="SubtleReference"/>
        </w:rPr>
        <w:t>As</w:t>
      </w:r>
      <w:proofErr w:type="gramEnd"/>
      <w:r w:rsidRPr="004B61AD">
        <w:rPr>
          <w:rStyle w:val="SubtleReference"/>
        </w:rPr>
        <w:t xml:space="preserve"> results for the Northern Territory were adjusted to account for the </w:t>
      </w:r>
      <w:r w:rsidR="000E61D7" w:rsidRPr="004B61AD">
        <w:rPr>
          <w:rStyle w:val="SubtleReference"/>
        </w:rPr>
        <w:t>H</w:t>
      </w:r>
      <w:r w:rsidRPr="004B61AD">
        <w:rPr>
          <w:rStyle w:val="SubtleReference"/>
        </w:rPr>
        <w:t xml:space="preserve">ot </w:t>
      </w:r>
      <w:r w:rsidR="00854216" w:rsidRPr="004B61AD">
        <w:rPr>
          <w:rStyle w:val="SubtleReference"/>
        </w:rPr>
        <w:t>Z</w:t>
      </w:r>
      <w:r w:rsidRPr="004B61AD">
        <w:rPr>
          <w:rStyle w:val="SubtleReference"/>
        </w:rPr>
        <w:t xml:space="preserve">one policy, these results may not be directly comparable to other </w:t>
      </w:r>
      <w:r w:rsidR="00275599" w:rsidRPr="004B61AD">
        <w:rPr>
          <w:rStyle w:val="SubtleReference"/>
        </w:rPr>
        <w:t xml:space="preserve">jurisdictions </w:t>
      </w:r>
      <w:r w:rsidRPr="004B61AD">
        <w:rPr>
          <w:rStyle w:val="SubtleReference"/>
        </w:rPr>
        <w:t>or nationwide results.</w:t>
      </w:r>
    </w:p>
    <w:p w14:paraId="69552FFE" w14:textId="77777777" w:rsidR="00501BC3" w:rsidRPr="004866BE" w:rsidRDefault="00501BC3" w:rsidP="00501BC3"/>
    <w:p w14:paraId="041F07AE" w14:textId="77777777" w:rsidR="000C2C19" w:rsidRPr="004866BE" w:rsidRDefault="000C2C19" w:rsidP="009E1A6A">
      <w:pPr>
        <w:spacing w:after="0"/>
        <w:rPr>
          <w:sz w:val="18"/>
        </w:rPr>
        <w:sectPr w:rsidR="000C2C19" w:rsidRPr="004866BE" w:rsidSect="0067591D">
          <w:headerReference w:type="default" r:id="rId22"/>
          <w:pgSz w:w="16838" w:h="11906" w:orient="landscape"/>
          <w:pgMar w:top="1440" w:right="1440" w:bottom="1440" w:left="1440" w:header="708" w:footer="708" w:gutter="0"/>
          <w:cols w:space="708"/>
          <w:docGrid w:linePitch="360"/>
        </w:sectPr>
      </w:pPr>
    </w:p>
    <w:p w14:paraId="357660F9" w14:textId="77777777" w:rsidR="00635541" w:rsidRPr="004866BE" w:rsidRDefault="004B7F9E" w:rsidP="003F4D28">
      <w:pPr>
        <w:pStyle w:val="Caption"/>
        <w:keepNext/>
        <w:spacing w:after="0"/>
        <w:ind w:left="-426"/>
      </w:pPr>
      <w:r w:rsidRPr="004866BE">
        <w:lastRenderedPageBreak/>
        <w:t xml:space="preserve">Figure 1 – </w:t>
      </w:r>
      <w:r w:rsidR="009E457C" w:rsidRPr="004866BE">
        <w:t>NBCSP disruption</w:t>
      </w:r>
      <w:r w:rsidRPr="004866BE">
        <w:t>, catch-up and recovery period timelines for each modelled scenario.</w:t>
      </w:r>
      <w:r w:rsidR="3259F7B4" w:rsidRPr="004866BE">
        <w:t xml:space="preserve"> For 3- and 6-month pauses, the pause was assumed to begin in April 2020, and for a 12 month pause the pause was assumed to comprise all of 2020, for modelling purposes.</w:t>
      </w:r>
      <w:r w:rsidR="00251BF1" w:rsidRPr="004866BE">
        <w:t xml:space="preserve"> Pauses of the same duration that occur in other times of the year may have </w:t>
      </w:r>
      <w:r w:rsidR="00F11606" w:rsidRPr="004866BE">
        <w:t xml:space="preserve">slightly </w:t>
      </w:r>
      <w:r w:rsidR="00251BF1" w:rsidRPr="004866BE">
        <w:t>differing impacts</w:t>
      </w:r>
      <w:r w:rsidR="00F11606" w:rsidRPr="004866BE">
        <w:t xml:space="preserve">, depending on the </w:t>
      </w:r>
      <w:r w:rsidR="00774776" w:rsidRPr="004866BE">
        <w:t>s</w:t>
      </w:r>
      <w:r w:rsidR="00F11606" w:rsidRPr="004866BE">
        <w:t>cenarios and pause length.</w:t>
      </w:r>
    </w:p>
    <w:tbl>
      <w:tblPr>
        <w:tblW w:w="15452" w:type="dxa"/>
        <w:tblInd w:w="-559" w:type="dxa"/>
        <w:tblLook w:val="04A0" w:firstRow="1" w:lastRow="0" w:firstColumn="1" w:lastColumn="0" w:noHBand="0" w:noVBand="1"/>
        <w:tblDescription w:val="Figure 1 – NBCSP disruption, catch-up and recovery period timelines for each modelled scenario. For 3- and 6-month pauses, the pause was assumed to begin in April 2020, and for a 12 month pause the pause was assumed to comprise all of 2020, for modelling purposes. Pauses of the same duration that occur in other times of the year may have slightly differing impacts, depending on the scenarios and pause length."/>
      </w:tblPr>
      <w:tblGrid>
        <w:gridCol w:w="1440"/>
        <w:gridCol w:w="705"/>
        <w:gridCol w:w="492"/>
        <w:gridCol w:w="510"/>
        <w:gridCol w:w="642"/>
        <w:gridCol w:w="519"/>
        <w:gridCol w:w="474"/>
        <w:gridCol w:w="421"/>
        <w:gridCol w:w="501"/>
        <w:gridCol w:w="501"/>
        <w:gridCol w:w="465"/>
        <w:gridCol w:w="501"/>
        <w:gridCol w:w="501"/>
        <w:gridCol w:w="474"/>
        <w:gridCol w:w="492"/>
        <w:gridCol w:w="492"/>
        <w:gridCol w:w="471"/>
        <w:gridCol w:w="519"/>
        <w:gridCol w:w="474"/>
        <w:gridCol w:w="460"/>
        <w:gridCol w:w="501"/>
        <w:gridCol w:w="501"/>
        <w:gridCol w:w="465"/>
        <w:gridCol w:w="501"/>
        <w:gridCol w:w="501"/>
        <w:gridCol w:w="474"/>
        <w:gridCol w:w="492"/>
        <w:gridCol w:w="492"/>
        <w:gridCol w:w="471"/>
      </w:tblGrid>
      <w:tr w:rsidR="008718F8" w:rsidRPr="004866BE" w14:paraId="6F7A4CD1" w14:textId="77777777" w:rsidTr="000C136E">
        <w:trPr>
          <w:trHeight w:val="227"/>
        </w:trPr>
        <w:tc>
          <w:tcPr>
            <w:tcW w:w="15452" w:type="dxa"/>
            <w:gridSpan w:val="2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F21A3" w14:textId="0ECF1A13" w:rsidR="008718F8" w:rsidRPr="004866BE" w:rsidRDefault="008718F8" w:rsidP="00F37251">
            <w:pPr>
              <w:spacing w:after="0" w:line="240" w:lineRule="auto"/>
              <w:rPr>
                <w:rFonts w:eastAsia="Times New Roman"/>
                <w:sz w:val="20"/>
                <w:lang w:eastAsia="en-AU"/>
              </w:rPr>
            </w:pPr>
            <w:r w:rsidRPr="004866BE">
              <w:rPr>
                <w:rFonts w:eastAsia="Times New Roman"/>
                <w:color w:val="000000"/>
                <w:sz w:val="16"/>
                <w:lang w:eastAsia="en-AU"/>
              </w:rPr>
              <w:t>Scenario 1: 3-month program pause, no catch-up, no effect on participation in 2021</w:t>
            </w:r>
          </w:p>
        </w:tc>
      </w:tr>
      <w:tr w:rsidR="00F37251" w:rsidRPr="004866BE" w14:paraId="45142239" w14:textId="77777777" w:rsidTr="008718F8">
        <w:trPr>
          <w:trHeight w:val="1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1EFA0" w14:textId="77777777" w:rsidR="00F37251" w:rsidRPr="004866BE" w:rsidRDefault="00F37251" w:rsidP="00F37251">
            <w:pPr>
              <w:spacing w:after="0" w:line="240" w:lineRule="auto"/>
              <w:rPr>
                <w:rFonts w:eastAsia="Times New Roman"/>
                <w:sz w:val="20"/>
                <w:lang w:eastAsia="en-AU"/>
              </w:rPr>
            </w:pPr>
          </w:p>
        </w:tc>
        <w:tc>
          <w:tcPr>
            <w:tcW w:w="623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2B727"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2020</w:t>
            </w:r>
          </w:p>
        </w:tc>
        <w:tc>
          <w:tcPr>
            <w:tcW w:w="585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90778"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2021</w:t>
            </w:r>
          </w:p>
        </w:tc>
        <w:tc>
          <w:tcPr>
            <w:tcW w:w="19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05831"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2022</w:t>
            </w:r>
          </w:p>
        </w:tc>
      </w:tr>
      <w:tr w:rsidR="004F335F" w:rsidRPr="004866BE" w14:paraId="21356BB4" w14:textId="77777777" w:rsidTr="008718F8">
        <w:trPr>
          <w:trHeight w:val="1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1B70E" w14:textId="77777777" w:rsidR="00F37251" w:rsidRPr="004866BE" w:rsidRDefault="00F37251" w:rsidP="00F37251">
            <w:pPr>
              <w:spacing w:after="0" w:line="240" w:lineRule="auto"/>
              <w:jc w:val="center"/>
              <w:rPr>
                <w:rFonts w:eastAsia="Times New Roman"/>
                <w:color w:val="000000"/>
                <w:sz w:val="16"/>
                <w:lang w:eastAsia="en-A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85F77"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327BB"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8000E"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71219"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Apr</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E0A0C"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May</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43458"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Jun</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8E079"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Jul</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846E5"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Aug</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476DD"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Sep</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0D48D"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Oct</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6FE03"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Nov</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B9C4B"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Dec</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7D5F8"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85413"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E3399"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E2E21"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Apr</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C6EA7"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May</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DABCB"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Jun</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4949D"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Jul</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62D45"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Aug</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36891"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Sep</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F3481"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Oct</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E0AB0"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Nov</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CC2E6"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Dec</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DDDE6"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6B392"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3BAE9"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6526F"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Apr</w:t>
            </w:r>
          </w:p>
        </w:tc>
      </w:tr>
      <w:tr w:rsidR="004F335F" w:rsidRPr="004866BE" w14:paraId="5A6D7797" w14:textId="77777777" w:rsidTr="008718F8">
        <w:trPr>
          <w:trHeight w:val="170"/>
        </w:trPr>
        <w:tc>
          <w:tcPr>
            <w:tcW w:w="1440" w:type="dxa"/>
            <w:tcBorders>
              <w:top w:val="single" w:sz="4" w:space="0" w:color="auto"/>
              <w:left w:val="single" w:sz="8" w:space="0" w:color="auto"/>
              <w:bottom w:val="nil"/>
              <w:right w:val="nil"/>
            </w:tcBorders>
            <w:shd w:val="clear" w:color="auto" w:fill="auto"/>
            <w:noWrap/>
            <w:vAlign w:val="bottom"/>
            <w:hideMark/>
          </w:tcPr>
          <w:p w14:paraId="1971AA24" w14:textId="77777777" w:rsidR="00F37251" w:rsidRPr="004866BE" w:rsidRDefault="005E0C10" w:rsidP="00F37251">
            <w:pPr>
              <w:spacing w:after="0" w:line="240" w:lineRule="auto"/>
              <w:rPr>
                <w:rFonts w:eastAsia="Times New Roman"/>
                <w:color w:val="000000"/>
                <w:sz w:val="16"/>
                <w:lang w:eastAsia="en-AU"/>
              </w:rPr>
            </w:pPr>
            <w:r w:rsidRPr="004866BE">
              <w:rPr>
                <w:rFonts w:eastAsia="Times New Roman"/>
                <w:color w:val="000000"/>
                <w:sz w:val="16"/>
                <w:lang w:eastAsia="en-AU"/>
              </w:rPr>
              <w:t xml:space="preserve">Paused </w:t>
            </w:r>
            <w:r w:rsidR="00F37251" w:rsidRPr="004866BE">
              <w:rPr>
                <w:rFonts w:eastAsia="Times New Roman"/>
                <w:color w:val="000000"/>
                <w:sz w:val="16"/>
                <w:lang w:eastAsia="en-AU"/>
              </w:rPr>
              <w:t>Cohort</w:t>
            </w:r>
          </w:p>
        </w:tc>
        <w:tc>
          <w:tcPr>
            <w:tcW w:w="1707" w:type="dxa"/>
            <w:gridSpan w:val="3"/>
            <w:tcBorders>
              <w:top w:val="single" w:sz="4" w:space="0" w:color="auto"/>
              <w:left w:val="single" w:sz="8" w:space="0" w:color="auto"/>
              <w:bottom w:val="single" w:sz="4" w:space="0" w:color="auto"/>
              <w:right w:val="single" w:sz="4" w:space="0" w:color="000000" w:themeColor="text1"/>
            </w:tcBorders>
            <w:shd w:val="clear" w:color="auto" w:fill="A9D08E"/>
            <w:noWrap/>
            <w:vAlign w:val="bottom"/>
            <w:hideMark/>
          </w:tcPr>
          <w:p w14:paraId="3898E113" w14:textId="77777777" w:rsidR="00F37251" w:rsidRPr="004866BE" w:rsidRDefault="00F37251" w:rsidP="00F37251">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1635" w:type="dxa"/>
            <w:gridSpan w:val="3"/>
            <w:tcBorders>
              <w:top w:val="single" w:sz="4" w:space="0" w:color="auto"/>
              <w:left w:val="nil"/>
              <w:bottom w:val="single" w:sz="4" w:space="0" w:color="auto"/>
              <w:right w:val="single" w:sz="4" w:space="0" w:color="000000" w:themeColor="text1"/>
            </w:tcBorders>
            <w:shd w:val="clear" w:color="auto" w:fill="C00000"/>
            <w:noWrap/>
            <w:vAlign w:val="bottom"/>
            <w:hideMark/>
          </w:tcPr>
          <w:p w14:paraId="5BFF6001" w14:textId="77777777" w:rsidR="00F37251" w:rsidRPr="004866BE" w:rsidRDefault="00F37251" w:rsidP="00F37251">
            <w:pPr>
              <w:spacing w:after="0" w:line="240" w:lineRule="auto"/>
              <w:jc w:val="center"/>
              <w:rPr>
                <w:rFonts w:eastAsia="Times New Roman"/>
                <w:b/>
                <w:color w:val="FFFFFF"/>
                <w:sz w:val="16"/>
                <w:lang w:eastAsia="en-AU"/>
              </w:rPr>
            </w:pPr>
            <w:r w:rsidRPr="004866BE">
              <w:rPr>
                <w:rFonts w:eastAsia="Times New Roman"/>
                <w:b/>
                <w:color w:val="FFFFFF"/>
                <w:sz w:val="16"/>
                <w:lang w:eastAsia="en-AU"/>
              </w:rPr>
              <w:t>Screening Pause</w:t>
            </w:r>
          </w:p>
        </w:tc>
        <w:tc>
          <w:tcPr>
            <w:tcW w:w="2890" w:type="dxa"/>
            <w:gridSpan w:val="6"/>
            <w:tcBorders>
              <w:top w:val="single" w:sz="4" w:space="0" w:color="auto"/>
              <w:left w:val="nil"/>
              <w:bottom w:val="single" w:sz="4" w:space="0" w:color="auto"/>
              <w:right w:val="single" w:sz="8" w:space="0" w:color="000000" w:themeColor="text1"/>
            </w:tcBorders>
            <w:shd w:val="clear" w:color="auto" w:fill="FFFFFF" w:themeFill="background1"/>
            <w:noWrap/>
            <w:vAlign w:val="bottom"/>
            <w:hideMark/>
          </w:tcPr>
          <w:p w14:paraId="6F12F8DA" w14:textId="77777777" w:rsidR="00F37251" w:rsidRPr="004866BE" w:rsidRDefault="00F37251" w:rsidP="00F37251">
            <w:pPr>
              <w:spacing w:after="0" w:line="240" w:lineRule="auto"/>
              <w:jc w:val="center"/>
              <w:rPr>
                <w:rFonts w:eastAsia="Times New Roman"/>
                <w:b/>
                <w:color w:val="FFFFFF"/>
                <w:sz w:val="16"/>
                <w:lang w:eastAsia="en-AU"/>
              </w:rPr>
            </w:pPr>
            <w:r w:rsidRPr="004866BE">
              <w:rPr>
                <w:rFonts w:eastAsia="Times New Roman"/>
                <w:b/>
                <w:color w:val="FFFFFF"/>
                <w:sz w:val="16"/>
                <w:lang w:eastAsia="en-AU"/>
              </w:rPr>
              <w:t> </w:t>
            </w:r>
          </w:p>
        </w:tc>
        <w:tc>
          <w:tcPr>
            <w:tcW w:w="5851" w:type="dxa"/>
            <w:gridSpan w:val="12"/>
            <w:tcBorders>
              <w:top w:val="single" w:sz="4" w:space="0" w:color="auto"/>
              <w:left w:val="nil"/>
              <w:bottom w:val="single" w:sz="4" w:space="0" w:color="auto"/>
              <w:right w:val="single" w:sz="8" w:space="0" w:color="000000" w:themeColor="text1"/>
            </w:tcBorders>
            <w:shd w:val="clear" w:color="auto" w:fill="auto"/>
            <w:noWrap/>
            <w:vAlign w:val="bottom"/>
            <w:hideMark/>
          </w:tcPr>
          <w:p w14:paraId="45E1B204" w14:textId="77777777" w:rsidR="00F37251" w:rsidRPr="004866BE" w:rsidRDefault="00F37251" w:rsidP="00F37251">
            <w:pPr>
              <w:spacing w:after="0" w:line="240" w:lineRule="auto"/>
              <w:jc w:val="center"/>
              <w:rPr>
                <w:rFonts w:eastAsia="Times New Roman"/>
                <w:color w:val="FFD966"/>
                <w:sz w:val="16"/>
                <w:lang w:eastAsia="en-AU"/>
              </w:rPr>
            </w:pPr>
            <w:r w:rsidRPr="004866BE">
              <w:rPr>
                <w:rFonts w:eastAsia="Times New Roman"/>
                <w:color w:val="FFD966"/>
                <w:sz w:val="16"/>
                <w:lang w:eastAsia="en-AU"/>
              </w:rPr>
              <w:t> </w:t>
            </w:r>
          </w:p>
        </w:tc>
        <w:tc>
          <w:tcPr>
            <w:tcW w:w="1458"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7E770FCD" w14:textId="77777777" w:rsidR="00F37251" w:rsidRPr="004866BE" w:rsidRDefault="00F37251" w:rsidP="00F37251">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471" w:type="dxa"/>
            <w:tcBorders>
              <w:top w:val="single" w:sz="4" w:space="0" w:color="auto"/>
              <w:left w:val="nil"/>
              <w:bottom w:val="single" w:sz="4" w:space="0" w:color="auto"/>
              <w:right w:val="single" w:sz="8" w:space="0" w:color="auto"/>
            </w:tcBorders>
            <w:shd w:val="clear" w:color="auto" w:fill="A9D08E"/>
            <w:noWrap/>
            <w:vAlign w:val="bottom"/>
            <w:hideMark/>
          </w:tcPr>
          <w:p w14:paraId="38A62F33" w14:textId="77777777" w:rsidR="00F37251" w:rsidRPr="004866BE" w:rsidRDefault="00F37251" w:rsidP="00F37251">
            <w:pPr>
              <w:spacing w:after="0" w:line="240" w:lineRule="auto"/>
              <w:rPr>
                <w:rFonts w:eastAsia="Times New Roman"/>
                <w:color w:val="305496"/>
                <w:sz w:val="16"/>
                <w:lang w:eastAsia="en-AU"/>
              </w:rPr>
            </w:pPr>
            <w:r w:rsidRPr="004866BE">
              <w:rPr>
                <w:rFonts w:eastAsia="Times New Roman"/>
                <w:color w:val="305496"/>
                <w:sz w:val="16"/>
                <w:lang w:eastAsia="en-AU"/>
              </w:rPr>
              <w:t> </w:t>
            </w:r>
          </w:p>
        </w:tc>
      </w:tr>
      <w:tr w:rsidR="004F335F" w:rsidRPr="004866BE" w14:paraId="62FF289C" w14:textId="77777777" w:rsidTr="008718F8">
        <w:trPr>
          <w:trHeight w:val="170"/>
        </w:trPr>
        <w:tc>
          <w:tcPr>
            <w:tcW w:w="144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3491C14F"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Other Cohorts</w:t>
            </w:r>
          </w:p>
        </w:tc>
        <w:tc>
          <w:tcPr>
            <w:tcW w:w="1707" w:type="dxa"/>
            <w:gridSpan w:val="3"/>
            <w:tcBorders>
              <w:top w:val="single" w:sz="4" w:space="0" w:color="auto"/>
              <w:left w:val="nil"/>
              <w:bottom w:val="single" w:sz="8" w:space="0" w:color="auto"/>
              <w:right w:val="single" w:sz="4" w:space="0" w:color="000000" w:themeColor="text1"/>
            </w:tcBorders>
            <w:shd w:val="clear" w:color="auto" w:fill="A9D08E"/>
            <w:noWrap/>
            <w:vAlign w:val="bottom"/>
            <w:hideMark/>
          </w:tcPr>
          <w:p w14:paraId="56B1CB4A" w14:textId="77777777" w:rsidR="00F37251" w:rsidRPr="004866BE" w:rsidRDefault="00F37251" w:rsidP="00F37251">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1635" w:type="dxa"/>
            <w:gridSpan w:val="3"/>
            <w:tcBorders>
              <w:top w:val="single" w:sz="4" w:space="0" w:color="auto"/>
              <w:left w:val="nil"/>
              <w:bottom w:val="single" w:sz="8" w:space="0" w:color="auto"/>
              <w:right w:val="nil"/>
            </w:tcBorders>
            <w:shd w:val="clear" w:color="auto" w:fill="auto"/>
            <w:noWrap/>
            <w:vAlign w:val="bottom"/>
            <w:hideMark/>
          </w:tcPr>
          <w:p w14:paraId="7DD0BCAE"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 </w:t>
            </w:r>
          </w:p>
        </w:tc>
        <w:tc>
          <w:tcPr>
            <w:tcW w:w="2890" w:type="dxa"/>
            <w:gridSpan w:val="6"/>
            <w:tcBorders>
              <w:top w:val="single" w:sz="4" w:space="0" w:color="auto"/>
              <w:left w:val="single" w:sz="4" w:space="0" w:color="auto"/>
              <w:bottom w:val="single" w:sz="8" w:space="0" w:color="auto"/>
              <w:right w:val="single" w:sz="8" w:space="0" w:color="000000" w:themeColor="text1"/>
            </w:tcBorders>
            <w:shd w:val="clear" w:color="auto" w:fill="A9D08E"/>
            <w:noWrap/>
            <w:vAlign w:val="bottom"/>
            <w:hideMark/>
          </w:tcPr>
          <w:p w14:paraId="4BE36781"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 </w:t>
            </w:r>
          </w:p>
        </w:tc>
        <w:tc>
          <w:tcPr>
            <w:tcW w:w="5851" w:type="dxa"/>
            <w:gridSpan w:val="12"/>
            <w:tcBorders>
              <w:top w:val="single" w:sz="4" w:space="0" w:color="auto"/>
              <w:left w:val="nil"/>
              <w:bottom w:val="single" w:sz="8" w:space="0" w:color="auto"/>
              <w:right w:val="single" w:sz="8" w:space="0" w:color="000000" w:themeColor="text1"/>
            </w:tcBorders>
            <w:shd w:val="clear" w:color="auto" w:fill="A9D08E"/>
            <w:noWrap/>
            <w:vAlign w:val="bottom"/>
            <w:hideMark/>
          </w:tcPr>
          <w:p w14:paraId="6E06A949"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 </w:t>
            </w:r>
          </w:p>
        </w:tc>
        <w:tc>
          <w:tcPr>
            <w:tcW w:w="1929" w:type="dxa"/>
            <w:gridSpan w:val="4"/>
            <w:tcBorders>
              <w:top w:val="single" w:sz="4" w:space="0" w:color="auto"/>
              <w:left w:val="nil"/>
              <w:bottom w:val="single" w:sz="8" w:space="0" w:color="auto"/>
              <w:right w:val="single" w:sz="8" w:space="0" w:color="000000" w:themeColor="text1"/>
            </w:tcBorders>
            <w:shd w:val="clear" w:color="auto" w:fill="A9D08E"/>
            <w:noWrap/>
            <w:vAlign w:val="bottom"/>
            <w:hideMark/>
          </w:tcPr>
          <w:p w14:paraId="1099452A" w14:textId="77777777" w:rsidR="00F37251" w:rsidRPr="004866BE" w:rsidRDefault="00F37251" w:rsidP="00F37251">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r>
      <w:tr w:rsidR="008718F8" w:rsidRPr="004866BE" w14:paraId="625AA402" w14:textId="77777777" w:rsidTr="000C136E">
        <w:trPr>
          <w:trHeight w:val="227"/>
        </w:trPr>
        <w:tc>
          <w:tcPr>
            <w:tcW w:w="15452" w:type="dxa"/>
            <w:gridSpan w:val="2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8978C" w14:textId="0D27ECE3" w:rsidR="008718F8" w:rsidRPr="004866BE" w:rsidRDefault="008718F8" w:rsidP="00F37251">
            <w:pPr>
              <w:spacing w:after="0" w:line="240" w:lineRule="auto"/>
              <w:rPr>
                <w:rFonts w:eastAsia="Times New Roman"/>
                <w:sz w:val="20"/>
                <w:lang w:eastAsia="en-AU"/>
              </w:rPr>
            </w:pPr>
            <w:r w:rsidRPr="004866BE">
              <w:rPr>
                <w:rFonts w:eastAsia="Times New Roman"/>
                <w:color w:val="000000"/>
                <w:sz w:val="16"/>
                <w:lang w:eastAsia="en-AU"/>
              </w:rPr>
              <w:t>Scenario 2: 6-month program pause, no catch-up, no recovery period</w:t>
            </w:r>
          </w:p>
        </w:tc>
      </w:tr>
      <w:tr w:rsidR="00F37251" w:rsidRPr="004866BE" w14:paraId="44B14C51" w14:textId="77777777" w:rsidTr="008718F8">
        <w:trPr>
          <w:trHeight w:val="1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2CBE0" w14:textId="77777777" w:rsidR="00F37251" w:rsidRPr="004866BE" w:rsidRDefault="00F37251" w:rsidP="00F37251">
            <w:pPr>
              <w:spacing w:after="0" w:line="240" w:lineRule="auto"/>
              <w:rPr>
                <w:rFonts w:eastAsia="Times New Roman"/>
                <w:sz w:val="20"/>
                <w:lang w:eastAsia="en-AU"/>
              </w:rPr>
            </w:pPr>
          </w:p>
        </w:tc>
        <w:tc>
          <w:tcPr>
            <w:tcW w:w="623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42079"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2020</w:t>
            </w:r>
          </w:p>
        </w:tc>
        <w:tc>
          <w:tcPr>
            <w:tcW w:w="585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EA277"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2021</w:t>
            </w:r>
          </w:p>
        </w:tc>
        <w:tc>
          <w:tcPr>
            <w:tcW w:w="19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B8745"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2022</w:t>
            </w:r>
          </w:p>
        </w:tc>
      </w:tr>
      <w:tr w:rsidR="004F335F" w:rsidRPr="004866BE" w14:paraId="4E320969" w14:textId="77777777" w:rsidTr="008718F8">
        <w:trPr>
          <w:trHeight w:val="1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988C7" w14:textId="77777777" w:rsidR="00F37251" w:rsidRPr="004866BE" w:rsidRDefault="00F37251" w:rsidP="00F37251">
            <w:pPr>
              <w:spacing w:after="0" w:line="240" w:lineRule="auto"/>
              <w:jc w:val="center"/>
              <w:rPr>
                <w:rFonts w:eastAsia="Times New Roman"/>
                <w:color w:val="000000"/>
                <w:sz w:val="16"/>
                <w:lang w:eastAsia="en-A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133D4"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E1752"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16D51"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BB609"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Apr</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3498B"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May</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91DE7"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Jun</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D20E8"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Jul</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40CAA"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Aug</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6D249"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Sep</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E3686"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Oct</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EA432"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Nov</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DF31F"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Dec</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4C7BF"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FE245"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862E1"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64E92"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Apr</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1020C"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May</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3305"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Jun</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A042F"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Jul</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F4FD9"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Aug</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70A54"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Sep</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411D4"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Oct</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CDFA2"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Nov</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C4017"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Dec</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37DF5"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40469"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9F2E8"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471" w:type="dxa"/>
            <w:tcBorders>
              <w:top w:val="single" w:sz="4" w:space="0" w:color="auto"/>
              <w:left w:val="nil"/>
              <w:bottom w:val="single" w:sz="8" w:space="0" w:color="auto"/>
              <w:right w:val="single" w:sz="8" w:space="0" w:color="auto"/>
            </w:tcBorders>
            <w:shd w:val="clear" w:color="auto" w:fill="auto"/>
            <w:noWrap/>
            <w:vAlign w:val="bottom"/>
            <w:hideMark/>
          </w:tcPr>
          <w:p w14:paraId="53C8820D"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Apr</w:t>
            </w:r>
          </w:p>
        </w:tc>
      </w:tr>
      <w:tr w:rsidR="004F335F" w:rsidRPr="004866BE" w14:paraId="6F4AC435" w14:textId="77777777" w:rsidTr="008718F8">
        <w:trPr>
          <w:trHeight w:val="1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FCF11" w14:textId="77777777" w:rsidR="00F37251" w:rsidRPr="004866BE" w:rsidRDefault="005E0C10" w:rsidP="00F37251">
            <w:pPr>
              <w:spacing w:after="0" w:line="240" w:lineRule="auto"/>
              <w:rPr>
                <w:rFonts w:eastAsia="Times New Roman"/>
                <w:color w:val="000000"/>
                <w:sz w:val="16"/>
                <w:lang w:eastAsia="en-AU"/>
              </w:rPr>
            </w:pPr>
            <w:r w:rsidRPr="004866BE">
              <w:rPr>
                <w:rFonts w:eastAsia="Times New Roman"/>
                <w:color w:val="000000"/>
                <w:sz w:val="16"/>
                <w:lang w:eastAsia="en-AU"/>
              </w:rPr>
              <w:t xml:space="preserve">Paused </w:t>
            </w:r>
            <w:r w:rsidR="00F37251" w:rsidRPr="004866BE">
              <w:rPr>
                <w:rFonts w:eastAsia="Times New Roman"/>
                <w:color w:val="000000"/>
                <w:sz w:val="16"/>
                <w:lang w:eastAsia="en-AU"/>
              </w:rPr>
              <w:t>Cohort</w:t>
            </w:r>
          </w:p>
        </w:tc>
        <w:tc>
          <w:tcPr>
            <w:tcW w:w="1707" w:type="dxa"/>
            <w:gridSpan w:val="3"/>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3DD7BBC8" w14:textId="77777777" w:rsidR="00F37251" w:rsidRPr="004866BE" w:rsidRDefault="00F37251" w:rsidP="00F37251">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3058" w:type="dxa"/>
            <w:gridSpan w:val="6"/>
            <w:tcBorders>
              <w:top w:val="single" w:sz="4" w:space="0" w:color="auto"/>
              <w:left w:val="single" w:sz="4" w:space="0" w:color="auto"/>
              <w:bottom w:val="single" w:sz="4" w:space="0" w:color="auto"/>
              <w:right w:val="single" w:sz="4" w:space="0" w:color="auto"/>
            </w:tcBorders>
            <w:shd w:val="clear" w:color="auto" w:fill="C00000"/>
            <w:noWrap/>
            <w:vAlign w:val="bottom"/>
            <w:hideMark/>
          </w:tcPr>
          <w:p w14:paraId="184BC432" w14:textId="77777777" w:rsidR="00F37251" w:rsidRPr="004866BE" w:rsidRDefault="00F37251" w:rsidP="00F37251">
            <w:pPr>
              <w:spacing w:after="0" w:line="240" w:lineRule="auto"/>
              <w:jc w:val="center"/>
              <w:rPr>
                <w:rFonts w:eastAsia="Times New Roman"/>
                <w:b/>
                <w:color w:val="FFFFFF"/>
                <w:sz w:val="16"/>
                <w:lang w:eastAsia="en-AU"/>
              </w:rPr>
            </w:pPr>
            <w:r w:rsidRPr="004866BE">
              <w:rPr>
                <w:rFonts w:eastAsia="Times New Roman"/>
                <w:b/>
                <w:color w:val="FFFFFF"/>
                <w:sz w:val="16"/>
                <w:lang w:eastAsia="en-AU"/>
              </w:rPr>
              <w:t>Scre</w:t>
            </w:r>
            <w:r w:rsidR="00B26ED3" w:rsidRPr="004866BE">
              <w:rPr>
                <w:rFonts w:eastAsia="Times New Roman"/>
                <w:b/>
                <w:color w:val="FFFFFF"/>
                <w:sz w:val="16"/>
                <w:lang w:eastAsia="en-AU"/>
              </w:rPr>
              <w:t>e</w:t>
            </w:r>
            <w:r w:rsidRPr="004866BE">
              <w:rPr>
                <w:rFonts w:eastAsia="Times New Roman"/>
                <w:b/>
                <w:color w:val="FFFFFF"/>
                <w:sz w:val="16"/>
                <w:lang w:eastAsia="en-AU"/>
              </w:rPr>
              <w:t>ning Pause</w:t>
            </w:r>
          </w:p>
        </w:tc>
        <w:tc>
          <w:tcPr>
            <w:tcW w:w="14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27227" w14:textId="77777777" w:rsidR="00F37251" w:rsidRPr="004866BE" w:rsidRDefault="00F37251" w:rsidP="00F37251">
            <w:pPr>
              <w:spacing w:after="0" w:line="240" w:lineRule="auto"/>
              <w:jc w:val="center"/>
              <w:rPr>
                <w:rFonts w:eastAsia="Times New Roman"/>
                <w:color w:val="FFD966"/>
                <w:sz w:val="16"/>
                <w:lang w:eastAsia="en-AU"/>
              </w:rPr>
            </w:pPr>
            <w:r w:rsidRPr="004866BE">
              <w:rPr>
                <w:rFonts w:eastAsia="Times New Roman"/>
                <w:color w:val="FFD966"/>
                <w:sz w:val="16"/>
                <w:lang w:eastAsia="en-AU"/>
              </w:rPr>
              <w:t> </w:t>
            </w:r>
          </w:p>
        </w:tc>
        <w:tc>
          <w:tcPr>
            <w:tcW w:w="585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220A7" w14:textId="77777777" w:rsidR="00F37251" w:rsidRPr="004866BE" w:rsidRDefault="00F37251" w:rsidP="00F37251">
            <w:pPr>
              <w:spacing w:after="0" w:line="240" w:lineRule="auto"/>
              <w:jc w:val="center"/>
              <w:rPr>
                <w:rFonts w:eastAsia="Times New Roman"/>
                <w:color w:val="FFD966"/>
                <w:sz w:val="16"/>
                <w:lang w:eastAsia="en-AU"/>
              </w:rPr>
            </w:pPr>
            <w:r w:rsidRPr="004866BE">
              <w:rPr>
                <w:rFonts w:eastAsia="Times New Roman"/>
                <w:color w:val="FFD966"/>
                <w:sz w:val="16"/>
                <w:lang w:eastAsia="en-AU"/>
              </w:rPr>
              <w:t> </w:t>
            </w: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B8261" w14:textId="77777777" w:rsidR="00F37251" w:rsidRPr="004866BE" w:rsidRDefault="00F37251" w:rsidP="00F37251">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471" w:type="dxa"/>
            <w:tcBorders>
              <w:top w:val="nil"/>
              <w:left w:val="single" w:sz="4" w:space="0" w:color="auto"/>
              <w:bottom w:val="single" w:sz="4" w:space="0" w:color="auto"/>
              <w:right w:val="single" w:sz="8" w:space="0" w:color="auto"/>
            </w:tcBorders>
            <w:shd w:val="clear" w:color="auto" w:fill="A9D08E"/>
            <w:noWrap/>
            <w:vAlign w:val="bottom"/>
            <w:hideMark/>
          </w:tcPr>
          <w:p w14:paraId="3705A9AB" w14:textId="77777777" w:rsidR="00F37251" w:rsidRPr="004866BE" w:rsidRDefault="00F37251" w:rsidP="00F37251">
            <w:pPr>
              <w:spacing w:after="0" w:line="240" w:lineRule="auto"/>
              <w:rPr>
                <w:rFonts w:eastAsia="Times New Roman"/>
                <w:color w:val="305496"/>
                <w:sz w:val="16"/>
                <w:lang w:eastAsia="en-AU"/>
              </w:rPr>
            </w:pPr>
            <w:r w:rsidRPr="004866BE">
              <w:rPr>
                <w:rFonts w:eastAsia="Times New Roman"/>
                <w:color w:val="305496"/>
                <w:sz w:val="16"/>
                <w:lang w:eastAsia="en-AU"/>
              </w:rPr>
              <w:t> </w:t>
            </w:r>
          </w:p>
        </w:tc>
      </w:tr>
      <w:tr w:rsidR="004F335F" w:rsidRPr="004866BE" w14:paraId="44F333E3" w14:textId="77777777" w:rsidTr="008718F8">
        <w:trPr>
          <w:trHeight w:val="1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62336"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Other Cohorts</w:t>
            </w:r>
          </w:p>
        </w:tc>
        <w:tc>
          <w:tcPr>
            <w:tcW w:w="1707" w:type="dxa"/>
            <w:gridSpan w:val="3"/>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5D918F21" w14:textId="77777777" w:rsidR="00F37251" w:rsidRPr="004866BE" w:rsidRDefault="00F37251" w:rsidP="00F37251">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305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CCDE4"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 </w:t>
            </w:r>
          </w:p>
        </w:tc>
        <w:tc>
          <w:tcPr>
            <w:tcW w:w="465"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35E362B2"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6F4E0959"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1FC98E80"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851" w:type="dxa"/>
            <w:gridSpan w:val="12"/>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126C7F06"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 </w:t>
            </w:r>
          </w:p>
        </w:tc>
        <w:tc>
          <w:tcPr>
            <w:tcW w:w="1929" w:type="dxa"/>
            <w:gridSpan w:val="4"/>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6751B755" w14:textId="77777777" w:rsidR="00F37251" w:rsidRPr="004866BE" w:rsidRDefault="00F37251" w:rsidP="00F37251">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r>
      <w:tr w:rsidR="008718F8" w:rsidRPr="004866BE" w14:paraId="2E8D38E8" w14:textId="77777777" w:rsidTr="000C136E">
        <w:trPr>
          <w:trHeight w:val="227"/>
        </w:trPr>
        <w:tc>
          <w:tcPr>
            <w:tcW w:w="15452" w:type="dxa"/>
            <w:gridSpan w:val="2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42FDE" w14:textId="31115F91" w:rsidR="008718F8" w:rsidRPr="004866BE" w:rsidRDefault="008718F8" w:rsidP="00F37251">
            <w:pPr>
              <w:spacing w:after="0" w:line="240" w:lineRule="auto"/>
              <w:rPr>
                <w:rFonts w:eastAsia="Times New Roman"/>
                <w:sz w:val="20"/>
                <w:lang w:eastAsia="en-AU"/>
              </w:rPr>
            </w:pPr>
            <w:r w:rsidRPr="004866BE">
              <w:rPr>
                <w:rFonts w:eastAsia="Times New Roman"/>
                <w:color w:val="000000"/>
                <w:sz w:val="16"/>
                <w:lang w:eastAsia="en-AU"/>
              </w:rPr>
              <w:t>Scenario 3: 12-month program pause, no catch-up screening, 12 month reduced participation recovery period</w:t>
            </w:r>
          </w:p>
        </w:tc>
      </w:tr>
      <w:tr w:rsidR="00F37251" w:rsidRPr="004866BE" w14:paraId="05EC719E" w14:textId="77777777" w:rsidTr="008718F8">
        <w:trPr>
          <w:trHeight w:val="1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CED47" w14:textId="77777777" w:rsidR="00F37251" w:rsidRPr="004866BE" w:rsidRDefault="00F37251" w:rsidP="00F37251">
            <w:pPr>
              <w:spacing w:after="0" w:line="240" w:lineRule="auto"/>
              <w:rPr>
                <w:rFonts w:eastAsia="Times New Roman"/>
                <w:sz w:val="20"/>
                <w:lang w:eastAsia="en-AU"/>
              </w:rPr>
            </w:pPr>
          </w:p>
        </w:tc>
        <w:tc>
          <w:tcPr>
            <w:tcW w:w="623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7A432"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2020</w:t>
            </w:r>
          </w:p>
        </w:tc>
        <w:tc>
          <w:tcPr>
            <w:tcW w:w="585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2DF1D"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2021</w:t>
            </w:r>
          </w:p>
        </w:tc>
        <w:tc>
          <w:tcPr>
            <w:tcW w:w="19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64A48"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2022</w:t>
            </w:r>
          </w:p>
        </w:tc>
      </w:tr>
      <w:tr w:rsidR="004F335F" w:rsidRPr="004866BE" w14:paraId="76D24FC6" w14:textId="77777777" w:rsidTr="008718F8">
        <w:trPr>
          <w:trHeight w:val="1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F7C7C" w14:textId="77777777" w:rsidR="00F37251" w:rsidRPr="004866BE" w:rsidRDefault="00F37251" w:rsidP="00F37251">
            <w:pPr>
              <w:spacing w:after="0" w:line="240" w:lineRule="auto"/>
              <w:jc w:val="center"/>
              <w:rPr>
                <w:rFonts w:eastAsia="Times New Roman"/>
                <w:color w:val="000000"/>
                <w:sz w:val="16"/>
                <w:lang w:eastAsia="en-A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782D4"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2DA6E"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27884"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62F86"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Apr</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A2422"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May</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92150"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Jun</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FE8BB"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Jul</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032A3"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Aug</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375D9"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Sep</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CEF7B"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Oct</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C2005"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Nov</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52D97"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Dec</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2E886"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F4162"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C2B3D"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38673"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Apr</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9A19A"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May</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950C8"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Jun</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CFF91"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Jul</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541A1"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Aug</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3A350"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Sep</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D2E7F"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Oct</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D9056"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Nov</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6F0AF"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Dec</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C4151"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28ECC"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D282A"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471" w:type="dxa"/>
            <w:tcBorders>
              <w:top w:val="single" w:sz="4" w:space="0" w:color="auto"/>
              <w:left w:val="nil"/>
              <w:bottom w:val="single" w:sz="8" w:space="0" w:color="auto"/>
              <w:right w:val="single" w:sz="8" w:space="0" w:color="auto"/>
            </w:tcBorders>
            <w:shd w:val="clear" w:color="auto" w:fill="auto"/>
            <w:noWrap/>
            <w:vAlign w:val="bottom"/>
            <w:hideMark/>
          </w:tcPr>
          <w:p w14:paraId="038A9712"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Apr</w:t>
            </w:r>
          </w:p>
        </w:tc>
      </w:tr>
      <w:tr w:rsidR="00E22598" w:rsidRPr="004866BE" w14:paraId="22BD4C5F" w14:textId="77777777" w:rsidTr="008718F8">
        <w:trPr>
          <w:trHeight w:val="1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B4EA5" w14:textId="77777777" w:rsidR="00F37251" w:rsidRPr="004866BE" w:rsidRDefault="005E0C10" w:rsidP="00F37251">
            <w:pPr>
              <w:spacing w:after="0" w:line="240" w:lineRule="auto"/>
              <w:rPr>
                <w:rFonts w:eastAsia="Times New Roman"/>
                <w:color w:val="000000"/>
                <w:sz w:val="16"/>
                <w:lang w:eastAsia="en-AU"/>
              </w:rPr>
            </w:pPr>
            <w:r w:rsidRPr="004866BE">
              <w:rPr>
                <w:rFonts w:eastAsia="Times New Roman"/>
                <w:color w:val="000000"/>
                <w:sz w:val="16"/>
                <w:lang w:eastAsia="en-AU"/>
              </w:rPr>
              <w:t xml:space="preserve">Paused </w:t>
            </w:r>
            <w:r w:rsidR="00F37251" w:rsidRPr="004866BE">
              <w:rPr>
                <w:rFonts w:eastAsia="Times New Roman"/>
                <w:color w:val="000000"/>
                <w:sz w:val="16"/>
                <w:lang w:eastAsia="en-AU"/>
              </w:rPr>
              <w:t>Cohort</w:t>
            </w:r>
          </w:p>
        </w:tc>
        <w:tc>
          <w:tcPr>
            <w:tcW w:w="6232" w:type="dxa"/>
            <w:gridSpan w:val="12"/>
            <w:tcBorders>
              <w:top w:val="single" w:sz="4" w:space="0" w:color="auto"/>
              <w:left w:val="single" w:sz="4" w:space="0" w:color="auto"/>
              <w:bottom w:val="single" w:sz="4" w:space="0" w:color="auto"/>
              <w:right w:val="single" w:sz="4" w:space="0" w:color="auto"/>
            </w:tcBorders>
            <w:shd w:val="clear" w:color="auto" w:fill="C00000"/>
            <w:noWrap/>
            <w:vAlign w:val="bottom"/>
            <w:hideMark/>
          </w:tcPr>
          <w:p w14:paraId="4D15098D" w14:textId="77777777" w:rsidR="00F37251" w:rsidRPr="004866BE" w:rsidRDefault="00F37251" w:rsidP="00F37251">
            <w:pPr>
              <w:spacing w:after="0" w:line="240" w:lineRule="auto"/>
              <w:jc w:val="center"/>
              <w:rPr>
                <w:rFonts w:eastAsia="Times New Roman"/>
                <w:b/>
                <w:color w:val="FFFFFF"/>
                <w:sz w:val="16"/>
                <w:lang w:eastAsia="en-AU"/>
              </w:rPr>
            </w:pPr>
            <w:r w:rsidRPr="004866BE">
              <w:rPr>
                <w:rFonts w:eastAsia="Times New Roman"/>
                <w:b/>
                <w:color w:val="FFFFFF"/>
                <w:sz w:val="16"/>
                <w:lang w:eastAsia="en-AU"/>
              </w:rPr>
              <w:t>Scre</w:t>
            </w:r>
            <w:r w:rsidR="00B26ED3" w:rsidRPr="004866BE">
              <w:rPr>
                <w:rFonts w:eastAsia="Times New Roman"/>
                <w:b/>
                <w:color w:val="FFFFFF"/>
                <w:sz w:val="16"/>
                <w:lang w:eastAsia="en-AU"/>
              </w:rPr>
              <w:t>e</w:t>
            </w:r>
            <w:r w:rsidRPr="004866BE">
              <w:rPr>
                <w:rFonts w:eastAsia="Times New Roman"/>
                <w:b/>
                <w:color w:val="FFFFFF"/>
                <w:sz w:val="16"/>
                <w:lang w:eastAsia="en-AU"/>
              </w:rPr>
              <w:t>ning Pause</w:t>
            </w:r>
          </w:p>
        </w:tc>
        <w:tc>
          <w:tcPr>
            <w:tcW w:w="585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C3892" w14:textId="77777777" w:rsidR="00F37251" w:rsidRPr="004866BE" w:rsidRDefault="00F37251" w:rsidP="00F37251">
            <w:pPr>
              <w:spacing w:after="0" w:line="240" w:lineRule="auto"/>
              <w:jc w:val="center"/>
              <w:rPr>
                <w:rFonts w:eastAsia="Times New Roman"/>
                <w:color w:val="FFD966"/>
                <w:sz w:val="16"/>
                <w:lang w:eastAsia="en-AU"/>
              </w:rPr>
            </w:pPr>
            <w:r w:rsidRPr="004866BE">
              <w:rPr>
                <w:rFonts w:eastAsia="Times New Roman"/>
                <w:color w:val="FFD966"/>
                <w:sz w:val="16"/>
                <w:lang w:eastAsia="en-AU"/>
              </w:rPr>
              <w:t> </w:t>
            </w:r>
          </w:p>
        </w:tc>
        <w:tc>
          <w:tcPr>
            <w:tcW w:w="1929" w:type="dxa"/>
            <w:gridSpan w:val="4"/>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44B3046B" w14:textId="77777777" w:rsidR="00F37251" w:rsidRPr="004866BE" w:rsidRDefault="00F37251" w:rsidP="00F37251">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r>
      <w:tr w:rsidR="00F37251" w:rsidRPr="004866BE" w14:paraId="30E6D269" w14:textId="77777777" w:rsidTr="008718F8">
        <w:trPr>
          <w:trHeight w:val="1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7A7A3"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Other Cohorts</w:t>
            </w:r>
          </w:p>
        </w:tc>
        <w:tc>
          <w:tcPr>
            <w:tcW w:w="623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6EADD" w14:textId="77777777" w:rsidR="00F37251" w:rsidRPr="004866BE" w:rsidRDefault="00F37251" w:rsidP="00F37251">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5851" w:type="dxa"/>
            <w:gridSpan w:val="12"/>
            <w:tcBorders>
              <w:top w:val="single" w:sz="4" w:space="0" w:color="auto"/>
              <w:left w:val="single" w:sz="4" w:space="0" w:color="auto"/>
              <w:bottom w:val="single" w:sz="4" w:space="0" w:color="auto"/>
              <w:right w:val="single" w:sz="4" w:space="0" w:color="auto"/>
            </w:tcBorders>
            <w:shd w:val="clear" w:color="auto" w:fill="9BC2E6"/>
            <w:noWrap/>
            <w:vAlign w:val="bottom"/>
            <w:hideMark/>
          </w:tcPr>
          <w:p w14:paraId="287CE12D" w14:textId="77777777" w:rsidR="00F37251" w:rsidRPr="004866BE" w:rsidRDefault="00F37251" w:rsidP="00F37251">
            <w:pPr>
              <w:spacing w:after="0" w:line="240" w:lineRule="auto"/>
              <w:jc w:val="center"/>
              <w:rPr>
                <w:rFonts w:eastAsia="Times New Roman"/>
                <w:b/>
                <w:color w:val="000000"/>
                <w:sz w:val="16"/>
                <w:lang w:eastAsia="en-AU"/>
              </w:rPr>
            </w:pPr>
            <w:r w:rsidRPr="004866BE">
              <w:rPr>
                <w:rFonts w:eastAsia="Times New Roman"/>
                <w:b/>
                <w:color w:val="000000"/>
                <w:sz w:val="16"/>
                <w:lang w:eastAsia="en-AU"/>
              </w:rPr>
              <w:t>Recovery period (~20% participation)</w:t>
            </w:r>
          </w:p>
        </w:tc>
        <w:tc>
          <w:tcPr>
            <w:tcW w:w="1929" w:type="dxa"/>
            <w:gridSpan w:val="4"/>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59D73A5C" w14:textId="77777777" w:rsidR="00F37251" w:rsidRPr="004866BE" w:rsidRDefault="00F37251" w:rsidP="00F37251">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r>
      <w:tr w:rsidR="008718F8" w:rsidRPr="004866BE" w14:paraId="0967EDCC" w14:textId="77777777" w:rsidTr="000C136E">
        <w:trPr>
          <w:trHeight w:val="170"/>
        </w:trPr>
        <w:tc>
          <w:tcPr>
            <w:tcW w:w="15452" w:type="dxa"/>
            <w:gridSpan w:val="2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2E780" w14:textId="3B1610CD" w:rsidR="008718F8" w:rsidRPr="004866BE" w:rsidRDefault="008718F8" w:rsidP="00F37251">
            <w:pPr>
              <w:spacing w:after="0" w:line="240" w:lineRule="auto"/>
              <w:rPr>
                <w:rFonts w:eastAsia="Times New Roman"/>
                <w:sz w:val="20"/>
                <w:lang w:eastAsia="en-AU"/>
              </w:rPr>
            </w:pPr>
            <w:r w:rsidRPr="004866BE">
              <w:rPr>
                <w:rFonts w:eastAsia="Times New Roman"/>
                <w:color w:val="000000"/>
                <w:sz w:val="16"/>
                <w:lang w:eastAsia="en-AU"/>
              </w:rPr>
              <w:t>Scenario 4: 3-month program pause, catch-up screening in 2020, 12 month reduced participation recovery period</w:t>
            </w:r>
          </w:p>
        </w:tc>
      </w:tr>
      <w:tr w:rsidR="00F37251" w:rsidRPr="004866BE" w14:paraId="66253382" w14:textId="77777777" w:rsidTr="008718F8">
        <w:trPr>
          <w:trHeight w:val="1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A6BD8" w14:textId="77777777" w:rsidR="00F37251" w:rsidRPr="004866BE" w:rsidRDefault="00F37251" w:rsidP="00F37251">
            <w:pPr>
              <w:spacing w:after="0" w:line="240" w:lineRule="auto"/>
              <w:rPr>
                <w:rFonts w:eastAsia="Times New Roman"/>
                <w:sz w:val="20"/>
                <w:lang w:eastAsia="en-AU"/>
              </w:rPr>
            </w:pPr>
          </w:p>
        </w:tc>
        <w:tc>
          <w:tcPr>
            <w:tcW w:w="623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83B46"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2020</w:t>
            </w:r>
          </w:p>
        </w:tc>
        <w:tc>
          <w:tcPr>
            <w:tcW w:w="585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6C55E"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2021</w:t>
            </w:r>
          </w:p>
        </w:tc>
        <w:tc>
          <w:tcPr>
            <w:tcW w:w="19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E984A"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2022</w:t>
            </w:r>
          </w:p>
        </w:tc>
      </w:tr>
      <w:tr w:rsidR="004F335F" w:rsidRPr="004866BE" w14:paraId="36F04996" w14:textId="77777777" w:rsidTr="008718F8">
        <w:trPr>
          <w:trHeight w:val="1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60055" w14:textId="77777777" w:rsidR="00F37251" w:rsidRPr="004866BE" w:rsidRDefault="00F37251" w:rsidP="00F37251">
            <w:pPr>
              <w:spacing w:after="0" w:line="240" w:lineRule="auto"/>
              <w:jc w:val="center"/>
              <w:rPr>
                <w:rFonts w:eastAsia="Times New Roman"/>
                <w:color w:val="000000"/>
                <w:sz w:val="16"/>
                <w:lang w:eastAsia="en-A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78B40"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6164D"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27226"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1DE0B"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Apr</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0155A"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May</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FFC5D"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Jun</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17C11"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Jul</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14A74"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Aug</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21969"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Sep</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59FBF"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Oct</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E2A9E"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Nov</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5CD22"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Dec</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B741C"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21915"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91C57"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0E3AF"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Apr</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BA59C"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May</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D473C"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Jun</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2A27D"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Jul</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05925"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Aug</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8C212"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Sep</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A2060"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Oct</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8FC0A"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Nov</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9B42C"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Dec</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1B9BA"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EE1D3"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A198C"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471" w:type="dxa"/>
            <w:tcBorders>
              <w:top w:val="single" w:sz="4" w:space="0" w:color="auto"/>
              <w:left w:val="nil"/>
              <w:bottom w:val="nil"/>
              <w:right w:val="single" w:sz="8" w:space="0" w:color="auto"/>
            </w:tcBorders>
            <w:shd w:val="clear" w:color="auto" w:fill="auto"/>
            <w:noWrap/>
            <w:vAlign w:val="bottom"/>
            <w:hideMark/>
          </w:tcPr>
          <w:p w14:paraId="7D72C4AE"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Apr</w:t>
            </w:r>
          </w:p>
        </w:tc>
      </w:tr>
      <w:tr w:rsidR="004F335F" w:rsidRPr="004866BE" w14:paraId="7A189D6C" w14:textId="77777777" w:rsidTr="008718F8">
        <w:trPr>
          <w:trHeight w:val="1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3DB6E" w14:textId="77777777" w:rsidR="00F37251" w:rsidRPr="004866BE" w:rsidRDefault="005E0C10" w:rsidP="00F37251">
            <w:pPr>
              <w:spacing w:after="0" w:line="240" w:lineRule="auto"/>
              <w:rPr>
                <w:rFonts w:eastAsia="Times New Roman"/>
                <w:color w:val="000000"/>
                <w:sz w:val="16"/>
                <w:lang w:eastAsia="en-AU"/>
              </w:rPr>
            </w:pPr>
            <w:r w:rsidRPr="004866BE">
              <w:rPr>
                <w:rFonts w:eastAsia="Times New Roman"/>
                <w:color w:val="000000"/>
                <w:sz w:val="16"/>
                <w:lang w:eastAsia="en-AU"/>
              </w:rPr>
              <w:t xml:space="preserve">Paused </w:t>
            </w:r>
            <w:r w:rsidR="00F37251" w:rsidRPr="004866BE">
              <w:rPr>
                <w:rFonts w:eastAsia="Times New Roman"/>
                <w:color w:val="000000"/>
                <w:sz w:val="16"/>
                <w:lang w:eastAsia="en-AU"/>
              </w:rPr>
              <w:t>Cohort</w:t>
            </w:r>
          </w:p>
        </w:tc>
        <w:tc>
          <w:tcPr>
            <w:tcW w:w="1707" w:type="dxa"/>
            <w:gridSpan w:val="3"/>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3545DFEE" w14:textId="77777777" w:rsidR="00F37251" w:rsidRPr="004866BE" w:rsidRDefault="00F37251" w:rsidP="00F37251">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1635" w:type="dxa"/>
            <w:gridSpan w:val="3"/>
            <w:tcBorders>
              <w:top w:val="single" w:sz="4" w:space="0" w:color="auto"/>
              <w:left w:val="single" w:sz="4" w:space="0" w:color="auto"/>
              <w:bottom w:val="single" w:sz="4" w:space="0" w:color="auto"/>
              <w:right w:val="single" w:sz="4" w:space="0" w:color="auto"/>
            </w:tcBorders>
            <w:shd w:val="clear" w:color="auto" w:fill="C00000"/>
            <w:noWrap/>
            <w:vAlign w:val="bottom"/>
            <w:hideMark/>
          </w:tcPr>
          <w:p w14:paraId="54AC868D" w14:textId="77777777" w:rsidR="00F37251" w:rsidRPr="004866BE" w:rsidRDefault="00F37251" w:rsidP="00F37251">
            <w:pPr>
              <w:spacing w:after="0" w:line="240" w:lineRule="auto"/>
              <w:rPr>
                <w:rFonts w:eastAsia="Times New Roman"/>
                <w:b/>
                <w:color w:val="FFFFFF"/>
                <w:sz w:val="16"/>
                <w:lang w:eastAsia="en-AU"/>
              </w:rPr>
            </w:pPr>
            <w:r w:rsidRPr="004866BE">
              <w:rPr>
                <w:rFonts w:eastAsia="Times New Roman"/>
                <w:b/>
                <w:color w:val="FFFFFF"/>
                <w:sz w:val="16"/>
                <w:lang w:eastAsia="en-AU"/>
              </w:rPr>
              <w:t>Scre</w:t>
            </w:r>
            <w:r w:rsidR="00B26ED3" w:rsidRPr="004866BE">
              <w:rPr>
                <w:rFonts w:eastAsia="Times New Roman"/>
                <w:b/>
                <w:color w:val="FFFFFF"/>
                <w:sz w:val="16"/>
                <w:lang w:eastAsia="en-AU"/>
              </w:rPr>
              <w:t>e</w:t>
            </w:r>
            <w:r w:rsidRPr="004866BE">
              <w:rPr>
                <w:rFonts w:eastAsia="Times New Roman"/>
                <w:b/>
                <w:color w:val="FFFFFF"/>
                <w:sz w:val="16"/>
                <w:lang w:eastAsia="en-AU"/>
              </w:rPr>
              <w:t>ning Pause</w:t>
            </w:r>
          </w:p>
        </w:tc>
        <w:tc>
          <w:tcPr>
            <w:tcW w:w="1423"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bottom"/>
            <w:hideMark/>
          </w:tcPr>
          <w:p w14:paraId="79B2A7EF" w14:textId="77777777" w:rsidR="00F37251" w:rsidRPr="004866BE" w:rsidRDefault="00F37251" w:rsidP="00F37251">
            <w:pPr>
              <w:spacing w:after="0" w:line="240" w:lineRule="auto"/>
              <w:jc w:val="center"/>
              <w:rPr>
                <w:rFonts w:eastAsia="Times New Roman"/>
                <w:b/>
                <w:sz w:val="16"/>
                <w:lang w:eastAsia="en-AU"/>
              </w:rPr>
            </w:pPr>
            <w:r w:rsidRPr="004866BE">
              <w:rPr>
                <w:rFonts w:eastAsia="Times New Roman"/>
                <w:b/>
                <w:sz w:val="16"/>
                <w:lang w:eastAsia="en-AU"/>
              </w:rPr>
              <w:t>Catch-up</w:t>
            </w:r>
          </w:p>
        </w:tc>
        <w:tc>
          <w:tcPr>
            <w:tcW w:w="14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17E6C" w14:textId="77777777" w:rsidR="00F37251" w:rsidRPr="004866BE" w:rsidRDefault="00F37251" w:rsidP="00F37251">
            <w:pPr>
              <w:spacing w:after="0" w:line="240" w:lineRule="auto"/>
              <w:jc w:val="center"/>
              <w:rPr>
                <w:rFonts w:eastAsia="Times New Roman"/>
                <w:color w:val="000000"/>
                <w:lang w:eastAsia="en-AU"/>
              </w:rPr>
            </w:pPr>
            <w:r w:rsidRPr="004866BE">
              <w:rPr>
                <w:rFonts w:eastAsia="Times New Roman"/>
                <w:color w:val="000000"/>
                <w:lang w:eastAsia="en-AU"/>
              </w:rPr>
              <w:t> </w:t>
            </w:r>
          </w:p>
        </w:tc>
        <w:tc>
          <w:tcPr>
            <w:tcW w:w="585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BE627" w14:textId="77777777" w:rsidR="00F37251" w:rsidRPr="004866BE" w:rsidRDefault="00F37251" w:rsidP="00F37251">
            <w:pPr>
              <w:spacing w:after="0" w:line="240" w:lineRule="auto"/>
              <w:jc w:val="center"/>
              <w:rPr>
                <w:rFonts w:eastAsia="Times New Roman"/>
                <w:color w:val="FFD966"/>
                <w:sz w:val="16"/>
                <w:lang w:eastAsia="en-AU"/>
              </w:rPr>
            </w:pPr>
            <w:r w:rsidRPr="004866BE">
              <w:rPr>
                <w:rFonts w:eastAsia="Times New Roman"/>
                <w:color w:val="FFD966"/>
                <w:sz w:val="16"/>
                <w:lang w:eastAsia="en-AU"/>
              </w:rPr>
              <w:t> </w:t>
            </w: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935BE" w14:textId="77777777" w:rsidR="00F37251" w:rsidRPr="004866BE" w:rsidRDefault="00F37251" w:rsidP="00F37251">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471" w:type="dxa"/>
            <w:tcBorders>
              <w:top w:val="single" w:sz="8" w:space="0" w:color="auto"/>
              <w:left w:val="single" w:sz="4" w:space="0" w:color="auto"/>
              <w:bottom w:val="single" w:sz="4" w:space="0" w:color="auto"/>
              <w:right w:val="single" w:sz="8" w:space="0" w:color="auto"/>
            </w:tcBorders>
            <w:shd w:val="clear" w:color="auto" w:fill="A9D08E"/>
            <w:noWrap/>
            <w:vAlign w:val="bottom"/>
            <w:hideMark/>
          </w:tcPr>
          <w:p w14:paraId="120F901F" w14:textId="77777777" w:rsidR="00F37251" w:rsidRPr="004866BE" w:rsidRDefault="00F37251" w:rsidP="00F37251">
            <w:pPr>
              <w:spacing w:after="0" w:line="240" w:lineRule="auto"/>
              <w:rPr>
                <w:rFonts w:eastAsia="Times New Roman"/>
                <w:color w:val="305496"/>
                <w:sz w:val="16"/>
                <w:lang w:eastAsia="en-AU"/>
              </w:rPr>
            </w:pPr>
            <w:r w:rsidRPr="004866BE">
              <w:rPr>
                <w:rFonts w:eastAsia="Times New Roman"/>
                <w:color w:val="305496"/>
                <w:sz w:val="16"/>
                <w:lang w:eastAsia="en-AU"/>
              </w:rPr>
              <w:t> </w:t>
            </w:r>
          </w:p>
        </w:tc>
      </w:tr>
      <w:tr w:rsidR="004F335F" w:rsidRPr="004866BE" w14:paraId="149185AC" w14:textId="77777777" w:rsidTr="008718F8">
        <w:trPr>
          <w:trHeight w:val="1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C1FDD"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Other Cohorts</w:t>
            </w:r>
          </w:p>
        </w:tc>
        <w:tc>
          <w:tcPr>
            <w:tcW w:w="1707" w:type="dxa"/>
            <w:gridSpan w:val="3"/>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723F1CDA" w14:textId="77777777" w:rsidR="00F37251" w:rsidRPr="004866BE" w:rsidRDefault="00F37251" w:rsidP="00F37251">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16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2C08B"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 </w:t>
            </w:r>
          </w:p>
        </w:tc>
        <w:tc>
          <w:tcPr>
            <w:tcW w:w="5812" w:type="dxa"/>
            <w:gridSpan w:val="12"/>
            <w:tcBorders>
              <w:top w:val="single" w:sz="4" w:space="0" w:color="auto"/>
              <w:left w:val="single" w:sz="4" w:space="0" w:color="auto"/>
              <w:bottom w:val="single" w:sz="4" w:space="0" w:color="auto"/>
              <w:right w:val="single" w:sz="4" w:space="0" w:color="auto"/>
            </w:tcBorders>
            <w:shd w:val="clear" w:color="auto" w:fill="9BC2E6"/>
            <w:noWrap/>
            <w:vAlign w:val="bottom"/>
            <w:hideMark/>
          </w:tcPr>
          <w:p w14:paraId="6DE17D51" w14:textId="77777777" w:rsidR="00F37251" w:rsidRPr="004866BE" w:rsidRDefault="00F37251" w:rsidP="00F37251">
            <w:pPr>
              <w:spacing w:after="0" w:line="240" w:lineRule="auto"/>
              <w:jc w:val="center"/>
              <w:rPr>
                <w:rFonts w:eastAsia="Times New Roman"/>
                <w:b/>
                <w:color w:val="000000"/>
                <w:sz w:val="16"/>
                <w:lang w:eastAsia="en-AU"/>
              </w:rPr>
            </w:pPr>
            <w:r w:rsidRPr="004866BE">
              <w:rPr>
                <w:rFonts w:eastAsia="Times New Roman"/>
                <w:b/>
                <w:color w:val="000000"/>
                <w:sz w:val="16"/>
                <w:lang w:eastAsia="en-AU"/>
              </w:rPr>
              <w:t>Recovery period (~20% participation)</w:t>
            </w:r>
          </w:p>
        </w:tc>
        <w:tc>
          <w:tcPr>
            <w:tcW w:w="2929" w:type="dxa"/>
            <w:gridSpan w:val="6"/>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7E91911F"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 </w:t>
            </w:r>
          </w:p>
        </w:tc>
        <w:tc>
          <w:tcPr>
            <w:tcW w:w="1929" w:type="dxa"/>
            <w:gridSpan w:val="4"/>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3179467A" w14:textId="77777777" w:rsidR="00F37251" w:rsidRPr="004866BE" w:rsidRDefault="00F37251" w:rsidP="00F37251">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r>
      <w:tr w:rsidR="008718F8" w:rsidRPr="004866BE" w14:paraId="15E5DAA4" w14:textId="77777777" w:rsidTr="000C136E">
        <w:trPr>
          <w:trHeight w:val="227"/>
        </w:trPr>
        <w:tc>
          <w:tcPr>
            <w:tcW w:w="15452" w:type="dxa"/>
            <w:gridSpan w:val="2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D1B1C" w14:textId="686759E4" w:rsidR="008718F8" w:rsidRPr="004866BE" w:rsidRDefault="008718F8" w:rsidP="00F37251">
            <w:pPr>
              <w:spacing w:after="0" w:line="240" w:lineRule="auto"/>
              <w:rPr>
                <w:rFonts w:eastAsia="Times New Roman"/>
                <w:sz w:val="20"/>
                <w:lang w:eastAsia="en-AU"/>
              </w:rPr>
            </w:pPr>
            <w:r w:rsidRPr="004866BE">
              <w:rPr>
                <w:rFonts w:eastAsia="Times New Roman"/>
                <w:color w:val="000000"/>
                <w:sz w:val="16"/>
                <w:lang w:eastAsia="en-AU"/>
              </w:rPr>
              <w:t>Scenario 5: 6-month program pause, catch-up screening in 2020/2021, 12 month reduced participation recovery period</w:t>
            </w:r>
          </w:p>
        </w:tc>
      </w:tr>
      <w:tr w:rsidR="00F37251" w:rsidRPr="004866BE" w14:paraId="25089C67" w14:textId="77777777" w:rsidTr="008718F8">
        <w:trPr>
          <w:trHeight w:val="1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17469" w14:textId="77777777" w:rsidR="00F37251" w:rsidRPr="004866BE" w:rsidRDefault="00F37251" w:rsidP="00F37251">
            <w:pPr>
              <w:spacing w:after="0" w:line="240" w:lineRule="auto"/>
              <w:rPr>
                <w:rFonts w:eastAsia="Times New Roman"/>
                <w:sz w:val="20"/>
                <w:lang w:eastAsia="en-AU"/>
              </w:rPr>
            </w:pPr>
          </w:p>
        </w:tc>
        <w:tc>
          <w:tcPr>
            <w:tcW w:w="623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BA7C8"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2020</w:t>
            </w:r>
          </w:p>
        </w:tc>
        <w:tc>
          <w:tcPr>
            <w:tcW w:w="585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049A4"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2021</w:t>
            </w:r>
          </w:p>
        </w:tc>
        <w:tc>
          <w:tcPr>
            <w:tcW w:w="19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61C4E"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2022</w:t>
            </w:r>
          </w:p>
        </w:tc>
      </w:tr>
      <w:tr w:rsidR="004F335F" w:rsidRPr="004866BE" w14:paraId="5DD1731B" w14:textId="77777777" w:rsidTr="008718F8">
        <w:trPr>
          <w:trHeight w:val="1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4DA82" w14:textId="77777777" w:rsidR="00F37251" w:rsidRPr="004866BE" w:rsidRDefault="00F37251" w:rsidP="00F37251">
            <w:pPr>
              <w:spacing w:after="0" w:line="240" w:lineRule="auto"/>
              <w:jc w:val="center"/>
              <w:rPr>
                <w:rFonts w:eastAsia="Times New Roman"/>
                <w:color w:val="000000"/>
                <w:sz w:val="16"/>
                <w:lang w:eastAsia="en-A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F84D1"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72CBB"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BBD81"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1C0DA"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Apr</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02D81"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May</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EA48E"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Jun</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B9B5A"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Jul</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39547"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Aug</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29D83"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Sep</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16077"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Oct</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E7FB6"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Nov</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631B9"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Dec</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E606B"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5DD62"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AE3BF"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00CD9"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Apr</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9C16A"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May</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DDE84"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Jun</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E5414"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Jul</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C7335"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Aug</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CA054"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Sep</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F9BD2"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Oct</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990F2"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Nov</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A5C98"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Dec</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F1468"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E7D72"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F69F1"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471" w:type="dxa"/>
            <w:tcBorders>
              <w:top w:val="single" w:sz="4" w:space="0" w:color="auto"/>
              <w:left w:val="nil"/>
              <w:bottom w:val="nil"/>
              <w:right w:val="single" w:sz="8" w:space="0" w:color="auto"/>
            </w:tcBorders>
            <w:shd w:val="clear" w:color="auto" w:fill="auto"/>
            <w:noWrap/>
            <w:vAlign w:val="bottom"/>
            <w:hideMark/>
          </w:tcPr>
          <w:p w14:paraId="7B3FE8C3"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Apr</w:t>
            </w:r>
          </w:p>
        </w:tc>
      </w:tr>
      <w:tr w:rsidR="004F335F" w:rsidRPr="004866BE" w14:paraId="7D11EADE" w14:textId="77777777" w:rsidTr="008718F8">
        <w:trPr>
          <w:trHeight w:val="1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9ACCC" w14:textId="77777777" w:rsidR="00F37251" w:rsidRPr="004866BE" w:rsidRDefault="005E0C10" w:rsidP="00F37251">
            <w:pPr>
              <w:spacing w:after="0" w:line="240" w:lineRule="auto"/>
              <w:rPr>
                <w:rFonts w:eastAsia="Times New Roman"/>
                <w:color w:val="000000"/>
                <w:sz w:val="16"/>
                <w:lang w:eastAsia="en-AU"/>
              </w:rPr>
            </w:pPr>
            <w:r w:rsidRPr="004866BE">
              <w:rPr>
                <w:rFonts w:eastAsia="Times New Roman"/>
                <w:color w:val="000000"/>
                <w:sz w:val="16"/>
                <w:lang w:eastAsia="en-AU"/>
              </w:rPr>
              <w:t xml:space="preserve">Paused </w:t>
            </w:r>
            <w:r w:rsidR="00F37251" w:rsidRPr="004866BE">
              <w:rPr>
                <w:rFonts w:eastAsia="Times New Roman"/>
                <w:color w:val="000000"/>
                <w:sz w:val="16"/>
                <w:lang w:eastAsia="en-AU"/>
              </w:rPr>
              <w:t>Cohort</w:t>
            </w:r>
          </w:p>
        </w:tc>
        <w:tc>
          <w:tcPr>
            <w:tcW w:w="1707" w:type="dxa"/>
            <w:gridSpan w:val="3"/>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0AA6EDB9" w14:textId="77777777" w:rsidR="00F37251" w:rsidRPr="004866BE" w:rsidRDefault="00F37251" w:rsidP="00F37251">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3058" w:type="dxa"/>
            <w:gridSpan w:val="6"/>
            <w:tcBorders>
              <w:top w:val="single" w:sz="4" w:space="0" w:color="auto"/>
              <w:left w:val="single" w:sz="4" w:space="0" w:color="auto"/>
              <w:bottom w:val="single" w:sz="4" w:space="0" w:color="auto"/>
              <w:right w:val="single" w:sz="4" w:space="0" w:color="auto"/>
            </w:tcBorders>
            <w:shd w:val="clear" w:color="auto" w:fill="C00000"/>
            <w:noWrap/>
            <w:vAlign w:val="bottom"/>
            <w:hideMark/>
          </w:tcPr>
          <w:p w14:paraId="40FA7CFE" w14:textId="77777777" w:rsidR="00F37251" w:rsidRPr="004866BE" w:rsidRDefault="00F37251" w:rsidP="00F37251">
            <w:pPr>
              <w:spacing w:after="0" w:line="240" w:lineRule="auto"/>
              <w:jc w:val="center"/>
              <w:rPr>
                <w:rFonts w:eastAsia="Times New Roman"/>
                <w:b/>
                <w:color w:val="FFFFFF"/>
                <w:sz w:val="16"/>
                <w:lang w:eastAsia="en-AU"/>
              </w:rPr>
            </w:pPr>
            <w:r w:rsidRPr="004866BE">
              <w:rPr>
                <w:rFonts w:eastAsia="Times New Roman"/>
                <w:b/>
                <w:color w:val="FFFFFF"/>
                <w:sz w:val="16"/>
                <w:lang w:eastAsia="en-AU"/>
              </w:rPr>
              <w:t>Scre</w:t>
            </w:r>
            <w:r w:rsidR="00B26ED3" w:rsidRPr="004866BE">
              <w:rPr>
                <w:rFonts w:eastAsia="Times New Roman"/>
                <w:b/>
                <w:color w:val="FFFFFF"/>
                <w:sz w:val="16"/>
                <w:lang w:eastAsia="en-AU"/>
              </w:rPr>
              <w:t>e</w:t>
            </w:r>
            <w:r w:rsidRPr="004866BE">
              <w:rPr>
                <w:rFonts w:eastAsia="Times New Roman"/>
                <w:b/>
                <w:color w:val="FFFFFF"/>
                <w:sz w:val="16"/>
                <w:lang w:eastAsia="en-AU"/>
              </w:rPr>
              <w:t>ning Pause</w:t>
            </w:r>
          </w:p>
        </w:tc>
        <w:tc>
          <w:tcPr>
            <w:tcW w:w="2925" w:type="dxa"/>
            <w:gridSpan w:val="6"/>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bottom"/>
            <w:hideMark/>
          </w:tcPr>
          <w:p w14:paraId="6499EB3F" w14:textId="77777777" w:rsidR="00F37251" w:rsidRPr="004866BE" w:rsidRDefault="00F37251" w:rsidP="00F37251">
            <w:pPr>
              <w:spacing w:after="0" w:line="240" w:lineRule="auto"/>
              <w:jc w:val="center"/>
              <w:rPr>
                <w:rFonts w:eastAsia="Times New Roman"/>
                <w:b/>
                <w:sz w:val="16"/>
                <w:lang w:eastAsia="en-AU"/>
              </w:rPr>
            </w:pPr>
            <w:r w:rsidRPr="004866BE">
              <w:rPr>
                <w:rFonts w:eastAsia="Times New Roman"/>
                <w:b/>
                <w:sz w:val="16"/>
                <w:lang w:eastAsia="en-AU"/>
              </w:rPr>
              <w:t>Catch-up</w:t>
            </w:r>
          </w:p>
        </w:tc>
        <w:tc>
          <w:tcPr>
            <w:tcW w:w="4393"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2BAF5" w14:textId="77777777" w:rsidR="00F37251" w:rsidRPr="004866BE" w:rsidRDefault="00F37251" w:rsidP="00F37251">
            <w:pPr>
              <w:spacing w:after="0" w:line="240" w:lineRule="auto"/>
              <w:jc w:val="center"/>
              <w:rPr>
                <w:rFonts w:eastAsia="Times New Roman"/>
                <w:color w:val="FFD966"/>
                <w:sz w:val="16"/>
                <w:lang w:eastAsia="en-AU"/>
              </w:rPr>
            </w:pPr>
            <w:r w:rsidRPr="004866BE">
              <w:rPr>
                <w:rFonts w:eastAsia="Times New Roman"/>
                <w:color w:val="FFD966"/>
                <w:sz w:val="16"/>
                <w:lang w:eastAsia="en-AU"/>
              </w:rPr>
              <w:t> </w:t>
            </w: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B387F" w14:textId="77777777" w:rsidR="00F37251" w:rsidRPr="004866BE" w:rsidRDefault="00F37251" w:rsidP="00F37251">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471" w:type="dxa"/>
            <w:tcBorders>
              <w:top w:val="single" w:sz="8" w:space="0" w:color="auto"/>
              <w:left w:val="single" w:sz="4" w:space="0" w:color="auto"/>
              <w:bottom w:val="single" w:sz="4" w:space="0" w:color="auto"/>
              <w:right w:val="single" w:sz="8" w:space="0" w:color="auto"/>
            </w:tcBorders>
            <w:shd w:val="clear" w:color="auto" w:fill="A9D08E"/>
            <w:noWrap/>
            <w:vAlign w:val="bottom"/>
            <w:hideMark/>
          </w:tcPr>
          <w:p w14:paraId="6D2344C3" w14:textId="77777777" w:rsidR="00F37251" w:rsidRPr="004866BE" w:rsidRDefault="00F37251" w:rsidP="00F37251">
            <w:pPr>
              <w:spacing w:after="0" w:line="240" w:lineRule="auto"/>
              <w:rPr>
                <w:rFonts w:eastAsia="Times New Roman"/>
                <w:color w:val="305496"/>
                <w:sz w:val="16"/>
                <w:lang w:eastAsia="en-AU"/>
              </w:rPr>
            </w:pPr>
            <w:r w:rsidRPr="004866BE">
              <w:rPr>
                <w:rFonts w:eastAsia="Times New Roman"/>
                <w:color w:val="305496"/>
                <w:sz w:val="16"/>
                <w:lang w:eastAsia="en-AU"/>
              </w:rPr>
              <w:t> </w:t>
            </w:r>
          </w:p>
        </w:tc>
      </w:tr>
      <w:tr w:rsidR="00E22598" w:rsidRPr="004866BE" w14:paraId="3C00055A" w14:textId="77777777" w:rsidTr="008718F8">
        <w:trPr>
          <w:trHeight w:val="170"/>
        </w:trPr>
        <w:tc>
          <w:tcPr>
            <w:tcW w:w="144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36C3492"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Other Cohorts</w:t>
            </w:r>
          </w:p>
        </w:tc>
        <w:tc>
          <w:tcPr>
            <w:tcW w:w="1707" w:type="dxa"/>
            <w:gridSpan w:val="3"/>
            <w:tcBorders>
              <w:top w:val="single" w:sz="4" w:space="0" w:color="auto"/>
              <w:left w:val="nil"/>
              <w:bottom w:val="single" w:sz="4" w:space="0" w:color="auto"/>
              <w:right w:val="single" w:sz="4" w:space="0" w:color="000000" w:themeColor="text1"/>
            </w:tcBorders>
            <w:shd w:val="clear" w:color="auto" w:fill="A9D08E"/>
            <w:noWrap/>
            <w:vAlign w:val="bottom"/>
            <w:hideMark/>
          </w:tcPr>
          <w:p w14:paraId="59298A7F" w14:textId="77777777" w:rsidR="00F37251" w:rsidRPr="004866BE" w:rsidRDefault="00F37251" w:rsidP="00F37251">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642" w:type="dxa"/>
            <w:tcBorders>
              <w:top w:val="nil"/>
              <w:left w:val="nil"/>
              <w:bottom w:val="single" w:sz="4" w:space="0" w:color="auto"/>
              <w:right w:val="nil"/>
            </w:tcBorders>
            <w:shd w:val="clear" w:color="auto" w:fill="auto"/>
            <w:noWrap/>
            <w:vAlign w:val="bottom"/>
            <w:hideMark/>
          </w:tcPr>
          <w:p w14:paraId="29B31297"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19" w:type="dxa"/>
            <w:tcBorders>
              <w:top w:val="nil"/>
              <w:left w:val="nil"/>
              <w:bottom w:val="single" w:sz="4" w:space="0" w:color="auto"/>
              <w:right w:val="nil"/>
            </w:tcBorders>
            <w:shd w:val="clear" w:color="auto" w:fill="auto"/>
            <w:noWrap/>
            <w:vAlign w:val="bottom"/>
            <w:hideMark/>
          </w:tcPr>
          <w:p w14:paraId="55DCE646"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74" w:type="dxa"/>
            <w:tcBorders>
              <w:top w:val="nil"/>
              <w:left w:val="nil"/>
              <w:bottom w:val="single" w:sz="4" w:space="0" w:color="auto"/>
              <w:right w:val="nil"/>
            </w:tcBorders>
            <w:shd w:val="clear" w:color="auto" w:fill="auto"/>
            <w:noWrap/>
            <w:vAlign w:val="bottom"/>
            <w:hideMark/>
          </w:tcPr>
          <w:p w14:paraId="167AE6D8"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21" w:type="dxa"/>
            <w:tcBorders>
              <w:top w:val="nil"/>
              <w:left w:val="nil"/>
              <w:bottom w:val="single" w:sz="4" w:space="0" w:color="auto"/>
              <w:right w:val="nil"/>
            </w:tcBorders>
            <w:shd w:val="clear" w:color="auto" w:fill="auto"/>
            <w:noWrap/>
            <w:vAlign w:val="bottom"/>
            <w:hideMark/>
          </w:tcPr>
          <w:p w14:paraId="03F6B707"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nil"/>
              <w:left w:val="nil"/>
              <w:bottom w:val="single" w:sz="4" w:space="0" w:color="auto"/>
              <w:right w:val="nil"/>
            </w:tcBorders>
            <w:shd w:val="clear" w:color="auto" w:fill="auto"/>
            <w:noWrap/>
            <w:vAlign w:val="bottom"/>
            <w:hideMark/>
          </w:tcPr>
          <w:p w14:paraId="2AD830C1"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nil"/>
              <w:left w:val="nil"/>
              <w:bottom w:val="single" w:sz="4" w:space="0" w:color="auto"/>
              <w:right w:val="single" w:sz="4" w:space="0" w:color="auto"/>
            </w:tcBorders>
            <w:shd w:val="clear" w:color="auto" w:fill="auto"/>
            <w:noWrap/>
            <w:vAlign w:val="bottom"/>
            <w:hideMark/>
          </w:tcPr>
          <w:p w14:paraId="42D33235" w14:textId="77777777" w:rsidR="00F37251" w:rsidRPr="004866BE" w:rsidRDefault="00F37251" w:rsidP="00F37251">
            <w:pPr>
              <w:spacing w:after="0" w:line="240" w:lineRule="auto"/>
              <w:rPr>
                <w:rFonts w:eastAsia="Times New Roman"/>
                <w:color w:val="000000"/>
                <w:lang w:eastAsia="en-AU"/>
              </w:rPr>
            </w:pPr>
            <w:r w:rsidRPr="004866BE">
              <w:rPr>
                <w:rFonts w:eastAsia="Times New Roman"/>
                <w:color w:val="000000"/>
                <w:lang w:eastAsia="en-AU"/>
              </w:rPr>
              <w:t> </w:t>
            </w:r>
          </w:p>
        </w:tc>
        <w:tc>
          <w:tcPr>
            <w:tcW w:w="5851" w:type="dxa"/>
            <w:gridSpan w:val="12"/>
            <w:tcBorders>
              <w:top w:val="single" w:sz="4" w:space="0" w:color="auto"/>
              <w:left w:val="nil"/>
              <w:bottom w:val="single" w:sz="4" w:space="0" w:color="auto"/>
              <w:right w:val="single" w:sz="4" w:space="0" w:color="000000" w:themeColor="text1"/>
            </w:tcBorders>
            <w:shd w:val="clear" w:color="auto" w:fill="9BC2E6"/>
            <w:noWrap/>
            <w:vAlign w:val="bottom"/>
            <w:hideMark/>
          </w:tcPr>
          <w:p w14:paraId="3B39E9C8" w14:textId="77777777" w:rsidR="00F37251" w:rsidRPr="004866BE" w:rsidRDefault="00F37251" w:rsidP="00F37251">
            <w:pPr>
              <w:spacing w:after="0" w:line="240" w:lineRule="auto"/>
              <w:jc w:val="center"/>
              <w:rPr>
                <w:rFonts w:eastAsia="Times New Roman"/>
                <w:b/>
                <w:color w:val="000000"/>
                <w:sz w:val="16"/>
                <w:lang w:eastAsia="en-AU"/>
              </w:rPr>
            </w:pPr>
            <w:r w:rsidRPr="004866BE">
              <w:rPr>
                <w:rFonts w:eastAsia="Times New Roman"/>
                <w:b/>
                <w:color w:val="000000"/>
                <w:sz w:val="16"/>
                <w:lang w:eastAsia="en-AU"/>
              </w:rPr>
              <w:t>Recovery period (~20% participation)</w:t>
            </w:r>
          </w:p>
        </w:tc>
        <w:tc>
          <w:tcPr>
            <w:tcW w:w="465" w:type="dxa"/>
            <w:tcBorders>
              <w:top w:val="nil"/>
              <w:left w:val="nil"/>
              <w:bottom w:val="single" w:sz="4" w:space="0" w:color="auto"/>
              <w:right w:val="nil"/>
            </w:tcBorders>
            <w:shd w:val="clear" w:color="auto" w:fill="A9D08E"/>
            <w:noWrap/>
            <w:vAlign w:val="bottom"/>
            <w:hideMark/>
          </w:tcPr>
          <w:p w14:paraId="37CA5EEB"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nil"/>
              <w:left w:val="nil"/>
              <w:bottom w:val="single" w:sz="4" w:space="0" w:color="auto"/>
              <w:right w:val="nil"/>
            </w:tcBorders>
            <w:shd w:val="clear" w:color="auto" w:fill="A9D08E"/>
            <w:noWrap/>
            <w:vAlign w:val="bottom"/>
            <w:hideMark/>
          </w:tcPr>
          <w:p w14:paraId="69A83F3A"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nil"/>
              <w:left w:val="nil"/>
              <w:bottom w:val="single" w:sz="4" w:space="0" w:color="auto"/>
              <w:right w:val="single" w:sz="8" w:space="0" w:color="auto"/>
            </w:tcBorders>
            <w:shd w:val="clear" w:color="auto" w:fill="A9D08E"/>
            <w:noWrap/>
            <w:vAlign w:val="bottom"/>
            <w:hideMark/>
          </w:tcPr>
          <w:p w14:paraId="768E7673"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1929" w:type="dxa"/>
            <w:gridSpan w:val="4"/>
            <w:tcBorders>
              <w:top w:val="single" w:sz="4" w:space="0" w:color="auto"/>
              <w:left w:val="nil"/>
              <w:bottom w:val="single" w:sz="4" w:space="0" w:color="auto"/>
              <w:right w:val="single" w:sz="8" w:space="0" w:color="000000" w:themeColor="text1"/>
            </w:tcBorders>
            <w:shd w:val="clear" w:color="auto" w:fill="A9D08E"/>
            <w:noWrap/>
            <w:vAlign w:val="bottom"/>
            <w:hideMark/>
          </w:tcPr>
          <w:p w14:paraId="52630693" w14:textId="77777777" w:rsidR="00F37251" w:rsidRPr="004866BE" w:rsidRDefault="00F37251" w:rsidP="00F37251">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r>
      <w:tr w:rsidR="008718F8" w:rsidRPr="004866BE" w14:paraId="67B59DF2" w14:textId="77777777" w:rsidTr="000C136E">
        <w:trPr>
          <w:trHeight w:val="227"/>
        </w:trPr>
        <w:tc>
          <w:tcPr>
            <w:tcW w:w="15452" w:type="dxa"/>
            <w:gridSpan w:val="2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C9E66" w14:textId="2F840493" w:rsidR="008718F8" w:rsidRPr="004866BE" w:rsidRDefault="008718F8" w:rsidP="00F37251">
            <w:pPr>
              <w:spacing w:after="0" w:line="240" w:lineRule="auto"/>
              <w:rPr>
                <w:rFonts w:eastAsia="Times New Roman"/>
                <w:sz w:val="20"/>
                <w:lang w:eastAsia="en-AU"/>
              </w:rPr>
            </w:pPr>
            <w:r w:rsidRPr="004866BE">
              <w:rPr>
                <w:rFonts w:eastAsia="Times New Roman"/>
                <w:color w:val="000000"/>
                <w:sz w:val="16"/>
                <w:lang w:eastAsia="en-AU"/>
              </w:rPr>
              <w:lastRenderedPageBreak/>
              <w:t xml:space="preserve">Scenario 6: 12-month program </w:t>
            </w:r>
            <w:proofErr w:type="gramStart"/>
            <w:r w:rsidRPr="004866BE">
              <w:rPr>
                <w:rFonts w:eastAsia="Times New Roman"/>
                <w:color w:val="000000"/>
                <w:sz w:val="16"/>
                <w:lang w:eastAsia="en-AU"/>
              </w:rPr>
              <w:t>pause ,</w:t>
            </w:r>
            <w:proofErr w:type="gramEnd"/>
            <w:r w:rsidRPr="004866BE">
              <w:rPr>
                <w:rFonts w:eastAsia="Times New Roman"/>
                <w:color w:val="000000"/>
                <w:sz w:val="16"/>
                <w:lang w:eastAsia="en-AU"/>
              </w:rPr>
              <w:t xml:space="preserve"> catch-up screening in 2021, no recovery period</w:t>
            </w:r>
          </w:p>
        </w:tc>
      </w:tr>
      <w:tr w:rsidR="00F37251" w:rsidRPr="004866BE" w14:paraId="59DC2D96" w14:textId="77777777" w:rsidTr="008718F8">
        <w:trPr>
          <w:trHeight w:val="1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94686" w14:textId="77777777" w:rsidR="00F37251" w:rsidRPr="004866BE" w:rsidRDefault="00F37251" w:rsidP="00F37251">
            <w:pPr>
              <w:spacing w:after="0" w:line="240" w:lineRule="auto"/>
              <w:rPr>
                <w:rFonts w:eastAsia="Times New Roman"/>
                <w:sz w:val="20"/>
                <w:lang w:eastAsia="en-AU"/>
              </w:rPr>
            </w:pPr>
          </w:p>
        </w:tc>
        <w:tc>
          <w:tcPr>
            <w:tcW w:w="623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354F3"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2020</w:t>
            </w:r>
          </w:p>
        </w:tc>
        <w:tc>
          <w:tcPr>
            <w:tcW w:w="585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ED90C"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2021</w:t>
            </w:r>
          </w:p>
        </w:tc>
        <w:tc>
          <w:tcPr>
            <w:tcW w:w="19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99B6B"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2022</w:t>
            </w:r>
          </w:p>
        </w:tc>
      </w:tr>
      <w:tr w:rsidR="004F335F" w:rsidRPr="004866BE" w14:paraId="42EB45EA" w14:textId="77777777" w:rsidTr="008718F8">
        <w:trPr>
          <w:trHeight w:val="1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DCBE6" w14:textId="77777777" w:rsidR="00F37251" w:rsidRPr="004866BE" w:rsidRDefault="00F37251" w:rsidP="00F37251">
            <w:pPr>
              <w:spacing w:after="0" w:line="240" w:lineRule="auto"/>
              <w:jc w:val="center"/>
              <w:rPr>
                <w:rFonts w:eastAsia="Times New Roman"/>
                <w:color w:val="000000"/>
                <w:sz w:val="16"/>
                <w:lang w:eastAsia="en-A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32C9"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D2926"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098BB"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0166D"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Apr</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91AEE"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May</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AF34E"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Jun</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4BED1"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Jul</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93CB3"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Aug</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AAAFF"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Sep</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EB7CD"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Oct</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E120A"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Nov</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6B697"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Dec</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79818"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2B760"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18BA8"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78532"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Apr</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DAEDA"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May</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992F3"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Jun</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73F21"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Jul</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DC06F"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Aug</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C4E4C"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Sep</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489A3"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Oct</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0E565"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Nov</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D097E"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Dec</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1EA49"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5BF3F"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6ADBB"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38A3D"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Apr</w:t>
            </w:r>
          </w:p>
        </w:tc>
      </w:tr>
      <w:tr w:rsidR="00E22598" w:rsidRPr="004866BE" w14:paraId="5D49AB08" w14:textId="77777777" w:rsidTr="008718F8">
        <w:trPr>
          <w:trHeight w:val="1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5F04F" w14:textId="77777777" w:rsidR="00F37251" w:rsidRPr="004866BE" w:rsidRDefault="005E0C10" w:rsidP="00F37251">
            <w:pPr>
              <w:spacing w:after="0" w:line="240" w:lineRule="auto"/>
              <w:rPr>
                <w:rFonts w:eastAsia="Times New Roman"/>
                <w:color w:val="000000"/>
                <w:sz w:val="16"/>
                <w:lang w:eastAsia="en-AU"/>
              </w:rPr>
            </w:pPr>
            <w:r w:rsidRPr="004866BE">
              <w:rPr>
                <w:rFonts w:eastAsia="Times New Roman"/>
                <w:color w:val="000000"/>
                <w:sz w:val="16"/>
                <w:lang w:eastAsia="en-AU"/>
              </w:rPr>
              <w:t xml:space="preserve">Paused </w:t>
            </w:r>
            <w:r w:rsidR="00F37251" w:rsidRPr="004866BE">
              <w:rPr>
                <w:rFonts w:eastAsia="Times New Roman"/>
                <w:color w:val="000000"/>
                <w:sz w:val="16"/>
                <w:lang w:eastAsia="en-AU"/>
              </w:rPr>
              <w:t>Cohort</w:t>
            </w:r>
          </w:p>
        </w:tc>
        <w:tc>
          <w:tcPr>
            <w:tcW w:w="6232" w:type="dxa"/>
            <w:gridSpan w:val="12"/>
            <w:tcBorders>
              <w:top w:val="single" w:sz="4" w:space="0" w:color="auto"/>
              <w:left w:val="single" w:sz="4" w:space="0" w:color="auto"/>
              <w:bottom w:val="single" w:sz="4" w:space="0" w:color="auto"/>
              <w:right w:val="single" w:sz="4" w:space="0" w:color="auto"/>
            </w:tcBorders>
            <w:shd w:val="clear" w:color="auto" w:fill="C00000"/>
            <w:noWrap/>
            <w:vAlign w:val="bottom"/>
            <w:hideMark/>
          </w:tcPr>
          <w:p w14:paraId="4E40D96B" w14:textId="77777777" w:rsidR="00F37251" w:rsidRPr="004866BE" w:rsidRDefault="00F37251" w:rsidP="00F37251">
            <w:pPr>
              <w:spacing w:after="0" w:line="240" w:lineRule="auto"/>
              <w:jc w:val="center"/>
              <w:rPr>
                <w:rFonts w:eastAsia="Times New Roman"/>
                <w:b/>
                <w:color w:val="FFFFFF"/>
                <w:sz w:val="16"/>
                <w:lang w:eastAsia="en-AU"/>
              </w:rPr>
            </w:pPr>
            <w:r w:rsidRPr="004866BE">
              <w:rPr>
                <w:rFonts w:eastAsia="Times New Roman"/>
                <w:b/>
                <w:color w:val="FFFFFF"/>
                <w:sz w:val="16"/>
                <w:lang w:eastAsia="en-AU"/>
              </w:rPr>
              <w:t>Scr</w:t>
            </w:r>
            <w:r w:rsidR="00B26ED3" w:rsidRPr="004866BE">
              <w:rPr>
                <w:rFonts w:eastAsia="Times New Roman"/>
                <w:b/>
                <w:color w:val="FFFFFF"/>
                <w:sz w:val="16"/>
                <w:lang w:eastAsia="en-AU"/>
              </w:rPr>
              <w:t>e</w:t>
            </w:r>
            <w:r w:rsidRPr="004866BE">
              <w:rPr>
                <w:rFonts w:eastAsia="Times New Roman"/>
                <w:b/>
                <w:color w:val="FFFFFF"/>
                <w:sz w:val="16"/>
                <w:lang w:eastAsia="en-AU"/>
              </w:rPr>
              <w:t>ening Pause</w:t>
            </w:r>
          </w:p>
        </w:tc>
        <w:tc>
          <w:tcPr>
            <w:tcW w:w="5851" w:type="dxa"/>
            <w:gridSpan w:val="12"/>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bottom"/>
            <w:hideMark/>
          </w:tcPr>
          <w:p w14:paraId="28E1CC18" w14:textId="77777777" w:rsidR="00F37251" w:rsidRPr="004866BE" w:rsidRDefault="00F37251" w:rsidP="00F37251">
            <w:pPr>
              <w:spacing w:after="0" w:line="240" w:lineRule="auto"/>
              <w:jc w:val="center"/>
              <w:rPr>
                <w:rFonts w:eastAsia="Times New Roman"/>
                <w:b/>
                <w:sz w:val="16"/>
                <w:lang w:eastAsia="en-AU"/>
              </w:rPr>
            </w:pPr>
            <w:r w:rsidRPr="004866BE">
              <w:rPr>
                <w:rFonts w:eastAsia="Times New Roman"/>
                <w:b/>
                <w:sz w:val="16"/>
                <w:lang w:eastAsia="en-AU"/>
              </w:rPr>
              <w:t>Catch-up</w:t>
            </w:r>
          </w:p>
        </w:tc>
        <w:tc>
          <w:tcPr>
            <w:tcW w:w="1929" w:type="dxa"/>
            <w:gridSpan w:val="4"/>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795F6F9C" w14:textId="77777777" w:rsidR="00F37251" w:rsidRPr="004866BE" w:rsidRDefault="00F37251" w:rsidP="00F37251">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r>
      <w:tr w:rsidR="00F37251" w:rsidRPr="004866BE" w14:paraId="246DFBCA" w14:textId="77777777" w:rsidTr="008718F8">
        <w:trPr>
          <w:trHeight w:val="1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33961"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Other Cohorts</w:t>
            </w:r>
          </w:p>
        </w:tc>
        <w:tc>
          <w:tcPr>
            <w:tcW w:w="623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D3886" w14:textId="77777777" w:rsidR="00F37251" w:rsidRPr="004866BE" w:rsidRDefault="00F37251" w:rsidP="00F37251">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5851" w:type="dxa"/>
            <w:gridSpan w:val="12"/>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67DE30F0"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 </w:t>
            </w:r>
          </w:p>
        </w:tc>
        <w:tc>
          <w:tcPr>
            <w:tcW w:w="1929" w:type="dxa"/>
            <w:gridSpan w:val="4"/>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5208533C" w14:textId="77777777" w:rsidR="00F37251" w:rsidRPr="004866BE" w:rsidRDefault="00F37251" w:rsidP="00F37251">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r>
      <w:tr w:rsidR="00F37251" w:rsidRPr="004866BE" w14:paraId="7DB00A36" w14:textId="77777777" w:rsidTr="008718F8">
        <w:trPr>
          <w:trHeight w:val="227"/>
        </w:trPr>
        <w:tc>
          <w:tcPr>
            <w:tcW w:w="7672"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149CD"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 xml:space="preserve">Scenario 7: 12-month program </w:t>
            </w:r>
            <w:proofErr w:type="gramStart"/>
            <w:r w:rsidRPr="004866BE">
              <w:rPr>
                <w:rFonts w:eastAsia="Times New Roman"/>
                <w:color w:val="000000"/>
                <w:sz w:val="16"/>
                <w:lang w:eastAsia="en-AU"/>
              </w:rPr>
              <w:t>pause ,</w:t>
            </w:r>
            <w:proofErr w:type="gramEnd"/>
            <w:r w:rsidRPr="004866BE">
              <w:rPr>
                <w:rFonts w:eastAsia="Times New Roman"/>
                <w:color w:val="000000"/>
                <w:sz w:val="16"/>
                <w:lang w:eastAsia="en-AU"/>
              </w:rPr>
              <w:t xml:space="preserve"> catch-up screening in 2021, </w:t>
            </w:r>
            <w:r w:rsidR="00432E13" w:rsidRPr="004866BE">
              <w:rPr>
                <w:rFonts w:eastAsia="Times New Roman"/>
                <w:color w:val="000000"/>
                <w:sz w:val="16"/>
                <w:lang w:eastAsia="en-AU"/>
              </w:rPr>
              <w:t>reduced participation recovery period</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91A02" w14:textId="77777777" w:rsidR="00F37251" w:rsidRPr="004866BE" w:rsidRDefault="00F37251" w:rsidP="00F37251">
            <w:pPr>
              <w:spacing w:after="0" w:line="240" w:lineRule="auto"/>
              <w:rPr>
                <w:rFonts w:eastAsia="Times New Roman"/>
                <w:color w:val="000000"/>
                <w:sz w:val="16"/>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7A515" w14:textId="77777777" w:rsidR="00F37251" w:rsidRPr="004866BE" w:rsidRDefault="00F37251" w:rsidP="00F37251">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4CEE7" w14:textId="77777777" w:rsidR="00F37251" w:rsidRPr="004866BE" w:rsidRDefault="00F37251" w:rsidP="00F37251">
            <w:pPr>
              <w:spacing w:after="0" w:line="240" w:lineRule="auto"/>
              <w:rPr>
                <w:rFonts w:eastAsia="Times New Roman"/>
                <w:sz w:val="20"/>
                <w:lang w:eastAsia="en-AU"/>
              </w:rPr>
            </w:pP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23735" w14:textId="77777777" w:rsidR="00F37251" w:rsidRPr="004866BE" w:rsidRDefault="00F37251" w:rsidP="00F37251">
            <w:pPr>
              <w:spacing w:after="0" w:line="240" w:lineRule="auto"/>
              <w:rPr>
                <w:rFonts w:eastAsia="Times New Roman"/>
                <w:sz w:val="20"/>
                <w:lang w:eastAsia="en-AU"/>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CBB14" w14:textId="77777777" w:rsidR="00F37251" w:rsidRPr="004866BE" w:rsidRDefault="00F37251" w:rsidP="00F37251">
            <w:pPr>
              <w:spacing w:after="0" w:line="240" w:lineRule="auto"/>
              <w:rPr>
                <w:rFonts w:eastAsia="Times New Roman"/>
                <w:sz w:val="20"/>
                <w:lang w:eastAsia="en-AU"/>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1CB67" w14:textId="77777777" w:rsidR="00F37251" w:rsidRPr="004866BE" w:rsidRDefault="00F37251" w:rsidP="00F37251">
            <w:pPr>
              <w:spacing w:after="0" w:line="240" w:lineRule="auto"/>
              <w:rPr>
                <w:rFonts w:eastAsia="Times New Roman"/>
                <w:sz w:val="20"/>
                <w:lang w:eastAsia="en-AU"/>
              </w:rPr>
            </w:pP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4FFCB" w14:textId="77777777" w:rsidR="00F37251" w:rsidRPr="004866BE" w:rsidRDefault="00F37251" w:rsidP="00F37251">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5CC43" w14:textId="77777777" w:rsidR="00F37251" w:rsidRPr="004866BE" w:rsidRDefault="00F37251" w:rsidP="00F37251">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A050E" w14:textId="77777777" w:rsidR="00F37251" w:rsidRPr="004866BE" w:rsidRDefault="00F37251" w:rsidP="00F37251">
            <w:pPr>
              <w:spacing w:after="0" w:line="240" w:lineRule="auto"/>
              <w:rPr>
                <w:rFonts w:eastAsia="Times New Roman"/>
                <w:sz w:val="20"/>
                <w:lang w:eastAsia="en-AU"/>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08DFA" w14:textId="77777777" w:rsidR="00F37251" w:rsidRPr="004866BE" w:rsidRDefault="00F37251" w:rsidP="00F37251">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389E2" w14:textId="77777777" w:rsidR="00F37251" w:rsidRPr="004866BE" w:rsidRDefault="00F37251" w:rsidP="00F37251">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D89AD" w14:textId="77777777" w:rsidR="00F37251" w:rsidRPr="004866BE" w:rsidRDefault="00F37251" w:rsidP="00F37251">
            <w:pPr>
              <w:spacing w:after="0" w:line="240" w:lineRule="auto"/>
              <w:rPr>
                <w:rFonts w:eastAsia="Times New Roman"/>
                <w:sz w:val="20"/>
                <w:lang w:eastAsia="en-AU"/>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7A53D" w14:textId="77777777" w:rsidR="00F37251" w:rsidRPr="004866BE" w:rsidRDefault="00F37251" w:rsidP="00F37251">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AE482" w14:textId="77777777" w:rsidR="00F37251" w:rsidRPr="004866BE" w:rsidRDefault="00F37251" w:rsidP="00F37251">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D36C7" w14:textId="77777777" w:rsidR="00F37251" w:rsidRPr="004866BE" w:rsidRDefault="00F37251" w:rsidP="00F37251">
            <w:pPr>
              <w:spacing w:after="0" w:line="240" w:lineRule="auto"/>
              <w:rPr>
                <w:rFonts w:eastAsia="Times New Roman"/>
                <w:sz w:val="20"/>
                <w:lang w:eastAsia="en-AU"/>
              </w:rPr>
            </w:pP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B4B2F" w14:textId="77777777" w:rsidR="00F37251" w:rsidRPr="004866BE" w:rsidRDefault="00F37251" w:rsidP="00F37251">
            <w:pPr>
              <w:spacing w:after="0" w:line="240" w:lineRule="auto"/>
              <w:rPr>
                <w:rFonts w:eastAsia="Times New Roman"/>
                <w:sz w:val="20"/>
                <w:lang w:eastAsia="en-AU"/>
              </w:rPr>
            </w:pPr>
          </w:p>
        </w:tc>
      </w:tr>
      <w:tr w:rsidR="00F37251" w:rsidRPr="004866BE" w14:paraId="6921B7EE" w14:textId="77777777" w:rsidTr="008718F8">
        <w:trPr>
          <w:trHeight w:val="1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4A609" w14:textId="77777777" w:rsidR="00F37251" w:rsidRPr="004866BE" w:rsidRDefault="00F37251" w:rsidP="00F37251">
            <w:pPr>
              <w:spacing w:after="0" w:line="240" w:lineRule="auto"/>
              <w:rPr>
                <w:rFonts w:eastAsia="Times New Roman"/>
                <w:sz w:val="20"/>
                <w:lang w:eastAsia="en-AU"/>
              </w:rPr>
            </w:pPr>
          </w:p>
        </w:tc>
        <w:tc>
          <w:tcPr>
            <w:tcW w:w="623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2A12E"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2020</w:t>
            </w:r>
          </w:p>
        </w:tc>
        <w:tc>
          <w:tcPr>
            <w:tcW w:w="585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E297F"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2021</w:t>
            </w:r>
          </w:p>
        </w:tc>
        <w:tc>
          <w:tcPr>
            <w:tcW w:w="19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AA111" w14:textId="77777777" w:rsidR="00F37251" w:rsidRPr="004866BE" w:rsidRDefault="00F37251" w:rsidP="00F37251">
            <w:pPr>
              <w:spacing w:after="0" w:line="240" w:lineRule="auto"/>
              <w:jc w:val="center"/>
              <w:rPr>
                <w:rFonts w:eastAsia="Times New Roman"/>
                <w:color w:val="000000"/>
                <w:sz w:val="16"/>
                <w:lang w:eastAsia="en-AU"/>
              </w:rPr>
            </w:pPr>
            <w:r w:rsidRPr="004866BE">
              <w:rPr>
                <w:rFonts w:eastAsia="Times New Roman"/>
                <w:color w:val="000000"/>
                <w:sz w:val="16"/>
                <w:lang w:eastAsia="en-AU"/>
              </w:rPr>
              <w:t>2022</w:t>
            </w:r>
          </w:p>
        </w:tc>
      </w:tr>
      <w:tr w:rsidR="004F335F" w:rsidRPr="004866BE" w14:paraId="31374B46" w14:textId="77777777" w:rsidTr="008718F8">
        <w:trPr>
          <w:trHeight w:val="1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A0C7D" w14:textId="77777777" w:rsidR="00F37251" w:rsidRPr="004866BE" w:rsidRDefault="00F37251" w:rsidP="00F37251">
            <w:pPr>
              <w:spacing w:after="0" w:line="240" w:lineRule="auto"/>
              <w:jc w:val="center"/>
              <w:rPr>
                <w:rFonts w:eastAsia="Times New Roman"/>
                <w:color w:val="000000"/>
                <w:sz w:val="16"/>
                <w:lang w:eastAsia="en-A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DE7E3"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5A616"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183CA"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9C881"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Apr</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DDAE6"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May</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381D1"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Jun</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82E14"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Jul</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C988D"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Aug</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5002F"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Sep</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4F64D"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Oct</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9AFAF"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Nov</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57988"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Dec</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42FA5"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4B399"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AA237"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DE335"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Apr</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2502D"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May</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ACC14"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Jun</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3ED50"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Jul</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3EBEE"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Aug</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EE971"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Sep</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E880B"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Oct</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5C85D"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Nov</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484BC"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Dec</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4D7D2"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85D9E"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C576E"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2F96A"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Apr</w:t>
            </w:r>
          </w:p>
        </w:tc>
      </w:tr>
      <w:tr w:rsidR="00E22598" w:rsidRPr="004866BE" w14:paraId="73666E06" w14:textId="77777777" w:rsidTr="008718F8">
        <w:trPr>
          <w:trHeight w:val="1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F8842" w14:textId="77777777" w:rsidR="00F37251" w:rsidRPr="004866BE" w:rsidRDefault="005E0C10" w:rsidP="00F37251">
            <w:pPr>
              <w:spacing w:after="0" w:line="240" w:lineRule="auto"/>
              <w:rPr>
                <w:rFonts w:eastAsia="Times New Roman"/>
                <w:color w:val="000000"/>
                <w:sz w:val="16"/>
                <w:lang w:eastAsia="en-AU"/>
              </w:rPr>
            </w:pPr>
            <w:r w:rsidRPr="004866BE">
              <w:rPr>
                <w:rFonts w:eastAsia="Times New Roman"/>
                <w:color w:val="000000"/>
                <w:sz w:val="16"/>
                <w:lang w:eastAsia="en-AU"/>
              </w:rPr>
              <w:t xml:space="preserve">Paused </w:t>
            </w:r>
            <w:r w:rsidR="00F37251" w:rsidRPr="004866BE">
              <w:rPr>
                <w:rFonts w:eastAsia="Times New Roman"/>
                <w:color w:val="000000"/>
                <w:sz w:val="16"/>
                <w:lang w:eastAsia="en-AU"/>
              </w:rPr>
              <w:t>Cohort</w:t>
            </w:r>
          </w:p>
        </w:tc>
        <w:tc>
          <w:tcPr>
            <w:tcW w:w="6232" w:type="dxa"/>
            <w:gridSpan w:val="12"/>
            <w:tcBorders>
              <w:top w:val="single" w:sz="4" w:space="0" w:color="auto"/>
              <w:left w:val="single" w:sz="4" w:space="0" w:color="auto"/>
              <w:bottom w:val="single" w:sz="4" w:space="0" w:color="auto"/>
              <w:right w:val="single" w:sz="4" w:space="0" w:color="auto"/>
            </w:tcBorders>
            <w:shd w:val="clear" w:color="auto" w:fill="C00000"/>
            <w:noWrap/>
            <w:vAlign w:val="bottom"/>
            <w:hideMark/>
          </w:tcPr>
          <w:p w14:paraId="532B1EEC" w14:textId="77777777" w:rsidR="00F37251" w:rsidRPr="004866BE" w:rsidRDefault="00F37251" w:rsidP="00F37251">
            <w:pPr>
              <w:spacing w:after="0" w:line="240" w:lineRule="auto"/>
              <w:jc w:val="center"/>
              <w:rPr>
                <w:rFonts w:eastAsia="Times New Roman"/>
                <w:b/>
                <w:color w:val="FFFFFF"/>
                <w:sz w:val="16"/>
                <w:lang w:eastAsia="en-AU"/>
              </w:rPr>
            </w:pPr>
            <w:r w:rsidRPr="004866BE">
              <w:rPr>
                <w:rFonts w:eastAsia="Times New Roman"/>
                <w:b/>
                <w:color w:val="FFFFFF"/>
                <w:sz w:val="16"/>
                <w:lang w:eastAsia="en-AU"/>
              </w:rPr>
              <w:t>Scre</w:t>
            </w:r>
            <w:r w:rsidR="00B26ED3" w:rsidRPr="004866BE">
              <w:rPr>
                <w:rFonts w:eastAsia="Times New Roman"/>
                <w:b/>
                <w:color w:val="FFFFFF"/>
                <w:sz w:val="16"/>
                <w:lang w:eastAsia="en-AU"/>
              </w:rPr>
              <w:t>e</w:t>
            </w:r>
            <w:r w:rsidRPr="004866BE">
              <w:rPr>
                <w:rFonts w:eastAsia="Times New Roman"/>
                <w:b/>
                <w:color w:val="FFFFFF"/>
                <w:sz w:val="16"/>
                <w:lang w:eastAsia="en-AU"/>
              </w:rPr>
              <w:t>ning Pause</w:t>
            </w:r>
          </w:p>
        </w:tc>
        <w:tc>
          <w:tcPr>
            <w:tcW w:w="5851" w:type="dxa"/>
            <w:gridSpan w:val="12"/>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bottom"/>
            <w:hideMark/>
          </w:tcPr>
          <w:p w14:paraId="384E207F" w14:textId="77777777" w:rsidR="00F37251" w:rsidRPr="004866BE" w:rsidRDefault="00F37251" w:rsidP="00F37251">
            <w:pPr>
              <w:spacing w:after="0" w:line="240" w:lineRule="auto"/>
              <w:jc w:val="center"/>
              <w:rPr>
                <w:rFonts w:eastAsia="Times New Roman"/>
                <w:b/>
                <w:sz w:val="16"/>
                <w:lang w:eastAsia="en-AU"/>
              </w:rPr>
            </w:pPr>
            <w:r w:rsidRPr="004866BE">
              <w:rPr>
                <w:rFonts w:eastAsia="Times New Roman"/>
                <w:b/>
                <w:sz w:val="16"/>
                <w:lang w:eastAsia="en-AU"/>
              </w:rPr>
              <w:t>Catch-up</w:t>
            </w:r>
          </w:p>
        </w:tc>
        <w:tc>
          <w:tcPr>
            <w:tcW w:w="1929" w:type="dxa"/>
            <w:gridSpan w:val="4"/>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28417D08" w14:textId="77777777" w:rsidR="00F37251" w:rsidRPr="004866BE" w:rsidRDefault="00F37251" w:rsidP="00F37251">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r>
      <w:tr w:rsidR="00F37251" w:rsidRPr="004866BE" w14:paraId="5AA89FAB" w14:textId="77777777" w:rsidTr="008718F8">
        <w:trPr>
          <w:trHeight w:val="1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7DF61"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Other Cohorts</w:t>
            </w:r>
          </w:p>
        </w:tc>
        <w:tc>
          <w:tcPr>
            <w:tcW w:w="623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1682D" w14:textId="77777777" w:rsidR="00F37251" w:rsidRPr="004866BE" w:rsidRDefault="00F37251" w:rsidP="00F37251">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5851" w:type="dxa"/>
            <w:gridSpan w:val="12"/>
            <w:tcBorders>
              <w:top w:val="single" w:sz="4" w:space="0" w:color="auto"/>
              <w:left w:val="single" w:sz="4" w:space="0" w:color="auto"/>
              <w:bottom w:val="single" w:sz="4" w:space="0" w:color="auto"/>
              <w:right w:val="single" w:sz="4" w:space="0" w:color="auto"/>
            </w:tcBorders>
            <w:shd w:val="clear" w:color="auto" w:fill="9BC2E6"/>
            <w:noWrap/>
            <w:vAlign w:val="bottom"/>
            <w:hideMark/>
          </w:tcPr>
          <w:p w14:paraId="4FE65B51" w14:textId="77777777" w:rsidR="00F37251" w:rsidRPr="004866BE" w:rsidRDefault="00F37251" w:rsidP="00F37251">
            <w:pPr>
              <w:spacing w:after="0" w:line="240" w:lineRule="auto"/>
              <w:jc w:val="center"/>
              <w:rPr>
                <w:rFonts w:eastAsia="Times New Roman"/>
                <w:b/>
                <w:color w:val="000000"/>
                <w:sz w:val="16"/>
                <w:lang w:eastAsia="en-AU"/>
              </w:rPr>
            </w:pPr>
            <w:r w:rsidRPr="004866BE">
              <w:rPr>
                <w:rFonts w:eastAsia="Times New Roman"/>
                <w:b/>
                <w:color w:val="000000"/>
                <w:sz w:val="16"/>
                <w:lang w:eastAsia="en-AU"/>
              </w:rPr>
              <w:t>Recovery period (~20% participation)</w:t>
            </w:r>
          </w:p>
        </w:tc>
        <w:tc>
          <w:tcPr>
            <w:tcW w:w="1929" w:type="dxa"/>
            <w:gridSpan w:val="4"/>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534A0B84" w14:textId="77777777" w:rsidR="00F37251" w:rsidRPr="004866BE" w:rsidRDefault="00F37251" w:rsidP="00F37251">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r>
      <w:tr w:rsidR="008718F8" w:rsidRPr="008718F8" w14:paraId="1DD9B24E" w14:textId="77777777" w:rsidTr="008718F8">
        <w:trPr>
          <w:trHeight w:val="120"/>
        </w:trPr>
        <w:tc>
          <w:tcPr>
            <w:tcW w:w="15452" w:type="dxa"/>
            <w:gridSpan w:val="2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C33BE" w14:textId="052E98AC" w:rsidR="008718F8" w:rsidRPr="008718F8" w:rsidRDefault="008718F8" w:rsidP="008718F8">
            <w:pPr>
              <w:pStyle w:val="TableofFigures"/>
            </w:pPr>
            <w:r>
              <w:t>Notes</w:t>
            </w:r>
          </w:p>
        </w:tc>
      </w:tr>
      <w:tr w:rsidR="00E22598" w:rsidRPr="004866BE" w14:paraId="0C05C561" w14:textId="77777777" w:rsidTr="008718F8">
        <w:trPr>
          <w:trHeight w:val="113"/>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A093E" w14:textId="77777777" w:rsidR="00F37251" w:rsidRPr="004866BE" w:rsidRDefault="00F37251" w:rsidP="00F37251">
            <w:pPr>
              <w:spacing w:after="0" w:line="240" w:lineRule="auto"/>
              <w:rPr>
                <w:rFonts w:eastAsia="Times New Roman"/>
                <w:sz w:val="20"/>
                <w:lang w:eastAsia="en-AU"/>
              </w:rPr>
            </w:pPr>
          </w:p>
        </w:tc>
        <w:tc>
          <w:tcPr>
            <w:tcW w:w="705"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07615E21" w14:textId="77777777" w:rsidR="00F37251" w:rsidRPr="004866BE" w:rsidRDefault="00F37251" w:rsidP="00F37251">
            <w:pPr>
              <w:spacing w:after="0" w:line="240" w:lineRule="auto"/>
              <w:rPr>
                <w:rFonts w:eastAsia="Times New Roman"/>
                <w:color w:val="305496"/>
                <w:sz w:val="16"/>
                <w:lang w:eastAsia="en-AU"/>
              </w:rPr>
            </w:pPr>
            <w:r w:rsidRPr="004866BE">
              <w:rPr>
                <w:rFonts w:eastAsia="Times New Roman"/>
                <w:color w:val="305496"/>
                <w:sz w:val="16"/>
                <w:lang w:eastAsia="en-AU"/>
              </w:rPr>
              <w:t> </w:t>
            </w:r>
          </w:p>
        </w:tc>
        <w:tc>
          <w:tcPr>
            <w:tcW w:w="6493"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4B9DB"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Usual screening - observed participation rates (~40%) at usual invitation schedule</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AE44B" w14:textId="77777777" w:rsidR="00F37251" w:rsidRPr="004866BE" w:rsidRDefault="00F37251" w:rsidP="00F37251">
            <w:pPr>
              <w:spacing w:after="0" w:line="240" w:lineRule="auto"/>
              <w:rPr>
                <w:rFonts w:eastAsia="Times New Roman"/>
                <w:color w:val="000000"/>
                <w:sz w:val="16"/>
                <w:lang w:eastAsia="en-AU"/>
              </w:rPr>
            </w:pP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4F400" w14:textId="77777777" w:rsidR="00F37251" w:rsidRPr="004866BE" w:rsidRDefault="00F37251" w:rsidP="00F37251">
            <w:pPr>
              <w:spacing w:after="0" w:line="240" w:lineRule="auto"/>
              <w:rPr>
                <w:rFonts w:eastAsia="Times New Roman"/>
                <w:sz w:val="20"/>
                <w:lang w:eastAsia="en-AU"/>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18D47" w14:textId="77777777" w:rsidR="00F37251" w:rsidRPr="004866BE" w:rsidRDefault="00F37251" w:rsidP="00F37251">
            <w:pPr>
              <w:spacing w:after="0" w:line="240" w:lineRule="auto"/>
              <w:rPr>
                <w:rFonts w:eastAsia="Times New Roman"/>
                <w:sz w:val="20"/>
                <w:lang w:eastAsia="en-AU"/>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59824" w14:textId="77777777" w:rsidR="00F37251" w:rsidRPr="004866BE" w:rsidRDefault="00F37251" w:rsidP="00F37251">
            <w:pPr>
              <w:spacing w:after="0" w:line="240" w:lineRule="auto"/>
              <w:rPr>
                <w:rFonts w:eastAsia="Times New Roman"/>
                <w:sz w:val="20"/>
                <w:lang w:eastAsia="en-AU"/>
              </w:rPr>
            </w:pP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A4B29" w14:textId="77777777" w:rsidR="00F37251" w:rsidRPr="004866BE" w:rsidRDefault="00F37251" w:rsidP="00F37251">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23292" w14:textId="77777777" w:rsidR="00F37251" w:rsidRPr="004866BE" w:rsidRDefault="00F37251" w:rsidP="00F37251">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ADA3D" w14:textId="77777777" w:rsidR="00F37251" w:rsidRPr="004866BE" w:rsidRDefault="00F37251" w:rsidP="00F37251">
            <w:pPr>
              <w:spacing w:after="0" w:line="240" w:lineRule="auto"/>
              <w:rPr>
                <w:rFonts w:eastAsia="Times New Roman"/>
                <w:sz w:val="20"/>
                <w:lang w:eastAsia="en-AU"/>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2FC6" w14:textId="77777777" w:rsidR="00F37251" w:rsidRPr="004866BE" w:rsidRDefault="00F37251" w:rsidP="00F37251">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CA20F" w14:textId="77777777" w:rsidR="00F37251" w:rsidRPr="004866BE" w:rsidRDefault="00F37251" w:rsidP="00F37251">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1FF34" w14:textId="77777777" w:rsidR="00F37251" w:rsidRPr="004866BE" w:rsidRDefault="00F37251" w:rsidP="00F37251">
            <w:pPr>
              <w:spacing w:after="0" w:line="240" w:lineRule="auto"/>
              <w:rPr>
                <w:rFonts w:eastAsia="Times New Roman"/>
                <w:sz w:val="20"/>
                <w:lang w:eastAsia="en-AU"/>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83B25" w14:textId="77777777" w:rsidR="00F37251" w:rsidRPr="004866BE" w:rsidRDefault="00F37251" w:rsidP="00F37251">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1B856" w14:textId="77777777" w:rsidR="00F37251" w:rsidRPr="004866BE" w:rsidRDefault="00F37251" w:rsidP="00F37251">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97011" w14:textId="77777777" w:rsidR="00F37251" w:rsidRPr="004866BE" w:rsidRDefault="00F37251" w:rsidP="00F37251">
            <w:pPr>
              <w:spacing w:after="0" w:line="240" w:lineRule="auto"/>
              <w:rPr>
                <w:rFonts w:eastAsia="Times New Roman"/>
                <w:sz w:val="20"/>
                <w:lang w:eastAsia="en-AU"/>
              </w:rPr>
            </w:pP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D182F" w14:textId="77777777" w:rsidR="00F37251" w:rsidRPr="004866BE" w:rsidRDefault="00F37251" w:rsidP="00F37251">
            <w:pPr>
              <w:spacing w:after="0" w:line="240" w:lineRule="auto"/>
              <w:rPr>
                <w:rFonts w:eastAsia="Times New Roman"/>
                <w:sz w:val="20"/>
                <w:lang w:eastAsia="en-AU"/>
              </w:rPr>
            </w:pPr>
          </w:p>
        </w:tc>
      </w:tr>
      <w:tr w:rsidR="004F335F" w:rsidRPr="004866BE" w14:paraId="48FDA502" w14:textId="77777777" w:rsidTr="008718F8">
        <w:trPr>
          <w:trHeight w:val="113"/>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1C8EB" w14:textId="77777777" w:rsidR="00F37251" w:rsidRPr="004866BE" w:rsidRDefault="00F37251" w:rsidP="00F37251">
            <w:pPr>
              <w:spacing w:after="0" w:line="240" w:lineRule="auto"/>
              <w:rPr>
                <w:rFonts w:eastAsia="Times New Roman"/>
                <w:sz w:val="20"/>
                <w:lang w:eastAsia="en-AU"/>
              </w:rPr>
            </w:pPr>
          </w:p>
        </w:tc>
        <w:tc>
          <w:tcPr>
            <w:tcW w:w="705" w:type="dxa"/>
            <w:tcBorders>
              <w:top w:val="single" w:sz="4" w:space="0" w:color="auto"/>
              <w:left w:val="single" w:sz="4" w:space="0" w:color="auto"/>
              <w:bottom w:val="single" w:sz="4" w:space="0" w:color="auto"/>
              <w:right w:val="single" w:sz="4" w:space="0" w:color="auto"/>
            </w:tcBorders>
            <w:shd w:val="clear" w:color="auto" w:fill="C00000"/>
            <w:noWrap/>
            <w:vAlign w:val="bottom"/>
            <w:hideMark/>
          </w:tcPr>
          <w:p w14:paraId="2C35BF6E"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355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DB38F" w14:textId="77777777" w:rsidR="00F37251" w:rsidRPr="004866BE" w:rsidRDefault="4492A18E" w:rsidP="00F37251">
            <w:pPr>
              <w:spacing w:after="0" w:line="240" w:lineRule="auto"/>
              <w:rPr>
                <w:rFonts w:eastAsia="Times New Roman"/>
                <w:color w:val="000000"/>
                <w:sz w:val="16"/>
                <w:lang w:eastAsia="en-AU"/>
              </w:rPr>
            </w:pPr>
            <w:r w:rsidRPr="004866BE">
              <w:rPr>
                <w:rFonts w:eastAsia="Times New Roman"/>
                <w:color w:val="000000" w:themeColor="text1"/>
                <w:sz w:val="16"/>
                <w:lang w:eastAsia="en-AU"/>
              </w:rPr>
              <w:t>Disruption -</w:t>
            </w:r>
            <w:r w:rsidR="2D1C789F" w:rsidRPr="004866BE">
              <w:rPr>
                <w:rFonts w:eastAsia="Times New Roman"/>
                <w:color w:val="000000" w:themeColor="text1"/>
                <w:sz w:val="16"/>
                <w:lang w:eastAsia="en-AU"/>
              </w:rPr>
              <w:t xml:space="preserve"> no kits sent, no participation</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E2B33" w14:textId="77777777" w:rsidR="00F37251" w:rsidRPr="004866BE" w:rsidRDefault="00F37251" w:rsidP="00F37251">
            <w:pPr>
              <w:spacing w:after="0" w:line="240" w:lineRule="auto"/>
              <w:rPr>
                <w:rFonts w:eastAsia="Times New Roman"/>
                <w:color w:val="000000"/>
                <w:sz w:val="16"/>
                <w:lang w:eastAsia="en-AU"/>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C0A7B" w14:textId="77777777" w:rsidR="00F37251" w:rsidRPr="004866BE" w:rsidRDefault="00F37251" w:rsidP="00F37251">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B1169" w14:textId="77777777" w:rsidR="00F37251" w:rsidRPr="004866BE" w:rsidRDefault="00F37251" w:rsidP="00F37251">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7C561" w14:textId="77777777" w:rsidR="00F37251" w:rsidRPr="004866BE" w:rsidRDefault="00F37251" w:rsidP="00F37251">
            <w:pPr>
              <w:spacing w:after="0" w:line="240" w:lineRule="auto"/>
              <w:rPr>
                <w:rFonts w:eastAsia="Times New Roman"/>
                <w:sz w:val="20"/>
                <w:lang w:eastAsia="en-AU"/>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C0B14" w14:textId="77777777" w:rsidR="00F37251" w:rsidRPr="004866BE" w:rsidRDefault="00F37251" w:rsidP="00F37251">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1ED3D" w14:textId="77777777" w:rsidR="00F37251" w:rsidRPr="004866BE" w:rsidRDefault="00F37251" w:rsidP="00F37251">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6F102" w14:textId="77777777" w:rsidR="00F37251" w:rsidRPr="004866BE" w:rsidRDefault="00F37251" w:rsidP="00F37251">
            <w:pPr>
              <w:spacing w:after="0" w:line="240" w:lineRule="auto"/>
              <w:rPr>
                <w:rFonts w:eastAsia="Times New Roman"/>
                <w:sz w:val="20"/>
                <w:lang w:eastAsia="en-AU"/>
              </w:rPr>
            </w:pP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8CE3E" w14:textId="77777777" w:rsidR="00F37251" w:rsidRPr="004866BE" w:rsidRDefault="00F37251" w:rsidP="00F37251">
            <w:pPr>
              <w:spacing w:after="0" w:line="240" w:lineRule="auto"/>
              <w:rPr>
                <w:rFonts w:eastAsia="Times New Roman"/>
                <w:sz w:val="20"/>
                <w:lang w:eastAsia="en-AU"/>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CFC4F" w14:textId="77777777" w:rsidR="00F37251" w:rsidRPr="004866BE" w:rsidRDefault="00F37251" w:rsidP="00F37251">
            <w:pPr>
              <w:spacing w:after="0" w:line="240" w:lineRule="auto"/>
              <w:rPr>
                <w:rFonts w:eastAsia="Times New Roman"/>
                <w:sz w:val="20"/>
                <w:lang w:eastAsia="en-AU"/>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85018" w14:textId="77777777" w:rsidR="00F37251" w:rsidRPr="004866BE" w:rsidRDefault="00F37251" w:rsidP="00F37251">
            <w:pPr>
              <w:spacing w:after="0" w:line="240" w:lineRule="auto"/>
              <w:rPr>
                <w:rFonts w:eastAsia="Times New Roman"/>
                <w:sz w:val="20"/>
                <w:lang w:eastAsia="en-AU"/>
              </w:rPr>
            </w:pP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58A0C" w14:textId="77777777" w:rsidR="00F37251" w:rsidRPr="004866BE" w:rsidRDefault="00F37251" w:rsidP="00F37251">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DECB1" w14:textId="77777777" w:rsidR="00F37251" w:rsidRPr="004866BE" w:rsidRDefault="00F37251" w:rsidP="00F37251">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DFF5D" w14:textId="77777777" w:rsidR="00F37251" w:rsidRPr="004866BE" w:rsidRDefault="00F37251" w:rsidP="00F37251">
            <w:pPr>
              <w:spacing w:after="0" w:line="240" w:lineRule="auto"/>
              <w:rPr>
                <w:rFonts w:eastAsia="Times New Roman"/>
                <w:sz w:val="20"/>
                <w:lang w:eastAsia="en-AU"/>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A9469" w14:textId="77777777" w:rsidR="00F37251" w:rsidRPr="004866BE" w:rsidRDefault="00F37251" w:rsidP="00F37251">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C6347" w14:textId="77777777" w:rsidR="00F37251" w:rsidRPr="004866BE" w:rsidRDefault="00F37251" w:rsidP="00F37251">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95A2F" w14:textId="77777777" w:rsidR="00F37251" w:rsidRPr="004866BE" w:rsidRDefault="00F37251" w:rsidP="00F37251">
            <w:pPr>
              <w:spacing w:after="0" w:line="240" w:lineRule="auto"/>
              <w:rPr>
                <w:rFonts w:eastAsia="Times New Roman"/>
                <w:sz w:val="20"/>
                <w:lang w:eastAsia="en-AU"/>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58A2D" w14:textId="77777777" w:rsidR="00F37251" w:rsidRPr="004866BE" w:rsidRDefault="00F37251" w:rsidP="00F37251">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2B6AA" w14:textId="77777777" w:rsidR="00F37251" w:rsidRPr="004866BE" w:rsidRDefault="00F37251" w:rsidP="00F37251">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67B30" w14:textId="77777777" w:rsidR="00F37251" w:rsidRPr="004866BE" w:rsidRDefault="00F37251" w:rsidP="00F37251">
            <w:pPr>
              <w:spacing w:after="0" w:line="240" w:lineRule="auto"/>
              <w:rPr>
                <w:rFonts w:eastAsia="Times New Roman"/>
                <w:sz w:val="20"/>
                <w:lang w:eastAsia="en-AU"/>
              </w:rPr>
            </w:pP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0BBB4" w14:textId="77777777" w:rsidR="00F37251" w:rsidRPr="004866BE" w:rsidRDefault="00F37251" w:rsidP="00F37251">
            <w:pPr>
              <w:spacing w:after="0" w:line="240" w:lineRule="auto"/>
              <w:rPr>
                <w:rFonts w:eastAsia="Times New Roman"/>
                <w:sz w:val="20"/>
                <w:lang w:eastAsia="en-AU"/>
              </w:rPr>
            </w:pPr>
          </w:p>
        </w:tc>
      </w:tr>
      <w:tr w:rsidR="004F335F" w:rsidRPr="004866BE" w14:paraId="1046ABA7" w14:textId="77777777" w:rsidTr="008718F8">
        <w:trPr>
          <w:trHeight w:val="113"/>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0158B" w14:textId="77777777" w:rsidR="00F37251" w:rsidRPr="004866BE" w:rsidRDefault="00F37251" w:rsidP="00F37251">
            <w:pPr>
              <w:spacing w:after="0" w:line="240" w:lineRule="auto"/>
              <w:rPr>
                <w:rFonts w:eastAsia="Times New Roman"/>
                <w:sz w:val="20"/>
                <w:lang w:eastAsia="en-AU"/>
              </w:rPr>
            </w:pPr>
          </w:p>
        </w:tc>
        <w:tc>
          <w:tcPr>
            <w:tcW w:w="705"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bottom"/>
            <w:hideMark/>
          </w:tcPr>
          <w:p w14:paraId="0F374AD8" w14:textId="77777777" w:rsidR="00F37251" w:rsidRPr="004866BE" w:rsidRDefault="00F37251" w:rsidP="00F37251">
            <w:pPr>
              <w:spacing w:after="0" w:line="240" w:lineRule="auto"/>
              <w:rPr>
                <w:rFonts w:eastAsia="Times New Roman"/>
                <w:color w:val="FFD966"/>
                <w:sz w:val="16"/>
                <w:lang w:eastAsia="en-AU"/>
              </w:rPr>
            </w:pPr>
            <w:r w:rsidRPr="004866BE">
              <w:rPr>
                <w:rFonts w:eastAsia="Times New Roman"/>
                <w:color w:val="FFD966"/>
                <w:sz w:val="16"/>
                <w:lang w:eastAsia="en-AU"/>
              </w:rPr>
              <w:t> </w:t>
            </w:r>
          </w:p>
        </w:tc>
        <w:tc>
          <w:tcPr>
            <w:tcW w:w="6493"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EEFAC"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 xml:space="preserve">Catch-up screening - invites for people who missed out during the disruption </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D83F6" w14:textId="77777777" w:rsidR="00F37251" w:rsidRPr="004866BE" w:rsidRDefault="00F37251" w:rsidP="00F37251">
            <w:pPr>
              <w:spacing w:after="0" w:line="240" w:lineRule="auto"/>
              <w:rPr>
                <w:rFonts w:eastAsia="Times New Roman"/>
                <w:color w:val="000000"/>
                <w:sz w:val="16"/>
                <w:lang w:eastAsia="en-AU"/>
              </w:rPr>
            </w:pP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C2C1C" w14:textId="77777777" w:rsidR="00F37251" w:rsidRPr="004866BE" w:rsidRDefault="00F37251" w:rsidP="00F37251">
            <w:pPr>
              <w:spacing w:after="0" w:line="240" w:lineRule="auto"/>
              <w:rPr>
                <w:rFonts w:eastAsia="Times New Roman"/>
                <w:sz w:val="20"/>
                <w:lang w:eastAsia="en-AU"/>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533C4" w14:textId="77777777" w:rsidR="00F37251" w:rsidRPr="004866BE" w:rsidRDefault="00F37251" w:rsidP="00F37251">
            <w:pPr>
              <w:spacing w:after="0" w:line="240" w:lineRule="auto"/>
              <w:rPr>
                <w:rFonts w:eastAsia="Times New Roman"/>
                <w:sz w:val="20"/>
                <w:lang w:eastAsia="en-AU"/>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FE14F" w14:textId="77777777" w:rsidR="00F37251" w:rsidRPr="004866BE" w:rsidRDefault="00F37251" w:rsidP="00F37251">
            <w:pPr>
              <w:spacing w:after="0" w:line="240" w:lineRule="auto"/>
              <w:rPr>
                <w:rFonts w:eastAsia="Times New Roman"/>
                <w:sz w:val="20"/>
                <w:lang w:eastAsia="en-AU"/>
              </w:rPr>
            </w:pP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37E3E" w14:textId="77777777" w:rsidR="00F37251" w:rsidRPr="004866BE" w:rsidRDefault="00F37251" w:rsidP="00F37251">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F1BF6" w14:textId="77777777" w:rsidR="00F37251" w:rsidRPr="004866BE" w:rsidRDefault="00F37251" w:rsidP="00F37251">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0ADEA" w14:textId="77777777" w:rsidR="00F37251" w:rsidRPr="004866BE" w:rsidRDefault="00F37251" w:rsidP="00F37251">
            <w:pPr>
              <w:spacing w:after="0" w:line="240" w:lineRule="auto"/>
              <w:rPr>
                <w:rFonts w:eastAsia="Times New Roman"/>
                <w:sz w:val="20"/>
                <w:lang w:eastAsia="en-AU"/>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CEC76" w14:textId="77777777" w:rsidR="00F37251" w:rsidRPr="004866BE" w:rsidRDefault="00F37251" w:rsidP="00F37251">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8277C" w14:textId="77777777" w:rsidR="00F37251" w:rsidRPr="004866BE" w:rsidRDefault="00F37251" w:rsidP="00F37251">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F97DC" w14:textId="77777777" w:rsidR="00F37251" w:rsidRPr="004866BE" w:rsidRDefault="00F37251" w:rsidP="00F37251">
            <w:pPr>
              <w:spacing w:after="0" w:line="240" w:lineRule="auto"/>
              <w:rPr>
                <w:rFonts w:eastAsia="Times New Roman"/>
                <w:sz w:val="20"/>
                <w:lang w:eastAsia="en-AU"/>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1CEA0" w14:textId="77777777" w:rsidR="00F37251" w:rsidRPr="004866BE" w:rsidRDefault="00F37251" w:rsidP="00F37251">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0CC21" w14:textId="77777777" w:rsidR="00F37251" w:rsidRPr="004866BE" w:rsidRDefault="00F37251" w:rsidP="00F37251">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3FF81" w14:textId="77777777" w:rsidR="00F37251" w:rsidRPr="004866BE" w:rsidRDefault="00F37251" w:rsidP="00F37251">
            <w:pPr>
              <w:spacing w:after="0" w:line="240" w:lineRule="auto"/>
              <w:rPr>
                <w:rFonts w:eastAsia="Times New Roman"/>
                <w:sz w:val="20"/>
                <w:lang w:eastAsia="en-AU"/>
              </w:rPr>
            </w:pP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DD8E5" w14:textId="77777777" w:rsidR="00F37251" w:rsidRPr="004866BE" w:rsidRDefault="00F37251" w:rsidP="00F37251">
            <w:pPr>
              <w:spacing w:after="0" w:line="240" w:lineRule="auto"/>
              <w:rPr>
                <w:rFonts w:eastAsia="Times New Roman"/>
                <w:sz w:val="20"/>
                <w:lang w:eastAsia="en-AU"/>
              </w:rPr>
            </w:pPr>
          </w:p>
        </w:tc>
      </w:tr>
      <w:tr w:rsidR="004F335F" w:rsidRPr="004866BE" w14:paraId="5A0A13EB" w14:textId="77777777" w:rsidTr="008718F8">
        <w:trPr>
          <w:trHeight w:val="113"/>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3CCB6" w14:textId="77777777" w:rsidR="00F37251" w:rsidRPr="004866BE" w:rsidRDefault="00F37251" w:rsidP="00F37251">
            <w:pPr>
              <w:spacing w:after="0" w:line="240" w:lineRule="auto"/>
              <w:rPr>
                <w:rFonts w:eastAsia="Times New Roman"/>
                <w:sz w:val="20"/>
                <w:lang w:eastAsia="en-AU"/>
              </w:rPr>
            </w:pPr>
          </w:p>
        </w:tc>
        <w:tc>
          <w:tcPr>
            <w:tcW w:w="705"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18410796"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355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CB214" w14:textId="77777777" w:rsidR="00F37251" w:rsidRPr="004866BE" w:rsidRDefault="00F37251" w:rsidP="00F37251">
            <w:pPr>
              <w:spacing w:after="0" w:line="240" w:lineRule="auto"/>
              <w:rPr>
                <w:rFonts w:eastAsia="Times New Roman"/>
                <w:color w:val="000000"/>
                <w:sz w:val="16"/>
                <w:lang w:eastAsia="en-AU"/>
              </w:rPr>
            </w:pPr>
            <w:r w:rsidRPr="004866BE">
              <w:rPr>
                <w:rFonts w:eastAsia="Times New Roman"/>
                <w:color w:val="000000"/>
                <w:sz w:val="16"/>
                <w:lang w:eastAsia="en-AU"/>
              </w:rPr>
              <w:t>Recovery period - lower participation rates</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876AA" w14:textId="77777777" w:rsidR="00F37251" w:rsidRPr="004866BE" w:rsidRDefault="00F37251" w:rsidP="00F37251">
            <w:pPr>
              <w:spacing w:after="0" w:line="240" w:lineRule="auto"/>
              <w:rPr>
                <w:rFonts w:eastAsia="Times New Roman"/>
                <w:color w:val="000000"/>
                <w:sz w:val="16"/>
                <w:lang w:eastAsia="en-AU"/>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D49F3" w14:textId="77777777" w:rsidR="00F37251" w:rsidRPr="004866BE" w:rsidRDefault="00F37251" w:rsidP="00F37251">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AC239" w14:textId="77777777" w:rsidR="00F37251" w:rsidRPr="004866BE" w:rsidRDefault="00F37251" w:rsidP="00F37251">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9E177" w14:textId="77777777" w:rsidR="00F37251" w:rsidRPr="004866BE" w:rsidRDefault="00F37251" w:rsidP="00F37251">
            <w:pPr>
              <w:spacing w:after="0" w:line="240" w:lineRule="auto"/>
              <w:rPr>
                <w:rFonts w:eastAsia="Times New Roman"/>
                <w:sz w:val="20"/>
                <w:lang w:eastAsia="en-AU"/>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B8D7D" w14:textId="77777777" w:rsidR="00F37251" w:rsidRPr="004866BE" w:rsidRDefault="00F37251" w:rsidP="00F37251">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FC69C" w14:textId="77777777" w:rsidR="00F37251" w:rsidRPr="004866BE" w:rsidRDefault="00F37251" w:rsidP="00F37251">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30C1D" w14:textId="77777777" w:rsidR="00F37251" w:rsidRPr="004866BE" w:rsidRDefault="00F37251" w:rsidP="00F37251">
            <w:pPr>
              <w:spacing w:after="0" w:line="240" w:lineRule="auto"/>
              <w:rPr>
                <w:rFonts w:eastAsia="Times New Roman"/>
                <w:sz w:val="20"/>
                <w:lang w:eastAsia="en-AU"/>
              </w:rPr>
            </w:pP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48C46" w14:textId="77777777" w:rsidR="00F37251" w:rsidRPr="004866BE" w:rsidRDefault="00F37251" w:rsidP="00F37251">
            <w:pPr>
              <w:spacing w:after="0" w:line="240" w:lineRule="auto"/>
              <w:rPr>
                <w:rFonts w:eastAsia="Times New Roman"/>
                <w:sz w:val="20"/>
                <w:lang w:eastAsia="en-AU"/>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64E2B" w14:textId="77777777" w:rsidR="00F37251" w:rsidRPr="004866BE" w:rsidRDefault="00F37251" w:rsidP="00F37251">
            <w:pPr>
              <w:spacing w:after="0" w:line="240" w:lineRule="auto"/>
              <w:rPr>
                <w:rFonts w:eastAsia="Times New Roman"/>
                <w:sz w:val="20"/>
                <w:lang w:eastAsia="en-AU"/>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1A150" w14:textId="77777777" w:rsidR="00F37251" w:rsidRPr="004866BE" w:rsidRDefault="00F37251" w:rsidP="00F37251">
            <w:pPr>
              <w:spacing w:after="0" w:line="240" w:lineRule="auto"/>
              <w:rPr>
                <w:rFonts w:eastAsia="Times New Roman"/>
                <w:sz w:val="20"/>
                <w:lang w:eastAsia="en-AU"/>
              </w:rPr>
            </w:pP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63DCC" w14:textId="77777777" w:rsidR="00F37251" w:rsidRPr="004866BE" w:rsidRDefault="00F37251" w:rsidP="00F37251">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D9CBE" w14:textId="77777777" w:rsidR="00F37251" w:rsidRPr="004866BE" w:rsidRDefault="00F37251" w:rsidP="00F37251">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2F27F" w14:textId="77777777" w:rsidR="00F37251" w:rsidRPr="004866BE" w:rsidRDefault="00F37251" w:rsidP="00F37251">
            <w:pPr>
              <w:spacing w:after="0" w:line="240" w:lineRule="auto"/>
              <w:rPr>
                <w:rFonts w:eastAsia="Times New Roman"/>
                <w:sz w:val="20"/>
                <w:lang w:eastAsia="en-AU"/>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DEB4D" w14:textId="77777777" w:rsidR="00F37251" w:rsidRPr="004866BE" w:rsidRDefault="00F37251" w:rsidP="00F37251">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8916E" w14:textId="77777777" w:rsidR="00F37251" w:rsidRPr="004866BE" w:rsidRDefault="00F37251" w:rsidP="00F37251">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02C75" w14:textId="77777777" w:rsidR="00F37251" w:rsidRPr="004866BE" w:rsidRDefault="00F37251" w:rsidP="00F37251">
            <w:pPr>
              <w:spacing w:after="0" w:line="240" w:lineRule="auto"/>
              <w:rPr>
                <w:rFonts w:eastAsia="Times New Roman"/>
                <w:sz w:val="20"/>
                <w:lang w:eastAsia="en-AU"/>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67C50" w14:textId="77777777" w:rsidR="00F37251" w:rsidRPr="004866BE" w:rsidRDefault="00F37251" w:rsidP="00F37251">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BF3E9" w14:textId="77777777" w:rsidR="00F37251" w:rsidRPr="004866BE" w:rsidRDefault="00F37251" w:rsidP="00F37251">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90C63" w14:textId="77777777" w:rsidR="00F37251" w:rsidRPr="004866BE" w:rsidRDefault="00F37251" w:rsidP="00F37251">
            <w:pPr>
              <w:spacing w:after="0" w:line="240" w:lineRule="auto"/>
              <w:rPr>
                <w:rFonts w:eastAsia="Times New Roman"/>
                <w:sz w:val="20"/>
                <w:lang w:eastAsia="en-AU"/>
              </w:rPr>
            </w:pP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CE42B" w14:textId="77777777" w:rsidR="00F37251" w:rsidRPr="004866BE" w:rsidRDefault="00F37251" w:rsidP="00F37251">
            <w:pPr>
              <w:spacing w:after="0" w:line="240" w:lineRule="auto"/>
              <w:rPr>
                <w:rFonts w:eastAsia="Times New Roman"/>
                <w:sz w:val="20"/>
                <w:lang w:eastAsia="en-AU"/>
              </w:rPr>
            </w:pPr>
          </w:p>
        </w:tc>
      </w:tr>
    </w:tbl>
    <w:p w14:paraId="7B4DC9AD" w14:textId="350A8CB7" w:rsidR="008B6C8E" w:rsidRPr="004866BE" w:rsidRDefault="00694949" w:rsidP="006554D7">
      <w:pPr>
        <w:pStyle w:val="Caption"/>
        <w:keepNext/>
        <w:ind w:left="-567"/>
      </w:pPr>
      <w:r w:rsidRPr="004866BE">
        <w:t xml:space="preserve">Figure 2 - Example scenarios for a </w:t>
      </w:r>
      <w:r w:rsidR="00A32DFF" w:rsidRPr="004866BE">
        <w:t>postcode affected by the hot zone purposes</w:t>
      </w:r>
      <w:r w:rsidRPr="004866BE">
        <w:t>.</w:t>
      </w:r>
      <w:r w:rsidR="00A32DFF" w:rsidRPr="004866BE">
        <w:t xml:space="preserve"> </w:t>
      </w:r>
      <w:r w:rsidR="312C8E0B" w:rsidRPr="004866BE">
        <w:t xml:space="preserve">Compare with Figure 1. </w:t>
      </w:r>
      <w:r w:rsidR="00A32DFF" w:rsidRPr="004866BE">
        <w:t xml:space="preserve">For illustration purposes, a </w:t>
      </w:r>
      <w:r w:rsidR="00B77657" w:rsidRPr="004866BE">
        <w:t>postcode with 9 screening months was chosen, and no screening invitations sent in Decem</w:t>
      </w:r>
      <w:r w:rsidR="001751FB" w:rsidRPr="004866BE">
        <w:t>b</w:t>
      </w:r>
      <w:r w:rsidR="00B77657" w:rsidRPr="004866BE">
        <w:t xml:space="preserve">er, </w:t>
      </w:r>
      <w:proofErr w:type="gramStart"/>
      <w:r w:rsidR="00B77657" w:rsidRPr="004866BE">
        <w:t>January</w:t>
      </w:r>
      <w:proofErr w:type="gramEnd"/>
      <w:r w:rsidR="00B77657" w:rsidRPr="004866BE">
        <w:t xml:space="preserve"> or February. For example, note that in Scenario 2, a 3 month pause now represents a 33% reduction in screening for that year, instead of a 25% reduction in screening for a </w:t>
      </w:r>
      <w:r w:rsidR="001751FB" w:rsidRPr="004866BE">
        <w:t>postcode with no screening pause.</w:t>
      </w:r>
    </w:p>
    <w:tbl>
      <w:tblPr>
        <w:tblW w:w="15572" w:type="dxa"/>
        <w:tblInd w:w="-641" w:type="dxa"/>
        <w:tblLook w:val="04A0" w:firstRow="1" w:lastRow="0" w:firstColumn="1" w:lastColumn="0" w:noHBand="0" w:noVBand="1"/>
        <w:tblDescription w:val="Figure 2 -  Example scenarios for a postcode affected by the hot zone purposes. Compare with Figure 1. For illustration purposes, a postcode with 9 screening months was chosen, and no screening invitations sent in December, January or February. For example, note that in Scenario 2, a 3 month pause now represents a 33% reduction in screening for that year, instead of a 25% reduction in screening for a postcode with no screening pause."/>
      </w:tblPr>
      <w:tblGrid>
        <w:gridCol w:w="1650"/>
        <w:gridCol w:w="572"/>
        <w:gridCol w:w="492"/>
        <w:gridCol w:w="492"/>
        <w:gridCol w:w="471"/>
        <w:gridCol w:w="519"/>
        <w:gridCol w:w="510"/>
        <w:gridCol w:w="421"/>
        <w:gridCol w:w="501"/>
        <w:gridCol w:w="501"/>
        <w:gridCol w:w="465"/>
        <w:gridCol w:w="501"/>
        <w:gridCol w:w="501"/>
        <w:gridCol w:w="572"/>
        <w:gridCol w:w="492"/>
        <w:gridCol w:w="492"/>
        <w:gridCol w:w="471"/>
        <w:gridCol w:w="519"/>
        <w:gridCol w:w="474"/>
        <w:gridCol w:w="460"/>
        <w:gridCol w:w="501"/>
        <w:gridCol w:w="501"/>
        <w:gridCol w:w="465"/>
        <w:gridCol w:w="501"/>
        <w:gridCol w:w="501"/>
        <w:gridCol w:w="572"/>
        <w:gridCol w:w="492"/>
        <w:gridCol w:w="492"/>
        <w:gridCol w:w="471"/>
      </w:tblGrid>
      <w:tr w:rsidR="006554D7" w:rsidRPr="004866BE" w14:paraId="1E213471" w14:textId="77777777" w:rsidTr="008718F8">
        <w:trPr>
          <w:trHeight w:val="20"/>
        </w:trPr>
        <w:tc>
          <w:tcPr>
            <w:tcW w:w="15572" w:type="dxa"/>
            <w:gridSpan w:val="2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EF532" w14:textId="18B352AF" w:rsidR="006554D7" w:rsidRPr="004866BE" w:rsidRDefault="006554D7" w:rsidP="008718F8">
            <w:pPr>
              <w:spacing w:after="0" w:line="240" w:lineRule="auto"/>
              <w:rPr>
                <w:rFonts w:eastAsia="Times New Roman"/>
                <w:sz w:val="20"/>
                <w:lang w:eastAsia="en-AU"/>
              </w:rPr>
            </w:pPr>
            <w:r w:rsidRPr="004866BE">
              <w:rPr>
                <w:rFonts w:eastAsia="Times New Roman"/>
                <w:color w:val="000000"/>
                <w:sz w:val="16"/>
                <w:lang w:eastAsia="en-AU"/>
              </w:rPr>
              <w:t>Comparator - Usual screening Schedule</w:t>
            </w:r>
          </w:p>
        </w:tc>
      </w:tr>
      <w:tr w:rsidR="00B60ADC" w:rsidRPr="004866BE" w14:paraId="6A9CF67A" w14:textId="77777777" w:rsidTr="006554D7">
        <w:trPr>
          <w:trHeight w:val="20"/>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58C25" w14:textId="77777777" w:rsidR="00694949" w:rsidRPr="004866BE" w:rsidRDefault="00694949" w:rsidP="00694949">
            <w:pPr>
              <w:spacing w:after="0" w:line="240" w:lineRule="auto"/>
              <w:rPr>
                <w:rFonts w:eastAsia="Times New Roman"/>
                <w:sz w:val="20"/>
                <w:lang w:eastAsia="en-AU"/>
              </w:rPr>
            </w:pPr>
          </w:p>
        </w:tc>
        <w:tc>
          <w:tcPr>
            <w:tcW w:w="594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E5104" w14:textId="77777777" w:rsidR="00694949" w:rsidRPr="004866BE" w:rsidRDefault="00694949" w:rsidP="00694949">
            <w:pPr>
              <w:spacing w:after="0" w:line="240" w:lineRule="auto"/>
              <w:jc w:val="center"/>
              <w:rPr>
                <w:rFonts w:eastAsia="Times New Roman"/>
                <w:color w:val="000000"/>
                <w:sz w:val="16"/>
                <w:lang w:eastAsia="en-AU"/>
              </w:rPr>
            </w:pPr>
            <w:r w:rsidRPr="004866BE">
              <w:rPr>
                <w:rFonts w:eastAsia="Times New Roman"/>
                <w:color w:val="000000"/>
                <w:sz w:val="16"/>
                <w:lang w:eastAsia="en-AU"/>
              </w:rPr>
              <w:t>2020</w:t>
            </w:r>
          </w:p>
        </w:tc>
        <w:tc>
          <w:tcPr>
            <w:tcW w:w="5949"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DDBF" w14:textId="77777777" w:rsidR="00694949" w:rsidRPr="004866BE" w:rsidRDefault="00694949" w:rsidP="00694949">
            <w:pPr>
              <w:spacing w:after="0" w:line="240" w:lineRule="auto"/>
              <w:jc w:val="center"/>
              <w:rPr>
                <w:rFonts w:eastAsia="Times New Roman"/>
                <w:color w:val="000000"/>
                <w:sz w:val="16"/>
                <w:lang w:eastAsia="en-AU"/>
              </w:rPr>
            </w:pPr>
            <w:r w:rsidRPr="004866BE">
              <w:rPr>
                <w:rFonts w:eastAsia="Times New Roman"/>
                <w:color w:val="000000"/>
                <w:sz w:val="16"/>
                <w:lang w:eastAsia="en-AU"/>
              </w:rPr>
              <w:t>2021</w:t>
            </w:r>
          </w:p>
        </w:tc>
        <w:tc>
          <w:tcPr>
            <w:tcW w:w="202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5B351" w14:textId="77777777" w:rsidR="00694949" w:rsidRPr="004866BE" w:rsidRDefault="00694949" w:rsidP="00694949">
            <w:pPr>
              <w:spacing w:after="0" w:line="240" w:lineRule="auto"/>
              <w:jc w:val="center"/>
              <w:rPr>
                <w:rFonts w:eastAsia="Times New Roman"/>
                <w:color w:val="000000"/>
                <w:sz w:val="16"/>
                <w:lang w:eastAsia="en-AU"/>
              </w:rPr>
            </w:pPr>
            <w:r w:rsidRPr="004866BE">
              <w:rPr>
                <w:rFonts w:eastAsia="Times New Roman"/>
                <w:color w:val="000000"/>
                <w:sz w:val="16"/>
                <w:lang w:eastAsia="en-AU"/>
              </w:rPr>
              <w:t>2022</w:t>
            </w:r>
          </w:p>
        </w:tc>
      </w:tr>
      <w:tr w:rsidR="004F335F" w:rsidRPr="004866BE" w14:paraId="05FBE1E8" w14:textId="77777777" w:rsidTr="006554D7">
        <w:trPr>
          <w:trHeight w:val="20"/>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88E2C" w14:textId="77777777" w:rsidR="00694949" w:rsidRPr="004866BE" w:rsidRDefault="00694949" w:rsidP="00694949">
            <w:pPr>
              <w:spacing w:after="0" w:line="240" w:lineRule="auto"/>
              <w:jc w:val="center"/>
              <w:rPr>
                <w:rFonts w:eastAsia="Times New Roman"/>
                <w:color w:val="000000"/>
                <w:sz w:val="16"/>
                <w:lang w:eastAsia="en-AU"/>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2FE62"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5CB9E"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15A52"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2C140"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Apr</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C7657"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May</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4A307"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Jun</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F0418"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Jul</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CE5EC"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Aug</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D5EB9"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Sep</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7A20B"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Oct</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05ABD"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Nov</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5C254"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Dec</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CD6CC"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9387B"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8C7DC"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82275"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Apr</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EACAE"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May</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388AC"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Jun</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EF2E6"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Jul</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90ED1"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Aug</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A1050"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Sep</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0A33B"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Oct</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2E3EE"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Nov</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EDE9A"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Dec</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E9C2C"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A4935"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74E98"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EFCFA"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Apr</w:t>
            </w:r>
          </w:p>
        </w:tc>
      </w:tr>
      <w:tr w:rsidR="00E22598" w:rsidRPr="004866BE" w14:paraId="66D5D8E0" w14:textId="77777777" w:rsidTr="006554D7">
        <w:trPr>
          <w:trHeight w:val="20"/>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64804"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All Cohorts</w:t>
            </w:r>
          </w:p>
        </w:tc>
        <w:tc>
          <w:tcPr>
            <w:tcW w:w="1064" w:type="dxa"/>
            <w:gridSpan w:val="2"/>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10D586EA" w14:textId="77777777" w:rsidR="00694949" w:rsidRPr="004866BE" w:rsidRDefault="00694949" w:rsidP="00694949">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4381" w:type="dxa"/>
            <w:gridSpan w:val="9"/>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6AA58118" w14:textId="77777777" w:rsidR="00694949" w:rsidRPr="004866BE" w:rsidRDefault="00694949" w:rsidP="00694949">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6A56577F"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c>
          <w:tcPr>
            <w:tcW w:w="1064" w:type="dxa"/>
            <w:gridSpan w:val="2"/>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0D67A4EA" w14:textId="77777777" w:rsidR="00694949" w:rsidRPr="004866BE" w:rsidRDefault="00694949" w:rsidP="00694949">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4384" w:type="dxa"/>
            <w:gridSpan w:val="9"/>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5C2E6F8F" w14:textId="77777777" w:rsidR="00694949" w:rsidRPr="004866BE" w:rsidRDefault="00694949" w:rsidP="00694949">
            <w:pPr>
              <w:spacing w:after="0" w:line="240" w:lineRule="auto"/>
              <w:jc w:val="center"/>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7C7AB6E2"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c>
          <w:tcPr>
            <w:tcW w:w="1064" w:type="dxa"/>
            <w:gridSpan w:val="2"/>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0AC6F890" w14:textId="77777777" w:rsidR="00694949" w:rsidRPr="004866BE" w:rsidRDefault="00694949" w:rsidP="00694949">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492"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0E3A548D"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c>
          <w:tcPr>
            <w:tcW w:w="471"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6ECA6D73"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r>
      <w:tr w:rsidR="006554D7" w:rsidRPr="004866BE" w14:paraId="5371F175" w14:textId="77777777" w:rsidTr="008718F8">
        <w:trPr>
          <w:trHeight w:val="20"/>
        </w:trPr>
        <w:tc>
          <w:tcPr>
            <w:tcW w:w="15572" w:type="dxa"/>
            <w:gridSpan w:val="2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73AA7" w14:textId="20CAA348" w:rsidR="006554D7" w:rsidRPr="004866BE" w:rsidRDefault="006554D7" w:rsidP="008718F8">
            <w:pPr>
              <w:spacing w:after="0" w:line="240" w:lineRule="auto"/>
              <w:rPr>
                <w:rFonts w:eastAsia="Times New Roman"/>
                <w:sz w:val="20"/>
                <w:lang w:eastAsia="en-AU"/>
              </w:rPr>
            </w:pPr>
            <w:r w:rsidRPr="004866BE">
              <w:rPr>
                <w:rFonts w:eastAsia="Times New Roman"/>
                <w:color w:val="000000"/>
                <w:sz w:val="16"/>
                <w:lang w:eastAsia="en-AU"/>
              </w:rPr>
              <w:t>Scenario 1: 3-month program pause, no catch-up, no effect on participation in 2021</w:t>
            </w:r>
          </w:p>
        </w:tc>
      </w:tr>
      <w:tr w:rsidR="00B60ADC" w:rsidRPr="004866BE" w14:paraId="2CBB0669" w14:textId="77777777" w:rsidTr="006554D7">
        <w:trPr>
          <w:trHeight w:val="20"/>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8F8B5" w14:textId="77777777" w:rsidR="00694949" w:rsidRPr="004866BE" w:rsidRDefault="00694949" w:rsidP="00694949">
            <w:pPr>
              <w:spacing w:after="0" w:line="240" w:lineRule="auto"/>
              <w:rPr>
                <w:rFonts w:eastAsia="Times New Roman"/>
                <w:sz w:val="20"/>
                <w:lang w:eastAsia="en-AU"/>
              </w:rPr>
            </w:pPr>
          </w:p>
        </w:tc>
        <w:tc>
          <w:tcPr>
            <w:tcW w:w="594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A2479" w14:textId="77777777" w:rsidR="00694949" w:rsidRPr="004866BE" w:rsidRDefault="00694949" w:rsidP="00694949">
            <w:pPr>
              <w:spacing w:after="0" w:line="240" w:lineRule="auto"/>
              <w:jc w:val="center"/>
              <w:rPr>
                <w:rFonts w:eastAsia="Times New Roman"/>
                <w:color w:val="000000"/>
                <w:sz w:val="16"/>
                <w:lang w:eastAsia="en-AU"/>
              </w:rPr>
            </w:pPr>
            <w:r w:rsidRPr="004866BE">
              <w:rPr>
                <w:rFonts w:eastAsia="Times New Roman"/>
                <w:color w:val="000000"/>
                <w:sz w:val="16"/>
                <w:lang w:eastAsia="en-AU"/>
              </w:rPr>
              <w:t>2020</w:t>
            </w:r>
          </w:p>
        </w:tc>
        <w:tc>
          <w:tcPr>
            <w:tcW w:w="5949"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6254D" w14:textId="77777777" w:rsidR="00694949" w:rsidRPr="004866BE" w:rsidRDefault="00694949" w:rsidP="00694949">
            <w:pPr>
              <w:spacing w:after="0" w:line="240" w:lineRule="auto"/>
              <w:jc w:val="center"/>
              <w:rPr>
                <w:rFonts w:eastAsia="Times New Roman"/>
                <w:color w:val="000000"/>
                <w:sz w:val="16"/>
                <w:lang w:eastAsia="en-AU"/>
              </w:rPr>
            </w:pPr>
            <w:r w:rsidRPr="004866BE">
              <w:rPr>
                <w:rFonts w:eastAsia="Times New Roman"/>
                <w:color w:val="000000"/>
                <w:sz w:val="16"/>
                <w:lang w:eastAsia="en-AU"/>
              </w:rPr>
              <w:t>2021</w:t>
            </w:r>
          </w:p>
        </w:tc>
        <w:tc>
          <w:tcPr>
            <w:tcW w:w="202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1D1D0" w14:textId="77777777" w:rsidR="00694949" w:rsidRPr="004866BE" w:rsidRDefault="00694949" w:rsidP="00694949">
            <w:pPr>
              <w:spacing w:after="0" w:line="240" w:lineRule="auto"/>
              <w:jc w:val="center"/>
              <w:rPr>
                <w:rFonts w:eastAsia="Times New Roman"/>
                <w:color w:val="000000"/>
                <w:sz w:val="16"/>
                <w:lang w:eastAsia="en-AU"/>
              </w:rPr>
            </w:pPr>
            <w:r w:rsidRPr="004866BE">
              <w:rPr>
                <w:rFonts w:eastAsia="Times New Roman"/>
                <w:color w:val="000000"/>
                <w:sz w:val="16"/>
                <w:lang w:eastAsia="en-AU"/>
              </w:rPr>
              <w:t>2022</w:t>
            </w:r>
          </w:p>
        </w:tc>
      </w:tr>
      <w:tr w:rsidR="004F335F" w:rsidRPr="004866BE" w14:paraId="1EF0DC17" w14:textId="77777777" w:rsidTr="006554D7">
        <w:trPr>
          <w:trHeight w:val="20"/>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1A8B6" w14:textId="77777777" w:rsidR="00694949" w:rsidRPr="004866BE" w:rsidRDefault="00694949" w:rsidP="00694949">
            <w:pPr>
              <w:spacing w:after="0" w:line="240" w:lineRule="auto"/>
              <w:jc w:val="center"/>
              <w:rPr>
                <w:rFonts w:eastAsia="Times New Roman"/>
                <w:color w:val="000000"/>
                <w:sz w:val="16"/>
                <w:lang w:eastAsia="en-AU"/>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21B4B"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DE988"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4E5B6"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D791F"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Apr</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C536E"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May</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99381"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Jun</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C8EF5"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Jul</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537B4"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Aug</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6C10A"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Sep</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895DE"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Oct</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A3B71"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Nov</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73711"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Dec</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858ED"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83618"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000D2"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C6AC8"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Apr</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9431C"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May</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07BD0"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Jun</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AB11B"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Jul</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92AC9"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Aug</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B098E"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Sep</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A70B0"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Oct</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2038D"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Nov</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F1C8E"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Dec</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72F74"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45400"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75C30"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8959F"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Apr</w:t>
            </w:r>
          </w:p>
        </w:tc>
      </w:tr>
      <w:tr w:rsidR="009B51E3" w:rsidRPr="004866BE" w14:paraId="2E7A6791" w14:textId="77777777" w:rsidTr="006554D7">
        <w:trPr>
          <w:trHeight w:val="20"/>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82457" w14:textId="77777777" w:rsidR="00694949" w:rsidRPr="004866BE" w:rsidRDefault="001751FB" w:rsidP="00694949">
            <w:pPr>
              <w:spacing w:after="0" w:line="240" w:lineRule="auto"/>
              <w:rPr>
                <w:rFonts w:eastAsia="Times New Roman"/>
                <w:color w:val="000000"/>
                <w:sz w:val="16"/>
                <w:lang w:eastAsia="en-AU"/>
              </w:rPr>
            </w:pPr>
            <w:r w:rsidRPr="004866BE">
              <w:rPr>
                <w:rFonts w:eastAsia="Times New Roman"/>
                <w:color w:val="000000"/>
                <w:sz w:val="16"/>
                <w:lang w:eastAsia="en-AU"/>
              </w:rPr>
              <w:t xml:space="preserve">Disrupted </w:t>
            </w:r>
            <w:r w:rsidR="00694949" w:rsidRPr="004866BE">
              <w:rPr>
                <w:rFonts w:eastAsia="Times New Roman"/>
                <w:color w:val="000000"/>
                <w:sz w:val="16"/>
                <w:lang w:eastAsia="en-AU"/>
              </w:rPr>
              <w:t>Cohort</w:t>
            </w:r>
          </w:p>
        </w:tc>
        <w:tc>
          <w:tcPr>
            <w:tcW w:w="1064" w:type="dxa"/>
            <w:gridSpan w:val="2"/>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19D6EA1C" w14:textId="77777777" w:rsidR="00694949" w:rsidRPr="004866BE" w:rsidRDefault="00694949" w:rsidP="00694949">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492"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64DFF91B"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c>
          <w:tcPr>
            <w:tcW w:w="1500" w:type="dxa"/>
            <w:gridSpan w:val="3"/>
            <w:tcBorders>
              <w:top w:val="single" w:sz="4" w:space="0" w:color="auto"/>
              <w:left w:val="single" w:sz="4" w:space="0" w:color="auto"/>
              <w:bottom w:val="single" w:sz="4" w:space="0" w:color="auto"/>
              <w:right w:val="single" w:sz="4" w:space="0" w:color="auto"/>
            </w:tcBorders>
            <w:shd w:val="clear" w:color="auto" w:fill="C00000"/>
            <w:noWrap/>
            <w:vAlign w:val="bottom"/>
            <w:hideMark/>
          </w:tcPr>
          <w:p w14:paraId="7F645ED7" w14:textId="77777777" w:rsidR="00694949" w:rsidRPr="004866BE" w:rsidRDefault="00694949" w:rsidP="00694949">
            <w:pPr>
              <w:spacing w:after="0" w:line="240" w:lineRule="auto"/>
              <w:jc w:val="center"/>
              <w:rPr>
                <w:rFonts w:eastAsia="Times New Roman"/>
                <w:b/>
                <w:color w:val="FFFFFF"/>
                <w:sz w:val="16"/>
                <w:lang w:eastAsia="en-AU"/>
              </w:rPr>
            </w:pPr>
            <w:r w:rsidRPr="004866BE">
              <w:rPr>
                <w:rFonts w:eastAsia="Times New Roman"/>
                <w:b/>
                <w:color w:val="FFFFFF"/>
                <w:sz w:val="16"/>
                <w:lang w:eastAsia="en-AU"/>
              </w:rPr>
              <w:t>Screening Pause</w:t>
            </w:r>
          </w:p>
        </w:tc>
        <w:tc>
          <w:tcPr>
            <w:tcW w:w="2389"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975CBC" w14:textId="77777777" w:rsidR="00694949" w:rsidRPr="004866BE" w:rsidRDefault="00694949" w:rsidP="00694949">
            <w:pPr>
              <w:spacing w:after="0" w:line="240" w:lineRule="auto"/>
              <w:jc w:val="center"/>
              <w:rPr>
                <w:rFonts w:eastAsia="Times New Roman"/>
                <w:b/>
                <w:color w:val="FFFFFF"/>
                <w:sz w:val="16"/>
                <w:lang w:eastAsia="en-AU"/>
              </w:rPr>
            </w:pPr>
            <w:r w:rsidRPr="004866BE">
              <w:rPr>
                <w:rFonts w:eastAsia="Times New Roman"/>
                <w:b/>
                <w:color w:val="FFFFFF"/>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71CD713C"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c>
          <w:tcPr>
            <w:tcW w:w="1064" w:type="dxa"/>
            <w:gridSpan w:val="2"/>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717DFBF0" w14:textId="77777777" w:rsidR="00694949" w:rsidRPr="004866BE" w:rsidRDefault="00694949" w:rsidP="00694949">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70AD2" w14:textId="77777777" w:rsidR="00694949" w:rsidRPr="004866BE" w:rsidRDefault="00694949" w:rsidP="00694949">
            <w:pPr>
              <w:spacing w:after="0" w:line="240" w:lineRule="auto"/>
              <w:rPr>
                <w:rFonts w:eastAsia="Times New Roman"/>
                <w:color w:val="FFD966"/>
                <w:sz w:val="16"/>
                <w:lang w:eastAsia="en-AU"/>
              </w:rPr>
            </w:pPr>
            <w:r w:rsidRPr="004866BE">
              <w:rPr>
                <w:rFonts w:eastAsia="Times New Roman"/>
                <w:color w:val="FFD966"/>
                <w:sz w:val="16"/>
                <w:lang w:eastAsia="en-AU"/>
              </w:rPr>
              <w:t> </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6CBAB" w14:textId="77777777" w:rsidR="00694949" w:rsidRPr="004866BE" w:rsidRDefault="00694949" w:rsidP="00694949">
            <w:pPr>
              <w:spacing w:after="0" w:line="240" w:lineRule="auto"/>
              <w:rPr>
                <w:rFonts w:eastAsia="Times New Roman"/>
                <w:color w:val="FFD966"/>
                <w:sz w:val="16"/>
                <w:lang w:eastAsia="en-AU"/>
              </w:rPr>
            </w:pPr>
            <w:r w:rsidRPr="004866BE">
              <w:rPr>
                <w:rFonts w:eastAsia="Times New Roman"/>
                <w:color w:val="FFD966"/>
                <w:sz w:val="16"/>
                <w:lang w:eastAsia="en-AU"/>
              </w:rPr>
              <w:t> </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02D7F" w14:textId="77777777" w:rsidR="00694949" w:rsidRPr="004866BE" w:rsidRDefault="00694949" w:rsidP="00694949">
            <w:pPr>
              <w:spacing w:after="0" w:line="240" w:lineRule="auto"/>
              <w:rPr>
                <w:rFonts w:eastAsia="Times New Roman"/>
                <w:color w:val="FFD966"/>
                <w:sz w:val="16"/>
                <w:lang w:eastAsia="en-AU"/>
              </w:rPr>
            </w:pPr>
            <w:r w:rsidRPr="004866BE">
              <w:rPr>
                <w:rFonts w:eastAsia="Times New Roman"/>
                <w:color w:val="FFD966"/>
                <w:sz w:val="16"/>
                <w:lang w:eastAsia="en-AU"/>
              </w:rPr>
              <w:t> </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E3AD4" w14:textId="77777777" w:rsidR="00694949" w:rsidRPr="004866BE" w:rsidRDefault="00694949" w:rsidP="00694949">
            <w:pPr>
              <w:spacing w:after="0" w:line="240" w:lineRule="auto"/>
              <w:rPr>
                <w:rFonts w:eastAsia="Times New Roman"/>
                <w:color w:val="FFD966"/>
                <w:sz w:val="16"/>
                <w:lang w:eastAsia="en-AU"/>
              </w:rPr>
            </w:pPr>
            <w:r w:rsidRPr="004866BE">
              <w:rPr>
                <w:rFonts w:eastAsia="Times New Roman"/>
                <w:color w:val="FFD966"/>
                <w:sz w:val="16"/>
                <w:lang w:eastAsia="en-AU"/>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39AC1" w14:textId="77777777" w:rsidR="00694949" w:rsidRPr="004866BE" w:rsidRDefault="00694949" w:rsidP="00694949">
            <w:pPr>
              <w:spacing w:after="0" w:line="240" w:lineRule="auto"/>
              <w:rPr>
                <w:rFonts w:eastAsia="Times New Roman"/>
                <w:color w:val="FFD966"/>
                <w:sz w:val="16"/>
                <w:lang w:eastAsia="en-AU"/>
              </w:rPr>
            </w:pPr>
            <w:r w:rsidRPr="004866BE">
              <w:rPr>
                <w:rFonts w:eastAsia="Times New Roman"/>
                <w:color w:val="FFD966"/>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49961" w14:textId="77777777" w:rsidR="00694949" w:rsidRPr="004866BE" w:rsidRDefault="00694949" w:rsidP="00694949">
            <w:pPr>
              <w:spacing w:after="0" w:line="240" w:lineRule="auto"/>
              <w:rPr>
                <w:rFonts w:eastAsia="Times New Roman"/>
                <w:color w:val="FFD966"/>
                <w:sz w:val="16"/>
                <w:lang w:eastAsia="en-AU"/>
              </w:rPr>
            </w:pPr>
            <w:r w:rsidRPr="004866BE">
              <w:rPr>
                <w:rFonts w:eastAsia="Times New Roman"/>
                <w:color w:val="FFD966"/>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D1213" w14:textId="77777777" w:rsidR="00694949" w:rsidRPr="004866BE" w:rsidRDefault="00694949" w:rsidP="00694949">
            <w:pPr>
              <w:spacing w:after="0" w:line="240" w:lineRule="auto"/>
              <w:rPr>
                <w:rFonts w:eastAsia="Times New Roman"/>
                <w:color w:val="FFD966"/>
                <w:sz w:val="16"/>
                <w:lang w:eastAsia="en-AU"/>
              </w:rPr>
            </w:pPr>
            <w:r w:rsidRPr="004866BE">
              <w:rPr>
                <w:rFonts w:eastAsia="Times New Roman"/>
                <w:color w:val="FFD966"/>
                <w:sz w:val="16"/>
                <w:lang w:eastAsia="en-AU"/>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B5C0F" w14:textId="77777777" w:rsidR="00694949" w:rsidRPr="004866BE" w:rsidRDefault="00694949" w:rsidP="00694949">
            <w:pPr>
              <w:spacing w:after="0" w:line="240" w:lineRule="auto"/>
              <w:rPr>
                <w:rFonts w:eastAsia="Times New Roman"/>
                <w:color w:val="FFD966"/>
                <w:sz w:val="16"/>
                <w:lang w:eastAsia="en-AU"/>
              </w:rPr>
            </w:pPr>
            <w:r w:rsidRPr="004866BE">
              <w:rPr>
                <w:rFonts w:eastAsia="Times New Roman"/>
                <w:color w:val="FFD966"/>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7A0A2" w14:textId="77777777" w:rsidR="00694949" w:rsidRPr="004866BE" w:rsidRDefault="00694949" w:rsidP="00694949">
            <w:pPr>
              <w:spacing w:after="0" w:line="240" w:lineRule="auto"/>
              <w:rPr>
                <w:rFonts w:eastAsia="Times New Roman"/>
                <w:color w:val="FFD966"/>
                <w:sz w:val="16"/>
                <w:lang w:eastAsia="en-AU"/>
              </w:rPr>
            </w:pPr>
            <w:r w:rsidRPr="004866BE">
              <w:rPr>
                <w:rFonts w:eastAsia="Times New Roman"/>
                <w:color w:val="FFD966"/>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2E8A6A5A"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c>
          <w:tcPr>
            <w:tcW w:w="1064" w:type="dxa"/>
            <w:gridSpan w:val="2"/>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0F1ED025" w14:textId="77777777" w:rsidR="00694949" w:rsidRPr="004866BE" w:rsidRDefault="00694949" w:rsidP="00694949">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3DFED"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c>
          <w:tcPr>
            <w:tcW w:w="471"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775261AF"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r>
      <w:tr w:rsidR="009B51E3" w:rsidRPr="004866BE" w14:paraId="787388E0" w14:textId="77777777" w:rsidTr="006554D7">
        <w:trPr>
          <w:trHeight w:val="20"/>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3FC38"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Other Cohorts</w:t>
            </w:r>
          </w:p>
        </w:tc>
        <w:tc>
          <w:tcPr>
            <w:tcW w:w="1064" w:type="dxa"/>
            <w:gridSpan w:val="2"/>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4D4FC251" w14:textId="77777777" w:rsidR="00694949" w:rsidRPr="004866BE" w:rsidRDefault="00694949" w:rsidP="00694949">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492"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07DE6C54"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c>
          <w:tcPr>
            <w:tcW w:w="15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E9041" w14:textId="77777777" w:rsidR="00694949" w:rsidRPr="004866BE" w:rsidRDefault="00694949" w:rsidP="00694949">
            <w:pPr>
              <w:spacing w:after="0" w:line="240" w:lineRule="auto"/>
              <w:jc w:val="center"/>
              <w:rPr>
                <w:rFonts w:eastAsia="Times New Roman"/>
                <w:color w:val="000000"/>
                <w:sz w:val="16"/>
                <w:lang w:eastAsia="en-AU"/>
              </w:rPr>
            </w:pPr>
            <w:r w:rsidRPr="004866BE">
              <w:rPr>
                <w:rFonts w:eastAsia="Times New Roman"/>
                <w:color w:val="000000"/>
                <w:sz w:val="16"/>
                <w:lang w:eastAsia="en-AU"/>
              </w:rPr>
              <w:t> </w:t>
            </w:r>
          </w:p>
        </w:tc>
        <w:tc>
          <w:tcPr>
            <w:tcW w:w="2389" w:type="dxa"/>
            <w:gridSpan w:val="5"/>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2D21013B" w14:textId="77777777" w:rsidR="00694949" w:rsidRPr="004866BE" w:rsidRDefault="00694949" w:rsidP="00694949">
            <w:pPr>
              <w:spacing w:after="0" w:line="240" w:lineRule="auto"/>
              <w:jc w:val="center"/>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6638F266"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c>
          <w:tcPr>
            <w:tcW w:w="1064" w:type="dxa"/>
            <w:gridSpan w:val="2"/>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31B81536" w14:textId="77777777" w:rsidR="00694949" w:rsidRPr="004866BE" w:rsidRDefault="00694949" w:rsidP="00694949">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492"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7E129081"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71"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293EA78A"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19"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63AE2A94"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74"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2BA45A9D"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60"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5B35139F"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1E3EABC2"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654FE1A7"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65"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4490BC01"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7F894142"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4F998B72"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c>
          <w:tcPr>
            <w:tcW w:w="1064" w:type="dxa"/>
            <w:gridSpan w:val="2"/>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508761AA" w14:textId="77777777" w:rsidR="00694949" w:rsidRPr="004866BE" w:rsidRDefault="00694949" w:rsidP="00694949">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492"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74BA9B02"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c>
          <w:tcPr>
            <w:tcW w:w="471"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35D99D47"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r>
      <w:tr w:rsidR="006554D7" w:rsidRPr="004866BE" w14:paraId="6463AB47" w14:textId="77777777" w:rsidTr="006554D7">
        <w:trPr>
          <w:trHeight w:val="20"/>
        </w:trPr>
        <w:tc>
          <w:tcPr>
            <w:tcW w:w="15572" w:type="dxa"/>
            <w:gridSpan w:val="2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7E045" w14:textId="4E597BA8" w:rsidR="006554D7" w:rsidRPr="004866BE" w:rsidRDefault="006554D7" w:rsidP="00694949">
            <w:pPr>
              <w:spacing w:after="0" w:line="240" w:lineRule="auto"/>
              <w:rPr>
                <w:rFonts w:eastAsia="Times New Roman"/>
                <w:sz w:val="20"/>
                <w:lang w:eastAsia="en-AU"/>
              </w:rPr>
            </w:pPr>
            <w:r w:rsidRPr="004866BE">
              <w:rPr>
                <w:rFonts w:eastAsia="Times New Roman"/>
                <w:color w:val="000000"/>
                <w:sz w:val="16"/>
                <w:lang w:eastAsia="en-AU"/>
              </w:rPr>
              <w:lastRenderedPageBreak/>
              <w:t>Scenario 2: 6-month program pause, no catch-up, no effect on participation in 2021</w:t>
            </w:r>
          </w:p>
        </w:tc>
      </w:tr>
      <w:tr w:rsidR="009B51E3" w:rsidRPr="004866BE" w14:paraId="2F05A055" w14:textId="77777777" w:rsidTr="006554D7">
        <w:trPr>
          <w:trHeight w:val="20"/>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EB881" w14:textId="77777777" w:rsidR="00694949" w:rsidRPr="004866BE" w:rsidRDefault="00694949" w:rsidP="00694949">
            <w:pPr>
              <w:spacing w:after="0" w:line="240" w:lineRule="auto"/>
              <w:rPr>
                <w:rFonts w:eastAsia="Times New Roman"/>
                <w:sz w:val="20"/>
                <w:lang w:eastAsia="en-AU"/>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91469" w14:textId="77777777" w:rsidR="00694949" w:rsidRPr="004866BE" w:rsidRDefault="00694949" w:rsidP="00694949">
            <w:pPr>
              <w:spacing w:after="0" w:line="240" w:lineRule="auto"/>
              <w:jc w:val="right"/>
              <w:rPr>
                <w:rFonts w:eastAsia="Times New Roman"/>
                <w:color w:val="000000"/>
                <w:sz w:val="16"/>
                <w:lang w:eastAsia="en-AU"/>
              </w:rPr>
            </w:pPr>
            <w:r w:rsidRPr="004866BE">
              <w:rPr>
                <w:rFonts w:eastAsia="Times New Roman"/>
                <w:color w:val="000000"/>
                <w:sz w:val="16"/>
                <w:lang w:eastAsia="en-AU"/>
              </w:rPr>
              <w:t>2020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10165"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F6645"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33217"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59211"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17DBB"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1239B"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FE5C0"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DB491"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4F2E6"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71B53"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01AB7"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DB6F8" w14:textId="77777777" w:rsidR="00694949" w:rsidRPr="004866BE" w:rsidRDefault="00694949" w:rsidP="00694949">
            <w:pPr>
              <w:spacing w:after="0" w:line="240" w:lineRule="auto"/>
              <w:jc w:val="right"/>
              <w:rPr>
                <w:rFonts w:eastAsia="Times New Roman"/>
                <w:color w:val="000000"/>
                <w:sz w:val="16"/>
                <w:lang w:eastAsia="en-AU"/>
              </w:rPr>
            </w:pPr>
            <w:r w:rsidRPr="004866BE">
              <w:rPr>
                <w:rFonts w:eastAsia="Times New Roman"/>
                <w:color w:val="000000"/>
                <w:sz w:val="16"/>
                <w:lang w:eastAsia="en-AU"/>
              </w:rPr>
              <w:t>2020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135CB"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95D3A"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A418E"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1A301"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71C9B"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12579"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77185"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AB7A2"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3A428"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D785D"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F357D"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3F4F8" w14:textId="77777777" w:rsidR="00694949" w:rsidRPr="004866BE" w:rsidRDefault="00694949" w:rsidP="00694949">
            <w:pPr>
              <w:spacing w:after="0" w:line="240" w:lineRule="auto"/>
              <w:jc w:val="right"/>
              <w:rPr>
                <w:rFonts w:eastAsia="Times New Roman"/>
                <w:color w:val="000000"/>
                <w:sz w:val="16"/>
                <w:lang w:eastAsia="en-AU"/>
              </w:rPr>
            </w:pPr>
            <w:r w:rsidRPr="004866BE">
              <w:rPr>
                <w:rFonts w:eastAsia="Times New Roman"/>
                <w:color w:val="000000"/>
                <w:sz w:val="16"/>
                <w:lang w:eastAsia="en-AU"/>
              </w:rPr>
              <w:t>2022</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9B1F9"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D7C3D"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427BF"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r>
      <w:tr w:rsidR="004F335F" w:rsidRPr="004866BE" w14:paraId="1969BCE2" w14:textId="77777777" w:rsidTr="006554D7">
        <w:trPr>
          <w:trHeight w:val="20"/>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49D79" w14:textId="77777777" w:rsidR="00694949" w:rsidRPr="004866BE" w:rsidRDefault="00694949" w:rsidP="00694949">
            <w:pPr>
              <w:spacing w:after="0" w:line="240" w:lineRule="auto"/>
              <w:rPr>
                <w:rFonts w:eastAsia="Times New Roman"/>
                <w:color w:val="000000"/>
                <w:sz w:val="16"/>
                <w:lang w:eastAsia="en-AU"/>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9CE1A"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47631"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6F8DE"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5FF91"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Apr</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A29E0"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May</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56C2A"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Jun</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34F69"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Jul</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A6C46"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Aug</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8A076"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Sep</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078FA"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Oct</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DEBD0"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Nov</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C3EA2"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Dec</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BD646"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7FF64"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D6F7F"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B68F9"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Apr</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712D1"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May</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9A73B"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Jun</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14AF7"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Jul</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5B8F9"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Aug</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62118"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Sep</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05A20"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Oct</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E779B"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Nov</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F6A6D"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Dec</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28766"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14FEA"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38139"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150E8"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Apr</w:t>
            </w:r>
          </w:p>
        </w:tc>
      </w:tr>
      <w:tr w:rsidR="00E22598" w:rsidRPr="004866BE" w14:paraId="62985024" w14:textId="77777777" w:rsidTr="006554D7">
        <w:trPr>
          <w:trHeight w:val="20"/>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FF376" w14:textId="77777777" w:rsidR="00694949" w:rsidRPr="004866BE" w:rsidRDefault="001751FB" w:rsidP="00694949">
            <w:pPr>
              <w:spacing w:after="0" w:line="240" w:lineRule="auto"/>
              <w:rPr>
                <w:rFonts w:eastAsia="Times New Roman"/>
                <w:color w:val="000000"/>
                <w:sz w:val="16"/>
                <w:lang w:eastAsia="en-AU"/>
              </w:rPr>
            </w:pPr>
            <w:r w:rsidRPr="004866BE">
              <w:rPr>
                <w:rFonts w:eastAsia="Times New Roman"/>
                <w:color w:val="000000"/>
                <w:sz w:val="16"/>
                <w:lang w:eastAsia="en-AU"/>
              </w:rPr>
              <w:t xml:space="preserve">Disrupted </w:t>
            </w:r>
            <w:r w:rsidR="00694949" w:rsidRPr="004866BE">
              <w:rPr>
                <w:rFonts w:eastAsia="Times New Roman"/>
                <w:color w:val="000000"/>
                <w:sz w:val="16"/>
                <w:lang w:eastAsia="en-AU"/>
              </w:rPr>
              <w:t>Cohort</w:t>
            </w:r>
          </w:p>
        </w:tc>
        <w:tc>
          <w:tcPr>
            <w:tcW w:w="1064" w:type="dxa"/>
            <w:gridSpan w:val="2"/>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2FABA2AD" w14:textId="77777777" w:rsidR="00694949" w:rsidRPr="004866BE" w:rsidRDefault="00694949" w:rsidP="00694949">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492"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668C9226"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c>
          <w:tcPr>
            <w:tcW w:w="2923" w:type="dxa"/>
            <w:gridSpan w:val="6"/>
            <w:tcBorders>
              <w:top w:val="single" w:sz="4" w:space="0" w:color="auto"/>
              <w:left w:val="single" w:sz="4" w:space="0" w:color="auto"/>
              <w:bottom w:val="single" w:sz="4" w:space="0" w:color="auto"/>
              <w:right w:val="single" w:sz="4" w:space="0" w:color="auto"/>
            </w:tcBorders>
            <w:shd w:val="clear" w:color="auto" w:fill="C00000"/>
            <w:noWrap/>
            <w:vAlign w:val="bottom"/>
            <w:hideMark/>
          </w:tcPr>
          <w:p w14:paraId="39CFAAB3" w14:textId="77777777" w:rsidR="00694949" w:rsidRPr="004866BE" w:rsidRDefault="00694949" w:rsidP="00694949">
            <w:pPr>
              <w:spacing w:after="0" w:line="240" w:lineRule="auto"/>
              <w:jc w:val="center"/>
              <w:rPr>
                <w:rFonts w:eastAsia="Times New Roman"/>
                <w:b/>
                <w:color w:val="FFFFFF"/>
                <w:sz w:val="16"/>
                <w:lang w:eastAsia="en-AU"/>
              </w:rPr>
            </w:pPr>
            <w:r w:rsidRPr="004866BE">
              <w:rPr>
                <w:rFonts w:eastAsia="Times New Roman"/>
                <w:b/>
                <w:color w:val="FFFFFF"/>
                <w:sz w:val="16"/>
                <w:lang w:eastAsia="en-AU"/>
              </w:rPr>
              <w:t>Screening Pause</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46845" w14:textId="77777777" w:rsidR="00694949" w:rsidRPr="004866BE" w:rsidRDefault="00694949" w:rsidP="00694949">
            <w:pPr>
              <w:spacing w:after="0" w:line="240" w:lineRule="auto"/>
              <w:jc w:val="center"/>
              <w:rPr>
                <w:rFonts w:eastAsia="Times New Roman"/>
                <w:color w:val="FFD966"/>
                <w:sz w:val="16"/>
                <w:lang w:eastAsia="en-AU"/>
              </w:rPr>
            </w:pPr>
            <w:r w:rsidRPr="004866BE">
              <w:rPr>
                <w:rFonts w:eastAsia="Times New Roman"/>
                <w:color w:val="FFD966"/>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65B117B3"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c>
          <w:tcPr>
            <w:tcW w:w="1064" w:type="dxa"/>
            <w:gridSpan w:val="2"/>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55E718F3" w14:textId="77777777" w:rsidR="00694949" w:rsidRPr="004866BE" w:rsidRDefault="00694949" w:rsidP="00694949">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438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503D6" w14:textId="77777777" w:rsidR="00694949" w:rsidRPr="004866BE" w:rsidRDefault="00694949" w:rsidP="00694949">
            <w:pPr>
              <w:spacing w:after="0" w:line="240" w:lineRule="auto"/>
              <w:jc w:val="center"/>
              <w:rPr>
                <w:rFonts w:eastAsia="Times New Roman"/>
                <w:color w:val="FFD966"/>
                <w:sz w:val="16"/>
                <w:lang w:eastAsia="en-AU"/>
              </w:rPr>
            </w:pPr>
            <w:r w:rsidRPr="004866BE">
              <w:rPr>
                <w:rFonts w:eastAsia="Times New Roman"/>
                <w:color w:val="FFD966"/>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4460EF40"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c>
          <w:tcPr>
            <w:tcW w:w="1064" w:type="dxa"/>
            <w:gridSpan w:val="2"/>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55C7412A" w14:textId="77777777" w:rsidR="00694949" w:rsidRPr="004866BE" w:rsidRDefault="00694949" w:rsidP="00694949">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BDD12"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c>
          <w:tcPr>
            <w:tcW w:w="471"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3FFCDC32"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r>
      <w:tr w:rsidR="009B51E3" w:rsidRPr="004866BE" w14:paraId="76381F7B" w14:textId="77777777" w:rsidTr="006554D7">
        <w:trPr>
          <w:trHeight w:val="20"/>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75717"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Other Cohorts</w:t>
            </w:r>
          </w:p>
        </w:tc>
        <w:tc>
          <w:tcPr>
            <w:tcW w:w="1064" w:type="dxa"/>
            <w:gridSpan w:val="2"/>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33E4B0F3" w14:textId="77777777" w:rsidR="00694949" w:rsidRPr="004866BE" w:rsidRDefault="00694949" w:rsidP="00694949">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492"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67651877"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c>
          <w:tcPr>
            <w:tcW w:w="29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8844B" w14:textId="77777777" w:rsidR="00694949" w:rsidRPr="004866BE" w:rsidRDefault="00694949" w:rsidP="00694949">
            <w:pPr>
              <w:spacing w:after="0" w:line="240" w:lineRule="auto"/>
              <w:jc w:val="center"/>
              <w:rPr>
                <w:rFonts w:eastAsia="Times New Roman"/>
                <w:color w:val="000000"/>
                <w:sz w:val="16"/>
                <w:lang w:eastAsia="en-AU"/>
              </w:rPr>
            </w:pPr>
            <w:r w:rsidRPr="004866BE">
              <w:rPr>
                <w:rFonts w:eastAsia="Times New Roman"/>
                <w:color w:val="000000"/>
                <w:sz w:val="16"/>
                <w:lang w:eastAsia="en-AU"/>
              </w:rPr>
              <w:t> </w:t>
            </w:r>
          </w:p>
        </w:tc>
        <w:tc>
          <w:tcPr>
            <w:tcW w:w="465"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40A7FCC6"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0799155E"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16D57E09"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c>
          <w:tcPr>
            <w:tcW w:w="1064" w:type="dxa"/>
            <w:gridSpan w:val="2"/>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1750CC4E" w14:textId="77777777" w:rsidR="00694949" w:rsidRPr="004866BE" w:rsidRDefault="00694949" w:rsidP="00694949">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4384" w:type="dxa"/>
            <w:gridSpan w:val="9"/>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11BA862F" w14:textId="77777777" w:rsidR="00694949" w:rsidRPr="004866BE" w:rsidRDefault="00694949" w:rsidP="00694949">
            <w:pPr>
              <w:spacing w:after="0" w:line="240" w:lineRule="auto"/>
              <w:jc w:val="center"/>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3BBA753E"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c>
          <w:tcPr>
            <w:tcW w:w="1064" w:type="dxa"/>
            <w:gridSpan w:val="2"/>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7B309FE4" w14:textId="77777777" w:rsidR="00694949" w:rsidRPr="004866BE" w:rsidRDefault="00694949" w:rsidP="00694949">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492"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1372DBE7"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c>
          <w:tcPr>
            <w:tcW w:w="471"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386AD9F3"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r>
      <w:tr w:rsidR="006554D7" w:rsidRPr="004866BE" w14:paraId="6EECD73B" w14:textId="77777777" w:rsidTr="000C136E">
        <w:trPr>
          <w:trHeight w:val="20"/>
        </w:trPr>
        <w:tc>
          <w:tcPr>
            <w:tcW w:w="15572" w:type="dxa"/>
            <w:gridSpan w:val="2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D1E36" w14:textId="6E78EE03" w:rsidR="006554D7" w:rsidRPr="004866BE" w:rsidRDefault="006554D7" w:rsidP="00694949">
            <w:pPr>
              <w:spacing w:after="0" w:line="240" w:lineRule="auto"/>
              <w:rPr>
                <w:rFonts w:eastAsia="Times New Roman"/>
                <w:sz w:val="20"/>
                <w:lang w:eastAsia="en-AU"/>
              </w:rPr>
            </w:pPr>
            <w:r w:rsidRPr="004866BE">
              <w:rPr>
                <w:rFonts w:eastAsia="Times New Roman"/>
                <w:color w:val="000000"/>
                <w:sz w:val="16"/>
                <w:lang w:eastAsia="en-AU"/>
              </w:rPr>
              <w:t>Scenario 3: 12-month program pause, no catch-up screening, participation reduced by 50% for 12 months</w:t>
            </w:r>
          </w:p>
        </w:tc>
      </w:tr>
      <w:tr w:rsidR="009B51E3" w:rsidRPr="004866BE" w14:paraId="43656184" w14:textId="77777777" w:rsidTr="006554D7">
        <w:trPr>
          <w:trHeight w:val="20"/>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9D591" w14:textId="77777777" w:rsidR="00694949" w:rsidRPr="004866BE" w:rsidRDefault="00694949" w:rsidP="00694949">
            <w:pPr>
              <w:spacing w:after="0" w:line="240" w:lineRule="auto"/>
              <w:rPr>
                <w:rFonts w:eastAsia="Times New Roman"/>
                <w:sz w:val="20"/>
                <w:lang w:eastAsia="en-AU"/>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2DB25" w14:textId="77777777" w:rsidR="00694949" w:rsidRPr="004866BE" w:rsidRDefault="00694949" w:rsidP="00694949">
            <w:pPr>
              <w:spacing w:after="0" w:line="240" w:lineRule="auto"/>
              <w:jc w:val="right"/>
              <w:rPr>
                <w:rFonts w:eastAsia="Times New Roman"/>
                <w:color w:val="000000"/>
                <w:sz w:val="16"/>
                <w:lang w:eastAsia="en-AU"/>
              </w:rPr>
            </w:pPr>
            <w:r w:rsidRPr="004866BE">
              <w:rPr>
                <w:rFonts w:eastAsia="Times New Roman"/>
                <w:color w:val="000000"/>
                <w:sz w:val="16"/>
                <w:lang w:eastAsia="en-AU"/>
              </w:rPr>
              <w:t>2020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DC827"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42C00"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8DFCE"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EB994"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23123"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40BC4"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4484D"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6939A"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96EC9"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BE7D0"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90BC1"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4A1E3" w14:textId="77777777" w:rsidR="00694949" w:rsidRPr="004866BE" w:rsidRDefault="00694949" w:rsidP="00694949">
            <w:pPr>
              <w:spacing w:after="0" w:line="240" w:lineRule="auto"/>
              <w:jc w:val="right"/>
              <w:rPr>
                <w:rFonts w:eastAsia="Times New Roman"/>
                <w:color w:val="000000"/>
                <w:sz w:val="16"/>
                <w:lang w:eastAsia="en-AU"/>
              </w:rPr>
            </w:pPr>
            <w:r w:rsidRPr="004866BE">
              <w:rPr>
                <w:rFonts w:eastAsia="Times New Roman"/>
                <w:color w:val="000000"/>
                <w:sz w:val="16"/>
                <w:lang w:eastAsia="en-AU"/>
              </w:rPr>
              <w:t>2020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352D6"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DBF9F"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D1578"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D8D36"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F2AC1"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81BA8"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9EB74"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A7871"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B3C7A"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BDB5B"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AFB6A"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BE4AD" w14:textId="77777777" w:rsidR="00694949" w:rsidRPr="004866BE" w:rsidRDefault="00694949" w:rsidP="00694949">
            <w:pPr>
              <w:spacing w:after="0" w:line="240" w:lineRule="auto"/>
              <w:jc w:val="right"/>
              <w:rPr>
                <w:rFonts w:eastAsia="Times New Roman"/>
                <w:color w:val="000000"/>
                <w:sz w:val="16"/>
                <w:lang w:eastAsia="en-AU"/>
              </w:rPr>
            </w:pPr>
            <w:r w:rsidRPr="004866BE">
              <w:rPr>
                <w:rFonts w:eastAsia="Times New Roman"/>
                <w:color w:val="000000"/>
                <w:sz w:val="16"/>
                <w:lang w:eastAsia="en-AU"/>
              </w:rPr>
              <w:t>2022</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0B283"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D3A7C"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97A4A"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r>
      <w:tr w:rsidR="004F335F" w:rsidRPr="004866BE" w14:paraId="0B38E302" w14:textId="77777777" w:rsidTr="006554D7">
        <w:trPr>
          <w:trHeight w:val="20"/>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AEFBA" w14:textId="77777777" w:rsidR="00694949" w:rsidRPr="004866BE" w:rsidRDefault="00694949" w:rsidP="00694949">
            <w:pPr>
              <w:spacing w:after="0" w:line="240" w:lineRule="auto"/>
              <w:rPr>
                <w:rFonts w:eastAsia="Times New Roman"/>
                <w:color w:val="000000"/>
                <w:sz w:val="16"/>
                <w:lang w:eastAsia="en-AU"/>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B8630"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7D48D"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1FB78"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8E0B2"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Apr</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0C5B0"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May</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CAD2F"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Jun</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C990C"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Jul</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84B4F"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Aug</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DE98B"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Sep</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55D26"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Oct</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36AF8"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Nov</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BA914"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Dec</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216D7"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3273F"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58083"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01F9F"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Apr</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9DE52"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May</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2B52D"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Jun</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D3A77"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Jul</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8CD23"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Aug</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26C64"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Sep</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50668"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Oct</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3819A"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Nov</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F9ECE"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Dec</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BFE9B"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Jan</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35BDF"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Feb</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85280"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Mar</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1E632"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Apr</w:t>
            </w:r>
          </w:p>
        </w:tc>
      </w:tr>
      <w:tr w:rsidR="00E22598" w:rsidRPr="004866BE" w14:paraId="2E205ABE" w14:textId="77777777" w:rsidTr="006554D7">
        <w:trPr>
          <w:trHeight w:val="20"/>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98B36" w14:textId="77777777" w:rsidR="00694949" w:rsidRPr="004866BE" w:rsidRDefault="001751FB" w:rsidP="00694949">
            <w:pPr>
              <w:spacing w:after="0" w:line="240" w:lineRule="auto"/>
              <w:rPr>
                <w:rFonts w:eastAsia="Times New Roman"/>
                <w:color w:val="000000"/>
                <w:sz w:val="16"/>
                <w:lang w:eastAsia="en-AU"/>
              </w:rPr>
            </w:pPr>
            <w:r w:rsidRPr="004866BE">
              <w:rPr>
                <w:rFonts w:eastAsia="Times New Roman"/>
                <w:color w:val="000000"/>
                <w:sz w:val="16"/>
                <w:lang w:eastAsia="en-AU"/>
              </w:rPr>
              <w:t xml:space="preserve">Disrupted </w:t>
            </w:r>
            <w:r w:rsidR="00694949" w:rsidRPr="004866BE">
              <w:rPr>
                <w:rFonts w:eastAsia="Times New Roman"/>
                <w:color w:val="000000"/>
                <w:sz w:val="16"/>
                <w:lang w:eastAsia="en-AU"/>
              </w:rPr>
              <w:t>Cohort</w:t>
            </w:r>
          </w:p>
        </w:tc>
        <w:tc>
          <w:tcPr>
            <w:tcW w:w="1064" w:type="dxa"/>
            <w:gridSpan w:val="2"/>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0C0E5509" w14:textId="77777777" w:rsidR="00694949" w:rsidRPr="004866BE" w:rsidRDefault="00694949" w:rsidP="00694949">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4381" w:type="dxa"/>
            <w:gridSpan w:val="9"/>
            <w:tcBorders>
              <w:top w:val="single" w:sz="4" w:space="0" w:color="auto"/>
              <w:left w:val="single" w:sz="4" w:space="0" w:color="auto"/>
              <w:bottom w:val="single" w:sz="4" w:space="0" w:color="auto"/>
              <w:right w:val="single" w:sz="4" w:space="0" w:color="auto"/>
            </w:tcBorders>
            <w:shd w:val="clear" w:color="auto" w:fill="C00000"/>
            <w:noWrap/>
            <w:vAlign w:val="bottom"/>
            <w:hideMark/>
          </w:tcPr>
          <w:p w14:paraId="1CE0F983" w14:textId="77777777" w:rsidR="00694949" w:rsidRPr="004866BE" w:rsidRDefault="00694949" w:rsidP="00694949">
            <w:pPr>
              <w:spacing w:after="0" w:line="240" w:lineRule="auto"/>
              <w:jc w:val="center"/>
              <w:rPr>
                <w:rFonts w:eastAsia="Times New Roman"/>
                <w:b/>
                <w:color w:val="FFFFFF"/>
                <w:sz w:val="16"/>
                <w:lang w:eastAsia="en-AU"/>
              </w:rPr>
            </w:pPr>
            <w:r w:rsidRPr="004866BE">
              <w:rPr>
                <w:rFonts w:eastAsia="Times New Roman"/>
                <w:b/>
                <w:color w:val="FFFFFF"/>
                <w:sz w:val="16"/>
                <w:lang w:eastAsia="en-AU"/>
              </w:rPr>
              <w:t>Screening Pause</w:t>
            </w:r>
          </w:p>
        </w:tc>
        <w:tc>
          <w:tcPr>
            <w:tcW w:w="501"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7DD0D5C0"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c>
          <w:tcPr>
            <w:tcW w:w="1064" w:type="dxa"/>
            <w:gridSpan w:val="2"/>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4FA52BAC" w14:textId="77777777" w:rsidR="00694949" w:rsidRPr="004866BE" w:rsidRDefault="00694949" w:rsidP="00694949">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438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94851" w14:textId="77777777" w:rsidR="00694949" w:rsidRPr="004866BE" w:rsidRDefault="00694949" w:rsidP="00694949">
            <w:pPr>
              <w:spacing w:after="0" w:line="240" w:lineRule="auto"/>
              <w:jc w:val="center"/>
              <w:rPr>
                <w:rFonts w:eastAsia="Times New Roman"/>
                <w:color w:val="FFD966"/>
                <w:sz w:val="16"/>
                <w:lang w:eastAsia="en-AU"/>
              </w:rPr>
            </w:pPr>
            <w:r w:rsidRPr="004866BE">
              <w:rPr>
                <w:rFonts w:eastAsia="Times New Roman"/>
                <w:color w:val="FFD966"/>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43A8154E"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c>
          <w:tcPr>
            <w:tcW w:w="1064" w:type="dxa"/>
            <w:gridSpan w:val="2"/>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22462EEC" w14:textId="77777777" w:rsidR="00694949" w:rsidRPr="004866BE" w:rsidRDefault="00694949" w:rsidP="00694949">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963" w:type="dxa"/>
            <w:gridSpan w:val="2"/>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7982E88D" w14:textId="77777777" w:rsidR="00694949" w:rsidRPr="004866BE" w:rsidRDefault="00694949" w:rsidP="00694949">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r>
      <w:tr w:rsidR="00E22598" w:rsidRPr="004866BE" w14:paraId="3044A6D1" w14:textId="77777777" w:rsidTr="006554D7">
        <w:trPr>
          <w:trHeight w:val="20"/>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5E5B2"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Other Cohorts</w:t>
            </w:r>
          </w:p>
        </w:tc>
        <w:tc>
          <w:tcPr>
            <w:tcW w:w="1064" w:type="dxa"/>
            <w:gridSpan w:val="2"/>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568999C1" w14:textId="77777777" w:rsidR="00694949" w:rsidRPr="004866BE" w:rsidRDefault="00694949" w:rsidP="00694949">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438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C74E0" w14:textId="77777777" w:rsidR="00694949" w:rsidRPr="004866BE" w:rsidRDefault="00694949" w:rsidP="00694949">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501"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5F7CA790"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c>
          <w:tcPr>
            <w:tcW w:w="1064" w:type="dxa"/>
            <w:gridSpan w:val="2"/>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4C35389F" w14:textId="77777777" w:rsidR="00694949" w:rsidRPr="004866BE" w:rsidRDefault="00694949" w:rsidP="00694949">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4384" w:type="dxa"/>
            <w:gridSpan w:val="9"/>
            <w:tcBorders>
              <w:top w:val="single" w:sz="4" w:space="0" w:color="auto"/>
              <w:left w:val="single" w:sz="4" w:space="0" w:color="auto"/>
              <w:bottom w:val="single" w:sz="4" w:space="0" w:color="auto"/>
              <w:right w:val="single" w:sz="4" w:space="0" w:color="auto"/>
            </w:tcBorders>
            <w:shd w:val="clear" w:color="auto" w:fill="9BC2E6"/>
            <w:noWrap/>
            <w:vAlign w:val="bottom"/>
            <w:hideMark/>
          </w:tcPr>
          <w:p w14:paraId="30CA0886" w14:textId="77777777" w:rsidR="00694949" w:rsidRPr="004866BE" w:rsidRDefault="00694949" w:rsidP="00694949">
            <w:pPr>
              <w:spacing w:after="0" w:line="240" w:lineRule="auto"/>
              <w:jc w:val="center"/>
              <w:rPr>
                <w:rFonts w:eastAsia="Times New Roman"/>
                <w:b/>
                <w:color w:val="000000"/>
                <w:sz w:val="16"/>
                <w:lang w:eastAsia="en-AU"/>
              </w:rPr>
            </w:pPr>
            <w:r w:rsidRPr="004866BE">
              <w:rPr>
                <w:rFonts w:eastAsia="Times New Roman"/>
                <w:b/>
                <w:color w:val="000000"/>
                <w:sz w:val="16"/>
                <w:lang w:eastAsia="en-AU"/>
              </w:rPr>
              <w:t>Recovery period (~20% participation)</w:t>
            </w:r>
          </w:p>
        </w:tc>
        <w:tc>
          <w:tcPr>
            <w:tcW w:w="501"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51B5D193"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c>
          <w:tcPr>
            <w:tcW w:w="1064" w:type="dxa"/>
            <w:gridSpan w:val="2"/>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4735C686" w14:textId="77777777" w:rsidR="00694949" w:rsidRPr="004866BE" w:rsidRDefault="00694949" w:rsidP="00694949">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c>
          <w:tcPr>
            <w:tcW w:w="963" w:type="dxa"/>
            <w:gridSpan w:val="2"/>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750DDF83" w14:textId="77777777" w:rsidR="00694949" w:rsidRPr="004866BE" w:rsidRDefault="00694949" w:rsidP="00694949">
            <w:pPr>
              <w:spacing w:after="0" w:line="240" w:lineRule="auto"/>
              <w:jc w:val="center"/>
              <w:rPr>
                <w:rFonts w:eastAsia="Times New Roman"/>
                <w:color w:val="305496"/>
                <w:sz w:val="16"/>
                <w:lang w:eastAsia="en-AU"/>
              </w:rPr>
            </w:pPr>
            <w:r w:rsidRPr="004866BE">
              <w:rPr>
                <w:rFonts w:eastAsia="Times New Roman"/>
                <w:color w:val="305496"/>
                <w:sz w:val="16"/>
                <w:lang w:eastAsia="en-AU"/>
              </w:rPr>
              <w:t> </w:t>
            </w:r>
          </w:p>
        </w:tc>
      </w:tr>
      <w:tr w:rsidR="006554D7" w:rsidRPr="006554D7" w14:paraId="799492AF" w14:textId="77777777" w:rsidTr="006554D7">
        <w:trPr>
          <w:trHeight w:val="120"/>
        </w:trPr>
        <w:tc>
          <w:tcPr>
            <w:tcW w:w="15572" w:type="dxa"/>
            <w:gridSpan w:val="2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70F59" w14:textId="67166810" w:rsidR="006554D7" w:rsidRPr="006554D7" w:rsidRDefault="006554D7" w:rsidP="006554D7">
            <w:pPr>
              <w:pStyle w:val="TableofFigures"/>
            </w:pPr>
            <w:r w:rsidRPr="006554D7">
              <w:t>Notes</w:t>
            </w:r>
          </w:p>
        </w:tc>
      </w:tr>
      <w:tr w:rsidR="00E22598" w:rsidRPr="004866BE" w14:paraId="45CFCF4B" w14:textId="77777777" w:rsidTr="006554D7">
        <w:trPr>
          <w:trHeight w:val="255"/>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C3D1B" w14:textId="77777777" w:rsidR="00694949" w:rsidRPr="004866BE" w:rsidRDefault="00694949" w:rsidP="00694949">
            <w:pPr>
              <w:spacing w:after="0" w:line="240" w:lineRule="auto"/>
              <w:rPr>
                <w:rFonts w:eastAsia="Times New Roman"/>
                <w:sz w:val="20"/>
                <w:lang w:eastAsia="en-AU"/>
              </w:rPr>
            </w:pPr>
          </w:p>
        </w:tc>
        <w:tc>
          <w:tcPr>
            <w:tcW w:w="572"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5D5126A0"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c>
          <w:tcPr>
            <w:tcW w:w="6438"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39E98"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Usual screening - observed participation rates (~40%) at usual invitation schedule</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7F838" w14:textId="77777777" w:rsidR="00694949" w:rsidRPr="004866BE" w:rsidRDefault="00694949" w:rsidP="00694949">
            <w:pPr>
              <w:spacing w:after="0" w:line="240" w:lineRule="auto"/>
              <w:rPr>
                <w:rFonts w:eastAsia="Times New Roman"/>
                <w:color w:val="000000"/>
                <w:sz w:val="16"/>
                <w:lang w:eastAsia="en-AU"/>
              </w:rPr>
            </w:pP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A75B9" w14:textId="77777777" w:rsidR="00694949" w:rsidRPr="004866BE" w:rsidRDefault="00694949" w:rsidP="00694949">
            <w:pPr>
              <w:spacing w:after="0" w:line="240" w:lineRule="auto"/>
              <w:rPr>
                <w:rFonts w:eastAsia="Times New Roman"/>
                <w:sz w:val="20"/>
                <w:lang w:eastAsia="en-AU"/>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3444C" w14:textId="77777777" w:rsidR="00694949" w:rsidRPr="004866BE" w:rsidRDefault="00694949" w:rsidP="00694949">
            <w:pPr>
              <w:spacing w:after="0" w:line="240" w:lineRule="auto"/>
              <w:rPr>
                <w:rFonts w:eastAsia="Times New Roman"/>
                <w:sz w:val="20"/>
                <w:lang w:eastAsia="en-AU"/>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00ED2" w14:textId="77777777" w:rsidR="00694949" w:rsidRPr="004866BE" w:rsidRDefault="00694949" w:rsidP="00694949">
            <w:pPr>
              <w:spacing w:after="0" w:line="240" w:lineRule="auto"/>
              <w:rPr>
                <w:rFonts w:eastAsia="Times New Roman"/>
                <w:sz w:val="20"/>
                <w:lang w:eastAsia="en-AU"/>
              </w:rPr>
            </w:pP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567D4"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D0C2E"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90439" w14:textId="77777777" w:rsidR="00694949" w:rsidRPr="004866BE" w:rsidRDefault="00694949" w:rsidP="00694949">
            <w:pPr>
              <w:spacing w:after="0" w:line="240" w:lineRule="auto"/>
              <w:rPr>
                <w:rFonts w:eastAsia="Times New Roman"/>
                <w:sz w:val="20"/>
                <w:lang w:eastAsia="en-AU"/>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3CB6F"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03B2A"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A8BEF" w14:textId="77777777" w:rsidR="00694949" w:rsidRPr="004866BE" w:rsidRDefault="00694949" w:rsidP="00694949">
            <w:pPr>
              <w:spacing w:after="0" w:line="240" w:lineRule="auto"/>
              <w:rPr>
                <w:rFonts w:eastAsia="Times New Roman"/>
                <w:sz w:val="20"/>
                <w:lang w:eastAsia="en-AU"/>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702DA" w14:textId="77777777" w:rsidR="00694949" w:rsidRPr="004866BE" w:rsidRDefault="00694949" w:rsidP="00694949">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5336B" w14:textId="77777777" w:rsidR="00694949" w:rsidRPr="004866BE" w:rsidRDefault="00694949" w:rsidP="00694949">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281FC" w14:textId="77777777" w:rsidR="00694949" w:rsidRPr="004866BE" w:rsidRDefault="00694949" w:rsidP="00694949">
            <w:pPr>
              <w:spacing w:after="0" w:line="240" w:lineRule="auto"/>
              <w:rPr>
                <w:rFonts w:eastAsia="Times New Roman"/>
                <w:sz w:val="20"/>
                <w:lang w:eastAsia="en-AU"/>
              </w:rPr>
            </w:pP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192F7" w14:textId="77777777" w:rsidR="00694949" w:rsidRPr="004866BE" w:rsidRDefault="00694949" w:rsidP="00694949">
            <w:pPr>
              <w:spacing w:after="0" w:line="240" w:lineRule="auto"/>
              <w:rPr>
                <w:rFonts w:eastAsia="Times New Roman"/>
                <w:sz w:val="20"/>
                <w:lang w:eastAsia="en-AU"/>
              </w:rPr>
            </w:pPr>
          </w:p>
        </w:tc>
      </w:tr>
      <w:tr w:rsidR="004F335F" w:rsidRPr="004866BE" w14:paraId="4B07EC2B" w14:textId="77777777" w:rsidTr="006554D7">
        <w:trPr>
          <w:trHeight w:val="255"/>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0479D" w14:textId="77777777" w:rsidR="00694949" w:rsidRPr="004866BE" w:rsidRDefault="00694949" w:rsidP="00694949">
            <w:pPr>
              <w:spacing w:after="0" w:line="240" w:lineRule="auto"/>
              <w:rPr>
                <w:rFonts w:eastAsia="Times New Roman"/>
                <w:sz w:val="20"/>
                <w:lang w:eastAsia="en-AU"/>
              </w:rPr>
            </w:pPr>
          </w:p>
        </w:tc>
        <w:tc>
          <w:tcPr>
            <w:tcW w:w="572" w:type="dxa"/>
            <w:tcBorders>
              <w:top w:val="single" w:sz="4" w:space="0" w:color="auto"/>
              <w:left w:val="single" w:sz="4" w:space="0" w:color="auto"/>
              <w:bottom w:val="single" w:sz="4" w:space="0" w:color="auto"/>
              <w:right w:val="single" w:sz="4" w:space="0" w:color="auto"/>
            </w:tcBorders>
            <w:shd w:val="clear" w:color="auto" w:fill="C00000"/>
            <w:noWrap/>
            <w:vAlign w:val="bottom"/>
            <w:hideMark/>
          </w:tcPr>
          <w:p w14:paraId="32D83AF0"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340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9C80E" w14:textId="77777777" w:rsidR="00694949" w:rsidRPr="004866BE" w:rsidRDefault="00694949" w:rsidP="00694949">
            <w:pPr>
              <w:spacing w:after="0" w:line="240" w:lineRule="auto"/>
              <w:rPr>
                <w:rFonts w:eastAsia="Times New Roman"/>
                <w:color w:val="000000"/>
                <w:sz w:val="16"/>
                <w:lang w:eastAsia="en-AU"/>
              </w:rPr>
            </w:pPr>
            <w:proofErr w:type="gramStart"/>
            <w:r w:rsidRPr="004866BE">
              <w:rPr>
                <w:rFonts w:eastAsia="Times New Roman"/>
                <w:color w:val="000000"/>
                <w:sz w:val="16"/>
                <w:lang w:eastAsia="en-AU"/>
              </w:rPr>
              <w:t>Disruption  -</w:t>
            </w:r>
            <w:proofErr w:type="gramEnd"/>
            <w:r w:rsidRPr="004866BE">
              <w:rPr>
                <w:rFonts w:eastAsia="Times New Roman"/>
                <w:color w:val="000000"/>
                <w:sz w:val="16"/>
                <w:lang w:eastAsia="en-AU"/>
              </w:rPr>
              <w:t xml:space="preserve"> no kits sent, no participation</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C83C7" w14:textId="77777777" w:rsidR="00694949" w:rsidRPr="004866BE" w:rsidRDefault="00694949" w:rsidP="00694949">
            <w:pPr>
              <w:spacing w:after="0" w:line="240" w:lineRule="auto"/>
              <w:rPr>
                <w:rFonts w:eastAsia="Times New Roman"/>
                <w:color w:val="000000"/>
                <w:sz w:val="16"/>
                <w:lang w:eastAsia="en-AU"/>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80FBA"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059BE"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F9B93" w14:textId="77777777" w:rsidR="00694949" w:rsidRPr="004866BE" w:rsidRDefault="00694949" w:rsidP="00694949">
            <w:pPr>
              <w:spacing w:after="0" w:line="240" w:lineRule="auto"/>
              <w:rPr>
                <w:rFonts w:eastAsia="Times New Roman"/>
                <w:sz w:val="20"/>
                <w:lang w:eastAsia="en-AU"/>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0302B" w14:textId="77777777" w:rsidR="00694949" w:rsidRPr="004866BE" w:rsidRDefault="00694949" w:rsidP="00694949">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4AC52" w14:textId="77777777" w:rsidR="00694949" w:rsidRPr="004866BE" w:rsidRDefault="00694949" w:rsidP="00694949">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3C9AA" w14:textId="77777777" w:rsidR="00694949" w:rsidRPr="004866BE" w:rsidRDefault="00694949" w:rsidP="00694949">
            <w:pPr>
              <w:spacing w:after="0" w:line="240" w:lineRule="auto"/>
              <w:rPr>
                <w:rFonts w:eastAsia="Times New Roman"/>
                <w:sz w:val="20"/>
                <w:lang w:eastAsia="en-AU"/>
              </w:rPr>
            </w:pP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C4C9C" w14:textId="77777777" w:rsidR="00694949" w:rsidRPr="004866BE" w:rsidRDefault="00694949" w:rsidP="00694949">
            <w:pPr>
              <w:spacing w:after="0" w:line="240" w:lineRule="auto"/>
              <w:rPr>
                <w:rFonts w:eastAsia="Times New Roman"/>
                <w:sz w:val="20"/>
                <w:lang w:eastAsia="en-AU"/>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3CBF2" w14:textId="77777777" w:rsidR="00694949" w:rsidRPr="004866BE" w:rsidRDefault="00694949" w:rsidP="00694949">
            <w:pPr>
              <w:spacing w:after="0" w:line="240" w:lineRule="auto"/>
              <w:rPr>
                <w:rFonts w:eastAsia="Times New Roman"/>
                <w:sz w:val="20"/>
                <w:lang w:eastAsia="en-AU"/>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3E380" w14:textId="77777777" w:rsidR="00694949" w:rsidRPr="004866BE" w:rsidRDefault="00694949" w:rsidP="00694949">
            <w:pPr>
              <w:spacing w:after="0" w:line="240" w:lineRule="auto"/>
              <w:rPr>
                <w:rFonts w:eastAsia="Times New Roman"/>
                <w:sz w:val="20"/>
                <w:lang w:eastAsia="en-AU"/>
              </w:rPr>
            </w:pP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B5E26"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79792"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E859E" w14:textId="77777777" w:rsidR="00694949" w:rsidRPr="004866BE" w:rsidRDefault="00694949" w:rsidP="00694949">
            <w:pPr>
              <w:spacing w:after="0" w:line="240" w:lineRule="auto"/>
              <w:rPr>
                <w:rFonts w:eastAsia="Times New Roman"/>
                <w:sz w:val="20"/>
                <w:lang w:eastAsia="en-AU"/>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8E67A"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E9542"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0F4FE" w14:textId="77777777" w:rsidR="00694949" w:rsidRPr="004866BE" w:rsidRDefault="00694949" w:rsidP="00694949">
            <w:pPr>
              <w:spacing w:after="0" w:line="240" w:lineRule="auto"/>
              <w:rPr>
                <w:rFonts w:eastAsia="Times New Roman"/>
                <w:sz w:val="20"/>
                <w:lang w:eastAsia="en-AU"/>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3A364" w14:textId="77777777" w:rsidR="00694949" w:rsidRPr="004866BE" w:rsidRDefault="00694949" w:rsidP="00694949">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01B7B" w14:textId="77777777" w:rsidR="00694949" w:rsidRPr="004866BE" w:rsidRDefault="00694949" w:rsidP="00694949">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B0397" w14:textId="77777777" w:rsidR="00694949" w:rsidRPr="004866BE" w:rsidRDefault="00694949" w:rsidP="00694949">
            <w:pPr>
              <w:spacing w:after="0" w:line="240" w:lineRule="auto"/>
              <w:rPr>
                <w:rFonts w:eastAsia="Times New Roman"/>
                <w:sz w:val="20"/>
                <w:lang w:eastAsia="en-AU"/>
              </w:rPr>
            </w:pP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5A3C0" w14:textId="77777777" w:rsidR="00694949" w:rsidRPr="004866BE" w:rsidRDefault="00694949" w:rsidP="00694949">
            <w:pPr>
              <w:spacing w:after="0" w:line="240" w:lineRule="auto"/>
              <w:rPr>
                <w:rFonts w:eastAsia="Times New Roman"/>
                <w:sz w:val="20"/>
                <w:lang w:eastAsia="en-AU"/>
              </w:rPr>
            </w:pPr>
          </w:p>
        </w:tc>
      </w:tr>
      <w:tr w:rsidR="004F335F" w:rsidRPr="004866BE" w14:paraId="542F37E9" w14:textId="77777777" w:rsidTr="006554D7">
        <w:trPr>
          <w:trHeight w:val="255"/>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C0B5C" w14:textId="77777777" w:rsidR="00694949" w:rsidRPr="004866BE" w:rsidRDefault="00694949" w:rsidP="00694949">
            <w:pPr>
              <w:spacing w:after="0" w:line="240" w:lineRule="auto"/>
              <w:rPr>
                <w:rFonts w:eastAsia="Times New Roman"/>
                <w:sz w:val="20"/>
                <w:lang w:eastAsia="en-AU"/>
              </w:rPr>
            </w:pPr>
          </w:p>
        </w:tc>
        <w:tc>
          <w:tcPr>
            <w:tcW w:w="572"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bottom"/>
            <w:hideMark/>
          </w:tcPr>
          <w:p w14:paraId="254C84D1" w14:textId="77777777" w:rsidR="00694949" w:rsidRPr="004866BE" w:rsidRDefault="00694949" w:rsidP="00694949">
            <w:pPr>
              <w:spacing w:after="0" w:line="240" w:lineRule="auto"/>
              <w:rPr>
                <w:rFonts w:eastAsia="Times New Roman"/>
                <w:color w:val="FFD966"/>
                <w:sz w:val="16"/>
                <w:lang w:eastAsia="en-AU"/>
              </w:rPr>
            </w:pPr>
            <w:r w:rsidRPr="004866BE">
              <w:rPr>
                <w:rFonts w:eastAsia="Times New Roman"/>
                <w:color w:val="FFD966"/>
                <w:sz w:val="16"/>
                <w:lang w:eastAsia="en-AU"/>
              </w:rPr>
              <w:t> </w:t>
            </w:r>
          </w:p>
        </w:tc>
        <w:tc>
          <w:tcPr>
            <w:tcW w:w="6438"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008D7"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xml:space="preserve">Catch-up screening - invites for people who missed out during the disruption </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FDB73" w14:textId="77777777" w:rsidR="00694949" w:rsidRPr="004866BE" w:rsidRDefault="00694949" w:rsidP="00694949">
            <w:pPr>
              <w:spacing w:after="0" w:line="240" w:lineRule="auto"/>
              <w:rPr>
                <w:rFonts w:eastAsia="Times New Roman"/>
                <w:color w:val="000000"/>
                <w:sz w:val="16"/>
                <w:lang w:eastAsia="en-AU"/>
              </w:rPr>
            </w:pP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29F39" w14:textId="77777777" w:rsidR="00694949" w:rsidRPr="004866BE" w:rsidRDefault="00694949" w:rsidP="00694949">
            <w:pPr>
              <w:spacing w:after="0" w:line="240" w:lineRule="auto"/>
              <w:rPr>
                <w:rFonts w:eastAsia="Times New Roman"/>
                <w:sz w:val="20"/>
                <w:lang w:eastAsia="en-AU"/>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31C61" w14:textId="77777777" w:rsidR="00694949" w:rsidRPr="004866BE" w:rsidRDefault="00694949" w:rsidP="00694949">
            <w:pPr>
              <w:spacing w:after="0" w:line="240" w:lineRule="auto"/>
              <w:rPr>
                <w:rFonts w:eastAsia="Times New Roman"/>
                <w:sz w:val="20"/>
                <w:lang w:eastAsia="en-AU"/>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4AACD" w14:textId="77777777" w:rsidR="00694949" w:rsidRPr="004866BE" w:rsidRDefault="00694949" w:rsidP="00694949">
            <w:pPr>
              <w:spacing w:after="0" w:line="240" w:lineRule="auto"/>
              <w:rPr>
                <w:rFonts w:eastAsia="Times New Roman"/>
                <w:sz w:val="20"/>
                <w:lang w:eastAsia="en-AU"/>
              </w:rPr>
            </w:pP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95429"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E92FF"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9FBE8" w14:textId="77777777" w:rsidR="00694949" w:rsidRPr="004866BE" w:rsidRDefault="00694949" w:rsidP="00694949">
            <w:pPr>
              <w:spacing w:after="0" w:line="240" w:lineRule="auto"/>
              <w:rPr>
                <w:rFonts w:eastAsia="Times New Roman"/>
                <w:sz w:val="20"/>
                <w:lang w:eastAsia="en-AU"/>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1C0C1"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CA545"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D3D55" w14:textId="77777777" w:rsidR="00694949" w:rsidRPr="004866BE" w:rsidRDefault="00694949" w:rsidP="00694949">
            <w:pPr>
              <w:spacing w:after="0" w:line="240" w:lineRule="auto"/>
              <w:rPr>
                <w:rFonts w:eastAsia="Times New Roman"/>
                <w:sz w:val="20"/>
                <w:lang w:eastAsia="en-AU"/>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6A3B1" w14:textId="77777777" w:rsidR="00694949" w:rsidRPr="004866BE" w:rsidRDefault="00694949" w:rsidP="00694949">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2B7E2" w14:textId="77777777" w:rsidR="00694949" w:rsidRPr="004866BE" w:rsidRDefault="00694949" w:rsidP="00694949">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5393C" w14:textId="77777777" w:rsidR="00694949" w:rsidRPr="004866BE" w:rsidRDefault="00694949" w:rsidP="00694949">
            <w:pPr>
              <w:spacing w:after="0" w:line="240" w:lineRule="auto"/>
              <w:rPr>
                <w:rFonts w:eastAsia="Times New Roman"/>
                <w:sz w:val="20"/>
                <w:lang w:eastAsia="en-AU"/>
              </w:rPr>
            </w:pP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18E5C" w14:textId="77777777" w:rsidR="00694949" w:rsidRPr="004866BE" w:rsidRDefault="00694949" w:rsidP="00694949">
            <w:pPr>
              <w:spacing w:after="0" w:line="240" w:lineRule="auto"/>
              <w:rPr>
                <w:rFonts w:eastAsia="Times New Roman"/>
                <w:sz w:val="20"/>
                <w:lang w:eastAsia="en-AU"/>
              </w:rPr>
            </w:pPr>
          </w:p>
        </w:tc>
      </w:tr>
      <w:tr w:rsidR="004F335F" w:rsidRPr="004866BE" w14:paraId="18105470" w14:textId="77777777" w:rsidTr="006554D7">
        <w:trPr>
          <w:trHeight w:val="255"/>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0D357" w14:textId="77777777" w:rsidR="00694949" w:rsidRPr="004866BE" w:rsidRDefault="00694949" w:rsidP="00694949">
            <w:pPr>
              <w:spacing w:after="0" w:line="240" w:lineRule="auto"/>
              <w:rPr>
                <w:rFonts w:eastAsia="Times New Roman"/>
                <w:sz w:val="20"/>
                <w:lang w:eastAsia="en-AU"/>
              </w:rPr>
            </w:pPr>
          </w:p>
        </w:tc>
        <w:tc>
          <w:tcPr>
            <w:tcW w:w="572"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13388773"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 </w:t>
            </w:r>
          </w:p>
        </w:tc>
        <w:tc>
          <w:tcPr>
            <w:tcW w:w="340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10E41"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Recovery period - lower participation rates</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CDEC1" w14:textId="77777777" w:rsidR="00694949" w:rsidRPr="004866BE" w:rsidRDefault="00694949" w:rsidP="00694949">
            <w:pPr>
              <w:spacing w:after="0" w:line="240" w:lineRule="auto"/>
              <w:rPr>
                <w:rFonts w:eastAsia="Times New Roman"/>
                <w:color w:val="000000"/>
                <w:sz w:val="16"/>
                <w:lang w:eastAsia="en-AU"/>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A77CA"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26CF4"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AAE0C" w14:textId="77777777" w:rsidR="00694949" w:rsidRPr="004866BE" w:rsidRDefault="00694949" w:rsidP="00694949">
            <w:pPr>
              <w:spacing w:after="0" w:line="240" w:lineRule="auto"/>
              <w:rPr>
                <w:rFonts w:eastAsia="Times New Roman"/>
                <w:sz w:val="20"/>
                <w:lang w:eastAsia="en-AU"/>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3E14A" w14:textId="77777777" w:rsidR="00694949" w:rsidRPr="004866BE" w:rsidRDefault="00694949" w:rsidP="00694949">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6D968" w14:textId="77777777" w:rsidR="00694949" w:rsidRPr="004866BE" w:rsidRDefault="00694949" w:rsidP="00694949">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F38A2" w14:textId="77777777" w:rsidR="00694949" w:rsidRPr="004866BE" w:rsidRDefault="00694949" w:rsidP="00694949">
            <w:pPr>
              <w:spacing w:after="0" w:line="240" w:lineRule="auto"/>
              <w:rPr>
                <w:rFonts w:eastAsia="Times New Roman"/>
                <w:sz w:val="20"/>
                <w:lang w:eastAsia="en-AU"/>
              </w:rPr>
            </w:pP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C6E1F" w14:textId="77777777" w:rsidR="00694949" w:rsidRPr="004866BE" w:rsidRDefault="00694949" w:rsidP="00694949">
            <w:pPr>
              <w:spacing w:after="0" w:line="240" w:lineRule="auto"/>
              <w:rPr>
                <w:rFonts w:eastAsia="Times New Roman"/>
                <w:sz w:val="20"/>
                <w:lang w:eastAsia="en-AU"/>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9A236" w14:textId="77777777" w:rsidR="00694949" w:rsidRPr="004866BE" w:rsidRDefault="00694949" w:rsidP="00694949">
            <w:pPr>
              <w:spacing w:after="0" w:line="240" w:lineRule="auto"/>
              <w:rPr>
                <w:rFonts w:eastAsia="Times New Roman"/>
                <w:sz w:val="20"/>
                <w:lang w:eastAsia="en-AU"/>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0AA57" w14:textId="77777777" w:rsidR="00694949" w:rsidRPr="004866BE" w:rsidRDefault="00694949" w:rsidP="00694949">
            <w:pPr>
              <w:spacing w:after="0" w:line="240" w:lineRule="auto"/>
              <w:rPr>
                <w:rFonts w:eastAsia="Times New Roman"/>
                <w:sz w:val="20"/>
                <w:lang w:eastAsia="en-AU"/>
              </w:rPr>
            </w:pP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39256"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1D910"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12344" w14:textId="77777777" w:rsidR="00694949" w:rsidRPr="004866BE" w:rsidRDefault="00694949" w:rsidP="00694949">
            <w:pPr>
              <w:spacing w:after="0" w:line="240" w:lineRule="auto"/>
              <w:rPr>
                <w:rFonts w:eastAsia="Times New Roman"/>
                <w:sz w:val="20"/>
                <w:lang w:eastAsia="en-AU"/>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2A31F"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8B7AD"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B3266" w14:textId="77777777" w:rsidR="00694949" w:rsidRPr="004866BE" w:rsidRDefault="00694949" w:rsidP="00694949">
            <w:pPr>
              <w:spacing w:after="0" w:line="240" w:lineRule="auto"/>
              <w:rPr>
                <w:rFonts w:eastAsia="Times New Roman"/>
                <w:sz w:val="20"/>
                <w:lang w:eastAsia="en-AU"/>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968FF" w14:textId="77777777" w:rsidR="00694949" w:rsidRPr="004866BE" w:rsidRDefault="00694949" w:rsidP="00694949">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DAE84" w14:textId="77777777" w:rsidR="00694949" w:rsidRPr="004866BE" w:rsidRDefault="00694949" w:rsidP="00694949">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CDA6B" w14:textId="77777777" w:rsidR="00694949" w:rsidRPr="004866BE" w:rsidRDefault="00694949" w:rsidP="00694949">
            <w:pPr>
              <w:spacing w:after="0" w:line="240" w:lineRule="auto"/>
              <w:rPr>
                <w:rFonts w:eastAsia="Times New Roman"/>
                <w:sz w:val="20"/>
                <w:lang w:eastAsia="en-AU"/>
              </w:rPr>
            </w:pP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3F3E4" w14:textId="77777777" w:rsidR="00694949" w:rsidRPr="004866BE" w:rsidRDefault="00694949" w:rsidP="00694949">
            <w:pPr>
              <w:spacing w:after="0" w:line="240" w:lineRule="auto"/>
              <w:rPr>
                <w:rFonts w:eastAsia="Times New Roman"/>
                <w:sz w:val="20"/>
                <w:lang w:eastAsia="en-AU"/>
              </w:rPr>
            </w:pPr>
          </w:p>
        </w:tc>
      </w:tr>
      <w:tr w:rsidR="004F335F" w:rsidRPr="004866BE" w14:paraId="7A492A34" w14:textId="77777777" w:rsidTr="006554D7">
        <w:trPr>
          <w:trHeight w:val="270"/>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401A9" w14:textId="77777777" w:rsidR="00694949" w:rsidRPr="004866BE" w:rsidRDefault="00694949" w:rsidP="00694949">
            <w:pPr>
              <w:spacing w:after="0" w:line="240" w:lineRule="auto"/>
              <w:rPr>
                <w:rFonts w:eastAsia="Times New Roman"/>
                <w:sz w:val="20"/>
                <w:lang w:eastAsia="en-AU"/>
              </w:rPr>
            </w:pPr>
          </w:p>
        </w:tc>
        <w:tc>
          <w:tcPr>
            <w:tcW w:w="572"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74409A57" w14:textId="77777777" w:rsidR="00694949" w:rsidRPr="004866BE" w:rsidRDefault="00694949" w:rsidP="00694949">
            <w:pPr>
              <w:spacing w:after="0" w:line="240" w:lineRule="auto"/>
              <w:rPr>
                <w:rFonts w:eastAsia="Times New Roman"/>
                <w:color w:val="305496"/>
                <w:sz w:val="16"/>
                <w:lang w:eastAsia="en-AU"/>
              </w:rPr>
            </w:pPr>
            <w:r w:rsidRPr="004866BE">
              <w:rPr>
                <w:rFonts w:eastAsia="Times New Roman"/>
                <w:color w:val="305496"/>
                <w:sz w:val="16"/>
                <w:lang w:eastAsia="en-AU"/>
              </w:rPr>
              <w:t> </w:t>
            </w:r>
          </w:p>
        </w:tc>
        <w:tc>
          <w:tcPr>
            <w:tcW w:w="19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DF5A9" w14:textId="77777777" w:rsidR="00694949" w:rsidRPr="004866BE" w:rsidRDefault="00694949" w:rsidP="00694949">
            <w:pPr>
              <w:spacing w:after="0" w:line="240" w:lineRule="auto"/>
              <w:rPr>
                <w:rFonts w:eastAsia="Times New Roman"/>
                <w:color w:val="000000"/>
                <w:sz w:val="16"/>
                <w:lang w:eastAsia="en-AU"/>
              </w:rPr>
            </w:pPr>
            <w:r w:rsidRPr="004866BE">
              <w:rPr>
                <w:rFonts w:eastAsia="Times New Roman"/>
                <w:color w:val="000000"/>
                <w:sz w:val="16"/>
                <w:lang w:eastAsia="en-AU"/>
              </w:rPr>
              <w:t>Hot zone - no screening</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6508D" w14:textId="77777777" w:rsidR="00694949" w:rsidRPr="004866BE" w:rsidRDefault="00694949" w:rsidP="00694949">
            <w:pPr>
              <w:spacing w:after="0" w:line="240" w:lineRule="auto"/>
              <w:rPr>
                <w:rFonts w:eastAsia="Times New Roman"/>
                <w:color w:val="000000"/>
                <w:sz w:val="16"/>
                <w:lang w:eastAsia="en-AU"/>
              </w:rPr>
            </w:pP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D0A51"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177C8"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CE987" w14:textId="77777777" w:rsidR="00694949" w:rsidRPr="004866BE" w:rsidRDefault="00694949" w:rsidP="00694949">
            <w:pPr>
              <w:spacing w:after="0" w:line="240" w:lineRule="auto"/>
              <w:rPr>
                <w:rFonts w:eastAsia="Times New Roman"/>
                <w:sz w:val="20"/>
                <w:lang w:eastAsia="en-AU"/>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7D0E2"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55D12"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055D5" w14:textId="77777777" w:rsidR="00694949" w:rsidRPr="004866BE" w:rsidRDefault="00694949" w:rsidP="00694949">
            <w:pPr>
              <w:spacing w:after="0" w:line="240" w:lineRule="auto"/>
              <w:rPr>
                <w:rFonts w:eastAsia="Times New Roman"/>
                <w:sz w:val="20"/>
                <w:lang w:eastAsia="en-AU"/>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97B23" w14:textId="77777777" w:rsidR="00694949" w:rsidRPr="004866BE" w:rsidRDefault="00694949" w:rsidP="00694949">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5AE62" w14:textId="77777777" w:rsidR="00694949" w:rsidRPr="004866BE" w:rsidRDefault="00694949" w:rsidP="00694949">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F8FB6" w14:textId="77777777" w:rsidR="00694949" w:rsidRPr="004866BE" w:rsidRDefault="00694949" w:rsidP="00694949">
            <w:pPr>
              <w:spacing w:after="0" w:line="240" w:lineRule="auto"/>
              <w:rPr>
                <w:rFonts w:eastAsia="Times New Roman"/>
                <w:sz w:val="20"/>
                <w:lang w:eastAsia="en-AU"/>
              </w:rPr>
            </w:pP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9161B" w14:textId="77777777" w:rsidR="00694949" w:rsidRPr="004866BE" w:rsidRDefault="00694949" w:rsidP="00694949">
            <w:pPr>
              <w:spacing w:after="0" w:line="240" w:lineRule="auto"/>
              <w:rPr>
                <w:rFonts w:eastAsia="Times New Roman"/>
                <w:sz w:val="20"/>
                <w:lang w:eastAsia="en-AU"/>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1CD3F" w14:textId="77777777" w:rsidR="00694949" w:rsidRPr="004866BE" w:rsidRDefault="00694949" w:rsidP="00694949">
            <w:pPr>
              <w:spacing w:after="0" w:line="240" w:lineRule="auto"/>
              <w:rPr>
                <w:rFonts w:eastAsia="Times New Roman"/>
                <w:sz w:val="20"/>
                <w:lang w:eastAsia="en-AU"/>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BAFA6" w14:textId="77777777" w:rsidR="00694949" w:rsidRPr="004866BE" w:rsidRDefault="00694949" w:rsidP="00694949">
            <w:pPr>
              <w:spacing w:after="0" w:line="240" w:lineRule="auto"/>
              <w:rPr>
                <w:rFonts w:eastAsia="Times New Roman"/>
                <w:sz w:val="20"/>
                <w:lang w:eastAsia="en-AU"/>
              </w:rPr>
            </w:pP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E2AE7"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0B138"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B67E5" w14:textId="77777777" w:rsidR="00694949" w:rsidRPr="004866BE" w:rsidRDefault="00694949" w:rsidP="00694949">
            <w:pPr>
              <w:spacing w:after="0" w:line="240" w:lineRule="auto"/>
              <w:rPr>
                <w:rFonts w:eastAsia="Times New Roman"/>
                <w:sz w:val="20"/>
                <w:lang w:eastAsia="en-AU"/>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D78A9"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AB546" w14:textId="77777777" w:rsidR="00694949" w:rsidRPr="004866BE" w:rsidRDefault="00694949" w:rsidP="00694949">
            <w:pPr>
              <w:spacing w:after="0" w:line="240" w:lineRule="auto"/>
              <w:rPr>
                <w:rFonts w:eastAsia="Times New Roman"/>
                <w:sz w:val="20"/>
                <w:lang w:eastAsia="en-A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91C04" w14:textId="77777777" w:rsidR="00694949" w:rsidRPr="004866BE" w:rsidRDefault="00694949" w:rsidP="00694949">
            <w:pPr>
              <w:spacing w:after="0" w:line="240" w:lineRule="auto"/>
              <w:rPr>
                <w:rFonts w:eastAsia="Times New Roman"/>
                <w:sz w:val="20"/>
                <w:lang w:eastAsia="en-AU"/>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49A45" w14:textId="77777777" w:rsidR="00694949" w:rsidRPr="004866BE" w:rsidRDefault="00694949" w:rsidP="00694949">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F3A96" w14:textId="77777777" w:rsidR="00694949" w:rsidRPr="004866BE" w:rsidRDefault="00694949" w:rsidP="00694949">
            <w:pPr>
              <w:spacing w:after="0" w:line="240" w:lineRule="auto"/>
              <w:rPr>
                <w:rFonts w:eastAsia="Times New Roman"/>
                <w:sz w:val="20"/>
                <w:lang w:eastAsia="en-A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74716" w14:textId="77777777" w:rsidR="00694949" w:rsidRPr="004866BE" w:rsidRDefault="00694949" w:rsidP="00694949">
            <w:pPr>
              <w:spacing w:after="0" w:line="240" w:lineRule="auto"/>
              <w:rPr>
                <w:rFonts w:eastAsia="Times New Roman"/>
                <w:sz w:val="20"/>
                <w:lang w:eastAsia="en-AU"/>
              </w:rPr>
            </w:pP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EF27A" w14:textId="77777777" w:rsidR="00694949" w:rsidRPr="004866BE" w:rsidRDefault="00694949" w:rsidP="00694949">
            <w:pPr>
              <w:spacing w:after="0" w:line="240" w:lineRule="auto"/>
              <w:rPr>
                <w:rFonts w:eastAsia="Times New Roman"/>
                <w:sz w:val="20"/>
                <w:lang w:eastAsia="en-AU"/>
              </w:rPr>
            </w:pPr>
          </w:p>
        </w:tc>
      </w:tr>
    </w:tbl>
    <w:p w14:paraId="63E4FEB4" w14:textId="77777777" w:rsidR="00A92936" w:rsidRDefault="00A92936">
      <w:pPr>
        <w:rPr>
          <w:rFonts w:ascii="Calibri" w:hAnsi="Calibri" w:cs="Calibri"/>
          <w:b/>
          <w:noProof/>
          <w:lang w:val="en-US"/>
        </w:rPr>
        <w:sectPr w:rsidR="00A92936" w:rsidSect="003F4D28">
          <w:headerReference w:type="default" r:id="rId23"/>
          <w:pgSz w:w="16838" w:h="11906" w:orient="landscape"/>
          <w:pgMar w:top="709" w:right="1440" w:bottom="1440" w:left="1440" w:header="708" w:footer="708" w:gutter="0"/>
          <w:cols w:space="708"/>
          <w:docGrid w:linePitch="360"/>
        </w:sectPr>
      </w:pPr>
    </w:p>
    <w:p w14:paraId="630C3C4B" w14:textId="77777777" w:rsidR="0065180A" w:rsidRDefault="003B5E61" w:rsidP="559A1F20">
      <w:pPr>
        <w:pStyle w:val="Caption"/>
        <w:keepNext/>
        <w:rPr>
          <w:i/>
          <w:iCs w:val="0"/>
        </w:rPr>
      </w:pPr>
      <w:r w:rsidRPr="559A1F20">
        <w:rPr>
          <w:iCs w:val="0"/>
        </w:rPr>
        <w:lastRenderedPageBreak/>
        <w:t xml:space="preserve">Figure 3 </w:t>
      </w:r>
      <w:r w:rsidR="00F5108F" w:rsidRPr="559A1F20">
        <w:rPr>
          <w:iCs w:val="0"/>
        </w:rPr>
        <w:t>- Estimated</w:t>
      </w:r>
      <w:r w:rsidR="005714FF" w:rsidRPr="559A1F20">
        <w:rPr>
          <w:iCs w:val="0"/>
        </w:rPr>
        <w:t xml:space="preserve"> impact</w:t>
      </w:r>
      <w:r w:rsidRPr="559A1F20">
        <w:rPr>
          <w:iCs w:val="0"/>
        </w:rPr>
        <w:t xml:space="preserve"> of changes to </w:t>
      </w:r>
      <w:r w:rsidR="006C6A6F">
        <w:rPr>
          <w:iCs w:val="0"/>
        </w:rPr>
        <w:t xml:space="preserve">colonoscopy </w:t>
      </w:r>
      <w:r w:rsidRPr="559A1F20">
        <w:rPr>
          <w:iCs w:val="0"/>
        </w:rPr>
        <w:t xml:space="preserve">compliance in 2020 on </w:t>
      </w:r>
      <w:proofErr w:type="spellStart"/>
      <w:r w:rsidR="3DDB0F23" w:rsidRPr="559A1F20">
        <w:rPr>
          <w:iCs w:val="0"/>
        </w:rPr>
        <w:t>iFOBT</w:t>
      </w:r>
      <w:proofErr w:type="spellEnd"/>
      <w:r w:rsidR="3DDB0F23" w:rsidRPr="559A1F20">
        <w:rPr>
          <w:iCs w:val="0"/>
        </w:rPr>
        <w:t xml:space="preserve"> follow</w:t>
      </w:r>
      <w:r w:rsidR="00F5108F">
        <w:rPr>
          <w:iCs w:val="0"/>
        </w:rPr>
        <w:t>-</w:t>
      </w:r>
      <w:r w:rsidR="3DDB0F23" w:rsidRPr="559A1F20">
        <w:rPr>
          <w:iCs w:val="0"/>
        </w:rPr>
        <w:t xml:space="preserve">up </w:t>
      </w:r>
      <w:r w:rsidR="00F846D9" w:rsidRPr="559A1F20">
        <w:rPr>
          <w:iCs w:val="0"/>
        </w:rPr>
        <w:t>colonoscopy demand in 2020</w:t>
      </w:r>
      <w:r w:rsidRPr="559A1F20">
        <w:rPr>
          <w:iCs w:val="0"/>
        </w:rPr>
        <w:t>.</w:t>
      </w:r>
      <w:r w:rsidR="00F13D2A" w:rsidRPr="559A1F20">
        <w:rPr>
          <w:iCs w:val="0"/>
        </w:rPr>
        <w:t xml:space="preserve"> </w:t>
      </w:r>
      <w:r w:rsidR="003039D1" w:rsidRPr="003039D1">
        <w:rPr>
          <w:iCs w:val="0"/>
        </w:rPr>
        <w:t xml:space="preserve">For this modelling, no changes were made to the </w:t>
      </w:r>
      <w:proofErr w:type="spellStart"/>
      <w:r w:rsidR="003039D1" w:rsidRPr="003039D1">
        <w:rPr>
          <w:iCs w:val="0"/>
        </w:rPr>
        <w:t>iFOBT</w:t>
      </w:r>
      <w:proofErr w:type="spellEnd"/>
      <w:r w:rsidR="003039D1" w:rsidRPr="003039D1">
        <w:rPr>
          <w:iCs w:val="0"/>
        </w:rPr>
        <w:t xml:space="preserve"> screening invitation schedule or participation rate </w:t>
      </w:r>
      <w:proofErr w:type="gramStart"/>
      <w:r w:rsidR="003039D1" w:rsidRPr="003039D1">
        <w:rPr>
          <w:iCs w:val="0"/>
        </w:rPr>
        <w:t>i.e.</w:t>
      </w:r>
      <w:proofErr w:type="gramEnd"/>
      <w:r w:rsidR="003039D1" w:rsidRPr="003039D1">
        <w:rPr>
          <w:iCs w:val="0"/>
        </w:rPr>
        <w:t xml:space="preserve"> the comparator was used</w:t>
      </w:r>
      <w:r w:rsidR="003039D1">
        <w:rPr>
          <w:iCs w:val="0"/>
        </w:rPr>
        <w:t>.</w:t>
      </w:r>
    </w:p>
    <w:p w14:paraId="67720194" w14:textId="77777777" w:rsidR="003B5E61" w:rsidRPr="008718F8" w:rsidRDefault="006121FC" w:rsidP="008718F8">
      <w:r>
        <w:rPr>
          <w:noProof/>
          <w:lang w:eastAsia="en-AU"/>
        </w:rPr>
        <w:drawing>
          <wp:inline distT="0" distB="0" distL="0" distR="0" wp14:anchorId="76E5E144" wp14:editId="4004A7B6">
            <wp:extent cx="5602341" cy="3212327"/>
            <wp:effectExtent l="0" t="0" r="0" b="7620"/>
            <wp:docPr id="3" name="Picture 3" descr="Figure 3 - Estimated impact of changes to colonoscopy compliance in 2020 on iFOBT follow-up colonoscopy demand in 2020. For this modelling, no changes were made to the iFOBT screening invitation schedule or participation rate i.e. the comparator was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3 - Estimated impact of changes to colonoscopy compliance in 2020 on iFOBT follow-up colonoscopy demand in 2020. For this modelling, no changes were made to the iFOBT screening invitation schedule or participation rate i.e. the comparator was us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23449" cy="3224430"/>
                    </a:xfrm>
                    <a:prstGeom prst="rect">
                      <a:avLst/>
                    </a:prstGeom>
                    <a:noFill/>
                  </pic:spPr>
                </pic:pic>
              </a:graphicData>
            </a:graphic>
          </wp:inline>
        </w:drawing>
      </w:r>
    </w:p>
    <w:p w14:paraId="46455D8E" w14:textId="77777777" w:rsidR="00F13D2A" w:rsidRPr="0065180A" w:rsidRDefault="00F13D2A" w:rsidP="0065180A">
      <w:pPr>
        <w:pStyle w:val="Caption"/>
        <w:keepNext/>
      </w:pPr>
      <w:r>
        <w:t xml:space="preserve">Figure 4 - Estimated impact of changes to colonoscopy compliance in 2020 on CRC </w:t>
      </w:r>
      <w:r w:rsidR="002A605A">
        <w:t>cases</w:t>
      </w:r>
      <w:r w:rsidR="1EDB533D">
        <w:t xml:space="preserve"> over 2020-2060</w:t>
      </w:r>
      <w:r>
        <w:t xml:space="preserve"> in the 2020 screening cohort.</w:t>
      </w:r>
    </w:p>
    <w:p w14:paraId="6E22F4D6" w14:textId="77777777" w:rsidR="00F13D2A" w:rsidRPr="008718F8" w:rsidRDefault="00094D02" w:rsidP="008718F8">
      <w:r>
        <w:rPr>
          <w:lang w:eastAsia="en-AU"/>
        </w:rPr>
        <w:drawing>
          <wp:inline distT="0" distB="0" distL="0" distR="0" wp14:anchorId="5398F790" wp14:editId="03E8426A">
            <wp:extent cx="5728909" cy="3140765"/>
            <wp:effectExtent l="0" t="0" r="5715" b="2540"/>
            <wp:docPr id="2" name="Picture 2" descr="Figure 4 - Estimated impact of changes to colonoscopy compliance in 2020 on CRC cases over 2020-2060 in the 2020 screening co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4 - Estimated impact of changes to colonoscopy compliance in 2020 on CRC cases over 2020-2060 in the 2020 screening cohor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3888" cy="3159941"/>
                    </a:xfrm>
                    <a:prstGeom prst="rect">
                      <a:avLst/>
                    </a:prstGeom>
                    <a:noFill/>
                  </pic:spPr>
                </pic:pic>
              </a:graphicData>
            </a:graphic>
          </wp:inline>
        </w:drawing>
      </w:r>
    </w:p>
    <w:p w14:paraId="7EDF9454" w14:textId="77777777" w:rsidR="00F13D2A" w:rsidRPr="008718F8" w:rsidRDefault="00F13D2A" w:rsidP="008718F8"/>
    <w:p w14:paraId="624A63C8" w14:textId="77777777" w:rsidR="00F13D2A" w:rsidRDefault="00F13D2A" w:rsidP="00F13D2A">
      <w:pPr>
        <w:pStyle w:val="EndNoteBibliography"/>
        <w:spacing w:after="0"/>
        <w:ind w:left="720" w:hanging="720"/>
        <w:rPr>
          <w:b/>
        </w:rPr>
        <w:sectPr w:rsidR="00F13D2A" w:rsidSect="0067591D">
          <w:headerReference w:type="default" r:id="rId26"/>
          <w:footerReference w:type="default" r:id="rId27"/>
          <w:pgSz w:w="11906" w:h="16838"/>
          <w:pgMar w:top="1440" w:right="1440" w:bottom="1440" w:left="1440" w:header="708" w:footer="708" w:gutter="0"/>
          <w:cols w:space="708"/>
          <w:docGrid w:linePitch="360"/>
        </w:sectPr>
      </w:pPr>
    </w:p>
    <w:p w14:paraId="5AE2E6DE" w14:textId="77777777" w:rsidR="00F13D2A" w:rsidRDefault="00F13D2A" w:rsidP="0065180A">
      <w:pPr>
        <w:pStyle w:val="Caption"/>
        <w:keepNext/>
      </w:pPr>
      <w:r>
        <w:lastRenderedPageBreak/>
        <w:t xml:space="preserve">Figure 5 - Estimated impact of changes to colonoscopy compliance in 2020 on CRC </w:t>
      </w:r>
      <w:r w:rsidR="00094D02">
        <w:t>deaths</w:t>
      </w:r>
      <w:r>
        <w:t xml:space="preserve"> </w:t>
      </w:r>
      <w:r w:rsidR="68BA02FE">
        <w:t>over 2020-</w:t>
      </w:r>
      <w:r w:rsidR="001E6089">
        <w:t>2060 in</w:t>
      </w:r>
      <w:r>
        <w:t xml:space="preserve"> the 2020 screening cohort.</w:t>
      </w:r>
    </w:p>
    <w:p w14:paraId="4DBFAC1D" w14:textId="77777777" w:rsidR="00094D02" w:rsidRPr="00094D02" w:rsidRDefault="00094D02" w:rsidP="00094D02">
      <w:r>
        <w:rPr>
          <w:noProof/>
          <w:lang w:eastAsia="en-AU"/>
        </w:rPr>
        <w:drawing>
          <wp:inline distT="0" distB="0" distL="0" distR="0" wp14:anchorId="6EDEBD82" wp14:editId="179EEB8D">
            <wp:extent cx="5731510" cy="3149202"/>
            <wp:effectExtent l="0" t="0" r="2540" b="0"/>
            <wp:docPr id="1" name="Picture 1" descr="Figure 5 - Estimated impact of changes to colonoscopy compliance in 2020 on CRC deaths over 2020-2060 in the 2020 screening co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5 - Estimated impact of changes to colonoscopy compliance in 2020 on CRC deaths over 2020-2060 in the 2020 screening cohor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3149202"/>
                    </a:xfrm>
                    <a:prstGeom prst="rect">
                      <a:avLst/>
                    </a:prstGeom>
                    <a:noFill/>
                  </pic:spPr>
                </pic:pic>
              </a:graphicData>
            </a:graphic>
          </wp:inline>
        </w:drawing>
      </w:r>
    </w:p>
    <w:p w14:paraId="4D3AA9BA" w14:textId="77777777" w:rsidR="00C969EE" w:rsidRPr="008718F8" w:rsidRDefault="00C969EE" w:rsidP="008718F8"/>
    <w:p w14:paraId="5E8E3290" w14:textId="77777777" w:rsidR="009F2B4C" w:rsidRPr="005F660C" w:rsidRDefault="009F2B4C" w:rsidP="00852C2F">
      <w:pPr>
        <w:pStyle w:val="EndNoteBibliography"/>
        <w:spacing w:after="0"/>
        <w:rPr>
          <w:bCs/>
        </w:rPr>
        <w:sectPr w:rsidR="009F2B4C" w:rsidRPr="005F660C" w:rsidSect="0067591D">
          <w:headerReference w:type="default" r:id="rId29"/>
          <w:pgSz w:w="11906" w:h="16838"/>
          <w:pgMar w:top="1440" w:right="1440" w:bottom="1440" w:left="1440" w:header="708" w:footer="708" w:gutter="0"/>
          <w:cols w:space="708"/>
          <w:docGrid w:linePitch="360"/>
        </w:sectPr>
      </w:pPr>
    </w:p>
    <w:p w14:paraId="1036B108" w14:textId="77777777" w:rsidR="007B3E99" w:rsidRPr="009810F7" w:rsidRDefault="007B3E99" w:rsidP="008718F8">
      <w:pPr>
        <w:pStyle w:val="Heading1"/>
      </w:pPr>
      <w:r w:rsidRPr="009810F7">
        <w:lastRenderedPageBreak/>
        <w:t>References</w:t>
      </w:r>
    </w:p>
    <w:p w14:paraId="2A712232" w14:textId="77777777" w:rsidR="001A699D" w:rsidRPr="001A699D" w:rsidRDefault="007435EB" w:rsidP="001A699D">
      <w:pPr>
        <w:pStyle w:val="EndNoteBibliography"/>
        <w:spacing w:after="0"/>
        <w:ind w:left="720" w:hanging="720"/>
      </w:pPr>
      <w:r w:rsidRPr="00D7260E">
        <w:fldChar w:fldCharType="begin"/>
      </w:r>
      <w:r w:rsidRPr="00D7260E">
        <w:instrText xml:space="preserve"> ADDIN EN.REFLIST </w:instrText>
      </w:r>
      <w:r w:rsidRPr="00D7260E">
        <w:fldChar w:fldCharType="separate"/>
      </w:r>
      <w:r w:rsidR="001A699D" w:rsidRPr="001A699D">
        <w:t>1.</w:t>
      </w:r>
      <w:r w:rsidR="001A699D" w:rsidRPr="001A699D">
        <w:tab/>
        <w:t xml:space="preserve">Lew, J.B., et al., </w:t>
      </w:r>
      <w:r w:rsidR="001A699D" w:rsidRPr="001A699D">
        <w:rPr>
          <w:i/>
        </w:rPr>
        <w:t>Benefits, harms and cost-effectiveness of cancer screening in Australia: an overview of modelling estimates.</w:t>
      </w:r>
      <w:r w:rsidR="001A699D" w:rsidRPr="001A699D">
        <w:t xml:space="preserve"> Public Health Res Pract, 2019. </w:t>
      </w:r>
      <w:r w:rsidR="001A699D" w:rsidRPr="001A699D">
        <w:rPr>
          <w:b/>
        </w:rPr>
        <w:t>29</w:t>
      </w:r>
      <w:r w:rsidR="001A699D" w:rsidRPr="001A699D">
        <w:t>(2).</w:t>
      </w:r>
    </w:p>
    <w:p w14:paraId="5139AFAE" w14:textId="77777777" w:rsidR="001A699D" w:rsidRPr="001A699D" w:rsidRDefault="001A699D" w:rsidP="001A699D">
      <w:pPr>
        <w:pStyle w:val="EndNoteBibliography"/>
        <w:spacing w:after="0"/>
        <w:ind w:left="720" w:hanging="720"/>
      </w:pPr>
      <w:r w:rsidRPr="001A699D">
        <w:t>2.</w:t>
      </w:r>
      <w:r w:rsidRPr="001A699D">
        <w:tab/>
        <w:t xml:space="preserve">Gastroenterological Society of Australia (GESA), </w:t>
      </w:r>
      <w:r w:rsidRPr="001A699D">
        <w:rPr>
          <w:i/>
        </w:rPr>
        <w:t>Guide for Triage of Endoscopic Procedures During the COVID-19 Pandemic</w:t>
      </w:r>
      <w:r w:rsidRPr="001A699D">
        <w:t xml:space="preserve">. 2020: Available from </w:t>
      </w:r>
      <w:hyperlink r:id="rId30" w:history="1">
        <w:r w:rsidRPr="001A699D">
          <w:rPr>
            <w:rStyle w:val="Hyperlink"/>
          </w:rPr>
          <w:t>https://www.gesa.org.au/resources/covid-19</w:t>
        </w:r>
      </w:hyperlink>
      <w:r w:rsidRPr="001A699D">
        <w:t>.</w:t>
      </w:r>
    </w:p>
    <w:p w14:paraId="2D15860C" w14:textId="77777777" w:rsidR="001A699D" w:rsidRPr="001A699D" w:rsidRDefault="001A699D" w:rsidP="001A699D">
      <w:pPr>
        <w:pStyle w:val="EndNoteBibliography"/>
        <w:spacing w:after="0"/>
        <w:ind w:left="720" w:hanging="720"/>
      </w:pPr>
      <w:r w:rsidRPr="001A699D">
        <w:t>3.</w:t>
      </w:r>
      <w:r w:rsidRPr="001A699D">
        <w:tab/>
        <w:t xml:space="preserve">Lew, J.-B., et al., </w:t>
      </w:r>
      <w:r w:rsidRPr="001A699D">
        <w:rPr>
          <w:i/>
        </w:rPr>
        <w:t>Long-term evaluation of benefits, harms, and cost-effectiveness of the National Bowel Cancer Screening Program in Australia: a modelling study.</w:t>
      </w:r>
      <w:r w:rsidRPr="001A699D">
        <w:t xml:space="preserve"> The Lancet Public Health, 2017. </w:t>
      </w:r>
      <w:r w:rsidRPr="001A699D">
        <w:rPr>
          <w:b/>
        </w:rPr>
        <w:t>2</w:t>
      </w:r>
      <w:r w:rsidRPr="001A699D">
        <w:t>(7): p. e331-e340.</w:t>
      </w:r>
    </w:p>
    <w:p w14:paraId="2DC43A0D" w14:textId="77777777" w:rsidR="001A699D" w:rsidRPr="001A699D" w:rsidRDefault="001A699D" w:rsidP="001A699D">
      <w:pPr>
        <w:pStyle w:val="EndNoteBibliography"/>
        <w:spacing w:after="0"/>
        <w:ind w:left="720" w:hanging="720"/>
      </w:pPr>
      <w:r w:rsidRPr="001A699D">
        <w:t>4.</w:t>
      </w:r>
      <w:r w:rsidRPr="001A699D">
        <w:tab/>
        <w:t xml:space="preserve">Australian Institute of Health and Welfare, </w:t>
      </w:r>
      <w:r w:rsidRPr="001A699D">
        <w:rPr>
          <w:i/>
        </w:rPr>
        <w:t>National Bowel Cancer Screening Program: monitoring report 2019.  Cat. no. CAN 125</w:t>
      </w:r>
      <w:r w:rsidRPr="001A699D">
        <w:t>. 2019, AIHW: Canberra.</w:t>
      </w:r>
    </w:p>
    <w:p w14:paraId="5BF3C755" w14:textId="77777777" w:rsidR="001A699D" w:rsidRPr="001A699D" w:rsidRDefault="001A699D" w:rsidP="001A699D">
      <w:pPr>
        <w:pStyle w:val="EndNoteBibliography"/>
        <w:spacing w:after="0"/>
        <w:ind w:left="720" w:hanging="720"/>
      </w:pPr>
      <w:r w:rsidRPr="001A699D">
        <w:t>5.</w:t>
      </w:r>
      <w:r w:rsidRPr="001A699D">
        <w:tab/>
        <w:t xml:space="preserve">Cancer Council, A., </w:t>
      </w:r>
      <w:r w:rsidRPr="001A699D">
        <w:rPr>
          <w:i/>
        </w:rPr>
        <w:t>Clinical Practical Guidelines for Surveillance Colonoscopy - in adenoma follow-up; following curative resection of colorectal cancer; and for cancer surveillance in inflammatory bowel disease</w:t>
      </w:r>
      <w:r w:rsidRPr="001A699D">
        <w:t>. 2011, Cancer Council Australia;: Sydney.</w:t>
      </w:r>
    </w:p>
    <w:p w14:paraId="3232F414" w14:textId="77777777" w:rsidR="001A699D" w:rsidRPr="001A699D" w:rsidRDefault="001A699D" w:rsidP="001A699D">
      <w:pPr>
        <w:pStyle w:val="EndNoteBibliography"/>
        <w:spacing w:after="0"/>
        <w:ind w:left="720" w:hanging="720"/>
      </w:pPr>
      <w:r w:rsidRPr="001A699D">
        <w:t>6.</w:t>
      </w:r>
      <w:r w:rsidRPr="001A699D">
        <w:tab/>
        <w:t xml:space="preserve">Australian Institute of Health and Welfare, </w:t>
      </w:r>
      <w:r w:rsidRPr="001A699D">
        <w:rPr>
          <w:i/>
        </w:rPr>
        <w:t>National Bowel Cancer Screening Program: monitoring report 2013-14</w:t>
      </w:r>
      <w:r w:rsidRPr="001A699D">
        <w:t>. 2015: Cancer series No. 94. Cat. no. CAN 94.</w:t>
      </w:r>
    </w:p>
    <w:p w14:paraId="67CA61D4" w14:textId="77777777" w:rsidR="001A699D" w:rsidRPr="001A699D" w:rsidRDefault="001A699D" w:rsidP="001A699D">
      <w:pPr>
        <w:pStyle w:val="EndNoteBibliography"/>
        <w:spacing w:after="0"/>
        <w:ind w:left="720" w:hanging="720"/>
      </w:pPr>
      <w:r w:rsidRPr="001A699D">
        <w:t>7.</w:t>
      </w:r>
      <w:r w:rsidRPr="001A699D">
        <w:tab/>
        <w:t xml:space="preserve">van Rijn, J.C., et al., </w:t>
      </w:r>
      <w:r w:rsidRPr="001A699D">
        <w:rPr>
          <w:i/>
        </w:rPr>
        <w:t>Polyp miss rate determined by tandem colonoscopy: a systematic review.</w:t>
      </w:r>
      <w:r w:rsidRPr="001A699D">
        <w:t xml:space="preserve"> Am J Gastroenterol, 2006. </w:t>
      </w:r>
      <w:r w:rsidRPr="001A699D">
        <w:rPr>
          <w:b/>
        </w:rPr>
        <w:t>101</w:t>
      </w:r>
      <w:r w:rsidRPr="001A699D">
        <w:t>(2): p. 343-350.</w:t>
      </w:r>
    </w:p>
    <w:p w14:paraId="5A17F58E" w14:textId="77777777" w:rsidR="001A699D" w:rsidRPr="001A699D" w:rsidRDefault="001A699D" w:rsidP="001A699D">
      <w:pPr>
        <w:pStyle w:val="EndNoteBibliography"/>
        <w:spacing w:after="0"/>
        <w:ind w:left="720" w:hanging="720"/>
      </w:pPr>
      <w:r w:rsidRPr="001A699D">
        <w:t>8.</w:t>
      </w:r>
      <w:r w:rsidRPr="001A699D">
        <w:tab/>
        <w:t xml:space="preserve">O'Leary, B.A., et al., </w:t>
      </w:r>
      <w:r w:rsidRPr="001A699D">
        <w:rPr>
          <w:i/>
        </w:rPr>
        <w:t>Cost-effectiveness of colorectal cancer screening: comparison of community-based flexible sigmoidoscopy with fecal occult blood testing and colonoscopy.</w:t>
      </w:r>
      <w:r w:rsidRPr="001A699D">
        <w:t xml:space="preserve"> J Gastroenterol Hepatol, 2004. </w:t>
      </w:r>
      <w:r w:rsidRPr="001A699D">
        <w:rPr>
          <w:b/>
        </w:rPr>
        <w:t>19</w:t>
      </w:r>
      <w:r w:rsidRPr="001A699D">
        <w:t>(1): p. 38-47.</w:t>
      </w:r>
    </w:p>
    <w:p w14:paraId="643425DF" w14:textId="77777777" w:rsidR="001A699D" w:rsidRPr="001A699D" w:rsidRDefault="001A699D" w:rsidP="001A699D">
      <w:pPr>
        <w:pStyle w:val="EndNoteBibliography"/>
        <w:spacing w:after="0"/>
        <w:ind w:left="720" w:hanging="720"/>
      </w:pPr>
      <w:r w:rsidRPr="001A699D">
        <w:t>9.</w:t>
      </w:r>
      <w:r w:rsidRPr="001A699D">
        <w:tab/>
        <w:t xml:space="preserve">Lew, J.B., et al., </w:t>
      </w:r>
      <w:r w:rsidRPr="001A699D">
        <w:rPr>
          <w:i/>
        </w:rPr>
        <w:t>Long-term evaluation of benefits, harms, and cost-effectiveness of the National Bowel Cancer Screening Program in Australia: a modelling study.</w:t>
      </w:r>
      <w:r w:rsidRPr="001A699D">
        <w:t xml:space="preserve"> Lancet Public Health, 2017. </w:t>
      </w:r>
      <w:r w:rsidRPr="001A699D">
        <w:rPr>
          <w:b/>
        </w:rPr>
        <w:t>2</w:t>
      </w:r>
      <w:r w:rsidRPr="001A699D">
        <w:t>(7): p. e331-e340.</w:t>
      </w:r>
    </w:p>
    <w:p w14:paraId="3F9DBB52" w14:textId="77777777" w:rsidR="001A699D" w:rsidRPr="001A699D" w:rsidRDefault="001A699D" w:rsidP="001A699D">
      <w:pPr>
        <w:pStyle w:val="EndNoteBibliography"/>
        <w:spacing w:after="0"/>
        <w:ind w:left="720" w:hanging="720"/>
      </w:pPr>
      <w:r w:rsidRPr="001A699D">
        <w:t>10.</w:t>
      </w:r>
      <w:r w:rsidRPr="001A699D">
        <w:tab/>
        <w:t xml:space="preserve">Australian Institute of Health and Welfare, </w:t>
      </w:r>
      <w:r w:rsidRPr="001A699D">
        <w:rPr>
          <w:i/>
        </w:rPr>
        <w:t>National Bowel Cancer Screening Program: monitoring report 2013-14. Cancer series No. 94. Cat. no. CAN 94</w:t>
      </w:r>
      <w:r w:rsidRPr="001A699D">
        <w:t>. 2015, AIHW: Canberra.</w:t>
      </w:r>
    </w:p>
    <w:p w14:paraId="2128146E" w14:textId="77777777" w:rsidR="001A699D" w:rsidRPr="001A699D" w:rsidRDefault="001A699D" w:rsidP="001A699D">
      <w:pPr>
        <w:pStyle w:val="EndNoteBibliography"/>
        <w:spacing w:after="0"/>
        <w:ind w:left="720" w:hanging="720"/>
      </w:pPr>
      <w:r w:rsidRPr="001A699D">
        <w:t>11.</w:t>
      </w:r>
      <w:r w:rsidRPr="001A699D">
        <w:tab/>
        <w:t xml:space="preserve">Jentschura, D., et al., </w:t>
      </w:r>
      <w:r w:rsidRPr="001A699D">
        <w:rPr>
          <w:i/>
        </w:rPr>
        <w:t>Complications in endoscopy of the lower gastrointestinal tract. Therapy and prognosis.</w:t>
      </w:r>
      <w:r w:rsidRPr="001A699D">
        <w:t xml:space="preserve"> Surg Endosc., 1994. </w:t>
      </w:r>
      <w:r w:rsidRPr="001A699D">
        <w:rPr>
          <w:b/>
        </w:rPr>
        <w:t>8</w:t>
      </w:r>
      <w:r w:rsidRPr="001A699D">
        <w:t>(6): p. 672-676.</w:t>
      </w:r>
    </w:p>
    <w:p w14:paraId="19A4790F" w14:textId="77777777" w:rsidR="001A699D" w:rsidRPr="001A699D" w:rsidRDefault="001A699D" w:rsidP="001A699D">
      <w:pPr>
        <w:pStyle w:val="EndNoteBibliography"/>
        <w:spacing w:after="0"/>
        <w:ind w:left="720" w:hanging="720"/>
      </w:pPr>
      <w:r w:rsidRPr="001A699D">
        <w:t>12.</w:t>
      </w:r>
      <w:r w:rsidRPr="001A699D">
        <w:tab/>
        <w:t xml:space="preserve">Lew, J.B., et al., </w:t>
      </w:r>
      <w:r w:rsidRPr="001A699D">
        <w:rPr>
          <w:i/>
        </w:rPr>
        <w:t>Long-term evaluation of benefits, harms, and cost-effectiveness of the National Bowel Cancer Screening Program in Australia: a modelling study.</w:t>
      </w:r>
      <w:r w:rsidRPr="001A699D">
        <w:t xml:space="preserve"> Lancet Public Health, 2017. </w:t>
      </w:r>
      <w:r w:rsidRPr="001A699D">
        <w:rPr>
          <w:b/>
        </w:rPr>
        <w:t>2</w:t>
      </w:r>
      <w:r w:rsidRPr="001A699D">
        <w:t>: p. e331-e340.</w:t>
      </w:r>
    </w:p>
    <w:p w14:paraId="55C4F7A9" w14:textId="77777777" w:rsidR="001A699D" w:rsidRPr="001A699D" w:rsidRDefault="001A699D" w:rsidP="001A699D">
      <w:pPr>
        <w:pStyle w:val="EndNoteBibliography"/>
        <w:spacing w:after="0"/>
        <w:ind w:left="720" w:hanging="720"/>
      </w:pPr>
      <w:r w:rsidRPr="001A699D">
        <w:t>13.</w:t>
      </w:r>
      <w:r w:rsidRPr="001A699D">
        <w:tab/>
        <w:t xml:space="preserve">Morris, M., B. Iacopetta, and C. Platell, </w:t>
      </w:r>
      <w:r w:rsidRPr="001A699D">
        <w:rPr>
          <w:i/>
        </w:rPr>
        <w:t>Comparing survival outcomes for patients with colorectal cancer treated in public and private hospitals.</w:t>
      </w:r>
      <w:r w:rsidRPr="001A699D">
        <w:t xml:space="preserve"> Med J Aust, 2007. </w:t>
      </w:r>
      <w:r w:rsidRPr="001A699D">
        <w:rPr>
          <w:b/>
        </w:rPr>
        <w:t>186</w:t>
      </w:r>
      <w:r w:rsidRPr="001A699D">
        <w:t>(6): p. 296-300.</w:t>
      </w:r>
    </w:p>
    <w:p w14:paraId="005DE59E" w14:textId="77777777" w:rsidR="001A699D" w:rsidRPr="001A699D" w:rsidRDefault="001A699D" w:rsidP="001A699D">
      <w:pPr>
        <w:pStyle w:val="EndNoteBibliography"/>
        <w:spacing w:after="0"/>
        <w:ind w:left="720" w:hanging="720"/>
      </w:pPr>
      <w:r w:rsidRPr="001A699D">
        <w:t>14.</w:t>
      </w:r>
      <w:r w:rsidRPr="001A699D">
        <w:tab/>
        <w:t xml:space="preserve">Parente, F., et al., </w:t>
      </w:r>
      <w:r w:rsidRPr="001A699D">
        <w:rPr>
          <w:i/>
        </w:rPr>
        <w:t>Improved 5-year survival of patients with immunochemical faecal blood test-screen-detected colorectal cancer versus non-screening cancers in northern Italy.</w:t>
      </w:r>
      <w:r w:rsidRPr="001A699D">
        <w:t xml:space="preserve"> Dig Liver Dis, 2015. </w:t>
      </w:r>
      <w:r w:rsidRPr="001A699D">
        <w:rPr>
          <w:b/>
        </w:rPr>
        <w:t>47</w:t>
      </w:r>
      <w:r w:rsidRPr="001A699D">
        <w:t>(1): p. 68-72.</w:t>
      </w:r>
    </w:p>
    <w:p w14:paraId="2D3E7BFF" w14:textId="77777777" w:rsidR="001A699D" w:rsidRPr="001A699D" w:rsidRDefault="001A699D" w:rsidP="001A699D">
      <w:pPr>
        <w:pStyle w:val="EndNoteBibliography"/>
        <w:spacing w:after="0"/>
        <w:ind w:left="720" w:hanging="720"/>
      </w:pPr>
      <w:r w:rsidRPr="001A699D">
        <w:t>15.</w:t>
      </w:r>
      <w:r w:rsidRPr="001A699D">
        <w:tab/>
        <w:t xml:space="preserve">Gill, M.D., et al., </w:t>
      </w:r>
      <w:r w:rsidRPr="001A699D">
        <w:rPr>
          <w:i/>
        </w:rPr>
        <w:t>Screen-detected colorectal cancers are associated with an improved outcome compared with stage-matched interval cancers.</w:t>
      </w:r>
      <w:r w:rsidRPr="001A699D">
        <w:t xml:space="preserve"> Br J Cancer, 2014. </w:t>
      </w:r>
      <w:r w:rsidRPr="001A699D">
        <w:rPr>
          <w:b/>
        </w:rPr>
        <w:t>111</w:t>
      </w:r>
      <w:r w:rsidRPr="001A699D">
        <w:t>(11): p. 2076-81.</w:t>
      </w:r>
    </w:p>
    <w:p w14:paraId="5127B5D0" w14:textId="77777777" w:rsidR="001A699D" w:rsidRPr="001A699D" w:rsidRDefault="001A699D" w:rsidP="001A699D">
      <w:pPr>
        <w:pStyle w:val="EndNoteBibliography"/>
        <w:ind w:left="720" w:hanging="720"/>
      </w:pPr>
      <w:r w:rsidRPr="001A699D">
        <w:t>16.</w:t>
      </w:r>
      <w:r w:rsidRPr="001A699D">
        <w:tab/>
        <w:t xml:space="preserve">Pande, R., et al., </w:t>
      </w:r>
      <w:r w:rsidRPr="001A699D">
        <w:rPr>
          <w:i/>
        </w:rPr>
        <w:t>Survival outcome of patients with screening versus symptomatically detected colorectal cancers.</w:t>
      </w:r>
      <w:r w:rsidRPr="001A699D">
        <w:t xml:space="preserve"> Colorectal Dis, 2013. </w:t>
      </w:r>
      <w:r w:rsidRPr="001A699D">
        <w:rPr>
          <w:b/>
        </w:rPr>
        <w:t>15</w:t>
      </w:r>
      <w:r w:rsidRPr="001A699D">
        <w:t>(1): p. 74-9.</w:t>
      </w:r>
    </w:p>
    <w:p w14:paraId="151980F1" w14:textId="5FFA8F14" w:rsidR="00230F2F" w:rsidRDefault="007435EB" w:rsidP="0074737F">
      <w:pPr>
        <w:sectPr w:rsidR="00230F2F" w:rsidSect="0067591D">
          <w:headerReference w:type="default" r:id="rId31"/>
          <w:pgSz w:w="11906" w:h="16838"/>
          <w:pgMar w:top="1440" w:right="1440" w:bottom="1440" w:left="1440" w:header="708" w:footer="708" w:gutter="0"/>
          <w:cols w:space="708"/>
          <w:docGrid w:linePitch="360"/>
        </w:sectPr>
      </w:pPr>
      <w:r w:rsidRPr="00D7260E">
        <w:rPr>
          <w:rFonts w:ascii="Calibri" w:hAnsi="Calibri" w:cs="Calibri"/>
          <w:noProof/>
          <w:lang w:val="en-US"/>
        </w:rPr>
        <w:fldChar w:fldCharType="end"/>
      </w:r>
    </w:p>
    <w:p w14:paraId="0E7449D6" w14:textId="77777777" w:rsidR="00230F2F" w:rsidRDefault="00230F2F" w:rsidP="008718F8">
      <w:pPr>
        <w:pStyle w:val="Heading1"/>
        <w:rPr>
          <w:i/>
          <w:iCs/>
        </w:rPr>
      </w:pPr>
      <w:r>
        <w:lastRenderedPageBreak/>
        <w:t xml:space="preserve">Appendix A: Key model parameters for </w:t>
      </w:r>
      <w:r w:rsidRPr="00230F2F">
        <w:rPr>
          <w:i/>
          <w:iCs/>
        </w:rPr>
        <w:t>Policy1-Bowel</w:t>
      </w:r>
    </w:p>
    <w:p w14:paraId="4BCBA0DE" w14:textId="77777777" w:rsidR="00A95D11" w:rsidRPr="00A6202D" w:rsidRDefault="00A95D11" w:rsidP="00A95D11">
      <w:pPr>
        <w:pStyle w:val="Caption"/>
        <w:keepNext/>
        <w:rPr>
          <w:b w:val="0"/>
        </w:rPr>
      </w:pPr>
      <w:bookmarkStart w:id="8" w:name="_Ref8056800"/>
      <w:r w:rsidRPr="002D74A4">
        <w:t xml:space="preserve">Table </w:t>
      </w:r>
      <w:r>
        <w:fldChar w:fldCharType="begin"/>
      </w:r>
      <w:r w:rsidRPr="002D74A4">
        <w:instrText xml:space="preserve"> SEQ Table \* ARABIC </w:instrText>
      </w:r>
      <w:r>
        <w:fldChar w:fldCharType="separate"/>
      </w:r>
      <w:r w:rsidR="003169F8">
        <w:rPr>
          <w:noProof/>
        </w:rPr>
        <w:t>1</w:t>
      </w:r>
      <w:r>
        <w:fldChar w:fldCharType="end"/>
      </w:r>
      <w:bookmarkEnd w:id="8"/>
      <w:r w:rsidRPr="002D74A4">
        <w:t xml:space="preserve"> – Key model parameters used by </w:t>
      </w:r>
      <w:r w:rsidRPr="0066709A">
        <w:rPr>
          <w:iCs w:val="0"/>
        </w:rPr>
        <w:t>Policy1-Bowel</w:t>
      </w:r>
      <w:r>
        <w:t>.</w:t>
      </w:r>
    </w:p>
    <w:tbl>
      <w:tblPr>
        <w:tblW w:w="0" w:type="auto"/>
        <w:tblInd w:w="108" w:type="dxa"/>
        <w:tblLook w:val="04A0" w:firstRow="1" w:lastRow="0" w:firstColumn="1" w:lastColumn="0" w:noHBand="0" w:noVBand="1"/>
        <w:tblDescription w:val="Table 1 – Key model parameters used by Policy1-Bowel."/>
      </w:tblPr>
      <w:tblGrid>
        <w:gridCol w:w="2615"/>
        <w:gridCol w:w="1432"/>
        <w:gridCol w:w="4861"/>
      </w:tblGrid>
      <w:tr w:rsidR="00A95D11" w:rsidRPr="00094D02" w14:paraId="1BDF931B" w14:textId="77777777" w:rsidTr="008718F8">
        <w:trPr>
          <w:trHeight w:val="509"/>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DE73545" w14:textId="77777777" w:rsidR="00A95D11" w:rsidRPr="00094D02" w:rsidRDefault="00A95D11" w:rsidP="00094D02">
            <w:pPr>
              <w:spacing w:after="0"/>
              <w:rPr>
                <w:rFonts w:cstheme="minorHAnsi"/>
                <w:b/>
                <w:sz w:val="20"/>
                <w:szCs w:val="20"/>
              </w:rPr>
            </w:pPr>
            <w:r w:rsidRPr="00094D02">
              <w:rPr>
                <w:rFonts w:cstheme="minorHAnsi"/>
                <w:b/>
                <w:sz w:val="20"/>
                <w:szCs w:val="20"/>
              </w:rPr>
              <w:t>Key model parameter</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9F382FE" w14:textId="77777777" w:rsidR="00A95D11" w:rsidRPr="00094D02" w:rsidRDefault="00A95D11" w:rsidP="00094D02">
            <w:pPr>
              <w:spacing w:after="0"/>
              <w:rPr>
                <w:rFonts w:cstheme="minorHAnsi"/>
                <w:b/>
                <w:sz w:val="20"/>
                <w:szCs w:val="20"/>
              </w:rPr>
            </w:pPr>
            <w:r w:rsidRPr="00094D02">
              <w:rPr>
                <w:rFonts w:cstheme="minorHAnsi"/>
                <w:b/>
                <w:sz w:val="20"/>
                <w:szCs w:val="20"/>
              </w:rPr>
              <w:t>Value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DF50577" w14:textId="77777777" w:rsidR="00A95D11" w:rsidRPr="00094D02" w:rsidRDefault="00A95D11" w:rsidP="00094D02">
            <w:pPr>
              <w:spacing w:after="0"/>
              <w:rPr>
                <w:rFonts w:cstheme="minorHAnsi"/>
                <w:b/>
                <w:sz w:val="20"/>
                <w:szCs w:val="20"/>
              </w:rPr>
            </w:pPr>
            <w:r w:rsidRPr="00094D02">
              <w:rPr>
                <w:rFonts w:cstheme="minorHAnsi"/>
                <w:b/>
                <w:sz w:val="20"/>
                <w:szCs w:val="20"/>
              </w:rPr>
              <w:t>Reference</w:t>
            </w:r>
          </w:p>
        </w:tc>
      </w:tr>
      <w:tr w:rsidR="00A95D11" w:rsidRPr="00094D02" w14:paraId="1D2BAAFE" w14:textId="77777777" w:rsidTr="008718F8">
        <w:trPr>
          <w:trHeight w:val="45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1B235C" w14:textId="77777777" w:rsidR="00A95D11" w:rsidRPr="00094D02" w:rsidRDefault="00A95D11" w:rsidP="00094D02">
            <w:pPr>
              <w:spacing w:after="0"/>
              <w:rPr>
                <w:rFonts w:cstheme="minorHAnsi"/>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8753D" w14:textId="77777777" w:rsidR="00A95D11" w:rsidRPr="00094D02" w:rsidRDefault="00A95D11" w:rsidP="00094D02">
            <w:pPr>
              <w:spacing w:after="0"/>
              <w:rPr>
                <w:rFonts w:cstheme="minorHAnsi"/>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65F88" w14:textId="77777777" w:rsidR="00A95D11" w:rsidRPr="00094D02" w:rsidRDefault="00A95D11" w:rsidP="00094D02">
            <w:pPr>
              <w:spacing w:after="0"/>
              <w:rPr>
                <w:rFonts w:cstheme="minorHAnsi"/>
                <w:b/>
                <w:sz w:val="20"/>
                <w:szCs w:val="20"/>
              </w:rPr>
            </w:pPr>
          </w:p>
        </w:tc>
      </w:tr>
      <w:tr w:rsidR="008718F8" w:rsidRPr="00094D02" w14:paraId="327DC360" w14:textId="77777777" w:rsidTr="000C136E">
        <w:trPr>
          <w:trHeight w:val="340"/>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6F9A6B9" w14:textId="6DC926A1" w:rsidR="008718F8" w:rsidRPr="00094D02" w:rsidRDefault="008718F8" w:rsidP="00094D02">
            <w:pPr>
              <w:spacing w:after="0"/>
              <w:rPr>
                <w:rFonts w:cstheme="minorHAnsi"/>
                <w:sz w:val="20"/>
                <w:szCs w:val="20"/>
              </w:rPr>
            </w:pPr>
            <w:proofErr w:type="spellStart"/>
            <w:r w:rsidRPr="00094D02">
              <w:rPr>
                <w:rFonts w:cstheme="minorHAnsi"/>
                <w:b/>
                <w:sz w:val="20"/>
                <w:szCs w:val="20"/>
              </w:rPr>
              <w:t>iFOBT</w:t>
            </w:r>
            <w:proofErr w:type="spellEnd"/>
            <w:r w:rsidRPr="00094D02">
              <w:rPr>
                <w:rFonts w:cstheme="minorHAnsi"/>
                <w:b/>
                <w:sz w:val="20"/>
                <w:szCs w:val="20"/>
              </w:rPr>
              <w:t xml:space="preserve"> test characteristics (per person)</w:t>
            </w:r>
          </w:p>
        </w:tc>
      </w:tr>
      <w:tr w:rsidR="0066709A" w:rsidRPr="00094D02" w14:paraId="0557B760" w14:textId="77777777" w:rsidTr="008718F8">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1DBD0E3F" w14:textId="77777777" w:rsidR="00A95D11" w:rsidRPr="00094D02" w:rsidRDefault="00A95D11" w:rsidP="00094D02">
            <w:pPr>
              <w:spacing w:after="0"/>
              <w:rPr>
                <w:rFonts w:cstheme="minorHAnsi"/>
                <w:sz w:val="20"/>
                <w:szCs w:val="20"/>
              </w:rPr>
            </w:pPr>
            <w:r w:rsidRPr="00094D02">
              <w:rPr>
                <w:rFonts w:cstheme="minorHAnsi"/>
                <w:sz w:val="20"/>
                <w:szCs w:val="20"/>
              </w:rPr>
              <w:t xml:space="preserve">Specificity for any adenoma </w:t>
            </w:r>
          </w:p>
        </w:tc>
        <w:tc>
          <w:tcPr>
            <w:tcW w:w="0" w:type="auto"/>
            <w:tcBorders>
              <w:top w:val="single" w:sz="4" w:space="0" w:color="auto"/>
              <w:left w:val="single" w:sz="4" w:space="0" w:color="auto"/>
              <w:bottom w:val="single" w:sz="4" w:space="0" w:color="auto"/>
              <w:right w:val="single" w:sz="4" w:space="0" w:color="auto"/>
            </w:tcBorders>
            <w:vAlign w:val="center"/>
            <w:hideMark/>
          </w:tcPr>
          <w:p w14:paraId="78D84E97" w14:textId="77777777" w:rsidR="00A95D11" w:rsidRPr="00094D02" w:rsidRDefault="00A95D11" w:rsidP="00094D02">
            <w:pPr>
              <w:spacing w:after="0"/>
              <w:rPr>
                <w:rFonts w:cstheme="minorHAnsi"/>
                <w:sz w:val="20"/>
                <w:szCs w:val="20"/>
              </w:rPr>
            </w:pPr>
            <w:r w:rsidRPr="00094D02">
              <w:rPr>
                <w:rFonts w:cstheme="minorHAnsi"/>
                <w:sz w:val="20"/>
                <w:szCs w:val="20"/>
              </w:rPr>
              <w:t>94.8%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D4BF08B" w14:textId="77777777" w:rsidR="00A95D11" w:rsidRPr="00094D02" w:rsidRDefault="00A95D11" w:rsidP="00094D02">
            <w:pPr>
              <w:spacing w:after="0"/>
              <w:rPr>
                <w:rFonts w:cstheme="minorHAnsi"/>
                <w:sz w:val="20"/>
                <w:szCs w:val="20"/>
              </w:rPr>
            </w:pPr>
            <w:r w:rsidRPr="00094D02">
              <w:rPr>
                <w:rFonts w:cstheme="minorHAnsi"/>
                <w:sz w:val="20"/>
                <w:szCs w:val="20"/>
              </w:rPr>
              <w:t xml:space="preserve">Obtained via calibrating to </w:t>
            </w:r>
            <w:proofErr w:type="spellStart"/>
            <w:r w:rsidRPr="00094D02">
              <w:rPr>
                <w:rFonts w:cstheme="minorHAnsi"/>
                <w:sz w:val="20"/>
                <w:szCs w:val="20"/>
              </w:rPr>
              <w:t>iFOBT</w:t>
            </w:r>
            <w:proofErr w:type="spellEnd"/>
            <w:r w:rsidRPr="00094D02">
              <w:rPr>
                <w:rFonts w:cstheme="minorHAnsi"/>
                <w:sz w:val="20"/>
                <w:szCs w:val="20"/>
              </w:rPr>
              <w:t xml:space="preserve"> positivity rates observed in NBCSP and colonoscopy outcomes among positive </w:t>
            </w:r>
            <w:proofErr w:type="spellStart"/>
            <w:r w:rsidRPr="00094D02">
              <w:rPr>
                <w:rFonts w:cstheme="minorHAnsi"/>
                <w:sz w:val="20"/>
                <w:szCs w:val="20"/>
              </w:rPr>
              <w:t>iFOBT</w:t>
            </w:r>
            <w:proofErr w:type="spellEnd"/>
            <w:r w:rsidRPr="00094D02">
              <w:rPr>
                <w:rFonts w:cstheme="minorHAnsi"/>
                <w:sz w:val="20"/>
                <w:szCs w:val="20"/>
              </w:rPr>
              <w:t xml:space="preserve"> </w:t>
            </w:r>
            <w:r w:rsidRPr="00094D02">
              <w:rPr>
                <w:rFonts w:cstheme="minorHAnsi"/>
                <w:sz w:val="20"/>
                <w:szCs w:val="20"/>
              </w:rPr>
              <w:fldChar w:fldCharType="begin"/>
            </w:r>
            <w:r w:rsidR="005C1397" w:rsidRPr="00094D02">
              <w:rPr>
                <w:rFonts w:cstheme="minorHAnsi"/>
                <w:sz w:val="20"/>
                <w:szCs w:val="20"/>
              </w:rPr>
              <w:instrText xml:space="preserve"> ADDIN EN.CITE &lt;EndNote&gt;&lt;Cite&gt;&lt;Author&gt;Australian Institute of Health and Welfare&lt;/Author&gt;&lt;Year&gt;2015&lt;/Year&gt;&lt;RecNum&gt;1343&lt;/RecNum&gt;&lt;DisplayText&gt;[6]&lt;/DisplayText&gt;&lt;record&gt;&lt;rec-number&gt;1343&lt;/rec-number&gt;&lt;foreign-keys&gt;&lt;key app="EN" db-id="da5e0t5d9t9vfgeewz95e0eee0faf5pfxx9r" timestamp="1522303121"&gt;1343&lt;/key&gt;&lt;/foreign-keys&gt;&lt;ref-type name="Report"&gt;27&lt;/ref-type&gt;&lt;contributors&gt;&lt;authors&gt;&lt;author&gt;Australian Institute of Health and Welfare,&lt;/author&gt;&lt;/authors&gt;&lt;/contributors&gt;&lt;titles&gt;&lt;title&gt;National Bowel Cancer Screening Program: monitoring report 2013-14&lt;/title&gt;&lt;/titles&gt;&lt;volume&gt;2018&lt;/volume&gt;&lt;number&gt;15/01/2018&lt;/number&gt;&lt;dates&gt;&lt;year&gt;2015&lt;/year&gt;&lt;/dates&gt;&lt;pub-location&gt;Cancer series No. 94. Cat. no. CAN 94.&lt;/pub-location&gt;&lt;urls&gt;&lt;/urls&gt;&lt;/record&gt;&lt;/Cite&gt;&lt;/EndNote&gt;</w:instrText>
            </w:r>
            <w:r w:rsidRPr="00094D02">
              <w:rPr>
                <w:rFonts w:cstheme="minorHAnsi"/>
                <w:sz w:val="20"/>
                <w:szCs w:val="20"/>
              </w:rPr>
              <w:fldChar w:fldCharType="separate"/>
            </w:r>
            <w:r w:rsidR="005C1397" w:rsidRPr="00094D02">
              <w:rPr>
                <w:rFonts w:cstheme="minorHAnsi"/>
                <w:noProof/>
                <w:sz w:val="20"/>
                <w:szCs w:val="20"/>
              </w:rPr>
              <w:t>[6]</w:t>
            </w:r>
            <w:r w:rsidRPr="00094D02">
              <w:rPr>
                <w:rFonts w:cstheme="minorHAnsi"/>
                <w:sz w:val="20"/>
                <w:szCs w:val="20"/>
              </w:rPr>
              <w:fldChar w:fldCharType="end"/>
            </w:r>
          </w:p>
        </w:tc>
      </w:tr>
      <w:tr w:rsidR="0066709A" w:rsidRPr="00094D02" w14:paraId="668FF507" w14:textId="77777777" w:rsidTr="008718F8">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11229E2B" w14:textId="77777777" w:rsidR="00A95D11" w:rsidRPr="00094D02" w:rsidRDefault="00A95D11" w:rsidP="00094D02">
            <w:pPr>
              <w:spacing w:after="0"/>
              <w:rPr>
                <w:rFonts w:cstheme="minorHAnsi"/>
                <w:sz w:val="20"/>
                <w:szCs w:val="20"/>
              </w:rPr>
            </w:pPr>
            <w:r w:rsidRPr="00094D02">
              <w:rPr>
                <w:rFonts w:cstheme="minorHAnsi"/>
                <w:sz w:val="20"/>
                <w:szCs w:val="20"/>
              </w:rPr>
              <w:t>Sensitivity for conventional adenoma of any size</w:t>
            </w:r>
          </w:p>
        </w:tc>
        <w:tc>
          <w:tcPr>
            <w:tcW w:w="0" w:type="auto"/>
            <w:tcBorders>
              <w:top w:val="single" w:sz="4" w:space="0" w:color="auto"/>
              <w:left w:val="single" w:sz="4" w:space="0" w:color="auto"/>
              <w:bottom w:val="single" w:sz="4" w:space="0" w:color="auto"/>
              <w:right w:val="single" w:sz="4" w:space="0" w:color="auto"/>
            </w:tcBorders>
            <w:vAlign w:val="center"/>
            <w:hideMark/>
          </w:tcPr>
          <w:p w14:paraId="781A8540" w14:textId="77777777" w:rsidR="00A95D11" w:rsidRPr="00094D02" w:rsidRDefault="00A95D11" w:rsidP="00094D02">
            <w:pPr>
              <w:spacing w:after="0"/>
              <w:rPr>
                <w:rFonts w:cstheme="minorHAnsi"/>
                <w:sz w:val="20"/>
                <w:szCs w:val="20"/>
              </w:rPr>
            </w:pPr>
            <w:r w:rsidRPr="00094D02">
              <w:rPr>
                <w:rFonts w:cstheme="minorHAnsi"/>
                <w:sz w:val="20"/>
                <w:szCs w:val="20"/>
              </w:rPr>
              <w:t>15.2%</w:t>
            </w:r>
          </w:p>
        </w:tc>
        <w:tc>
          <w:tcPr>
            <w:tcW w:w="0" w:type="auto"/>
            <w:vMerge/>
            <w:tcBorders>
              <w:top w:val="single" w:sz="4" w:space="0" w:color="auto"/>
              <w:bottom w:val="single" w:sz="4" w:space="0" w:color="auto"/>
              <w:right w:val="single" w:sz="4" w:space="0" w:color="auto"/>
            </w:tcBorders>
            <w:vAlign w:val="center"/>
            <w:hideMark/>
          </w:tcPr>
          <w:p w14:paraId="2C76D9D8" w14:textId="77777777" w:rsidR="00A95D11" w:rsidRPr="00094D02" w:rsidRDefault="00A95D11" w:rsidP="00094D02">
            <w:pPr>
              <w:spacing w:after="0"/>
              <w:rPr>
                <w:rFonts w:cstheme="minorHAnsi"/>
                <w:sz w:val="20"/>
                <w:szCs w:val="20"/>
              </w:rPr>
            </w:pPr>
          </w:p>
        </w:tc>
      </w:tr>
      <w:tr w:rsidR="0066709A" w:rsidRPr="00094D02" w14:paraId="271961A4" w14:textId="77777777" w:rsidTr="008718F8">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3BB80B46" w14:textId="77777777" w:rsidR="00A95D11" w:rsidRPr="00094D02" w:rsidRDefault="00A95D11" w:rsidP="00094D02">
            <w:pPr>
              <w:spacing w:after="0"/>
              <w:rPr>
                <w:rFonts w:cstheme="minorHAnsi"/>
                <w:sz w:val="20"/>
                <w:szCs w:val="20"/>
              </w:rPr>
            </w:pPr>
            <w:r w:rsidRPr="00094D02">
              <w:rPr>
                <w:rFonts w:cstheme="minorHAnsi"/>
                <w:sz w:val="20"/>
                <w:szCs w:val="20"/>
              </w:rPr>
              <w:t xml:space="preserve">Sensitivity for conventional adenoma &gt; 5mm </w:t>
            </w:r>
          </w:p>
        </w:tc>
        <w:tc>
          <w:tcPr>
            <w:tcW w:w="0" w:type="auto"/>
            <w:tcBorders>
              <w:top w:val="single" w:sz="4" w:space="0" w:color="auto"/>
              <w:left w:val="single" w:sz="4" w:space="0" w:color="auto"/>
              <w:bottom w:val="single" w:sz="4" w:space="0" w:color="auto"/>
              <w:right w:val="single" w:sz="4" w:space="0" w:color="auto"/>
            </w:tcBorders>
            <w:vAlign w:val="center"/>
            <w:hideMark/>
          </w:tcPr>
          <w:p w14:paraId="1E954E54" w14:textId="77777777" w:rsidR="00A95D11" w:rsidRPr="00094D02" w:rsidRDefault="00A95D11" w:rsidP="00094D02">
            <w:pPr>
              <w:spacing w:after="0"/>
              <w:rPr>
                <w:rFonts w:cstheme="minorHAnsi"/>
                <w:sz w:val="20"/>
                <w:szCs w:val="20"/>
              </w:rPr>
            </w:pPr>
            <w:r w:rsidRPr="00094D02">
              <w:rPr>
                <w:rFonts w:cstheme="minorHAnsi"/>
                <w:sz w:val="20"/>
                <w:szCs w:val="20"/>
              </w:rPr>
              <w:t>30.2%</w:t>
            </w:r>
          </w:p>
        </w:tc>
        <w:tc>
          <w:tcPr>
            <w:tcW w:w="0" w:type="auto"/>
            <w:vMerge/>
            <w:tcBorders>
              <w:top w:val="single" w:sz="4" w:space="0" w:color="auto"/>
              <w:bottom w:val="single" w:sz="4" w:space="0" w:color="auto"/>
              <w:right w:val="single" w:sz="4" w:space="0" w:color="auto"/>
            </w:tcBorders>
            <w:vAlign w:val="center"/>
            <w:hideMark/>
          </w:tcPr>
          <w:p w14:paraId="60EAB472" w14:textId="77777777" w:rsidR="00A95D11" w:rsidRPr="00094D02" w:rsidRDefault="00A95D11" w:rsidP="00094D02">
            <w:pPr>
              <w:spacing w:after="0"/>
              <w:rPr>
                <w:rFonts w:cstheme="minorHAnsi"/>
                <w:sz w:val="20"/>
                <w:szCs w:val="20"/>
              </w:rPr>
            </w:pPr>
          </w:p>
        </w:tc>
      </w:tr>
      <w:tr w:rsidR="0066709A" w:rsidRPr="00094D02" w14:paraId="55C1F49C" w14:textId="77777777" w:rsidTr="008718F8">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13C39D75" w14:textId="77777777" w:rsidR="00A95D11" w:rsidRPr="00094D02" w:rsidRDefault="00A95D11" w:rsidP="00094D02">
            <w:pPr>
              <w:spacing w:after="0"/>
              <w:rPr>
                <w:rFonts w:cstheme="minorHAnsi"/>
                <w:sz w:val="20"/>
                <w:szCs w:val="20"/>
              </w:rPr>
            </w:pPr>
            <w:r w:rsidRPr="00094D02">
              <w:rPr>
                <w:rFonts w:cstheme="minorHAnsi"/>
                <w:sz w:val="20"/>
                <w:szCs w:val="20"/>
              </w:rPr>
              <w:t xml:space="preserve">Sensitivity for conventional adenoma &gt;10mm </w:t>
            </w:r>
          </w:p>
        </w:tc>
        <w:tc>
          <w:tcPr>
            <w:tcW w:w="0" w:type="auto"/>
            <w:tcBorders>
              <w:top w:val="single" w:sz="4" w:space="0" w:color="auto"/>
              <w:left w:val="single" w:sz="4" w:space="0" w:color="auto"/>
              <w:bottom w:val="single" w:sz="4" w:space="0" w:color="auto"/>
              <w:right w:val="single" w:sz="4" w:space="0" w:color="auto"/>
            </w:tcBorders>
            <w:vAlign w:val="center"/>
            <w:hideMark/>
          </w:tcPr>
          <w:p w14:paraId="527C52EA" w14:textId="77777777" w:rsidR="00A95D11" w:rsidRPr="00094D02" w:rsidRDefault="00A95D11" w:rsidP="00094D02">
            <w:pPr>
              <w:spacing w:after="0"/>
              <w:rPr>
                <w:rFonts w:cstheme="minorHAnsi"/>
                <w:sz w:val="20"/>
                <w:szCs w:val="20"/>
              </w:rPr>
            </w:pPr>
            <w:r w:rsidRPr="00094D02">
              <w:rPr>
                <w:rFonts w:cstheme="minorHAnsi"/>
                <w:sz w:val="20"/>
                <w:szCs w:val="20"/>
              </w:rPr>
              <w:t>41.5%</w:t>
            </w:r>
          </w:p>
        </w:tc>
        <w:tc>
          <w:tcPr>
            <w:tcW w:w="0" w:type="auto"/>
            <w:vMerge/>
            <w:tcBorders>
              <w:top w:val="single" w:sz="4" w:space="0" w:color="auto"/>
              <w:bottom w:val="single" w:sz="4" w:space="0" w:color="auto"/>
              <w:right w:val="single" w:sz="4" w:space="0" w:color="auto"/>
            </w:tcBorders>
            <w:vAlign w:val="center"/>
            <w:hideMark/>
          </w:tcPr>
          <w:p w14:paraId="0685CACE" w14:textId="77777777" w:rsidR="00A95D11" w:rsidRPr="00094D02" w:rsidRDefault="00A95D11" w:rsidP="00094D02">
            <w:pPr>
              <w:spacing w:after="0"/>
              <w:rPr>
                <w:rFonts w:cstheme="minorHAnsi"/>
                <w:sz w:val="20"/>
                <w:szCs w:val="20"/>
              </w:rPr>
            </w:pPr>
          </w:p>
        </w:tc>
      </w:tr>
      <w:tr w:rsidR="0066709A" w:rsidRPr="00094D02" w14:paraId="797C517C" w14:textId="77777777" w:rsidTr="008718F8">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0CD1F238" w14:textId="77777777" w:rsidR="00A95D11" w:rsidRPr="00094D02" w:rsidRDefault="00A95D11" w:rsidP="00094D02">
            <w:pPr>
              <w:spacing w:after="0"/>
              <w:rPr>
                <w:rFonts w:cstheme="minorHAnsi"/>
                <w:sz w:val="20"/>
                <w:szCs w:val="20"/>
              </w:rPr>
            </w:pPr>
            <w:r w:rsidRPr="00094D02">
              <w:rPr>
                <w:rFonts w:cstheme="minorHAnsi"/>
                <w:sz w:val="20"/>
                <w:szCs w:val="20"/>
              </w:rPr>
              <w:t xml:space="preserve">Sensitivity for CRC </w:t>
            </w:r>
          </w:p>
        </w:tc>
        <w:tc>
          <w:tcPr>
            <w:tcW w:w="0" w:type="auto"/>
            <w:tcBorders>
              <w:top w:val="single" w:sz="4" w:space="0" w:color="auto"/>
              <w:left w:val="single" w:sz="4" w:space="0" w:color="auto"/>
              <w:bottom w:val="single" w:sz="4" w:space="0" w:color="auto"/>
              <w:right w:val="single" w:sz="4" w:space="0" w:color="auto"/>
            </w:tcBorders>
            <w:vAlign w:val="center"/>
            <w:hideMark/>
          </w:tcPr>
          <w:p w14:paraId="6D46173F" w14:textId="77777777" w:rsidR="00A95D11" w:rsidRPr="00094D02" w:rsidRDefault="00A95D11" w:rsidP="00094D02">
            <w:pPr>
              <w:spacing w:after="0"/>
              <w:rPr>
                <w:rFonts w:cstheme="minorHAnsi"/>
                <w:sz w:val="20"/>
                <w:szCs w:val="20"/>
              </w:rPr>
            </w:pPr>
            <w:r w:rsidRPr="00094D02">
              <w:rPr>
                <w:rFonts w:cstheme="minorHAnsi"/>
                <w:sz w:val="20"/>
                <w:szCs w:val="20"/>
              </w:rPr>
              <w:t>58.6%</w:t>
            </w:r>
          </w:p>
        </w:tc>
        <w:tc>
          <w:tcPr>
            <w:tcW w:w="0" w:type="auto"/>
            <w:vMerge/>
            <w:tcBorders>
              <w:top w:val="single" w:sz="4" w:space="0" w:color="auto"/>
              <w:bottom w:val="single" w:sz="4" w:space="0" w:color="auto"/>
              <w:right w:val="single" w:sz="4" w:space="0" w:color="auto"/>
            </w:tcBorders>
            <w:vAlign w:val="center"/>
            <w:hideMark/>
          </w:tcPr>
          <w:p w14:paraId="34F6C1FA" w14:textId="77777777" w:rsidR="00A95D11" w:rsidRPr="00094D02" w:rsidRDefault="00A95D11" w:rsidP="00094D02">
            <w:pPr>
              <w:spacing w:after="0"/>
              <w:rPr>
                <w:rFonts w:cstheme="minorHAnsi"/>
                <w:sz w:val="20"/>
                <w:szCs w:val="20"/>
              </w:rPr>
            </w:pPr>
          </w:p>
        </w:tc>
      </w:tr>
      <w:tr w:rsidR="008718F8" w:rsidRPr="00094D02" w14:paraId="60F955B5" w14:textId="77777777" w:rsidTr="000C136E">
        <w:trPr>
          <w:trHeight w:val="340"/>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1825B66" w14:textId="140725D6" w:rsidR="008718F8" w:rsidRPr="00094D02" w:rsidRDefault="008718F8" w:rsidP="00094D02">
            <w:pPr>
              <w:spacing w:after="0"/>
              <w:rPr>
                <w:rFonts w:cstheme="minorHAnsi"/>
                <w:sz w:val="20"/>
                <w:szCs w:val="20"/>
              </w:rPr>
            </w:pPr>
            <w:r w:rsidRPr="00094D02">
              <w:rPr>
                <w:rFonts w:cstheme="minorHAnsi"/>
                <w:b/>
                <w:sz w:val="20"/>
                <w:szCs w:val="20"/>
              </w:rPr>
              <w:t>Colonoscopy test detection rate (per lesion)</w:t>
            </w:r>
          </w:p>
        </w:tc>
      </w:tr>
      <w:tr w:rsidR="0066709A" w:rsidRPr="00094D02" w14:paraId="624A3F5C" w14:textId="77777777" w:rsidTr="008718F8">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5859F20B" w14:textId="77777777" w:rsidR="00A95D11" w:rsidRPr="00094D02" w:rsidRDefault="00A95D11" w:rsidP="00094D02">
            <w:pPr>
              <w:spacing w:after="0"/>
              <w:rPr>
                <w:rFonts w:cstheme="minorHAnsi"/>
                <w:sz w:val="20"/>
                <w:szCs w:val="20"/>
              </w:rPr>
            </w:pPr>
            <w:r w:rsidRPr="00094D02">
              <w:rPr>
                <w:rFonts w:cstheme="minorHAnsi"/>
                <w:sz w:val="20"/>
                <w:szCs w:val="20"/>
              </w:rPr>
              <w:t>Conventional adenoma 1-5 mm</w:t>
            </w:r>
          </w:p>
        </w:tc>
        <w:tc>
          <w:tcPr>
            <w:tcW w:w="0" w:type="auto"/>
            <w:tcBorders>
              <w:top w:val="single" w:sz="4" w:space="0" w:color="auto"/>
              <w:left w:val="single" w:sz="4" w:space="0" w:color="auto"/>
              <w:bottom w:val="single" w:sz="4" w:space="0" w:color="auto"/>
              <w:right w:val="single" w:sz="4" w:space="0" w:color="auto"/>
            </w:tcBorders>
            <w:vAlign w:val="center"/>
            <w:hideMark/>
          </w:tcPr>
          <w:p w14:paraId="0DA7826A" w14:textId="77777777" w:rsidR="00A95D11" w:rsidRPr="00094D02" w:rsidRDefault="00A95D11" w:rsidP="00094D02">
            <w:pPr>
              <w:spacing w:after="0"/>
              <w:rPr>
                <w:rFonts w:cstheme="minorHAnsi"/>
                <w:sz w:val="20"/>
                <w:szCs w:val="20"/>
              </w:rPr>
            </w:pPr>
            <w:r w:rsidRPr="00094D02">
              <w:rPr>
                <w:rFonts w:cstheme="minorHAnsi"/>
                <w:sz w:val="20"/>
                <w:szCs w:val="20"/>
              </w:rPr>
              <w:t>79%</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E42DDFE" w14:textId="77777777" w:rsidR="00A95D11" w:rsidRPr="00094D02" w:rsidRDefault="00A95D11" w:rsidP="00094D02">
            <w:pPr>
              <w:spacing w:after="0"/>
              <w:rPr>
                <w:rFonts w:cstheme="minorHAnsi"/>
                <w:sz w:val="20"/>
                <w:szCs w:val="20"/>
              </w:rPr>
            </w:pPr>
            <w:r w:rsidRPr="00094D02">
              <w:rPr>
                <w:rFonts w:cstheme="minorHAnsi"/>
                <w:sz w:val="20"/>
                <w:szCs w:val="20"/>
              </w:rPr>
              <w:t xml:space="preserve">Van Rijn et al 2006 </w:t>
            </w:r>
            <w:r w:rsidRPr="00094D02">
              <w:rPr>
                <w:rFonts w:cstheme="minorHAnsi"/>
                <w:sz w:val="20"/>
                <w:szCs w:val="20"/>
              </w:rPr>
              <w:fldChar w:fldCharType="begin">
                <w:fldData xml:space="preserve">PEVuZE5vdGU+PENpdGU+PEF1dGhvcj52YW4gUmlqbjwvQXV0aG9yPjxZZWFyPjIwMDY8L1llYXI+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</w:fldData>
              </w:fldChar>
            </w:r>
            <w:r w:rsidR="005C1397" w:rsidRPr="00094D02">
              <w:rPr>
                <w:rFonts w:cstheme="minorHAnsi"/>
                <w:sz w:val="20"/>
                <w:szCs w:val="20"/>
              </w:rPr>
              <w:instrText xml:space="preserve"> ADDIN EN.CITE </w:instrText>
            </w:r>
            <w:r w:rsidR="005C1397" w:rsidRPr="00094D02">
              <w:rPr>
                <w:rFonts w:cstheme="minorHAnsi"/>
                <w:sz w:val="20"/>
                <w:szCs w:val="20"/>
              </w:rPr>
              <w:fldChar w:fldCharType="begin">
                <w:fldData xml:space="preserve">PEVuZE5vdGU+PENpdGU+PEF1dGhvcj52YW4gUmlqbjwvQXV0aG9yPjxZZWFyPjIwMDY8L1llYXI+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</w:fldData>
              </w:fldChar>
            </w:r>
            <w:r w:rsidR="005C1397" w:rsidRPr="00094D02">
              <w:rPr>
                <w:rFonts w:cstheme="minorHAnsi"/>
                <w:sz w:val="20"/>
                <w:szCs w:val="20"/>
              </w:rPr>
              <w:instrText xml:space="preserve"> ADDIN EN.CITE.DATA </w:instrText>
            </w:r>
            <w:r w:rsidR="005C1397" w:rsidRPr="00094D02">
              <w:rPr>
                <w:rFonts w:cstheme="minorHAnsi"/>
                <w:sz w:val="20"/>
                <w:szCs w:val="20"/>
              </w:rPr>
            </w:r>
            <w:r w:rsidR="005C1397" w:rsidRPr="00094D02">
              <w:rPr>
                <w:rFonts w:cstheme="minorHAnsi"/>
                <w:sz w:val="20"/>
                <w:szCs w:val="20"/>
              </w:rPr>
              <w:fldChar w:fldCharType="end"/>
            </w:r>
            <w:r w:rsidRPr="00094D02">
              <w:rPr>
                <w:rFonts w:cstheme="minorHAnsi"/>
                <w:sz w:val="20"/>
                <w:szCs w:val="20"/>
              </w:rPr>
            </w:r>
            <w:r w:rsidRPr="00094D02">
              <w:rPr>
                <w:rFonts w:cstheme="minorHAnsi"/>
                <w:sz w:val="20"/>
                <w:szCs w:val="20"/>
              </w:rPr>
              <w:fldChar w:fldCharType="separate"/>
            </w:r>
            <w:r w:rsidR="005C1397" w:rsidRPr="00094D02">
              <w:rPr>
                <w:rFonts w:cstheme="minorHAnsi"/>
                <w:noProof/>
                <w:sz w:val="20"/>
                <w:szCs w:val="20"/>
              </w:rPr>
              <w:t>[7, 8]</w:t>
            </w:r>
            <w:r w:rsidRPr="00094D02">
              <w:rPr>
                <w:rFonts w:cstheme="minorHAnsi"/>
                <w:sz w:val="20"/>
                <w:szCs w:val="20"/>
              </w:rPr>
              <w:fldChar w:fldCharType="end"/>
            </w:r>
          </w:p>
          <w:p w14:paraId="164B500A" w14:textId="77777777" w:rsidR="00A95D11" w:rsidRPr="00094D02" w:rsidRDefault="00A95D11" w:rsidP="00094D02">
            <w:pPr>
              <w:spacing w:after="0"/>
              <w:rPr>
                <w:rFonts w:cstheme="minorHAnsi"/>
                <w:sz w:val="20"/>
                <w:szCs w:val="20"/>
              </w:rPr>
            </w:pPr>
          </w:p>
        </w:tc>
      </w:tr>
      <w:tr w:rsidR="0066709A" w:rsidRPr="00094D02" w14:paraId="060B4C1C" w14:textId="77777777" w:rsidTr="008718F8">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556DA14F" w14:textId="77777777" w:rsidR="00A95D11" w:rsidRPr="00094D02" w:rsidRDefault="00A95D11" w:rsidP="00094D02">
            <w:pPr>
              <w:spacing w:after="0"/>
              <w:rPr>
                <w:rFonts w:cstheme="minorHAnsi"/>
                <w:sz w:val="20"/>
                <w:szCs w:val="20"/>
              </w:rPr>
            </w:pPr>
            <w:r w:rsidRPr="00094D02">
              <w:rPr>
                <w:rFonts w:cstheme="minorHAnsi"/>
                <w:sz w:val="20"/>
                <w:szCs w:val="20"/>
              </w:rPr>
              <w:t>Conventional adenoma 6-9 mm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D23B53" w14:textId="77777777" w:rsidR="00A95D11" w:rsidRPr="00094D02" w:rsidRDefault="00A95D11" w:rsidP="00094D02">
            <w:pPr>
              <w:spacing w:after="0"/>
              <w:rPr>
                <w:rFonts w:cstheme="minorHAnsi"/>
                <w:sz w:val="20"/>
                <w:szCs w:val="20"/>
              </w:rPr>
            </w:pPr>
            <w:r w:rsidRPr="00094D02">
              <w:rPr>
                <w:rFonts w:cstheme="minorHAnsi"/>
                <w:sz w:val="20"/>
                <w:szCs w:val="20"/>
              </w:rPr>
              <w:t>85%</w:t>
            </w:r>
          </w:p>
        </w:tc>
        <w:tc>
          <w:tcPr>
            <w:tcW w:w="0" w:type="auto"/>
            <w:vMerge/>
            <w:tcBorders>
              <w:top w:val="single" w:sz="4" w:space="0" w:color="auto"/>
              <w:bottom w:val="single" w:sz="4" w:space="0" w:color="auto"/>
              <w:right w:val="single" w:sz="4" w:space="0" w:color="auto"/>
            </w:tcBorders>
            <w:vAlign w:val="center"/>
            <w:hideMark/>
          </w:tcPr>
          <w:p w14:paraId="413AC102" w14:textId="77777777" w:rsidR="00A95D11" w:rsidRPr="00094D02" w:rsidRDefault="00A95D11" w:rsidP="00094D02">
            <w:pPr>
              <w:spacing w:after="0"/>
              <w:rPr>
                <w:rFonts w:cstheme="minorHAnsi"/>
                <w:sz w:val="20"/>
                <w:szCs w:val="20"/>
              </w:rPr>
            </w:pPr>
          </w:p>
        </w:tc>
      </w:tr>
      <w:tr w:rsidR="0066709A" w:rsidRPr="00094D02" w14:paraId="5DF89703" w14:textId="77777777" w:rsidTr="008718F8">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7A73949A" w14:textId="77777777" w:rsidR="00A95D11" w:rsidRPr="00094D02" w:rsidRDefault="00A95D11" w:rsidP="00094D02">
            <w:pPr>
              <w:spacing w:after="0"/>
              <w:rPr>
                <w:rFonts w:cstheme="minorHAnsi"/>
                <w:sz w:val="20"/>
                <w:szCs w:val="20"/>
              </w:rPr>
            </w:pPr>
            <w:r w:rsidRPr="00094D02">
              <w:rPr>
                <w:rFonts w:cstheme="minorHAnsi"/>
                <w:sz w:val="20"/>
                <w:szCs w:val="20"/>
              </w:rPr>
              <w:t>Conventional adenoma ≥10mm</w:t>
            </w:r>
          </w:p>
        </w:tc>
        <w:tc>
          <w:tcPr>
            <w:tcW w:w="0" w:type="auto"/>
            <w:tcBorders>
              <w:top w:val="single" w:sz="4" w:space="0" w:color="auto"/>
              <w:left w:val="single" w:sz="4" w:space="0" w:color="auto"/>
              <w:bottom w:val="single" w:sz="4" w:space="0" w:color="auto"/>
              <w:right w:val="single" w:sz="4" w:space="0" w:color="auto"/>
            </w:tcBorders>
            <w:vAlign w:val="center"/>
            <w:hideMark/>
          </w:tcPr>
          <w:p w14:paraId="3F18CE42" w14:textId="77777777" w:rsidR="00A95D11" w:rsidRPr="00094D02" w:rsidRDefault="00A95D11" w:rsidP="00094D02">
            <w:pPr>
              <w:spacing w:after="0"/>
              <w:rPr>
                <w:rFonts w:cstheme="minorHAnsi"/>
                <w:sz w:val="20"/>
                <w:szCs w:val="20"/>
              </w:rPr>
            </w:pPr>
            <w:r w:rsidRPr="00094D02">
              <w:rPr>
                <w:rFonts w:cstheme="minorHAnsi"/>
                <w:sz w:val="20"/>
                <w:szCs w:val="20"/>
              </w:rPr>
              <w:t>92%</w:t>
            </w:r>
          </w:p>
        </w:tc>
        <w:tc>
          <w:tcPr>
            <w:tcW w:w="0" w:type="auto"/>
            <w:vMerge/>
            <w:tcBorders>
              <w:top w:val="single" w:sz="4" w:space="0" w:color="auto"/>
              <w:bottom w:val="single" w:sz="4" w:space="0" w:color="auto"/>
              <w:right w:val="single" w:sz="4" w:space="0" w:color="auto"/>
            </w:tcBorders>
            <w:vAlign w:val="center"/>
            <w:hideMark/>
          </w:tcPr>
          <w:p w14:paraId="35AD8CA0" w14:textId="77777777" w:rsidR="00A95D11" w:rsidRPr="00094D02" w:rsidRDefault="00A95D11" w:rsidP="00094D02">
            <w:pPr>
              <w:spacing w:after="0"/>
              <w:rPr>
                <w:rFonts w:cstheme="minorHAnsi"/>
                <w:sz w:val="20"/>
                <w:szCs w:val="20"/>
              </w:rPr>
            </w:pPr>
          </w:p>
        </w:tc>
      </w:tr>
      <w:tr w:rsidR="0066709A" w:rsidRPr="00094D02" w14:paraId="6A503279" w14:textId="77777777" w:rsidTr="008718F8">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24C63378" w14:textId="77777777" w:rsidR="00A95D11" w:rsidRPr="00094D02" w:rsidRDefault="00A95D11" w:rsidP="00094D02">
            <w:pPr>
              <w:spacing w:after="0"/>
              <w:rPr>
                <w:rFonts w:cstheme="minorHAnsi"/>
                <w:sz w:val="20"/>
                <w:szCs w:val="20"/>
              </w:rPr>
            </w:pPr>
            <w:r w:rsidRPr="00094D02">
              <w:rPr>
                <w:rFonts w:cstheme="minorHAnsi"/>
                <w:sz w:val="20"/>
                <w:szCs w:val="20"/>
              </w:rPr>
              <w:t xml:space="preserve">Sessile serrated </w:t>
            </w:r>
            <w:r w:rsidR="002D745C">
              <w:rPr>
                <w:rFonts w:cstheme="minorHAnsi"/>
                <w:sz w:val="20"/>
                <w:szCs w:val="20"/>
              </w:rPr>
              <w:t>lesions</w:t>
            </w:r>
            <w:r w:rsidR="002D745C" w:rsidRPr="00094D02">
              <w:rPr>
                <w:rFonts w:cstheme="minorHAnsi"/>
                <w:sz w:val="20"/>
                <w:szCs w:val="20"/>
              </w:rPr>
              <w:t xml:space="preserve"> </w:t>
            </w:r>
            <w:r w:rsidRPr="00094D02">
              <w:rPr>
                <w:rFonts w:cstheme="minorHAnsi"/>
                <w:sz w:val="20"/>
                <w:szCs w:val="20"/>
              </w:rPr>
              <w:t>(any size)</w:t>
            </w:r>
          </w:p>
        </w:tc>
        <w:tc>
          <w:tcPr>
            <w:tcW w:w="0" w:type="auto"/>
            <w:tcBorders>
              <w:top w:val="single" w:sz="4" w:space="0" w:color="auto"/>
              <w:left w:val="single" w:sz="4" w:space="0" w:color="auto"/>
              <w:bottom w:val="single" w:sz="4" w:space="0" w:color="auto"/>
              <w:right w:val="single" w:sz="4" w:space="0" w:color="auto"/>
            </w:tcBorders>
            <w:vAlign w:val="center"/>
            <w:hideMark/>
          </w:tcPr>
          <w:p w14:paraId="62B15337" w14:textId="77777777" w:rsidR="00A95D11" w:rsidRPr="00094D02" w:rsidRDefault="00A95D11" w:rsidP="00094D02">
            <w:pPr>
              <w:spacing w:after="0"/>
              <w:rPr>
                <w:rFonts w:cstheme="minorHAnsi"/>
                <w:sz w:val="20"/>
                <w:szCs w:val="20"/>
              </w:rPr>
            </w:pPr>
            <w:r w:rsidRPr="00094D02">
              <w:rPr>
                <w:rFonts w:cstheme="minorHAnsi"/>
                <w:sz w:val="20"/>
                <w:szCs w:val="20"/>
              </w:rPr>
              <w:t>78%</w:t>
            </w:r>
          </w:p>
        </w:tc>
        <w:tc>
          <w:tcPr>
            <w:tcW w:w="0" w:type="auto"/>
            <w:vMerge/>
            <w:tcBorders>
              <w:top w:val="single" w:sz="4" w:space="0" w:color="auto"/>
              <w:bottom w:val="single" w:sz="4" w:space="0" w:color="auto"/>
              <w:right w:val="single" w:sz="4" w:space="0" w:color="auto"/>
            </w:tcBorders>
            <w:vAlign w:val="center"/>
            <w:hideMark/>
          </w:tcPr>
          <w:p w14:paraId="47D24FE7" w14:textId="77777777" w:rsidR="00A95D11" w:rsidRPr="00094D02" w:rsidRDefault="00A95D11" w:rsidP="00094D02">
            <w:pPr>
              <w:spacing w:after="0"/>
              <w:rPr>
                <w:rFonts w:cstheme="minorHAnsi"/>
                <w:sz w:val="20"/>
                <w:szCs w:val="20"/>
              </w:rPr>
            </w:pPr>
          </w:p>
        </w:tc>
      </w:tr>
      <w:tr w:rsidR="0066709A" w:rsidRPr="00094D02" w14:paraId="40F1EC16" w14:textId="77777777" w:rsidTr="008718F8">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21AD38D4" w14:textId="77777777" w:rsidR="00A95D11" w:rsidRPr="00094D02" w:rsidRDefault="00A95D11" w:rsidP="00094D02">
            <w:pPr>
              <w:spacing w:after="0"/>
              <w:rPr>
                <w:rFonts w:cstheme="minorHAnsi"/>
                <w:b/>
                <w:sz w:val="20"/>
                <w:szCs w:val="20"/>
              </w:rPr>
            </w:pPr>
            <w:r w:rsidRPr="00094D02">
              <w:rPr>
                <w:rFonts w:cstheme="minorHAnsi"/>
                <w:sz w:val="20"/>
                <w:szCs w:val="20"/>
              </w:rPr>
              <w:t>CRC (any stage)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9F3F0" w14:textId="77777777" w:rsidR="00A95D11" w:rsidRPr="00094D02" w:rsidRDefault="00A95D11" w:rsidP="00094D02">
            <w:pPr>
              <w:spacing w:after="0"/>
              <w:rPr>
                <w:rFonts w:cstheme="minorHAnsi"/>
                <w:sz w:val="20"/>
                <w:szCs w:val="20"/>
              </w:rPr>
            </w:pPr>
            <w:r w:rsidRPr="00094D02">
              <w:rPr>
                <w:rFonts w:cstheme="minorHAnsi"/>
                <w:sz w:val="20"/>
                <w:szCs w:val="20"/>
              </w:rPr>
              <w:t>95%</w:t>
            </w:r>
          </w:p>
        </w:tc>
        <w:tc>
          <w:tcPr>
            <w:tcW w:w="0" w:type="auto"/>
            <w:vMerge/>
            <w:tcBorders>
              <w:top w:val="single" w:sz="4" w:space="0" w:color="auto"/>
              <w:bottom w:val="single" w:sz="4" w:space="0" w:color="auto"/>
              <w:right w:val="single" w:sz="4" w:space="0" w:color="auto"/>
            </w:tcBorders>
            <w:vAlign w:val="center"/>
            <w:hideMark/>
          </w:tcPr>
          <w:p w14:paraId="34BFE646" w14:textId="77777777" w:rsidR="00A95D11" w:rsidRPr="00094D02" w:rsidRDefault="00A95D11" w:rsidP="00094D02">
            <w:pPr>
              <w:spacing w:after="0"/>
              <w:rPr>
                <w:rFonts w:cstheme="minorHAnsi"/>
                <w:sz w:val="20"/>
                <w:szCs w:val="20"/>
              </w:rPr>
            </w:pPr>
          </w:p>
        </w:tc>
      </w:tr>
      <w:tr w:rsidR="0066709A" w:rsidRPr="00094D02" w14:paraId="175BCD9C" w14:textId="77777777" w:rsidTr="008718F8">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1BFAEDF9" w14:textId="77777777" w:rsidR="00A95D11" w:rsidRPr="00094D02" w:rsidRDefault="00A95D11" w:rsidP="00094D02">
            <w:pPr>
              <w:spacing w:after="0"/>
              <w:rPr>
                <w:rFonts w:cstheme="minorHAnsi"/>
                <w:b/>
                <w:sz w:val="20"/>
                <w:szCs w:val="20"/>
              </w:rPr>
            </w:pPr>
            <w:r w:rsidRPr="00094D02">
              <w:rPr>
                <w:rFonts w:cstheme="minorHAnsi"/>
                <w:b/>
                <w:sz w:val="20"/>
                <w:szCs w:val="20"/>
              </w:rPr>
              <w:t>Colonoscopy completion rate</w:t>
            </w:r>
          </w:p>
        </w:tc>
        <w:tc>
          <w:tcPr>
            <w:tcW w:w="0" w:type="auto"/>
            <w:tcBorders>
              <w:top w:val="single" w:sz="4" w:space="0" w:color="auto"/>
              <w:left w:val="single" w:sz="4" w:space="0" w:color="auto"/>
              <w:bottom w:val="single" w:sz="4" w:space="0" w:color="auto"/>
              <w:right w:val="single" w:sz="4" w:space="0" w:color="auto"/>
            </w:tcBorders>
            <w:vAlign w:val="center"/>
            <w:hideMark/>
          </w:tcPr>
          <w:p w14:paraId="0488251B" w14:textId="77777777" w:rsidR="00A95D11" w:rsidRPr="00094D02" w:rsidRDefault="00A95D11" w:rsidP="00094D02">
            <w:pPr>
              <w:spacing w:after="0"/>
              <w:rPr>
                <w:rFonts w:cstheme="minorHAnsi"/>
                <w:sz w:val="20"/>
                <w:szCs w:val="20"/>
              </w:rPr>
            </w:pPr>
            <w:r w:rsidRPr="00094D02">
              <w:rPr>
                <w:rFonts w:cstheme="minorHAnsi"/>
                <w:sz w:val="20"/>
                <w:szCs w:val="20"/>
              </w:rPr>
              <w:t>100% to the end of cecum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42066" w14:textId="77777777" w:rsidR="00A95D11" w:rsidRPr="00094D02" w:rsidRDefault="00A95D11" w:rsidP="00094D02">
            <w:pPr>
              <w:spacing w:after="0"/>
              <w:rPr>
                <w:rFonts w:cstheme="minorHAnsi"/>
                <w:sz w:val="20"/>
                <w:szCs w:val="20"/>
              </w:rPr>
            </w:pPr>
            <w:r w:rsidRPr="00094D02">
              <w:rPr>
                <w:rFonts w:cstheme="minorHAnsi"/>
                <w:sz w:val="20"/>
                <w:szCs w:val="20"/>
              </w:rPr>
              <w:t xml:space="preserve">Based on values used in </w:t>
            </w:r>
            <w:r w:rsidR="00E843A6" w:rsidRPr="00094D02">
              <w:rPr>
                <w:rFonts w:cstheme="minorHAnsi"/>
                <w:sz w:val="20"/>
                <w:szCs w:val="20"/>
              </w:rPr>
              <w:fldChar w:fldCharType="begin">
                <w:fldData xml:space="preserve">PEVuZE5vdGU+PENpdGU+PEF1dGhvcj5MZXc8L0F1dGhvcj48WWVhcj4yMDE3PC9ZZWFyPjxSZWNO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==
</w:fldData>
              </w:fldChar>
            </w:r>
            <w:r w:rsidR="00E843A6" w:rsidRPr="00094D02">
              <w:rPr>
                <w:rFonts w:cstheme="minorHAnsi"/>
                <w:sz w:val="20"/>
                <w:szCs w:val="20"/>
              </w:rPr>
              <w:instrText xml:space="preserve"> ADDIN EN.CITE </w:instrText>
            </w:r>
            <w:r w:rsidR="00E843A6" w:rsidRPr="00094D02">
              <w:rPr>
                <w:rFonts w:cstheme="minorHAnsi"/>
                <w:sz w:val="20"/>
                <w:szCs w:val="20"/>
              </w:rPr>
              <w:fldChar w:fldCharType="begin">
                <w:fldData xml:space="preserve">PEVuZE5vdGU+PENpdGU+PEF1dGhvcj5MZXc8L0F1dGhvcj48WWVhcj4yMDE3PC9ZZWFyPjxSZWNO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==
</w:fldData>
              </w:fldChar>
            </w:r>
            <w:r w:rsidR="00E843A6" w:rsidRPr="00094D02">
              <w:rPr>
                <w:rFonts w:cstheme="minorHAnsi"/>
                <w:sz w:val="20"/>
                <w:szCs w:val="20"/>
              </w:rPr>
              <w:instrText xml:space="preserve"> ADDIN EN.CITE.DATA </w:instrText>
            </w:r>
            <w:r w:rsidR="00E843A6" w:rsidRPr="00094D02">
              <w:rPr>
                <w:rFonts w:cstheme="minorHAnsi"/>
                <w:sz w:val="20"/>
                <w:szCs w:val="20"/>
              </w:rPr>
            </w:r>
            <w:r w:rsidR="00E843A6" w:rsidRPr="00094D02">
              <w:rPr>
                <w:rFonts w:cstheme="minorHAnsi"/>
                <w:sz w:val="20"/>
                <w:szCs w:val="20"/>
              </w:rPr>
              <w:fldChar w:fldCharType="end"/>
            </w:r>
            <w:r w:rsidR="00E843A6" w:rsidRPr="00094D02">
              <w:rPr>
                <w:rFonts w:cstheme="minorHAnsi"/>
                <w:sz w:val="20"/>
                <w:szCs w:val="20"/>
              </w:rPr>
            </w:r>
            <w:r w:rsidR="00E843A6" w:rsidRPr="00094D02">
              <w:rPr>
                <w:rFonts w:cstheme="minorHAnsi"/>
                <w:sz w:val="20"/>
                <w:szCs w:val="20"/>
              </w:rPr>
              <w:fldChar w:fldCharType="separate"/>
            </w:r>
            <w:r w:rsidR="00E843A6" w:rsidRPr="00094D02">
              <w:rPr>
                <w:rFonts w:cstheme="minorHAnsi"/>
                <w:noProof/>
                <w:sz w:val="20"/>
                <w:szCs w:val="20"/>
              </w:rPr>
              <w:t>[9]</w:t>
            </w:r>
            <w:r w:rsidR="00E843A6" w:rsidRPr="00094D02">
              <w:rPr>
                <w:rFonts w:cstheme="minorHAnsi"/>
                <w:sz w:val="20"/>
                <w:szCs w:val="20"/>
              </w:rPr>
              <w:fldChar w:fldCharType="end"/>
            </w:r>
          </w:p>
        </w:tc>
      </w:tr>
      <w:tr w:rsidR="008718F8" w:rsidRPr="00094D02" w14:paraId="1F397CD4" w14:textId="77777777" w:rsidTr="000C136E">
        <w:trPr>
          <w:trHeight w:val="340"/>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E2792DA" w14:textId="687E26B8" w:rsidR="008718F8" w:rsidRPr="00094D02" w:rsidRDefault="008718F8" w:rsidP="00094D02">
            <w:pPr>
              <w:spacing w:after="0"/>
              <w:rPr>
                <w:rFonts w:cstheme="minorHAnsi"/>
                <w:sz w:val="20"/>
                <w:szCs w:val="20"/>
              </w:rPr>
            </w:pPr>
            <w:r w:rsidRPr="00094D02">
              <w:rPr>
                <w:rFonts w:cstheme="minorHAnsi"/>
                <w:b/>
                <w:sz w:val="20"/>
                <w:szCs w:val="20"/>
              </w:rPr>
              <w:t>Colonoscopy adverse event probability</w:t>
            </w:r>
          </w:p>
        </w:tc>
      </w:tr>
      <w:tr w:rsidR="0066709A" w:rsidRPr="00094D02" w14:paraId="39D8051F" w14:textId="77777777" w:rsidTr="008718F8">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7B769D5D" w14:textId="77777777" w:rsidR="00A95D11" w:rsidRPr="00094D02" w:rsidRDefault="00A95D11" w:rsidP="00094D02">
            <w:pPr>
              <w:spacing w:after="0"/>
              <w:rPr>
                <w:rFonts w:cstheme="minorHAnsi"/>
                <w:sz w:val="20"/>
                <w:szCs w:val="20"/>
              </w:rPr>
            </w:pPr>
            <w:r w:rsidRPr="00094D02">
              <w:rPr>
                <w:rFonts w:cstheme="minorHAnsi"/>
                <w:sz w:val="20"/>
                <w:szCs w:val="20"/>
              </w:rPr>
              <w:t>Non-fatal adverse event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107FFC83" w14:textId="77777777" w:rsidR="00A95D11" w:rsidRPr="00094D02" w:rsidRDefault="00A95D11" w:rsidP="00094D02">
            <w:pPr>
              <w:spacing w:after="0"/>
              <w:rPr>
                <w:rFonts w:cstheme="minorHAnsi"/>
                <w:sz w:val="20"/>
                <w:szCs w:val="20"/>
              </w:rPr>
            </w:pPr>
            <w:r w:rsidRPr="00094D02">
              <w:rPr>
                <w:rFonts w:cstheme="minorHAnsi"/>
                <w:sz w:val="20"/>
                <w:szCs w:val="20"/>
              </w:rPr>
              <w:t>0.27%</w:t>
            </w:r>
          </w:p>
        </w:tc>
        <w:tc>
          <w:tcPr>
            <w:tcW w:w="0" w:type="auto"/>
            <w:tcBorders>
              <w:top w:val="single" w:sz="4" w:space="0" w:color="auto"/>
              <w:left w:val="single" w:sz="4" w:space="0" w:color="auto"/>
              <w:bottom w:val="single" w:sz="4" w:space="0" w:color="auto"/>
              <w:right w:val="single" w:sz="4" w:space="0" w:color="auto"/>
            </w:tcBorders>
            <w:vAlign w:val="center"/>
            <w:hideMark/>
          </w:tcPr>
          <w:p w14:paraId="1906EDA8" w14:textId="77777777" w:rsidR="00A95D11" w:rsidRPr="00094D02" w:rsidRDefault="00A95D11" w:rsidP="00094D02">
            <w:pPr>
              <w:spacing w:after="0"/>
              <w:rPr>
                <w:rFonts w:cstheme="minorHAnsi"/>
                <w:sz w:val="20"/>
                <w:szCs w:val="20"/>
              </w:rPr>
            </w:pPr>
            <w:r w:rsidRPr="00094D02">
              <w:rPr>
                <w:rFonts w:cstheme="minorHAnsi"/>
                <w:noProof/>
                <w:sz w:val="20"/>
                <w:szCs w:val="20"/>
              </w:rPr>
              <w:t>AIHW</w:t>
            </w:r>
            <w:r w:rsidRPr="00094D02">
              <w:rPr>
                <w:rFonts w:cstheme="minorHAnsi"/>
                <w:sz w:val="20"/>
                <w:szCs w:val="20"/>
              </w:rPr>
              <w:t xml:space="preserve"> 2015 </w:t>
            </w:r>
            <w:r w:rsidRPr="00094D02">
              <w:rPr>
                <w:rFonts w:cstheme="minorHAnsi"/>
                <w:sz w:val="20"/>
                <w:szCs w:val="20"/>
              </w:rPr>
              <w:fldChar w:fldCharType="begin"/>
            </w:r>
            <w:r w:rsidR="00E843A6" w:rsidRPr="00094D02">
              <w:rPr>
                <w:rFonts w:cstheme="minorHAnsi"/>
                <w:sz w:val="20"/>
                <w:szCs w:val="20"/>
              </w:rPr>
              <w:instrText xml:space="preserve"> ADDIN EN.CITE &lt;EndNote&gt;&lt;Cite&gt;&lt;Author&gt;Australian Institute of Health and Welfare&lt;/Author&gt;&lt;Year&gt;2015&lt;/Year&gt;&lt;RecNum&gt;1343&lt;/RecNum&gt;&lt;DisplayText&gt;[6, 10]&lt;/DisplayText&gt;&lt;record&gt;&lt;rec-number&gt;1343&lt;/rec-number&gt;&lt;foreign-keys&gt;&lt;key app="EN" db-id="da5e0t5d9t9vfgeewz95e0eee0faf5pfxx9r" timestamp="1522303121"&gt;1343&lt;/key&gt;&lt;/foreign-keys&gt;&lt;ref-type name="Report"&gt;27&lt;/ref-type&gt;&lt;contributors&gt;&lt;authors&gt;&lt;author&gt;Australian Institute of Health and Welfare,&lt;/author&gt;&lt;/authors&gt;&lt;/contributors&gt;&lt;titles&gt;&lt;title&gt;National Bowel Cancer Screening Program: monitoring report 2013-14&lt;/title&gt;&lt;/titles&gt;&lt;volume&gt;2018&lt;/volume&gt;&lt;number&gt;15/01/2018&lt;/number&gt;&lt;dates&gt;&lt;year&gt;2015&lt;/year&gt;&lt;/dates&gt;&lt;pub-location&gt;Cancer series No. 94. Cat. no. CAN 94.&lt;/pub-location&gt;&lt;urls&gt;&lt;/urls&gt;&lt;/record&gt;&lt;/Cite&gt;&lt;Cite&gt;&lt;Author&gt;Australian Institute of Health and Welfare&lt;/Author&gt;&lt;Year&gt;2015&lt;/Year&gt;&lt;RecNum&gt;81&lt;/RecNum&gt;&lt;record&gt;&lt;rec-number&gt;81&lt;/rec-number&gt;&lt;foreign-keys&gt;&lt;key app="EN" db-id="da5e0t5d9t9vfgeewz95e0eee0faf5pfxx9r" timestamp="1516594529"&gt;81&lt;/key&gt;&lt;/foreign-keys&gt;&lt;ref-type name="Report"&gt;27&lt;/ref-type&gt;&lt;contributors&gt;&lt;authors&gt;&lt;author&gt;Australian Institute of Health and Welfare,&lt;/author&gt;&lt;/authors&gt;&lt;/contributors&gt;&lt;titles&gt;&lt;title&gt;National Bowel Cancer Screening Program: monitoring report 2013-14. Cancer series No. 94. Cat. no. CAN 94&lt;/title&gt;&lt;/titles&gt;&lt;keywords&gt;&lt;keyword&gt;Neoplasms&lt;/keyword&gt;&lt;keyword&gt;bowel cancer&lt;/keyword&gt;&lt;keyword&gt;Cancer&lt;/keyword&gt;&lt;keyword&gt;Cancer screening&lt;/keyword&gt;&lt;keyword&gt;screening&lt;/keyword&gt;&lt;/keywords&gt;&lt;dates&gt;&lt;year&gt;2015&lt;/year&gt;&lt;/dates&gt;&lt;pub-location&gt;Canberra&lt;/pub-location&gt;&lt;publisher&gt;AIHW&lt;/publisher&gt;&lt;urls&gt;&lt;/urls&gt;&lt;/record&gt;&lt;/Cite&gt;&lt;/EndNote&gt;</w:instrText>
            </w:r>
            <w:r w:rsidRPr="00094D02">
              <w:rPr>
                <w:rFonts w:cstheme="minorHAnsi"/>
                <w:sz w:val="20"/>
                <w:szCs w:val="20"/>
              </w:rPr>
              <w:fldChar w:fldCharType="separate"/>
            </w:r>
            <w:r w:rsidR="00E843A6" w:rsidRPr="00094D02">
              <w:rPr>
                <w:rFonts w:cstheme="minorHAnsi"/>
                <w:noProof/>
                <w:sz w:val="20"/>
                <w:szCs w:val="20"/>
              </w:rPr>
              <w:t>[6, 10]</w:t>
            </w:r>
            <w:r w:rsidRPr="00094D02">
              <w:rPr>
                <w:rFonts w:cstheme="minorHAnsi"/>
                <w:sz w:val="20"/>
                <w:szCs w:val="20"/>
              </w:rPr>
              <w:fldChar w:fldCharType="end"/>
            </w:r>
          </w:p>
        </w:tc>
      </w:tr>
      <w:tr w:rsidR="0066709A" w:rsidRPr="00094D02" w14:paraId="63ACB606" w14:textId="77777777" w:rsidTr="008718F8">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2F494DDB" w14:textId="77777777" w:rsidR="00A95D11" w:rsidRPr="00094D02" w:rsidRDefault="00A95D11" w:rsidP="00094D02">
            <w:pPr>
              <w:spacing w:after="0"/>
              <w:rPr>
                <w:rFonts w:cstheme="minorHAnsi"/>
                <w:sz w:val="20"/>
                <w:szCs w:val="20"/>
              </w:rPr>
            </w:pPr>
            <w:r w:rsidRPr="00094D02">
              <w:rPr>
                <w:rFonts w:cstheme="minorHAnsi"/>
                <w:sz w:val="20"/>
                <w:szCs w:val="20"/>
              </w:rPr>
              <w:t>Death</w:t>
            </w:r>
          </w:p>
        </w:tc>
        <w:tc>
          <w:tcPr>
            <w:tcW w:w="0" w:type="auto"/>
            <w:tcBorders>
              <w:top w:val="single" w:sz="4" w:space="0" w:color="auto"/>
              <w:left w:val="single" w:sz="4" w:space="0" w:color="auto"/>
              <w:bottom w:val="single" w:sz="4" w:space="0" w:color="auto"/>
              <w:right w:val="single" w:sz="4" w:space="0" w:color="auto"/>
            </w:tcBorders>
            <w:vAlign w:val="center"/>
            <w:hideMark/>
          </w:tcPr>
          <w:p w14:paraId="2A3C8B00" w14:textId="77777777" w:rsidR="00A95D11" w:rsidRPr="00094D02" w:rsidRDefault="00A95D11" w:rsidP="00094D02">
            <w:pPr>
              <w:spacing w:after="0"/>
              <w:rPr>
                <w:rFonts w:cstheme="minorHAnsi"/>
                <w:sz w:val="20"/>
                <w:szCs w:val="20"/>
              </w:rPr>
            </w:pPr>
            <w:r w:rsidRPr="00094D02">
              <w:rPr>
                <w:rFonts w:cstheme="minorHAnsi"/>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FAD3A91" w14:textId="77777777" w:rsidR="00A95D11" w:rsidRPr="00094D02" w:rsidRDefault="00A95D11" w:rsidP="00094D02">
            <w:pPr>
              <w:spacing w:after="0"/>
              <w:rPr>
                <w:rFonts w:cstheme="minorHAnsi"/>
                <w:sz w:val="20"/>
                <w:szCs w:val="20"/>
              </w:rPr>
            </w:pPr>
            <w:r w:rsidRPr="00094D02">
              <w:rPr>
                <w:rFonts w:cstheme="minorHAnsi"/>
                <w:noProof/>
                <w:sz w:val="20"/>
                <w:szCs w:val="20"/>
              </w:rPr>
              <w:t>AIHW</w:t>
            </w:r>
            <w:r w:rsidRPr="00094D02">
              <w:rPr>
                <w:rFonts w:cstheme="minorHAnsi"/>
                <w:sz w:val="20"/>
                <w:szCs w:val="20"/>
              </w:rPr>
              <w:t xml:space="preserve"> 2015 </w:t>
            </w:r>
            <w:r w:rsidRPr="00094D02">
              <w:rPr>
                <w:rFonts w:cstheme="minorHAnsi"/>
                <w:sz w:val="20"/>
                <w:szCs w:val="20"/>
              </w:rPr>
              <w:fldChar w:fldCharType="begin"/>
            </w:r>
            <w:r w:rsidR="00E843A6" w:rsidRPr="00094D02">
              <w:rPr>
                <w:rFonts w:cstheme="minorHAnsi"/>
                <w:sz w:val="20"/>
                <w:szCs w:val="20"/>
              </w:rPr>
              <w:instrText xml:space="preserve"> ADDIN EN.CITE &lt;EndNote&gt;&lt;Cite&gt;&lt;Author&gt;Australian Institute of Health and Welfare&lt;/Author&gt;&lt;Year&gt;2015&lt;/Year&gt;&lt;RecNum&gt;1343&lt;/RecNum&gt;&lt;DisplayText&gt;[6, 10]&lt;/DisplayText&gt;&lt;record&gt;&lt;rec-number&gt;1343&lt;/rec-number&gt;&lt;foreign-keys&gt;&lt;key app="EN" db-id="da5e0t5d9t9vfgeewz95e0eee0faf5pfxx9r" timestamp="1522303121"&gt;1343&lt;/key&gt;&lt;/foreign-keys&gt;&lt;ref-type name="Report"&gt;27&lt;/ref-type&gt;&lt;contributors&gt;&lt;authors&gt;&lt;author&gt;Australian Institute of Health and Welfare,&lt;/author&gt;&lt;/authors&gt;&lt;/contributors&gt;&lt;titles&gt;&lt;title&gt;National Bowel Cancer Screening Program: monitoring report 2013-14&lt;/title&gt;&lt;/titles&gt;&lt;volume&gt;2018&lt;/volume&gt;&lt;number&gt;15/01/2018&lt;/number&gt;&lt;dates&gt;&lt;year&gt;2015&lt;/year&gt;&lt;/dates&gt;&lt;pub-location&gt;Cancer series No. 94. Cat. no. CAN 94.&lt;/pub-location&gt;&lt;urls&gt;&lt;/urls&gt;&lt;/record&gt;&lt;/Cite&gt;&lt;Cite&gt;&lt;Author&gt;Australian Institute of Health and Welfare&lt;/Author&gt;&lt;Year&gt;2015&lt;/Year&gt;&lt;RecNum&gt;81&lt;/RecNum&gt;&lt;record&gt;&lt;rec-number&gt;81&lt;/rec-number&gt;&lt;foreign-keys&gt;&lt;key app="EN" db-id="da5e0t5d9t9vfgeewz95e0eee0faf5pfxx9r" timestamp="1516594529"&gt;81&lt;/key&gt;&lt;/foreign-keys&gt;&lt;ref-type name="Report"&gt;27&lt;/ref-type&gt;&lt;contributors&gt;&lt;authors&gt;&lt;author&gt;Australian Institute of Health and Welfare,&lt;/author&gt;&lt;/authors&gt;&lt;/contributors&gt;&lt;titles&gt;&lt;title&gt;National Bowel Cancer Screening Program: monitoring report 2013-14. Cancer series No. 94. Cat. no. CAN 94&lt;/title&gt;&lt;/titles&gt;&lt;keywords&gt;&lt;keyword&gt;Neoplasms&lt;/keyword&gt;&lt;keyword&gt;bowel cancer&lt;/keyword&gt;&lt;keyword&gt;Cancer&lt;/keyword&gt;&lt;keyword&gt;Cancer screening&lt;/keyword&gt;&lt;keyword&gt;screening&lt;/keyword&gt;&lt;/keywords&gt;&lt;dates&gt;&lt;year&gt;2015&lt;/year&gt;&lt;/dates&gt;&lt;pub-location&gt;Canberra&lt;/pub-location&gt;&lt;publisher&gt;AIHW&lt;/publisher&gt;&lt;urls&gt;&lt;/urls&gt;&lt;/record&gt;&lt;/Cite&gt;&lt;/EndNote&gt;</w:instrText>
            </w:r>
            <w:r w:rsidRPr="00094D02">
              <w:rPr>
                <w:rFonts w:cstheme="minorHAnsi"/>
                <w:sz w:val="20"/>
                <w:szCs w:val="20"/>
              </w:rPr>
              <w:fldChar w:fldCharType="separate"/>
            </w:r>
            <w:r w:rsidR="00E843A6" w:rsidRPr="00094D02">
              <w:rPr>
                <w:rFonts w:cstheme="minorHAnsi"/>
                <w:noProof/>
                <w:sz w:val="20"/>
                <w:szCs w:val="20"/>
              </w:rPr>
              <w:t>[6, 10]</w:t>
            </w:r>
            <w:r w:rsidRPr="00094D02">
              <w:rPr>
                <w:rFonts w:cstheme="minorHAnsi"/>
                <w:sz w:val="20"/>
                <w:szCs w:val="20"/>
              </w:rPr>
              <w:fldChar w:fldCharType="end"/>
            </w:r>
            <w:r w:rsidRPr="00094D02">
              <w:rPr>
                <w:rFonts w:cstheme="minorHAnsi"/>
                <w:sz w:val="20"/>
                <w:szCs w:val="20"/>
              </w:rPr>
              <w:t xml:space="preserve">, </w:t>
            </w:r>
            <w:proofErr w:type="spellStart"/>
            <w:r w:rsidRPr="00094D02">
              <w:rPr>
                <w:rFonts w:cstheme="minorHAnsi"/>
                <w:sz w:val="20"/>
                <w:szCs w:val="20"/>
              </w:rPr>
              <w:t>Jentschura</w:t>
            </w:r>
            <w:proofErr w:type="spellEnd"/>
            <w:r w:rsidRPr="00094D02">
              <w:rPr>
                <w:rFonts w:cstheme="minorHAnsi"/>
                <w:sz w:val="20"/>
                <w:szCs w:val="20"/>
              </w:rPr>
              <w:t xml:space="preserve"> et al 1994 </w:t>
            </w:r>
            <w:r w:rsidRPr="00094D02">
              <w:rPr>
                <w:rFonts w:cstheme="minorHAnsi"/>
                <w:sz w:val="20"/>
                <w:szCs w:val="20"/>
              </w:rPr>
              <w:fldChar w:fldCharType="begin"/>
            </w:r>
            <w:r w:rsidR="00E843A6" w:rsidRPr="00094D02">
              <w:rPr>
                <w:rFonts w:cstheme="minorHAnsi"/>
                <w:sz w:val="20"/>
                <w:szCs w:val="20"/>
              </w:rPr>
              <w:instrText xml:space="preserve"> ADDIN EN.CITE &lt;EndNote&gt;&lt;Cite&gt;&lt;Author&gt;Jentschura&lt;/Author&gt;&lt;Year&gt;1994&lt;/Year&gt;&lt;RecNum&gt;586&lt;/RecNum&gt;&lt;DisplayText&gt;[11]&lt;/DisplayText&gt;&lt;record&gt;&lt;rec-number&gt;586&lt;/rec-number&gt;&lt;foreign-keys&gt;&lt;key app="EN" db-id="da5e0t5d9t9vfgeewz95e0eee0faf5pfxx9r" timestamp="1516594530"&gt;586&lt;/key&gt;&lt;/foreign-keys&gt;&lt;ref-type name="Journal Article"&gt;17&lt;/ref-type&gt;&lt;contributors&gt;&lt;authors&gt;&lt;author&gt;Jentschura, D.&lt;/author&gt;&lt;author&gt;Raute, M.&lt;/author&gt;&lt;author&gt;Winter, J.&lt;/author&gt;&lt;author&gt;Henkel, T.&lt;/author&gt;&lt;author&gt;Kraus, M.&lt;/author&gt;&lt;author&gt;Manegold, B. C.&lt;/author&gt;&lt;/authors&gt;&lt;/contributors&gt;&lt;auth-address&gt;Department of Surgery Mannheim, University of Heidelberg, Germany&lt;/auth-address&gt;&lt;titles&gt;&lt;title&gt;Complications in endoscopy of the lower gastrointestinal tract. Therapy and prognosis&lt;/title&gt;&lt;secondary-title&gt;Surg Endosc.&lt;/secondary-title&gt;&lt;/titles&gt;&lt;periodical&gt;&lt;full-title&gt;Surg Endosc.&lt;/full-title&gt;&lt;/periodical&gt;&lt;pages&gt;672-676&lt;/pages&gt;&lt;volume&gt;8&lt;/volume&gt;&lt;number&gt;6&lt;/number&gt;&lt;reprint-edition&gt;NOT IN FILE&lt;/reprint-edition&gt;&lt;keywords&gt;&lt;keyword&gt;Adult&lt;/keyword&gt;&lt;keyword&gt;adverse effects&lt;/keyword&gt;&lt;keyword&gt;Aged&lt;/keyword&gt;&lt;keyword&gt;Aged,80 and over&lt;/keyword&gt;&lt;keyword&gt;Colonoscopy&lt;/keyword&gt;&lt;keyword&gt;complications&lt;/keyword&gt;&lt;keyword&gt;control&lt;/keyword&gt;&lt;keyword&gt;Endoscopy&lt;/keyword&gt;&lt;keyword&gt;epidemiology&lt;/keyword&gt;&lt;keyword&gt;etiology&lt;/keyword&gt;&lt;keyword&gt;Female&lt;/keyword&gt;&lt;keyword&gt;Gastrointestinal Hemorrhage&lt;/keyword&gt;&lt;keyword&gt;Gastrointestinal Tract&lt;/keyword&gt;&lt;keyword&gt;Germany&lt;/keyword&gt;&lt;keyword&gt;Humans&lt;/keyword&gt;&lt;keyword&gt;injuries&lt;/keyword&gt;&lt;keyword&gt;Intestinal Perforation&lt;/keyword&gt;&lt;keyword&gt;Male&lt;/keyword&gt;&lt;keyword&gt;Middle Aged&lt;/keyword&gt;&lt;keyword&gt;mortality&lt;/keyword&gt;&lt;keyword&gt;Postoperative Complications&lt;/keyword&gt;&lt;keyword&gt;Prognosis&lt;/keyword&gt;&lt;keyword&gt;Prospective Studies&lt;/keyword&gt;&lt;keyword&gt;Risk&lt;/keyword&gt;&lt;keyword&gt;Sigmoidoscopy&lt;/keyword&gt;&lt;keyword&gt;statistics &amp;amp; numerical data&lt;/keyword&gt;&lt;keyword&gt;surgery&lt;/keyword&gt;&lt;keyword&gt;therapy&lt;/keyword&gt;&lt;keyword&gt;Universities&lt;/keyword&gt;&lt;/keywords&gt;&lt;dates&gt;&lt;year&gt;1994&lt;/year&gt;&lt;/dates&gt;&lt;urls&gt;&lt;related-urls&gt;&lt;url&gt;PM:8059305&lt;/url&gt;&lt;/related-urls&gt;&lt;/urls&gt;&lt;/record&gt;&lt;/Cite&gt;&lt;/EndNote&gt;</w:instrText>
            </w:r>
            <w:r w:rsidRPr="00094D02">
              <w:rPr>
                <w:rFonts w:cstheme="minorHAnsi"/>
                <w:sz w:val="20"/>
                <w:szCs w:val="20"/>
              </w:rPr>
              <w:fldChar w:fldCharType="separate"/>
            </w:r>
            <w:r w:rsidR="00E843A6" w:rsidRPr="00094D02">
              <w:rPr>
                <w:rFonts w:cstheme="minorHAnsi"/>
                <w:noProof/>
                <w:sz w:val="20"/>
                <w:szCs w:val="20"/>
              </w:rPr>
              <w:t>[11]</w:t>
            </w:r>
            <w:r w:rsidRPr="00094D02">
              <w:rPr>
                <w:rFonts w:cstheme="minorHAnsi"/>
                <w:sz w:val="20"/>
                <w:szCs w:val="20"/>
              </w:rPr>
              <w:fldChar w:fldCharType="end"/>
            </w:r>
            <w:r w:rsidRPr="00094D02" w:rsidDel="0026156B">
              <w:rPr>
                <w:rFonts w:cstheme="minorHAnsi"/>
                <w:sz w:val="20"/>
                <w:szCs w:val="20"/>
              </w:rPr>
              <w:t xml:space="preserve"> </w:t>
            </w:r>
          </w:p>
        </w:tc>
      </w:tr>
      <w:tr w:rsidR="008718F8" w:rsidRPr="00094D02" w14:paraId="4C73E1FE" w14:textId="77777777" w:rsidTr="000C136E">
        <w:trPr>
          <w:trHeight w:val="340"/>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0B14A16" w14:textId="491B4493" w:rsidR="008718F8" w:rsidRPr="00094D02" w:rsidRDefault="008718F8" w:rsidP="00094D02">
            <w:pPr>
              <w:spacing w:after="0"/>
              <w:rPr>
                <w:rFonts w:cstheme="minorHAnsi"/>
                <w:sz w:val="20"/>
                <w:szCs w:val="20"/>
              </w:rPr>
            </w:pPr>
            <w:r w:rsidRPr="00094D02">
              <w:rPr>
                <w:rFonts w:cstheme="minorHAnsi"/>
                <w:b/>
                <w:sz w:val="20"/>
                <w:szCs w:val="20"/>
              </w:rPr>
              <w:t>Baseline colonoscopy compliance rate</w:t>
            </w:r>
          </w:p>
        </w:tc>
      </w:tr>
      <w:tr w:rsidR="0066709A" w:rsidRPr="00094D02" w14:paraId="040C8D54" w14:textId="77777777" w:rsidTr="008718F8">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14B1A95D" w14:textId="77777777" w:rsidR="00A95D11" w:rsidRPr="00094D02" w:rsidRDefault="00A95D11" w:rsidP="00094D02">
            <w:pPr>
              <w:spacing w:after="0"/>
              <w:rPr>
                <w:rFonts w:cstheme="minorHAnsi"/>
                <w:sz w:val="20"/>
                <w:szCs w:val="20"/>
              </w:rPr>
            </w:pPr>
            <w:r w:rsidRPr="00094D02">
              <w:rPr>
                <w:rFonts w:cstheme="minorHAnsi"/>
                <w:sz w:val="20"/>
                <w:szCs w:val="20"/>
              </w:rPr>
              <w:lastRenderedPageBreak/>
              <w:t>Follow-up colonoscopy</w:t>
            </w:r>
            <w:r w:rsidR="002D745C">
              <w:rPr>
                <w:rFonts w:cstheme="minorHAnsi"/>
                <w:sz w:val="20"/>
                <w:szCs w:val="20"/>
              </w:rPr>
              <w:t xml:space="preserve"> after positive </w:t>
            </w:r>
            <w:proofErr w:type="spellStart"/>
            <w:r w:rsidR="002D745C">
              <w:rPr>
                <w:rFonts w:cstheme="minorHAnsi"/>
                <w:sz w:val="20"/>
                <w:szCs w:val="20"/>
              </w:rPr>
              <w:t>iFOBT</w:t>
            </w:r>
            <w:proofErr w:type="spellEnd"/>
            <w:r w:rsidR="002D745C">
              <w:rPr>
                <w:rFonts w:cstheme="minorHAnsi"/>
                <w:sz w:val="20"/>
                <w:szCs w:val="20"/>
              </w:rPr>
              <w:t xml:space="preserve"> result</w:t>
            </w:r>
            <w:r w:rsidRPr="00094D02">
              <w:rPr>
                <w:rFonts w:cstheme="minorHAnsi"/>
                <w:b/>
                <w:sz w:val="20"/>
                <w:szCs w:val="20"/>
                <w:vertAlign w:val="superscript"/>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EBB1153" w14:textId="77777777" w:rsidR="00A95D11" w:rsidRPr="00094D02" w:rsidRDefault="00A95D11" w:rsidP="00094D02">
            <w:pPr>
              <w:spacing w:after="0"/>
              <w:rPr>
                <w:rFonts w:cstheme="minorHAnsi"/>
                <w:sz w:val="20"/>
                <w:szCs w:val="20"/>
              </w:rPr>
            </w:pPr>
            <w:r w:rsidRPr="00094D02">
              <w:rPr>
                <w:rFonts w:cstheme="minorHAnsi"/>
                <w:sz w:val="20"/>
                <w:szCs w:val="20"/>
              </w:rPr>
              <w:t>71%</w:t>
            </w:r>
          </w:p>
        </w:tc>
        <w:tc>
          <w:tcPr>
            <w:tcW w:w="0" w:type="auto"/>
            <w:tcBorders>
              <w:top w:val="single" w:sz="4" w:space="0" w:color="auto"/>
              <w:left w:val="single" w:sz="4" w:space="0" w:color="auto"/>
              <w:bottom w:val="single" w:sz="4" w:space="0" w:color="auto"/>
              <w:right w:val="single" w:sz="4" w:space="0" w:color="auto"/>
            </w:tcBorders>
            <w:vAlign w:val="center"/>
            <w:hideMark/>
          </w:tcPr>
          <w:p w14:paraId="6994945C" w14:textId="77777777" w:rsidR="00A95D11" w:rsidRPr="00094D02" w:rsidRDefault="00A95D11" w:rsidP="00094D02">
            <w:pPr>
              <w:spacing w:after="0"/>
              <w:rPr>
                <w:rFonts w:cstheme="minorHAnsi"/>
                <w:sz w:val="20"/>
                <w:szCs w:val="20"/>
              </w:rPr>
            </w:pPr>
            <w:r w:rsidRPr="00094D02">
              <w:rPr>
                <w:rFonts w:cstheme="minorHAnsi"/>
                <w:noProof/>
                <w:sz w:val="20"/>
                <w:szCs w:val="20"/>
              </w:rPr>
              <w:t>AIHW</w:t>
            </w:r>
            <w:r w:rsidRPr="00094D02">
              <w:rPr>
                <w:rFonts w:cstheme="minorHAnsi"/>
                <w:sz w:val="20"/>
                <w:szCs w:val="20"/>
              </w:rPr>
              <w:t xml:space="preserve"> 2015 </w:t>
            </w:r>
            <w:r w:rsidRPr="00094D02">
              <w:rPr>
                <w:rFonts w:cstheme="minorHAnsi"/>
                <w:sz w:val="20"/>
                <w:szCs w:val="20"/>
              </w:rPr>
              <w:fldChar w:fldCharType="begin"/>
            </w:r>
            <w:r w:rsidR="005C1397" w:rsidRPr="00094D02">
              <w:rPr>
                <w:rFonts w:cstheme="minorHAnsi"/>
                <w:sz w:val="20"/>
                <w:szCs w:val="20"/>
              </w:rPr>
              <w:instrText xml:space="preserve"> ADDIN EN.CITE &lt;EndNote&gt;&lt;Cite&gt;&lt;Author&gt;Australian Institute of Health and Welfare&lt;/Author&gt;&lt;Year&gt;2015&lt;/Year&gt;&lt;RecNum&gt;1343&lt;/RecNum&gt;&lt;DisplayText&gt;[6]&lt;/DisplayText&gt;&lt;record&gt;&lt;rec-number&gt;1343&lt;/rec-number&gt;&lt;foreign-keys&gt;&lt;key app="EN" db-id="da5e0t5d9t9vfgeewz95e0eee0faf5pfxx9r" timestamp="1522303121"&gt;1343&lt;/key&gt;&lt;/foreign-keys&gt;&lt;ref-type name="Report"&gt;27&lt;/ref-type&gt;&lt;contributors&gt;&lt;authors&gt;&lt;author&gt;Australian Institute of Health and Welfare,&lt;/author&gt;&lt;/authors&gt;&lt;/contributors&gt;&lt;titles&gt;&lt;title&gt;National Bowel Cancer Screening Program: monitoring report 2013-14&lt;/title&gt;&lt;/titles&gt;&lt;volume&gt;2018&lt;/volume&gt;&lt;number&gt;15/01/2018&lt;/number&gt;&lt;dates&gt;&lt;year&gt;2015&lt;/year&gt;&lt;/dates&gt;&lt;pub-location&gt;Cancer series No. 94. Cat. no. CAN 94.&lt;/pub-location&gt;&lt;urls&gt;&lt;/urls&gt;&lt;/record&gt;&lt;/Cite&gt;&lt;/EndNote&gt;</w:instrText>
            </w:r>
            <w:r w:rsidRPr="00094D02">
              <w:rPr>
                <w:rFonts w:cstheme="minorHAnsi"/>
                <w:sz w:val="20"/>
                <w:szCs w:val="20"/>
              </w:rPr>
              <w:fldChar w:fldCharType="separate"/>
            </w:r>
            <w:r w:rsidR="005C1397" w:rsidRPr="00094D02">
              <w:rPr>
                <w:rFonts w:cstheme="minorHAnsi"/>
                <w:noProof/>
                <w:sz w:val="20"/>
                <w:szCs w:val="20"/>
              </w:rPr>
              <w:t>[6]</w:t>
            </w:r>
            <w:r w:rsidRPr="00094D02">
              <w:rPr>
                <w:rFonts w:cstheme="minorHAnsi"/>
                <w:sz w:val="20"/>
                <w:szCs w:val="20"/>
              </w:rPr>
              <w:fldChar w:fldCharType="end"/>
            </w:r>
          </w:p>
        </w:tc>
      </w:tr>
      <w:tr w:rsidR="0066709A" w:rsidRPr="00094D02" w14:paraId="650ED0B7" w14:textId="77777777" w:rsidTr="008718F8">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70968550" w14:textId="77777777" w:rsidR="00A95D11" w:rsidRPr="00094D02" w:rsidRDefault="00A95D11" w:rsidP="00094D02">
            <w:pPr>
              <w:spacing w:after="0"/>
              <w:rPr>
                <w:rFonts w:cstheme="minorHAnsi"/>
                <w:sz w:val="20"/>
                <w:szCs w:val="20"/>
              </w:rPr>
            </w:pPr>
            <w:r w:rsidRPr="00094D02">
              <w:rPr>
                <w:rFonts w:cstheme="minorHAnsi"/>
                <w:sz w:val="20"/>
                <w:szCs w:val="20"/>
              </w:rPr>
              <w:t>Surveillance colonoscopy</w:t>
            </w:r>
          </w:p>
        </w:tc>
        <w:tc>
          <w:tcPr>
            <w:tcW w:w="0" w:type="auto"/>
            <w:tcBorders>
              <w:top w:val="single" w:sz="4" w:space="0" w:color="auto"/>
              <w:left w:val="single" w:sz="4" w:space="0" w:color="auto"/>
              <w:bottom w:val="single" w:sz="4" w:space="0" w:color="auto"/>
              <w:right w:val="single" w:sz="4" w:space="0" w:color="auto"/>
            </w:tcBorders>
            <w:vAlign w:val="center"/>
            <w:hideMark/>
          </w:tcPr>
          <w:p w14:paraId="598537EF" w14:textId="77777777" w:rsidR="00A95D11" w:rsidRPr="00094D02" w:rsidRDefault="00A95D11" w:rsidP="00094D02">
            <w:pPr>
              <w:spacing w:after="0"/>
              <w:rPr>
                <w:rFonts w:cstheme="minorHAnsi"/>
                <w:sz w:val="20"/>
                <w:szCs w:val="20"/>
              </w:rPr>
            </w:pPr>
            <w:r w:rsidRPr="00094D02">
              <w:rPr>
                <w:rFonts w:cstheme="minorHAnsi"/>
                <w:sz w:val="20"/>
                <w:szCs w:val="20"/>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6BFBEFD" w14:textId="77777777" w:rsidR="00A95D11" w:rsidRPr="00094D02" w:rsidRDefault="00A95D11" w:rsidP="00094D02">
            <w:pPr>
              <w:spacing w:after="0"/>
              <w:rPr>
                <w:rFonts w:cstheme="minorHAnsi"/>
                <w:sz w:val="20"/>
                <w:szCs w:val="20"/>
              </w:rPr>
            </w:pPr>
            <w:r w:rsidRPr="00094D02">
              <w:rPr>
                <w:rFonts w:cstheme="minorHAnsi"/>
                <w:sz w:val="20"/>
                <w:szCs w:val="20"/>
              </w:rPr>
              <w:t xml:space="preserve">Based on values used in </w:t>
            </w:r>
            <w:r w:rsidRPr="00094D02">
              <w:rPr>
                <w:rFonts w:cstheme="minorHAnsi"/>
                <w:sz w:val="20"/>
                <w:szCs w:val="20"/>
              </w:rPr>
              <w:fldChar w:fldCharType="begin"/>
            </w:r>
            <w:r w:rsidR="00E843A6" w:rsidRPr="00094D02">
              <w:rPr>
                <w:rFonts w:cstheme="minorHAnsi"/>
                <w:sz w:val="20"/>
                <w:szCs w:val="20"/>
              </w:rPr>
              <w:instrText xml:space="preserve"> ADDIN EN.CITE &lt;EndNote&gt;&lt;Cite&gt;&lt;Author&gt;Lew&lt;/Author&gt;&lt;Year&gt;2017&lt;/Year&gt;&lt;RecNum&gt;1089&lt;/RecNum&gt;&lt;DisplayText&gt;[12]&lt;/DisplayText&gt;&lt;record&gt;&lt;rec-number&gt;1089&lt;/rec-number&gt;&lt;foreign-keys&gt;&lt;key app="EN" db-id="x50da5ezff5faue2296x5z26twvpfe5wa90e" timestamp="1561088186"&gt;1089&lt;/key&gt;&lt;/foreign-keys&gt;&lt;ref-type name="Journal Article"&gt;17&lt;/ref-type&gt;&lt;contributors&gt;&lt;authors&gt;&lt;author&gt;Lew, Jie Bin&lt;/author&gt;&lt;author&gt;St John, D. James&lt;/author&gt;&lt;author&gt;Xu, Xiang Ming&lt;/author&gt;&lt;author&gt;Greuter, Marjolein J. E.&lt;/author&gt;&lt;author&gt;Caruana, Michael&lt;/author&gt;&lt;author&gt;Cenin, Dayna R.&lt;/author&gt;&lt;author&gt;He, Emily&lt;/author&gt;&lt;author&gt;Saville, Marion&lt;/author&gt;&lt;author&gt;Grogan, Paul&lt;/author&gt;&lt;author&gt;Coup+©, Veerle M. H.&lt;/author&gt;&lt;author&gt;Canfell, Karen&lt;/author&gt;&lt;/authors&gt;&lt;/contributors&gt;&lt;titles&gt;&lt;title&gt;Long-term evaluation of benefits, harms, and cost-effectiveness of the National Bowel Cancer Screening Program in Australia: a modelling study&lt;/title&gt;&lt;secondary-title&gt;Lancet Public Health&lt;/secondary-title&gt;&lt;/titles&gt;&lt;periodical&gt;&lt;full-title&gt;Lancet Public Health&lt;/full-title&gt;&lt;abbr-1&gt;The Lancet. Public health&lt;/abbr-1&gt;&lt;/periodical&gt;&lt;pages&gt;e331-e340&lt;/pages&gt;&lt;volume&gt;2&lt;/volume&gt;&lt;reprint-edition&gt;NOT IN FILE&lt;/reprint-edition&gt;&lt;keywords&gt;&lt;keyword&gt;analysis&lt;/keyword&gt;&lt;keyword&gt;Australia&lt;/keyword&gt;&lt;keyword&gt;blood&lt;/keyword&gt;&lt;keyword&gt;bowel cancer&lt;/keyword&gt;&lt;keyword&gt;Cancer&lt;/keyword&gt;&lt;keyword&gt;Cancer screening&lt;/keyword&gt;&lt;keyword&gt;Colonoscopy&lt;/keyword&gt;&lt;keyword&gt;control&lt;/keyword&gt;&lt;keyword&gt;cost effectiveness&lt;/keyword&gt;&lt;keyword&gt;diagnosis&lt;/keyword&gt;&lt;keyword&gt;Health&lt;/keyword&gt;&lt;keyword&gt;history&lt;/keyword&gt;&lt;keyword&gt;methods&lt;/keyword&gt;&lt;keyword&gt;NSW&lt;/keyword&gt;&lt;keyword&gt;Occult Blood&lt;/keyword&gt;&lt;keyword&gt;Population&lt;/keyword&gt;&lt;keyword&gt;screening&lt;/keyword&gt;&lt;keyword&gt;use&lt;/keyword&gt;&lt;/keywords&gt;&lt;dates&gt;&lt;year&gt;2017&lt;/year&gt;&lt;/dates&gt;&lt;publisher&gt;Elsevier&lt;/publisher&gt;&lt;isbn&gt;2468-2667&lt;/isbn&gt;&lt;urls&gt;&lt;related-urls&gt;&lt;url&gt;http://dx.doi.org/10.1016/S2468-2667(17)30105-6&lt;/url&gt;&lt;/related-urls&gt;&lt;/urls&gt;&lt;electronic-resource-num&gt;10.1016/S2468-2667(17)30105-6&lt;/electronic-resource-num&gt;&lt;/record&gt;&lt;/Cite&gt;&lt;/EndNote&gt;</w:instrText>
            </w:r>
            <w:r w:rsidRPr="00094D02">
              <w:rPr>
                <w:rFonts w:cstheme="minorHAnsi"/>
                <w:sz w:val="20"/>
                <w:szCs w:val="20"/>
              </w:rPr>
              <w:fldChar w:fldCharType="separate"/>
            </w:r>
            <w:r w:rsidR="00E843A6" w:rsidRPr="00094D02">
              <w:rPr>
                <w:rFonts w:cstheme="minorHAnsi"/>
                <w:noProof/>
                <w:sz w:val="20"/>
                <w:szCs w:val="20"/>
              </w:rPr>
              <w:t>[12]</w:t>
            </w:r>
            <w:r w:rsidRPr="00094D02">
              <w:rPr>
                <w:rFonts w:cstheme="minorHAnsi"/>
                <w:sz w:val="20"/>
                <w:szCs w:val="20"/>
              </w:rPr>
              <w:fldChar w:fldCharType="end"/>
            </w:r>
          </w:p>
        </w:tc>
      </w:tr>
      <w:tr w:rsidR="008718F8" w:rsidRPr="00094D02" w14:paraId="150181D8" w14:textId="77777777" w:rsidTr="000C136E">
        <w:trPr>
          <w:trHeight w:val="340"/>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590E4F35" w14:textId="3B9D0072" w:rsidR="008718F8" w:rsidRPr="00094D02" w:rsidRDefault="008718F8" w:rsidP="00094D02">
            <w:pPr>
              <w:spacing w:after="0"/>
              <w:rPr>
                <w:rFonts w:cstheme="minorHAnsi"/>
                <w:sz w:val="20"/>
                <w:szCs w:val="20"/>
              </w:rPr>
            </w:pPr>
            <w:r w:rsidRPr="00094D02">
              <w:rPr>
                <w:rFonts w:cstheme="minorHAnsi"/>
                <w:b/>
                <w:bCs/>
                <w:sz w:val="20"/>
                <w:szCs w:val="20"/>
              </w:rPr>
              <w:t xml:space="preserve">5-year survival rate in patient with </w:t>
            </w:r>
            <w:proofErr w:type="gramStart"/>
            <w:r w:rsidRPr="00094D02">
              <w:rPr>
                <w:rFonts w:cstheme="minorHAnsi"/>
                <w:b/>
                <w:sz w:val="20"/>
                <w:szCs w:val="20"/>
              </w:rPr>
              <w:t>symptomatically-detected</w:t>
            </w:r>
            <w:proofErr w:type="gramEnd"/>
            <w:r w:rsidRPr="00094D02">
              <w:rPr>
                <w:rFonts w:cstheme="minorHAnsi"/>
                <w:b/>
                <w:sz w:val="20"/>
                <w:szCs w:val="20"/>
              </w:rPr>
              <w:t xml:space="preserve"> </w:t>
            </w:r>
            <w:r w:rsidRPr="00094D02">
              <w:rPr>
                <w:rFonts w:cstheme="minorHAnsi"/>
                <w:b/>
                <w:bCs/>
                <w:sz w:val="20"/>
                <w:szCs w:val="20"/>
              </w:rPr>
              <w:t xml:space="preserve">CRC </w:t>
            </w:r>
          </w:p>
        </w:tc>
      </w:tr>
      <w:tr w:rsidR="0066709A" w:rsidRPr="00094D02" w14:paraId="3AB4D89D" w14:textId="77777777" w:rsidTr="008718F8">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75DEE9EC" w14:textId="77777777" w:rsidR="00A95D11" w:rsidRPr="00094D02" w:rsidRDefault="00A95D11" w:rsidP="00094D02">
            <w:pPr>
              <w:spacing w:after="0"/>
              <w:rPr>
                <w:rFonts w:cstheme="minorHAnsi"/>
                <w:b/>
                <w:sz w:val="20"/>
                <w:szCs w:val="20"/>
              </w:rPr>
            </w:pPr>
            <w:r w:rsidRPr="00094D02">
              <w:rPr>
                <w:rFonts w:cstheme="minorHAnsi"/>
                <w:sz w:val="20"/>
                <w:szCs w:val="20"/>
              </w:rPr>
              <w:t>Stage 1 cancer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3C0F441" w14:textId="77777777" w:rsidR="00A95D11" w:rsidRPr="00094D02" w:rsidRDefault="00A95D11" w:rsidP="00094D02">
            <w:pPr>
              <w:spacing w:after="0"/>
              <w:rPr>
                <w:rFonts w:cstheme="minorHAnsi"/>
                <w:sz w:val="20"/>
                <w:szCs w:val="20"/>
              </w:rPr>
            </w:pPr>
            <w:r w:rsidRPr="00094D02">
              <w:rPr>
                <w:rFonts w:cstheme="minorHAnsi"/>
                <w:sz w:val="20"/>
                <w:szCs w:val="20"/>
              </w:rPr>
              <w:t>86.9%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C671C49" w14:textId="77777777" w:rsidR="00A95D11" w:rsidRPr="00094D02" w:rsidRDefault="00A95D11" w:rsidP="00094D02">
            <w:pPr>
              <w:spacing w:after="0"/>
              <w:rPr>
                <w:rFonts w:cstheme="minorHAnsi"/>
                <w:sz w:val="20"/>
                <w:szCs w:val="20"/>
              </w:rPr>
            </w:pPr>
            <w:r w:rsidRPr="00094D02">
              <w:rPr>
                <w:rFonts w:cstheme="minorHAnsi"/>
                <w:sz w:val="20"/>
                <w:szCs w:val="20"/>
              </w:rPr>
              <w:t xml:space="preserve">Morris et al 2007 </w:t>
            </w:r>
            <w:r w:rsidRPr="00094D02">
              <w:rPr>
                <w:rFonts w:cstheme="minorHAnsi"/>
                <w:sz w:val="20"/>
                <w:szCs w:val="20"/>
              </w:rPr>
              <w:fldChar w:fldCharType="begin"/>
            </w:r>
            <w:r w:rsidR="00E843A6" w:rsidRPr="00094D02">
              <w:rPr>
                <w:rFonts w:cstheme="minorHAnsi"/>
                <w:sz w:val="20"/>
                <w:szCs w:val="20"/>
              </w:rPr>
              <w:instrText xml:space="preserve"> ADDIN EN.CITE &lt;EndNote&gt;&lt;Cite&gt;&lt;Author&gt;Morris&lt;/Author&gt;&lt;Year&gt;2007&lt;/Year&gt;&lt;RecNum&gt;854&lt;/RecNum&gt;&lt;DisplayText&gt;[13]&lt;/DisplayText&gt;&lt;record&gt;&lt;rec-number&gt;854&lt;/rec-number&gt;&lt;foreign-keys&gt;&lt;key app="EN" db-id="da5e0t5d9t9vfgeewz95e0eee0faf5pfxx9r" timestamp="1516594531"&gt;854&lt;/key&gt;&lt;/foreign-keys&gt;&lt;ref-type name="Journal Article"&gt;17&lt;/ref-type&gt;&lt;contributors&gt;&lt;authors&gt;&lt;author&gt;Morris, M.&lt;/author&gt;&lt;author&gt;Iacopetta, B.&lt;/author&gt;&lt;author&gt;Platell, C.&lt;/author&gt;&lt;/authors&gt;&lt;/contributors&gt;&lt;auth-address&gt;School of Surgery and Pathology, University of Western Australia, Perth, WA&lt;/auth-address&gt;&lt;titles&gt;&lt;title&gt;Comparing survival outcomes for patients with colorectal cancer treated in public and private hospitals&lt;/title&gt;&lt;secondary-title&gt;Med J Aust&lt;/secondary-title&gt;&lt;/titles&gt;&lt;periodical&gt;&lt;full-title&gt;Med J Aust&lt;/full-title&gt;&lt;/periodical&gt;&lt;pages&gt;296-300&lt;/pages&gt;&lt;volume&gt;186&lt;/volume&gt;&lt;number&gt;6&lt;/number&gt;&lt;keywords&gt;&lt;keyword&gt;Adolescent&lt;/keyword&gt;&lt;keyword&gt;Adult&lt;/keyword&gt;&lt;keyword&gt;Aged&lt;/keyword&gt;&lt;keyword&gt;Aged,80 and over&lt;/keyword&gt;&lt;keyword&gt;Australia&lt;/keyword&gt;&lt;keyword&gt;Colorectal Neoplasms&lt;/keyword&gt;&lt;keyword&gt;Combined Modality Therapy&lt;/keyword&gt;&lt;keyword&gt;epidemiology&lt;/keyword&gt;&lt;keyword&gt;Female&lt;/keyword&gt;&lt;keyword&gt;Hospitals,Private&lt;/keyword&gt;&lt;keyword&gt;Hospitals,Public&lt;/keyword&gt;&lt;keyword&gt;Humans&lt;/keyword&gt;&lt;keyword&gt;Male&lt;/keyword&gt;&lt;keyword&gt;Middle Aged&lt;/keyword&gt;&lt;keyword&gt;mortality&lt;/keyword&gt;&lt;keyword&gt;Neoplasm Staging&lt;/keyword&gt;&lt;keyword&gt;pathology&lt;/keyword&gt;&lt;keyword&gt;Population Surveillance&lt;/keyword&gt;&lt;keyword&gt;Prognosis&lt;/keyword&gt;&lt;keyword&gt;Risk&lt;/keyword&gt;&lt;keyword&gt;Severity of Illness Index&lt;/keyword&gt;&lt;keyword&gt;surgery&lt;/keyword&gt;&lt;keyword&gt;Survival Rate&lt;/keyword&gt;&lt;keyword&gt;therapy&lt;/keyword&gt;&lt;keyword&gt;trends&lt;/keyword&gt;&lt;keyword&gt;Western Australia&lt;/keyword&gt;&lt;/keywords&gt;&lt;dates&gt;&lt;year&gt;2007&lt;/year&gt;&lt;/dates&gt;&lt;urls&gt;&lt;/urls&gt;&lt;electronic-resource-num&gt;http://www.ncbi.nlm.nih.gov/pubmed/17371210;file://G:\CERU\General\HPVCC%20Model\CRC\Publications\MJA2007-p296-MorrisM-SurvivalOutcomesForCRCpatientsInPublicPrivateHospitals.pdf&lt;/electronic-resource-num&gt;&lt;/record&gt;&lt;/Cite&gt;&lt;/EndNote&gt;</w:instrText>
            </w:r>
            <w:r w:rsidRPr="00094D02">
              <w:rPr>
                <w:rFonts w:cstheme="minorHAnsi"/>
                <w:sz w:val="20"/>
                <w:szCs w:val="20"/>
              </w:rPr>
              <w:fldChar w:fldCharType="separate"/>
            </w:r>
            <w:r w:rsidR="00E843A6" w:rsidRPr="00094D02">
              <w:rPr>
                <w:rFonts w:cstheme="minorHAnsi"/>
                <w:noProof/>
                <w:sz w:val="20"/>
                <w:szCs w:val="20"/>
              </w:rPr>
              <w:t>[13]</w:t>
            </w:r>
            <w:r w:rsidRPr="00094D02">
              <w:rPr>
                <w:rFonts w:cstheme="minorHAnsi"/>
                <w:sz w:val="20"/>
                <w:szCs w:val="20"/>
              </w:rPr>
              <w:fldChar w:fldCharType="end"/>
            </w:r>
          </w:p>
        </w:tc>
      </w:tr>
      <w:tr w:rsidR="0066709A" w:rsidRPr="00094D02" w14:paraId="2F427651" w14:textId="77777777" w:rsidTr="008718F8">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46E6CC70" w14:textId="77777777" w:rsidR="00A95D11" w:rsidRPr="00094D02" w:rsidRDefault="00A95D11" w:rsidP="00094D02">
            <w:pPr>
              <w:spacing w:after="0"/>
              <w:rPr>
                <w:rFonts w:cstheme="minorHAnsi"/>
                <w:b/>
                <w:sz w:val="20"/>
                <w:szCs w:val="20"/>
              </w:rPr>
            </w:pPr>
            <w:r w:rsidRPr="00094D02">
              <w:rPr>
                <w:rFonts w:cstheme="minorHAnsi"/>
                <w:sz w:val="20"/>
                <w:szCs w:val="20"/>
              </w:rPr>
              <w:t>Stage 2 cancer</w:t>
            </w:r>
          </w:p>
        </w:tc>
        <w:tc>
          <w:tcPr>
            <w:tcW w:w="0" w:type="auto"/>
            <w:tcBorders>
              <w:top w:val="single" w:sz="4" w:space="0" w:color="auto"/>
              <w:left w:val="single" w:sz="4" w:space="0" w:color="auto"/>
              <w:bottom w:val="single" w:sz="4" w:space="0" w:color="auto"/>
              <w:right w:val="single" w:sz="4" w:space="0" w:color="auto"/>
            </w:tcBorders>
            <w:vAlign w:val="center"/>
            <w:hideMark/>
          </w:tcPr>
          <w:p w14:paraId="1F3DB084" w14:textId="77777777" w:rsidR="00A95D11" w:rsidRPr="00094D02" w:rsidRDefault="00A95D11" w:rsidP="00094D02">
            <w:pPr>
              <w:spacing w:after="0"/>
              <w:rPr>
                <w:rFonts w:cstheme="minorHAnsi"/>
                <w:sz w:val="20"/>
                <w:szCs w:val="20"/>
              </w:rPr>
            </w:pPr>
            <w:r w:rsidRPr="00094D02">
              <w:rPr>
                <w:rFonts w:cstheme="minorHAnsi"/>
                <w:sz w:val="20"/>
                <w:szCs w:val="20"/>
              </w:rPr>
              <w:t>73.0%</w:t>
            </w:r>
          </w:p>
        </w:tc>
        <w:tc>
          <w:tcPr>
            <w:tcW w:w="0" w:type="auto"/>
            <w:vMerge/>
            <w:tcBorders>
              <w:top w:val="single" w:sz="4" w:space="0" w:color="auto"/>
              <w:bottom w:val="single" w:sz="4" w:space="0" w:color="auto"/>
              <w:right w:val="single" w:sz="4" w:space="0" w:color="auto"/>
            </w:tcBorders>
            <w:vAlign w:val="center"/>
            <w:hideMark/>
          </w:tcPr>
          <w:p w14:paraId="1CA98AE7" w14:textId="77777777" w:rsidR="00A95D11" w:rsidRPr="00094D02" w:rsidRDefault="00A95D11" w:rsidP="00094D02">
            <w:pPr>
              <w:spacing w:after="0"/>
              <w:rPr>
                <w:rFonts w:cstheme="minorHAnsi"/>
                <w:sz w:val="20"/>
                <w:szCs w:val="20"/>
              </w:rPr>
            </w:pPr>
          </w:p>
        </w:tc>
      </w:tr>
      <w:tr w:rsidR="0066709A" w:rsidRPr="00094D02" w14:paraId="0BA2F68D" w14:textId="77777777" w:rsidTr="008718F8">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23C1D652" w14:textId="77777777" w:rsidR="00A95D11" w:rsidRPr="00094D02" w:rsidRDefault="00A95D11" w:rsidP="00094D02">
            <w:pPr>
              <w:spacing w:after="0"/>
              <w:rPr>
                <w:rFonts w:cstheme="minorHAnsi"/>
                <w:b/>
                <w:sz w:val="20"/>
                <w:szCs w:val="20"/>
              </w:rPr>
            </w:pPr>
            <w:r w:rsidRPr="00094D02">
              <w:rPr>
                <w:rFonts w:cstheme="minorHAnsi"/>
                <w:sz w:val="20"/>
                <w:szCs w:val="20"/>
              </w:rPr>
              <w:t>Stage 3 cancer</w:t>
            </w:r>
          </w:p>
        </w:tc>
        <w:tc>
          <w:tcPr>
            <w:tcW w:w="0" w:type="auto"/>
            <w:tcBorders>
              <w:top w:val="single" w:sz="4" w:space="0" w:color="auto"/>
              <w:left w:val="single" w:sz="4" w:space="0" w:color="auto"/>
              <w:bottom w:val="single" w:sz="4" w:space="0" w:color="auto"/>
              <w:right w:val="single" w:sz="4" w:space="0" w:color="auto"/>
            </w:tcBorders>
            <w:vAlign w:val="center"/>
            <w:hideMark/>
          </w:tcPr>
          <w:p w14:paraId="5E47D9E9" w14:textId="77777777" w:rsidR="00A95D11" w:rsidRPr="00094D02" w:rsidRDefault="00A95D11" w:rsidP="00094D02">
            <w:pPr>
              <w:spacing w:after="0"/>
              <w:rPr>
                <w:rFonts w:cstheme="minorHAnsi"/>
                <w:sz w:val="20"/>
                <w:szCs w:val="20"/>
              </w:rPr>
            </w:pPr>
            <w:r w:rsidRPr="00094D02">
              <w:rPr>
                <w:rFonts w:cstheme="minorHAnsi"/>
                <w:sz w:val="20"/>
                <w:szCs w:val="20"/>
              </w:rPr>
              <w:t>42.4%</w:t>
            </w:r>
          </w:p>
        </w:tc>
        <w:tc>
          <w:tcPr>
            <w:tcW w:w="0" w:type="auto"/>
            <w:vMerge/>
            <w:tcBorders>
              <w:top w:val="single" w:sz="4" w:space="0" w:color="auto"/>
              <w:bottom w:val="single" w:sz="4" w:space="0" w:color="auto"/>
              <w:right w:val="single" w:sz="4" w:space="0" w:color="auto"/>
            </w:tcBorders>
            <w:vAlign w:val="center"/>
            <w:hideMark/>
          </w:tcPr>
          <w:p w14:paraId="057F9C7C" w14:textId="77777777" w:rsidR="00A95D11" w:rsidRPr="00094D02" w:rsidRDefault="00A95D11" w:rsidP="00094D02">
            <w:pPr>
              <w:spacing w:after="0"/>
              <w:rPr>
                <w:rFonts w:cstheme="minorHAnsi"/>
                <w:sz w:val="20"/>
                <w:szCs w:val="20"/>
              </w:rPr>
            </w:pPr>
          </w:p>
        </w:tc>
      </w:tr>
      <w:tr w:rsidR="0066709A" w:rsidRPr="00094D02" w14:paraId="47769122" w14:textId="77777777" w:rsidTr="008718F8">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05D926DD" w14:textId="77777777" w:rsidR="00A95D11" w:rsidRPr="00094D02" w:rsidRDefault="00A95D11" w:rsidP="00094D02">
            <w:pPr>
              <w:spacing w:after="0"/>
              <w:rPr>
                <w:rFonts w:cstheme="minorHAnsi"/>
                <w:b/>
                <w:sz w:val="20"/>
                <w:szCs w:val="20"/>
              </w:rPr>
            </w:pPr>
            <w:r w:rsidRPr="00094D02">
              <w:rPr>
                <w:rFonts w:cstheme="minorHAnsi"/>
                <w:sz w:val="20"/>
                <w:szCs w:val="20"/>
              </w:rPr>
              <w:t>Stage 4 cancer</w:t>
            </w:r>
          </w:p>
        </w:tc>
        <w:tc>
          <w:tcPr>
            <w:tcW w:w="0" w:type="auto"/>
            <w:tcBorders>
              <w:top w:val="single" w:sz="4" w:space="0" w:color="auto"/>
              <w:left w:val="single" w:sz="4" w:space="0" w:color="auto"/>
              <w:bottom w:val="single" w:sz="4" w:space="0" w:color="auto"/>
              <w:right w:val="single" w:sz="4" w:space="0" w:color="auto"/>
            </w:tcBorders>
            <w:vAlign w:val="center"/>
            <w:hideMark/>
          </w:tcPr>
          <w:p w14:paraId="76B4A321" w14:textId="77777777" w:rsidR="00A95D11" w:rsidRPr="00094D02" w:rsidRDefault="00A95D11" w:rsidP="00094D02">
            <w:pPr>
              <w:spacing w:after="0"/>
              <w:rPr>
                <w:rFonts w:cstheme="minorHAnsi"/>
                <w:sz w:val="20"/>
                <w:szCs w:val="20"/>
              </w:rPr>
            </w:pPr>
            <w:r w:rsidRPr="00094D02">
              <w:rPr>
                <w:rFonts w:cstheme="minorHAnsi"/>
                <w:sz w:val="20"/>
                <w:szCs w:val="20"/>
              </w:rPr>
              <w:t>9.5%</w:t>
            </w:r>
          </w:p>
        </w:tc>
        <w:tc>
          <w:tcPr>
            <w:tcW w:w="0" w:type="auto"/>
            <w:vMerge/>
            <w:tcBorders>
              <w:top w:val="single" w:sz="4" w:space="0" w:color="auto"/>
              <w:bottom w:val="single" w:sz="4" w:space="0" w:color="auto"/>
              <w:right w:val="single" w:sz="4" w:space="0" w:color="auto"/>
            </w:tcBorders>
            <w:vAlign w:val="center"/>
            <w:hideMark/>
          </w:tcPr>
          <w:p w14:paraId="0AE327B2" w14:textId="77777777" w:rsidR="00A95D11" w:rsidRPr="00094D02" w:rsidRDefault="00A95D11" w:rsidP="00094D02">
            <w:pPr>
              <w:spacing w:after="0"/>
              <w:rPr>
                <w:rFonts w:cstheme="minorHAnsi"/>
                <w:sz w:val="20"/>
                <w:szCs w:val="20"/>
              </w:rPr>
            </w:pPr>
          </w:p>
        </w:tc>
      </w:tr>
      <w:tr w:rsidR="008718F8" w:rsidRPr="00094D02" w14:paraId="12DAB09C" w14:textId="77777777" w:rsidTr="000C136E">
        <w:trPr>
          <w:trHeight w:val="340"/>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EB72386" w14:textId="4C8EA29B" w:rsidR="008718F8" w:rsidRPr="00094D02" w:rsidRDefault="008718F8" w:rsidP="00094D02">
            <w:pPr>
              <w:spacing w:after="0"/>
              <w:rPr>
                <w:rFonts w:cstheme="minorHAnsi"/>
                <w:sz w:val="20"/>
                <w:szCs w:val="20"/>
              </w:rPr>
            </w:pPr>
            <w:r w:rsidRPr="00094D02">
              <w:rPr>
                <w:rFonts w:cstheme="minorHAnsi"/>
                <w:b/>
                <w:sz w:val="20"/>
                <w:szCs w:val="20"/>
              </w:rPr>
              <w:t xml:space="preserve">Relative 5-year survival of screen-detected </w:t>
            </w:r>
            <w:r>
              <w:rPr>
                <w:rFonts w:cstheme="minorHAnsi"/>
                <w:b/>
                <w:sz w:val="20"/>
                <w:szCs w:val="20"/>
              </w:rPr>
              <w:t xml:space="preserve">CRC </w:t>
            </w:r>
            <w:r w:rsidRPr="00094D02">
              <w:rPr>
                <w:rFonts w:cstheme="minorHAnsi"/>
                <w:b/>
                <w:sz w:val="20"/>
                <w:szCs w:val="20"/>
              </w:rPr>
              <w:t xml:space="preserve">versus symptomatically detected </w:t>
            </w:r>
            <w:r>
              <w:rPr>
                <w:rFonts w:cstheme="minorHAnsi"/>
                <w:b/>
                <w:sz w:val="20"/>
                <w:szCs w:val="20"/>
              </w:rPr>
              <w:t>CRC</w:t>
            </w:r>
          </w:p>
        </w:tc>
      </w:tr>
      <w:tr w:rsidR="0066709A" w:rsidRPr="00094D02" w14:paraId="3D8A75E4" w14:textId="77777777" w:rsidTr="008718F8">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6AB61DD9" w14:textId="77777777" w:rsidR="00A95D11" w:rsidRPr="00094D02" w:rsidRDefault="00A95D11" w:rsidP="00094D02">
            <w:pPr>
              <w:spacing w:after="0"/>
              <w:rPr>
                <w:rFonts w:cstheme="minorHAnsi"/>
                <w:sz w:val="20"/>
                <w:szCs w:val="20"/>
              </w:rPr>
            </w:pPr>
            <w:r w:rsidRPr="00094D02">
              <w:rPr>
                <w:rFonts w:cstheme="minorHAnsi"/>
                <w:sz w:val="20"/>
                <w:szCs w:val="20"/>
              </w:rPr>
              <w:t>Stage 1 cancer</w:t>
            </w:r>
          </w:p>
        </w:tc>
        <w:tc>
          <w:tcPr>
            <w:tcW w:w="0" w:type="auto"/>
            <w:tcBorders>
              <w:top w:val="single" w:sz="4" w:space="0" w:color="auto"/>
              <w:left w:val="single" w:sz="4" w:space="0" w:color="auto"/>
              <w:bottom w:val="single" w:sz="4" w:space="0" w:color="auto"/>
              <w:right w:val="single" w:sz="4" w:space="0" w:color="auto"/>
            </w:tcBorders>
            <w:vAlign w:val="center"/>
            <w:hideMark/>
          </w:tcPr>
          <w:p w14:paraId="67A3EB1E" w14:textId="77777777" w:rsidR="00A95D11" w:rsidRPr="00094D02" w:rsidRDefault="00A95D11" w:rsidP="00094D02">
            <w:pPr>
              <w:spacing w:after="0"/>
              <w:rPr>
                <w:rFonts w:cstheme="minorHAnsi"/>
                <w:sz w:val="20"/>
                <w:szCs w:val="20"/>
              </w:rPr>
            </w:pPr>
            <w:r w:rsidRPr="00094D02">
              <w:rPr>
                <w:rFonts w:cstheme="minorHAnsi"/>
                <w:sz w:val="20"/>
                <w:szCs w:val="20"/>
              </w:rPr>
              <w:t>1.1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67FBD36" w14:textId="77777777" w:rsidR="00A95D11" w:rsidRPr="00094D02" w:rsidRDefault="00A95D11" w:rsidP="00094D02">
            <w:pPr>
              <w:spacing w:after="0"/>
              <w:rPr>
                <w:rFonts w:cstheme="minorHAnsi"/>
                <w:sz w:val="20"/>
                <w:szCs w:val="20"/>
                <w:lang w:val="nl-NL"/>
              </w:rPr>
            </w:pPr>
            <w:r w:rsidRPr="00094D02">
              <w:rPr>
                <w:rFonts w:cstheme="minorHAnsi"/>
                <w:sz w:val="20"/>
                <w:szCs w:val="20"/>
                <w:lang w:val="nl-NL"/>
              </w:rPr>
              <w:t xml:space="preserve">Parente et al 2015, Gill et al 2014, Pande et al 2013 </w:t>
            </w:r>
            <w:r w:rsidRPr="00094D02">
              <w:rPr>
                <w:rFonts w:cstheme="minorHAnsi"/>
                <w:sz w:val="20"/>
                <w:szCs w:val="20"/>
                <w:lang w:val="nl-NL"/>
              </w:rPr>
              <w:fldChar w:fldCharType="begin">
                <w:fldData xml:space="preserve">PEVuZE5vdGU+PENpdGU+PEF1dGhvcj5QYXJlbnRlPC9BdXRob3I+PFllYXI+MjAxNTwvWWVhcj48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</w:fldData>
              </w:fldChar>
            </w:r>
            <w:r w:rsidR="00E843A6" w:rsidRPr="00094D02">
              <w:rPr>
                <w:rFonts w:cstheme="minorHAnsi"/>
                <w:sz w:val="20"/>
                <w:szCs w:val="20"/>
                <w:lang w:val="nl-NL"/>
              </w:rPr>
              <w:instrText xml:space="preserve"> ADDIN EN.CITE </w:instrText>
            </w:r>
            <w:r w:rsidR="00E843A6" w:rsidRPr="00094D02">
              <w:rPr>
                <w:rFonts w:cstheme="minorHAnsi"/>
                <w:sz w:val="20"/>
                <w:szCs w:val="20"/>
                <w:lang w:val="nl-NL"/>
              </w:rPr>
              <w:fldChar w:fldCharType="begin">
                <w:fldData xml:space="preserve">PEVuZE5vdGU+PENpdGU+PEF1dGhvcj5QYXJlbnRlPC9BdXRob3I+PFllYXI+MjAxNTwvWWVhcj48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</w:fldData>
              </w:fldChar>
            </w:r>
            <w:r w:rsidR="00E843A6" w:rsidRPr="00094D02">
              <w:rPr>
                <w:rFonts w:cstheme="minorHAnsi"/>
                <w:sz w:val="20"/>
                <w:szCs w:val="20"/>
                <w:lang w:val="nl-NL"/>
              </w:rPr>
              <w:instrText xml:space="preserve"> ADDIN EN.CITE.DATA </w:instrText>
            </w:r>
            <w:r w:rsidR="00E843A6" w:rsidRPr="00094D02">
              <w:rPr>
                <w:rFonts w:cstheme="minorHAnsi"/>
                <w:sz w:val="20"/>
                <w:szCs w:val="20"/>
                <w:lang w:val="nl-NL"/>
              </w:rPr>
            </w:r>
            <w:r w:rsidR="00E843A6" w:rsidRPr="00094D02">
              <w:rPr>
                <w:rFonts w:cstheme="minorHAnsi"/>
                <w:sz w:val="20"/>
                <w:szCs w:val="20"/>
                <w:lang w:val="nl-NL"/>
              </w:rPr>
              <w:fldChar w:fldCharType="end"/>
            </w:r>
            <w:r w:rsidRPr="00094D02">
              <w:rPr>
                <w:rFonts w:cstheme="minorHAnsi"/>
                <w:sz w:val="20"/>
                <w:szCs w:val="20"/>
                <w:lang w:val="nl-NL"/>
              </w:rPr>
            </w:r>
            <w:r w:rsidRPr="00094D02">
              <w:rPr>
                <w:rFonts w:cstheme="minorHAnsi"/>
                <w:sz w:val="20"/>
                <w:szCs w:val="20"/>
                <w:lang w:val="nl-NL"/>
              </w:rPr>
              <w:fldChar w:fldCharType="separate"/>
            </w:r>
            <w:r w:rsidR="00E843A6" w:rsidRPr="00094D02">
              <w:rPr>
                <w:rFonts w:cstheme="minorHAnsi"/>
                <w:noProof/>
                <w:sz w:val="20"/>
                <w:szCs w:val="20"/>
                <w:lang w:val="nl-NL"/>
              </w:rPr>
              <w:t>[14-16]</w:t>
            </w:r>
            <w:r w:rsidRPr="00094D02">
              <w:rPr>
                <w:rFonts w:cstheme="minorHAnsi"/>
                <w:sz w:val="20"/>
                <w:szCs w:val="20"/>
                <w:lang w:val="nl-NL"/>
              </w:rPr>
              <w:fldChar w:fldCharType="end"/>
            </w:r>
          </w:p>
        </w:tc>
      </w:tr>
      <w:tr w:rsidR="0066709A" w:rsidRPr="00094D02" w14:paraId="0126EF27" w14:textId="77777777" w:rsidTr="008718F8">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03D98B4A" w14:textId="77777777" w:rsidR="00A95D11" w:rsidRPr="00094D02" w:rsidRDefault="00A95D11" w:rsidP="00094D02">
            <w:pPr>
              <w:spacing w:after="0"/>
              <w:rPr>
                <w:rFonts w:cstheme="minorHAnsi"/>
                <w:sz w:val="20"/>
                <w:szCs w:val="20"/>
              </w:rPr>
            </w:pPr>
            <w:r w:rsidRPr="00094D02">
              <w:rPr>
                <w:rFonts w:cstheme="minorHAnsi"/>
                <w:sz w:val="20"/>
                <w:szCs w:val="20"/>
              </w:rPr>
              <w:t>Stage 2 cancer</w:t>
            </w:r>
          </w:p>
        </w:tc>
        <w:tc>
          <w:tcPr>
            <w:tcW w:w="0" w:type="auto"/>
            <w:tcBorders>
              <w:top w:val="single" w:sz="4" w:space="0" w:color="auto"/>
              <w:left w:val="single" w:sz="4" w:space="0" w:color="auto"/>
              <w:bottom w:val="single" w:sz="4" w:space="0" w:color="auto"/>
              <w:right w:val="single" w:sz="4" w:space="0" w:color="auto"/>
            </w:tcBorders>
            <w:vAlign w:val="center"/>
            <w:hideMark/>
          </w:tcPr>
          <w:p w14:paraId="4BC15918" w14:textId="77777777" w:rsidR="00A95D11" w:rsidRPr="00094D02" w:rsidRDefault="00A95D11" w:rsidP="00094D02">
            <w:pPr>
              <w:spacing w:after="0"/>
              <w:rPr>
                <w:rFonts w:cstheme="minorHAnsi"/>
              </w:rPr>
            </w:pPr>
            <w:r w:rsidRPr="00094D02">
              <w:rPr>
                <w:rFonts w:cstheme="minorHAnsi"/>
              </w:rPr>
              <w:t>1.2</w:t>
            </w:r>
          </w:p>
        </w:tc>
        <w:tc>
          <w:tcPr>
            <w:tcW w:w="0" w:type="auto"/>
            <w:vMerge/>
            <w:tcBorders>
              <w:top w:val="single" w:sz="4" w:space="0" w:color="auto"/>
              <w:bottom w:val="single" w:sz="4" w:space="0" w:color="auto"/>
              <w:right w:val="single" w:sz="4" w:space="0" w:color="auto"/>
            </w:tcBorders>
            <w:vAlign w:val="center"/>
            <w:hideMark/>
          </w:tcPr>
          <w:p w14:paraId="5383C4EF" w14:textId="77777777" w:rsidR="00A95D11" w:rsidRPr="00094D02" w:rsidRDefault="00A95D11" w:rsidP="00094D02">
            <w:pPr>
              <w:spacing w:after="0"/>
              <w:rPr>
                <w:rFonts w:cstheme="minorHAnsi"/>
                <w:lang w:val="nl-NL"/>
              </w:rPr>
            </w:pPr>
          </w:p>
        </w:tc>
      </w:tr>
      <w:tr w:rsidR="0066709A" w:rsidRPr="00094D02" w14:paraId="02D75EE2" w14:textId="77777777" w:rsidTr="008718F8">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4DB154FA" w14:textId="77777777" w:rsidR="00A95D11" w:rsidRPr="00094D02" w:rsidRDefault="00A95D11" w:rsidP="00094D02">
            <w:pPr>
              <w:spacing w:after="0"/>
              <w:rPr>
                <w:rFonts w:cstheme="minorHAnsi"/>
                <w:sz w:val="20"/>
                <w:szCs w:val="20"/>
              </w:rPr>
            </w:pPr>
            <w:r w:rsidRPr="00094D02">
              <w:rPr>
                <w:rFonts w:cstheme="minorHAnsi"/>
                <w:sz w:val="20"/>
                <w:szCs w:val="20"/>
              </w:rPr>
              <w:t>Stage 3 cancer</w:t>
            </w:r>
          </w:p>
        </w:tc>
        <w:tc>
          <w:tcPr>
            <w:tcW w:w="0" w:type="auto"/>
            <w:tcBorders>
              <w:top w:val="single" w:sz="4" w:space="0" w:color="auto"/>
              <w:left w:val="single" w:sz="4" w:space="0" w:color="auto"/>
              <w:bottom w:val="single" w:sz="4" w:space="0" w:color="auto"/>
              <w:right w:val="single" w:sz="4" w:space="0" w:color="auto"/>
            </w:tcBorders>
            <w:vAlign w:val="center"/>
            <w:hideMark/>
          </w:tcPr>
          <w:p w14:paraId="2715E24D" w14:textId="77777777" w:rsidR="00A95D11" w:rsidRPr="00094D02" w:rsidRDefault="00A95D11" w:rsidP="00094D02">
            <w:pPr>
              <w:spacing w:after="0"/>
              <w:rPr>
                <w:rFonts w:cstheme="minorHAnsi"/>
              </w:rPr>
            </w:pPr>
            <w:r w:rsidRPr="00094D02">
              <w:rPr>
                <w:rFonts w:cstheme="minorHAnsi"/>
              </w:rPr>
              <w:t>1.4</w:t>
            </w:r>
          </w:p>
        </w:tc>
        <w:tc>
          <w:tcPr>
            <w:tcW w:w="0" w:type="auto"/>
            <w:vMerge/>
            <w:tcBorders>
              <w:top w:val="single" w:sz="4" w:space="0" w:color="auto"/>
              <w:bottom w:val="single" w:sz="4" w:space="0" w:color="auto"/>
              <w:right w:val="single" w:sz="4" w:space="0" w:color="auto"/>
            </w:tcBorders>
            <w:vAlign w:val="center"/>
            <w:hideMark/>
          </w:tcPr>
          <w:p w14:paraId="0D975CFF" w14:textId="77777777" w:rsidR="00A95D11" w:rsidRPr="00094D02" w:rsidRDefault="00A95D11" w:rsidP="00094D02">
            <w:pPr>
              <w:spacing w:after="0"/>
              <w:rPr>
                <w:rFonts w:cstheme="minorHAnsi"/>
                <w:lang w:val="nl-NL"/>
              </w:rPr>
            </w:pPr>
          </w:p>
        </w:tc>
      </w:tr>
      <w:tr w:rsidR="0066709A" w:rsidRPr="00094D02" w14:paraId="2ADC2DD8" w14:textId="77777777" w:rsidTr="008718F8">
        <w:trPr>
          <w:trHeight w:val="340"/>
        </w:trPr>
        <w:tc>
          <w:tcPr>
            <w:tcW w:w="0" w:type="auto"/>
            <w:tcBorders>
              <w:top w:val="single" w:sz="4" w:space="0" w:color="auto"/>
              <w:left w:val="single" w:sz="4" w:space="0" w:color="auto"/>
              <w:bottom w:val="single" w:sz="4" w:space="0" w:color="auto"/>
              <w:right w:val="single" w:sz="4" w:space="0" w:color="auto"/>
            </w:tcBorders>
            <w:vAlign w:val="center"/>
            <w:hideMark/>
          </w:tcPr>
          <w:p w14:paraId="1B5FB914" w14:textId="77777777" w:rsidR="00A95D11" w:rsidRPr="00094D02" w:rsidRDefault="00A95D11" w:rsidP="00094D02">
            <w:pPr>
              <w:spacing w:after="0"/>
              <w:rPr>
                <w:rFonts w:cstheme="minorHAnsi"/>
                <w:sz w:val="20"/>
                <w:szCs w:val="20"/>
              </w:rPr>
            </w:pPr>
            <w:r w:rsidRPr="00094D02">
              <w:rPr>
                <w:rFonts w:cstheme="minorHAnsi"/>
                <w:sz w:val="20"/>
                <w:szCs w:val="20"/>
              </w:rPr>
              <w:t>Stage 4 cancer</w:t>
            </w:r>
          </w:p>
        </w:tc>
        <w:tc>
          <w:tcPr>
            <w:tcW w:w="0" w:type="auto"/>
            <w:tcBorders>
              <w:top w:val="single" w:sz="4" w:space="0" w:color="auto"/>
              <w:left w:val="single" w:sz="4" w:space="0" w:color="auto"/>
              <w:bottom w:val="single" w:sz="4" w:space="0" w:color="auto"/>
              <w:right w:val="single" w:sz="4" w:space="0" w:color="auto"/>
            </w:tcBorders>
            <w:vAlign w:val="center"/>
            <w:hideMark/>
          </w:tcPr>
          <w:p w14:paraId="424BF7DA" w14:textId="77777777" w:rsidR="00A95D11" w:rsidRPr="00094D02" w:rsidRDefault="00A95D11" w:rsidP="00094D02">
            <w:pPr>
              <w:spacing w:after="0"/>
              <w:rPr>
                <w:rFonts w:cstheme="minorHAnsi"/>
              </w:rPr>
            </w:pPr>
            <w:r w:rsidRPr="00094D02">
              <w:rPr>
                <w:rFonts w:cstheme="minorHAnsi"/>
              </w:rPr>
              <w:t>2.3</w:t>
            </w:r>
          </w:p>
        </w:tc>
        <w:tc>
          <w:tcPr>
            <w:tcW w:w="0" w:type="auto"/>
            <w:vMerge/>
            <w:tcBorders>
              <w:top w:val="single" w:sz="4" w:space="0" w:color="auto"/>
              <w:bottom w:val="single" w:sz="4" w:space="0" w:color="auto"/>
              <w:right w:val="single" w:sz="4" w:space="0" w:color="auto"/>
            </w:tcBorders>
            <w:vAlign w:val="center"/>
            <w:hideMark/>
          </w:tcPr>
          <w:p w14:paraId="777050E4" w14:textId="77777777" w:rsidR="00A95D11" w:rsidRPr="00094D02" w:rsidRDefault="00A95D11" w:rsidP="00094D02">
            <w:pPr>
              <w:spacing w:after="0"/>
              <w:rPr>
                <w:rFonts w:cstheme="minorHAnsi"/>
                <w:lang w:val="nl-NL"/>
              </w:rPr>
            </w:pPr>
          </w:p>
        </w:tc>
      </w:tr>
    </w:tbl>
    <w:p w14:paraId="5BD78A6A" w14:textId="77777777" w:rsidR="0074737F" w:rsidRPr="008718F8" w:rsidRDefault="0074737F" w:rsidP="008718F8"/>
    <w:sectPr w:rsidR="0074737F" w:rsidRPr="008718F8" w:rsidSect="0067591D">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C9F7D" w14:textId="77777777" w:rsidR="000C136E" w:rsidRDefault="000C136E" w:rsidP="0080782C">
      <w:pPr>
        <w:spacing w:after="0" w:line="240" w:lineRule="auto"/>
      </w:pPr>
      <w:r>
        <w:separator/>
      </w:r>
    </w:p>
  </w:endnote>
  <w:endnote w:type="continuationSeparator" w:id="0">
    <w:p w14:paraId="7416DE38" w14:textId="77777777" w:rsidR="000C136E" w:rsidRDefault="000C136E" w:rsidP="0080782C">
      <w:pPr>
        <w:spacing w:after="0" w:line="240" w:lineRule="auto"/>
      </w:pPr>
      <w:r>
        <w:continuationSeparator/>
      </w:r>
    </w:p>
  </w:endnote>
  <w:endnote w:type="continuationNotice" w:id="1">
    <w:p w14:paraId="480F74D0" w14:textId="77777777" w:rsidR="000C136E" w:rsidRDefault="000C13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92A04" w14:textId="77777777" w:rsidR="000C136E" w:rsidRPr="00221D18" w:rsidRDefault="000C136E" w:rsidP="00E00D86">
    <w:pPr>
      <w:pStyle w:val="Footer"/>
      <w:rPr>
        <w:sz w:val="16"/>
      </w:rPr>
    </w:pPr>
    <w:r w:rsidRPr="00221D18">
      <w:rPr>
        <w:rFonts w:cs="Arial"/>
        <w:sz w:val="16"/>
        <w:szCs w:val="16"/>
      </w:rPr>
      <w:t xml:space="preserve">Estimated impact of a COVID-19 related disruption to the </w:t>
    </w:r>
    <w:r>
      <w:rPr>
        <w:rFonts w:cs="Arial"/>
        <w:sz w:val="16"/>
        <w:szCs w:val="16"/>
      </w:rPr>
      <w:t>NBCSP</w:t>
    </w:r>
    <w:r w:rsidRPr="00221D18">
      <w:rPr>
        <w:rFonts w:cs="Arial"/>
        <w:sz w:val="16"/>
        <w:szCs w:val="16"/>
      </w:rPr>
      <w:tab/>
    </w:r>
    <w:sdt>
      <w:sdtPr>
        <w:rPr>
          <w:rFonts w:cs="Arial"/>
          <w:sz w:val="16"/>
          <w:szCs w:val="16"/>
        </w:rPr>
        <w:id w:val="-14148190"/>
        <w:docPartObj>
          <w:docPartGallery w:val="Page Numbers (Bottom of Page)"/>
          <w:docPartUnique/>
        </w:docPartObj>
      </w:sdtPr>
      <w:sdtContent>
        <w:sdt>
          <w:sdtPr>
            <w:rPr>
              <w:rFonts w:cs="Arial"/>
              <w:sz w:val="16"/>
              <w:szCs w:val="16"/>
            </w:rPr>
            <w:id w:val="-1769616900"/>
            <w:docPartObj>
              <w:docPartGallery w:val="Page Numbers (Top of Page)"/>
              <w:docPartUnique/>
            </w:docPartObj>
          </w:sdtPr>
          <w:sdtContent>
            <w:r w:rsidRPr="00221D18">
              <w:rPr>
                <w:rFonts w:cs="Arial"/>
                <w:sz w:val="16"/>
                <w:szCs w:val="16"/>
              </w:rPr>
              <w:t xml:space="preserve">Page </w:t>
            </w:r>
            <w:r w:rsidRPr="00221D18">
              <w:rPr>
                <w:rFonts w:cs="Arial"/>
                <w:b/>
                <w:bCs/>
                <w:sz w:val="16"/>
                <w:szCs w:val="16"/>
              </w:rPr>
              <w:fldChar w:fldCharType="begin"/>
            </w:r>
            <w:r w:rsidRPr="00221D18">
              <w:rPr>
                <w:rFonts w:cs="Arial"/>
                <w:b/>
                <w:bCs/>
                <w:sz w:val="16"/>
                <w:szCs w:val="16"/>
              </w:rPr>
              <w:instrText xml:space="preserve"> PAGE </w:instrText>
            </w:r>
            <w:r w:rsidRPr="00221D18">
              <w:rPr>
                <w:rFonts w:cs="Arial"/>
                <w:b/>
                <w:bCs/>
                <w:sz w:val="16"/>
                <w:szCs w:val="16"/>
              </w:rPr>
              <w:fldChar w:fldCharType="separate"/>
            </w:r>
            <w:r>
              <w:rPr>
                <w:rFonts w:cs="Arial"/>
                <w:b/>
                <w:bCs/>
                <w:noProof/>
                <w:sz w:val="16"/>
                <w:szCs w:val="16"/>
              </w:rPr>
              <w:t>11</w:t>
            </w:r>
            <w:r w:rsidRPr="00221D18">
              <w:rPr>
                <w:rFonts w:cs="Arial"/>
                <w:b/>
                <w:bCs/>
                <w:sz w:val="16"/>
                <w:szCs w:val="16"/>
              </w:rPr>
              <w:fldChar w:fldCharType="end"/>
            </w:r>
            <w:r w:rsidRPr="00221D18">
              <w:rPr>
                <w:rFonts w:cs="Arial"/>
                <w:sz w:val="16"/>
                <w:szCs w:val="16"/>
              </w:rPr>
              <w:t xml:space="preserve"> of </w:t>
            </w:r>
            <w:r w:rsidRPr="00221D18">
              <w:rPr>
                <w:rFonts w:cs="Arial"/>
                <w:b/>
                <w:bCs/>
                <w:sz w:val="16"/>
                <w:szCs w:val="16"/>
              </w:rPr>
              <w:fldChar w:fldCharType="begin"/>
            </w:r>
            <w:r w:rsidRPr="00221D18">
              <w:rPr>
                <w:rFonts w:cs="Arial"/>
                <w:b/>
                <w:bCs/>
                <w:sz w:val="16"/>
                <w:szCs w:val="16"/>
              </w:rPr>
              <w:instrText xml:space="preserve"> NUMPAGES  </w:instrText>
            </w:r>
            <w:r w:rsidRPr="00221D18">
              <w:rPr>
                <w:rFonts w:cs="Arial"/>
                <w:b/>
                <w:bCs/>
                <w:sz w:val="16"/>
                <w:szCs w:val="16"/>
              </w:rPr>
              <w:fldChar w:fldCharType="separate"/>
            </w:r>
            <w:r>
              <w:rPr>
                <w:rFonts w:cs="Arial"/>
                <w:b/>
                <w:bCs/>
                <w:noProof/>
                <w:sz w:val="16"/>
                <w:szCs w:val="16"/>
              </w:rPr>
              <w:t>26</w:t>
            </w:r>
            <w:r w:rsidRPr="00221D18">
              <w:rPr>
                <w:rFonts w:cs="Arial"/>
                <w:b/>
                <w:bCs/>
                <w:sz w:val="16"/>
                <w:szCs w:val="16"/>
              </w:rPr>
              <w:fldChar w:fldCharType="end"/>
            </w:r>
            <w:r w:rsidRPr="0057002F">
              <w:rPr>
                <w:noProof/>
                <w:lang w:eastAsia="en-AU"/>
              </w:rPr>
              <mc:AlternateContent>
                <mc:Choice Requires="wps">
                  <w:drawing>
                    <wp:anchor distT="0" distB="0" distL="114300" distR="114300" simplePos="0" relativeHeight="251655168" behindDoc="1" locked="1" layoutInCell="1" allowOverlap="1" wp14:anchorId="3D33AD0B" wp14:editId="3283869C">
                      <wp:simplePos x="0" y="0"/>
                      <wp:positionH relativeFrom="page">
                        <wp:posOffset>5829935</wp:posOffset>
                      </wp:positionH>
                      <wp:positionV relativeFrom="bottomMargin">
                        <wp:align>top</wp:align>
                      </wp:positionV>
                      <wp:extent cx="1708785" cy="918845"/>
                      <wp:effectExtent l="0" t="0" r="5715" b="0"/>
                      <wp:wrapNone/>
                      <wp:docPr id="5"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785" cy="918845"/>
                              </a:xfrm>
                              <a:custGeom>
                                <a:avLst/>
                                <a:gdLst>
                                  <a:gd name="T0" fmla="*/ 299 w 4579"/>
                                  <a:gd name="T1" fmla="*/ 438 h 2453"/>
                                  <a:gd name="T2" fmla="*/ 342 w 4579"/>
                                  <a:gd name="T3" fmla="*/ 2453 h 2453"/>
                                  <a:gd name="T4" fmla="*/ 4579 w 4579"/>
                                  <a:gd name="T5" fmla="*/ 2453 h 2453"/>
                                  <a:gd name="T6" fmla="*/ 4579 w 4579"/>
                                  <a:gd name="T7" fmla="*/ 1890 h 2453"/>
                                  <a:gd name="T8" fmla="*/ 299 w 4579"/>
                                  <a:gd name="T9" fmla="*/ 438 h 2453"/>
                                </a:gdLst>
                                <a:ahLst/>
                                <a:cxnLst>
                                  <a:cxn ang="0">
                                    <a:pos x="T0" y="T1"/>
                                  </a:cxn>
                                  <a:cxn ang="0">
                                    <a:pos x="T2" y="T3"/>
                                  </a:cxn>
                                  <a:cxn ang="0">
                                    <a:pos x="T4" y="T5"/>
                                  </a:cxn>
                                  <a:cxn ang="0">
                                    <a:pos x="T6" y="T7"/>
                                  </a:cxn>
                                  <a:cxn ang="0">
                                    <a:pos x="T8" y="T9"/>
                                  </a:cxn>
                                </a:cxnLst>
                                <a:rect l="0" t="0" r="r" b="b"/>
                                <a:pathLst>
                                  <a:path w="4579" h="2453">
                                    <a:moveTo>
                                      <a:pt x="299" y="438"/>
                                    </a:moveTo>
                                    <a:cubicBezTo>
                                      <a:pt x="0" y="1573"/>
                                      <a:pt x="342" y="2453"/>
                                      <a:pt x="342" y="2453"/>
                                    </a:cubicBezTo>
                                    <a:cubicBezTo>
                                      <a:pt x="4579" y="2453"/>
                                      <a:pt x="4579" y="2453"/>
                                      <a:pt x="4579" y="2453"/>
                                    </a:cubicBezTo>
                                    <a:cubicBezTo>
                                      <a:pt x="4579" y="1890"/>
                                      <a:pt x="4579" y="1890"/>
                                      <a:pt x="4579" y="1890"/>
                                    </a:cubicBezTo>
                                    <a:cubicBezTo>
                                      <a:pt x="4579" y="1890"/>
                                      <a:pt x="3448" y="0"/>
                                      <a:pt x="299" y="438"/>
                                    </a:cubicBezTo>
                                  </a:path>
                                </a:pathLst>
                              </a:custGeom>
                              <a:solidFill>
                                <a:srgbClr val="FFD200"/>
                              </a:solidFill>
                              <a:ln>
                                <a:noFill/>
                              </a:ln>
                            </wps:spPr>
                            <wps:bodyPr vert="horz" wrap="non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B21E2D1" id="Freeform 5" o:spid="_x0000_s1026" alt="&quot;&quot;" style="position:absolute;margin-left:459.05pt;margin-top:0;width:134.55pt;height:72.35pt;z-index:-251661312;visibility:visible;mso-wrap-style:non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margin;mso-height-relative:margin;v-text-anchor:top" coordsize="4579,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" path="m299,438c,1573,342,2453,342,2453v4237,,4237,,4237,c4579,1890,4579,1890,4579,1890,4579,1890,3448,,299,438e" fillcolor="#ffd200" stroked="f">
                      <v:path arrowok="t" o:connecttype="custom" o:connectlocs="111580,164066;127627,918845;1708785,918845;1708785,707956;111580,164066" o:connectangles="0,0,0,0,0"/>
                      <w10:wrap anchorx="page" anchory="margin"/>
                      <w10:anchorlock/>
                    </v:shape>
                  </w:pict>
                </mc:Fallback>
              </mc:AlternateContent>
            </w:r>
          </w:sdtContent>
        </w:sdt>
      </w:sdtContent>
    </w:sdt>
    <w:r w:rsidRPr="0057002F">
      <w:rPr>
        <w:noProof/>
        <w:lang w:eastAsia="en-AU"/>
      </w:rPr>
      <mc:AlternateContent>
        <mc:Choice Requires="wps">
          <w:drawing>
            <wp:anchor distT="0" distB="0" distL="114300" distR="114300" simplePos="0" relativeHeight="251653120" behindDoc="1" locked="1" layoutInCell="1" allowOverlap="1" wp14:anchorId="5A63A045" wp14:editId="5043A418">
              <wp:simplePos x="0" y="0"/>
              <wp:positionH relativeFrom="page">
                <wp:posOffset>5920740</wp:posOffset>
              </wp:positionH>
              <wp:positionV relativeFrom="bottomMargin">
                <wp:posOffset>-11714480</wp:posOffset>
              </wp:positionV>
              <wp:extent cx="1708785" cy="918845"/>
              <wp:effectExtent l="0" t="0" r="5715" b="0"/>
              <wp:wrapThrough wrapText="bothSides">
                <wp:wrapPolygon edited="0">
                  <wp:start x="2890" y="3135"/>
                  <wp:lineTo x="2167" y="5374"/>
                  <wp:lineTo x="722" y="10300"/>
                  <wp:lineTo x="722" y="17465"/>
                  <wp:lineTo x="963" y="21048"/>
                  <wp:lineTo x="21431" y="21048"/>
                  <wp:lineTo x="21431" y="17017"/>
                  <wp:lineTo x="20227" y="13883"/>
                  <wp:lineTo x="19023" y="10300"/>
                  <wp:lineTo x="8428" y="3135"/>
                  <wp:lineTo x="8187" y="3135"/>
                  <wp:lineTo x="2890" y="3135"/>
                </wp:wrapPolygon>
              </wp:wrapThrough>
              <wp:docPr id="4"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785" cy="918845"/>
                      </a:xfrm>
                      <a:custGeom>
                        <a:avLst/>
                        <a:gdLst>
                          <a:gd name="T0" fmla="*/ 299 w 4579"/>
                          <a:gd name="T1" fmla="*/ 438 h 2453"/>
                          <a:gd name="T2" fmla="*/ 342 w 4579"/>
                          <a:gd name="T3" fmla="*/ 2453 h 2453"/>
                          <a:gd name="T4" fmla="*/ 4579 w 4579"/>
                          <a:gd name="T5" fmla="*/ 2453 h 2453"/>
                          <a:gd name="T6" fmla="*/ 4579 w 4579"/>
                          <a:gd name="T7" fmla="*/ 1890 h 2453"/>
                          <a:gd name="T8" fmla="*/ 299 w 4579"/>
                          <a:gd name="T9" fmla="*/ 438 h 2453"/>
                        </a:gdLst>
                        <a:ahLst/>
                        <a:cxnLst>
                          <a:cxn ang="0">
                            <a:pos x="T0" y="T1"/>
                          </a:cxn>
                          <a:cxn ang="0">
                            <a:pos x="T2" y="T3"/>
                          </a:cxn>
                          <a:cxn ang="0">
                            <a:pos x="T4" y="T5"/>
                          </a:cxn>
                          <a:cxn ang="0">
                            <a:pos x="T6" y="T7"/>
                          </a:cxn>
                          <a:cxn ang="0">
                            <a:pos x="T8" y="T9"/>
                          </a:cxn>
                        </a:cxnLst>
                        <a:rect l="0" t="0" r="r" b="b"/>
                        <a:pathLst>
                          <a:path w="4579" h="2453">
                            <a:moveTo>
                              <a:pt x="299" y="438"/>
                            </a:moveTo>
                            <a:cubicBezTo>
                              <a:pt x="0" y="1573"/>
                              <a:pt x="342" y="2453"/>
                              <a:pt x="342" y="2453"/>
                            </a:cubicBezTo>
                            <a:cubicBezTo>
                              <a:pt x="4579" y="2453"/>
                              <a:pt x="4579" y="2453"/>
                              <a:pt x="4579" y="2453"/>
                            </a:cubicBezTo>
                            <a:cubicBezTo>
                              <a:pt x="4579" y="1890"/>
                              <a:pt x="4579" y="1890"/>
                              <a:pt x="4579" y="1890"/>
                            </a:cubicBezTo>
                            <a:cubicBezTo>
                              <a:pt x="4579" y="1890"/>
                              <a:pt x="3448" y="0"/>
                              <a:pt x="299" y="438"/>
                            </a:cubicBezTo>
                          </a:path>
                        </a:pathLst>
                      </a:custGeom>
                      <a:solidFill>
                        <a:srgbClr val="FFD200"/>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F98D2C5" id="Freeform 5" o:spid="_x0000_s1026" alt="&quot;&quot;" style="position:absolute;margin-left:466.2pt;margin-top:-922.4pt;width:134.55pt;height:72.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coordsize="4579,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" path="m299,438c,1573,342,2453,342,2453v4237,,4237,,4237,c4579,1890,4579,1890,4579,1890,4579,1890,3448,,299,438e" fillcolor="#ffd200" stroked="f">
              <v:path arrowok="t" o:connecttype="custom" o:connectlocs="111580,164066;127627,918845;1708785,918845;1708785,707956;111580,164066" o:connectangles="0,0,0,0,0"/>
              <w10:wrap type="through" anchorx="page"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6BDC0" w14:textId="373DECD1" w:rsidR="000C136E" w:rsidRDefault="000C136E" w:rsidP="00D41284">
    <w:pPr>
      <w:pStyle w:val="URL"/>
      <w:framePr w:hRule="auto" w:wrap="auto" w:vAnchor="margin" w:hAnchor="text" w:yAlign="inline"/>
    </w:pPr>
    <w:bookmarkStart w:id="1" w:name="_Hlk39215718"/>
    <w:bookmarkStart w:id="2" w:name="_Hlk39215719"/>
    <w:bookmarkStart w:id="3" w:name="_Hlk39215728"/>
    <w:bookmarkStart w:id="4" w:name="_Hlk39215729"/>
    <w:r w:rsidRPr="00DF0FF8">
      <w:t>cancercouncil.com.au</w:t>
    </w:r>
    <w:bookmarkEnd w:id="1"/>
    <w:bookmarkEnd w:id="2"/>
    <w:bookmarkEnd w:id="3"/>
    <w:bookmarkEnd w:id="4"/>
    <w:r w:rsidRPr="00834644">
      <w:rPr>
        <w:noProof/>
        <w:lang w:eastAsia="en-AU"/>
      </w:rPr>
      <mc:AlternateContent>
        <mc:Choice Requires="wps">
          <w:drawing>
            <wp:anchor distT="0" distB="0" distL="114300" distR="114300" simplePos="0" relativeHeight="251660800" behindDoc="1" locked="1" layoutInCell="1" allowOverlap="1" wp14:anchorId="5B7A4428" wp14:editId="5DB2E18B">
              <wp:simplePos x="0" y="0"/>
              <wp:positionH relativeFrom="page">
                <wp:posOffset>-8890</wp:posOffset>
              </wp:positionH>
              <wp:positionV relativeFrom="page">
                <wp:posOffset>5386705</wp:posOffset>
              </wp:positionV>
              <wp:extent cx="5021580" cy="5281930"/>
              <wp:effectExtent l="0" t="0" r="0" b="0"/>
              <wp:wrapNone/>
              <wp:docPr id="8" name="Freeform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21580" cy="5281930"/>
                      </a:xfrm>
                      <a:custGeom>
                        <a:avLst/>
                        <a:gdLst>
                          <a:gd name="T0" fmla="*/ 9900 w 15801"/>
                          <a:gd name="T1" fmla="*/ 16588 h 16588"/>
                          <a:gd name="T2" fmla="*/ 0 w 15801"/>
                          <a:gd name="T3" fmla="*/ 16588 h 16588"/>
                          <a:gd name="T4" fmla="*/ 0 w 15801"/>
                          <a:gd name="T5" fmla="*/ 3897 h 16588"/>
                          <a:gd name="T6" fmla="*/ 15720 w 15801"/>
                          <a:gd name="T7" fmla="*/ 672 h 16588"/>
                          <a:gd name="T8" fmla="*/ 9900 w 15801"/>
                          <a:gd name="T9" fmla="*/ 16588 h 16588"/>
                        </a:gdLst>
                        <a:ahLst/>
                        <a:cxnLst>
                          <a:cxn ang="0">
                            <a:pos x="T0" y="T1"/>
                          </a:cxn>
                          <a:cxn ang="0">
                            <a:pos x="T2" y="T3"/>
                          </a:cxn>
                          <a:cxn ang="0">
                            <a:pos x="T4" y="T5"/>
                          </a:cxn>
                          <a:cxn ang="0">
                            <a:pos x="T6" y="T7"/>
                          </a:cxn>
                          <a:cxn ang="0">
                            <a:pos x="T8" y="T9"/>
                          </a:cxn>
                        </a:cxnLst>
                        <a:rect l="0" t="0" r="r" b="b"/>
                        <a:pathLst>
                          <a:path w="15801" h="16588">
                            <a:moveTo>
                              <a:pt x="9900" y="16588"/>
                            </a:moveTo>
                            <a:cubicBezTo>
                              <a:pt x="0" y="16588"/>
                              <a:pt x="0" y="16588"/>
                              <a:pt x="0" y="16588"/>
                            </a:cubicBezTo>
                            <a:cubicBezTo>
                              <a:pt x="0" y="3897"/>
                              <a:pt x="0" y="3897"/>
                              <a:pt x="0" y="3897"/>
                            </a:cubicBezTo>
                            <a:cubicBezTo>
                              <a:pt x="0" y="3897"/>
                              <a:pt x="6194" y="0"/>
                              <a:pt x="15720" y="672"/>
                            </a:cubicBezTo>
                            <a:cubicBezTo>
                              <a:pt x="15801" y="11861"/>
                              <a:pt x="9900" y="16588"/>
                              <a:pt x="9900" y="16588"/>
                            </a:cubicBezTo>
                            <a:close/>
                          </a:path>
                        </a:pathLst>
                      </a:custGeom>
                      <a:solidFill>
                        <a:srgbClr val="FFD200"/>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AA3657A" id="Freeform 9" o:spid="_x0000_s1026" alt="&quot;&quot;" style="position:absolute;margin-left:-.7pt;margin-top:424.15pt;width:395.4pt;height:415.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5801,16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" path="m9900,16588c,16588,,16588,,16588,,3897,,3897,,3897,,3897,6194,,15720,672v81,11189,-5820,15916,-5820,15916xe" fillcolor="#ffd200" stroked="f">
              <v:path arrowok="t" o:connecttype="custom" o:connectlocs="3146234,5281930;0,5281930;0,1240878;4995838,213977;3146234,5281930" o:connectangles="0,0,0,0,0"/>
              <o:lock v:ext="edit" aspectratio="t"/>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2C0DB" w14:textId="309F31F2" w:rsidR="000C136E" w:rsidRPr="00221D18" w:rsidRDefault="000C136E" w:rsidP="008718F8">
    <w:pPr>
      <w:pStyle w:val="Footer"/>
      <w:tabs>
        <w:tab w:val="clear" w:pos="4513"/>
        <w:tab w:val="clear" w:pos="9026"/>
        <w:tab w:val="left" w:pos="12900"/>
      </w:tabs>
      <w:rPr>
        <w:sz w:val="16"/>
      </w:rPr>
    </w:pPr>
    <w:r w:rsidRPr="00221D18">
      <w:rPr>
        <w:rFonts w:cs="Arial"/>
        <w:sz w:val="16"/>
        <w:szCs w:val="16"/>
      </w:rPr>
      <w:t xml:space="preserve">Estimated impact of a COVID-19 related disruption to the </w:t>
    </w:r>
    <w:r>
      <w:rPr>
        <w:rFonts w:cs="Arial"/>
        <w:sz w:val="16"/>
        <w:szCs w:val="16"/>
      </w:rPr>
      <w:t>NBCSP</w:t>
    </w:r>
    <w:r w:rsidRPr="00221D18">
      <w:rPr>
        <w:rFonts w:cs="Arial"/>
        <w:sz w:val="16"/>
        <w:szCs w:val="16"/>
      </w:rPr>
      <w:tab/>
    </w:r>
    <w:sdt>
      <w:sdtPr>
        <w:rPr>
          <w:rFonts w:cs="Arial"/>
          <w:sz w:val="16"/>
          <w:szCs w:val="16"/>
        </w:rPr>
        <w:id w:val="-166171534"/>
        <w:docPartObj>
          <w:docPartGallery w:val="Page Numbers (Bottom of Page)"/>
          <w:docPartUnique/>
        </w:docPartObj>
      </w:sdtPr>
      <w:sdtContent>
        <w:sdt>
          <w:sdtPr>
            <w:rPr>
              <w:rFonts w:cs="Arial"/>
              <w:sz w:val="16"/>
              <w:szCs w:val="16"/>
            </w:rPr>
            <w:id w:val="-1218424867"/>
            <w:docPartObj>
              <w:docPartGallery w:val="Page Numbers (Top of Page)"/>
              <w:docPartUnique/>
            </w:docPartObj>
          </w:sdtPr>
          <w:sdtContent>
            <w:r w:rsidRPr="00221D18">
              <w:rPr>
                <w:rFonts w:cs="Arial"/>
                <w:sz w:val="16"/>
                <w:szCs w:val="16"/>
              </w:rPr>
              <w:t xml:space="preserve">Page </w:t>
            </w:r>
            <w:r w:rsidRPr="00221D18">
              <w:rPr>
                <w:rFonts w:cs="Arial"/>
                <w:b/>
                <w:bCs/>
                <w:sz w:val="16"/>
                <w:szCs w:val="16"/>
              </w:rPr>
              <w:fldChar w:fldCharType="begin"/>
            </w:r>
            <w:r w:rsidRPr="00221D18">
              <w:rPr>
                <w:rFonts w:cs="Arial"/>
                <w:b/>
                <w:bCs/>
                <w:sz w:val="16"/>
                <w:szCs w:val="16"/>
              </w:rPr>
              <w:instrText xml:space="preserve"> PAGE </w:instrText>
            </w:r>
            <w:r w:rsidRPr="00221D18">
              <w:rPr>
                <w:rFonts w:cs="Arial"/>
                <w:b/>
                <w:bCs/>
                <w:sz w:val="16"/>
                <w:szCs w:val="16"/>
              </w:rPr>
              <w:fldChar w:fldCharType="separate"/>
            </w:r>
            <w:r>
              <w:rPr>
                <w:rFonts w:cs="Arial"/>
                <w:b/>
                <w:bCs/>
                <w:noProof/>
                <w:sz w:val="16"/>
                <w:szCs w:val="16"/>
              </w:rPr>
              <w:t>20</w:t>
            </w:r>
            <w:r w:rsidRPr="00221D18">
              <w:rPr>
                <w:rFonts w:cs="Arial"/>
                <w:b/>
                <w:bCs/>
                <w:sz w:val="16"/>
                <w:szCs w:val="16"/>
              </w:rPr>
              <w:fldChar w:fldCharType="end"/>
            </w:r>
            <w:r w:rsidRPr="00221D18">
              <w:rPr>
                <w:rFonts w:cs="Arial"/>
                <w:sz w:val="16"/>
                <w:szCs w:val="16"/>
              </w:rPr>
              <w:t xml:space="preserve"> of </w:t>
            </w:r>
            <w:r w:rsidRPr="00221D18">
              <w:rPr>
                <w:rFonts w:cs="Arial"/>
                <w:b/>
                <w:bCs/>
                <w:sz w:val="16"/>
                <w:szCs w:val="16"/>
              </w:rPr>
              <w:fldChar w:fldCharType="begin"/>
            </w:r>
            <w:r w:rsidRPr="00221D18">
              <w:rPr>
                <w:rFonts w:cs="Arial"/>
                <w:b/>
                <w:bCs/>
                <w:sz w:val="16"/>
                <w:szCs w:val="16"/>
              </w:rPr>
              <w:instrText xml:space="preserve"> NUMPAGES  </w:instrText>
            </w:r>
            <w:r w:rsidRPr="00221D18">
              <w:rPr>
                <w:rFonts w:cs="Arial"/>
                <w:b/>
                <w:bCs/>
                <w:sz w:val="16"/>
                <w:szCs w:val="16"/>
              </w:rPr>
              <w:fldChar w:fldCharType="separate"/>
            </w:r>
            <w:r>
              <w:rPr>
                <w:rFonts w:cs="Arial"/>
                <w:b/>
                <w:bCs/>
                <w:noProof/>
                <w:sz w:val="16"/>
                <w:szCs w:val="16"/>
              </w:rPr>
              <w:t>26</w:t>
            </w:r>
            <w:r w:rsidRPr="00221D18">
              <w:rPr>
                <w:rFonts w:cs="Arial"/>
                <w:b/>
                <w:bCs/>
                <w:sz w:val="16"/>
                <w:szCs w:val="16"/>
              </w:rPr>
              <w:fldChar w:fldCharType="end"/>
            </w:r>
            <w:r w:rsidRPr="0057002F">
              <w:rPr>
                <w:noProof/>
                <w:lang w:eastAsia="en-AU"/>
              </w:rPr>
              <mc:AlternateContent>
                <mc:Choice Requires="wps">
                  <w:drawing>
                    <wp:anchor distT="0" distB="0" distL="114300" distR="114300" simplePos="0" relativeHeight="251663360" behindDoc="1" locked="1" layoutInCell="1" allowOverlap="1" wp14:anchorId="126A50D7" wp14:editId="2EFD8E2A">
                      <wp:simplePos x="0" y="0"/>
                      <wp:positionH relativeFrom="page">
                        <wp:posOffset>8961120</wp:posOffset>
                      </wp:positionH>
                      <wp:positionV relativeFrom="bottomMargin">
                        <wp:posOffset>0</wp:posOffset>
                      </wp:positionV>
                      <wp:extent cx="1708785" cy="918845"/>
                      <wp:effectExtent l="0" t="0" r="5715" b="0"/>
                      <wp:wrapNone/>
                      <wp:docPr id="9"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785" cy="918845"/>
                              </a:xfrm>
                              <a:custGeom>
                                <a:avLst/>
                                <a:gdLst>
                                  <a:gd name="T0" fmla="*/ 299 w 4579"/>
                                  <a:gd name="T1" fmla="*/ 438 h 2453"/>
                                  <a:gd name="T2" fmla="*/ 342 w 4579"/>
                                  <a:gd name="T3" fmla="*/ 2453 h 2453"/>
                                  <a:gd name="T4" fmla="*/ 4579 w 4579"/>
                                  <a:gd name="T5" fmla="*/ 2453 h 2453"/>
                                  <a:gd name="T6" fmla="*/ 4579 w 4579"/>
                                  <a:gd name="T7" fmla="*/ 1890 h 2453"/>
                                  <a:gd name="T8" fmla="*/ 299 w 4579"/>
                                  <a:gd name="T9" fmla="*/ 438 h 2453"/>
                                </a:gdLst>
                                <a:ahLst/>
                                <a:cxnLst>
                                  <a:cxn ang="0">
                                    <a:pos x="T0" y="T1"/>
                                  </a:cxn>
                                  <a:cxn ang="0">
                                    <a:pos x="T2" y="T3"/>
                                  </a:cxn>
                                  <a:cxn ang="0">
                                    <a:pos x="T4" y="T5"/>
                                  </a:cxn>
                                  <a:cxn ang="0">
                                    <a:pos x="T6" y="T7"/>
                                  </a:cxn>
                                  <a:cxn ang="0">
                                    <a:pos x="T8" y="T9"/>
                                  </a:cxn>
                                </a:cxnLst>
                                <a:rect l="0" t="0" r="r" b="b"/>
                                <a:pathLst>
                                  <a:path w="4579" h="2453">
                                    <a:moveTo>
                                      <a:pt x="299" y="438"/>
                                    </a:moveTo>
                                    <a:cubicBezTo>
                                      <a:pt x="0" y="1573"/>
                                      <a:pt x="342" y="2453"/>
                                      <a:pt x="342" y="2453"/>
                                    </a:cubicBezTo>
                                    <a:cubicBezTo>
                                      <a:pt x="4579" y="2453"/>
                                      <a:pt x="4579" y="2453"/>
                                      <a:pt x="4579" y="2453"/>
                                    </a:cubicBezTo>
                                    <a:cubicBezTo>
                                      <a:pt x="4579" y="1890"/>
                                      <a:pt x="4579" y="1890"/>
                                      <a:pt x="4579" y="1890"/>
                                    </a:cubicBezTo>
                                    <a:cubicBezTo>
                                      <a:pt x="4579" y="1890"/>
                                      <a:pt x="3448" y="0"/>
                                      <a:pt x="299" y="438"/>
                                    </a:cubicBezTo>
                                  </a:path>
                                </a:pathLst>
                              </a:custGeom>
                              <a:solidFill>
                                <a:srgbClr val="FFD200"/>
                              </a:solidFill>
                              <a:ln>
                                <a:noFill/>
                              </a:ln>
                            </wps:spPr>
                            <wps:bodyPr vert="horz" wrap="non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0C9E44D" id="Freeform 5" o:spid="_x0000_s1026" alt="&quot;&quot;" style="position:absolute;margin-left:705.6pt;margin-top:0;width:134.55pt;height:72.35pt;z-index:-251653120;visibility:visible;mso-wrap-style:non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coordsize="4579,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" path="m299,438c,1573,342,2453,342,2453v4237,,4237,,4237,c4579,1890,4579,1890,4579,1890,4579,1890,3448,,299,438e" fillcolor="#ffd200" stroked="f">
                      <v:path arrowok="t" o:connecttype="custom" o:connectlocs="111580,164066;127627,918845;1708785,918845;1708785,707956;111580,164066" o:connectangles="0,0,0,0,0"/>
                      <w10:wrap anchorx="page" anchory="margin"/>
                      <w10:anchorlock/>
                    </v:shape>
                  </w:pict>
                </mc:Fallback>
              </mc:AlternateContent>
            </w:r>
          </w:sdtContent>
        </w:sdt>
      </w:sdtContent>
    </w:sdt>
    <w:r w:rsidRPr="0057002F">
      <w:rPr>
        <w:noProof/>
        <w:lang w:eastAsia="en-AU"/>
      </w:rPr>
      <mc:AlternateContent>
        <mc:Choice Requires="wps">
          <w:drawing>
            <wp:anchor distT="0" distB="0" distL="114300" distR="114300" simplePos="0" relativeHeight="251661312" behindDoc="1" locked="1" layoutInCell="1" allowOverlap="1" wp14:anchorId="478358F0" wp14:editId="148AE19A">
              <wp:simplePos x="0" y="0"/>
              <wp:positionH relativeFrom="page">
                <wp:posOffset>5920740</wp:posOffset>
              </wp:positionH>
              <wp:positionV relativeFrom="bottomMargin">
                <wp:posOffset>-11714480</wp:posOffset>
              </wp:positionV>
              <wp:extent cx="1708785" cy="918845"/>
              <wp:effectExtent l="0" t="0" r="5715" b="0"/>
              <wp:wrapThrough wrapText="bothSides">
                <wp:wrapPolygon edited="0">
                  <wp:start x="2890" y="3135"/>
                  <wp:lineTo x="2167" y="5374"/>
                  <wp:lineTo x="722" y="10300"/>
                  <wp:lineTo x="722" y="17465"/>
                  <wp:lineTo x="963" y="21048"/>
                  <wp:lineTo x="21431" y="21048"/>
                  <wp:lineTo x="21431" y="17017"/>
                  <wp:lineTo x="20227" y="13883"/>
                  <wp:lineTo x="19023" y="10300"/>
                  <wp:lineTo x="8428" y="3135"/>
                  <wp:lineTo x="8187" y="3135"/>
                  <wp:lineTo x="2890" y="3135"/>
                </wp:wrapPolygon>
              </wp:wrapThrough>
              <wp:docPr id="10"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785" cy="918845"/>
                      </a:xfrm>
                      <a:custGeom>
                        <a:avLst/>
                        <a:gdLst>
                          <a:gd name="T0" fmla="*/ 299 w 4579"/>
                          <a:gd name="T1" fmla="*/ 438 h 2453"/>
                          <a:gd name="T2" fmla="*/ 342 w 4579"/>
                          <a:gd name="T3" fmla="*/ 2453 h 2453"/>
                          <a:gd name="T4" fmla="*/ 4579 w 4579"/>
                          <a:gd name="T5" fmla="*/ 2453 h 2453"/>
                          <a:gd name="T6" fmla="*/ 4579 w 4579"/>
                          <a:gd name="T7" fmla="*/ 1890 h 2453"/>
                          <a:gd name="T8" fmla="*/ 299 w 4579"/>
                          <a:gd name="T9" fmla="*/ 438 h 2453"/>
                        </a:gdLst>
                        <a:ahLst/>
                        <a:cxnLst>
                          <a:cxn ang="0">
                            <a:pos x="T0" y="T1"/>
                          </a:cxn>
                          <a:cxn ang="0">
                            <a:pos x="T2" y="T3"/>
                          </a:cxn>
                          <a:cxn ang="0">
                            <a:pos x="T4" y="T5"/>
                          </a:cxn>
                          <a:cxn ang="0">
                            <a:pos x="T6" y="T7"/>
                          </a:cxn>
                          <a:cxn ang="0">
                            <a:pos x="T8" y="T9"/>
                          </a:cxn>
                        </a:cxnLst>
                        <a:rect l="0" t="0" r="r" b="b"/>
                        <a:pathLst>
                          <a:path w="4579" h="2453">
                            <a:moveTo>
                              <a:pt x="299" y="438"/>
                            </a:moveTo>
                            <a:cubicBezTo>
                              <a:pt x="0" y="1573"/>
                              <a:pt x="342" y="2453"/>
                              <a:pt x="342" y="2453"/>
                            </a:cubicBezTo>
                            <a:cubicBezTo>
                              <a:pt x="4579" y="2453"/>
                              <a:pt x="4579" y="2453"/>
                              <a:pt x="4579" y="2453"/>
                            </a:cubicBezTo>
                            <a:cubicBezTo>
                              <a:pt x="4579" y="1890"/>
                              <a:pt x="4579" y="1890"/>
                              <a:pt x="4579" y="1890"/>
                            </a:cubicBezTo>
                            <a:cubicBezTo>
                              <a:pt x="4579" y="1890"/>
                              <a:pt x="3448" y="0"/>
                              <a:pt x="299" y="438"/>
                            </a:cubicBezTo>
                          </a:path>
                        </a:pathLst>
                      </a:custGeom>
                      <a:solidFill>
                        <a:srgbClr val="FFD200"/>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E01D2CA" id="Freeform 5" o:spid="_x0000_s1026" alt="&quot;&quot;" style="position:absolute;margin-left:466.2pt;margin-top:-922.4pt;width:134.55pt;height:72.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coordsize="4579,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" path="m299,438c,1573,342,2453,342,2453v4237,,4237,,4237,c4579,1890,4579,1890,4579,1890,4579,1890,3448,,299,438e" fillcolor="#ffd200" stroked="f">
              <v:path arrowok="t" o:connecttype="custom" o:connectlocs="111580,164066;127627,918845;1708785,918845;1708785,707956;111580,164066" o:connectangles="0,0,0,0,0"/>
              <w10:wrap type="through" anchorx="page" anchory="margin"/>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F8D49" w14:textId="77777777" w:rsidR="000C136E" w:rsidRPr="00221D18" w:rsidRDefault="000C136E" w:rsidP="00E00D86">
    <w:pPr>
      <w:pStyle w:val="Footer"/>
      <w:rPr>
        <w:sz w:val="16"/>
      </w:rPr>
    </w:pPr>
    <w:r w:rsidRPr="00221D18">
      <w:rPr>
        <w:rFonts w:cs="Arial"/>
        <w:sz w:val="16"/>
        <w:szCs w:val="16"/>
      </w:rPr>
      <w:t xml:space="preserve">Estimated impact of a COVID-19 related disruption to the </w:t>
    </w:r>
    <w:r>
      <w:rPr>
        <w:rFonts w:cs="Arial"/>
        <w:sz w:val="16"/>
        <w:szCs w:val="16"/>
      </w:rPr>
      <w:t>NBCSP</w:t>
    </w:r>
    <w:r w:rsidRPr="00221D18">
      <w:rPr>
        <w:rFonts w:cs="Arial"/>
        <w:sz w:val="16"/>
        <w:szCs w:val="16"/>
      </w:rPr>
      <w:tab/>
    </w:r>
    <w:sdt>
      <w:sdtPr>
        <w:rPr>
          <w:rFonts w:cs="Arial"/>
          <w:sz w:val="16"/>
          <w:szCs w:val="16"/>
        </w:rPr>
        <w:id w:val="-1385327831"/>
        <w:docPartObj>
          <w:docPartGallery w:val="Page Numbers (Bottom of Page)"/>
          <w:docPartUnique/>
        </w:docPartObj>
      </w:sdtPr>
      <w:sdtContent>
        <w:sdt>
          <w:sdtPr>
            <w:rPr>
              <w:rFonts w:cs="Arial"/>
              <w:sz w:val="16"/>
              <w:szCs w:val="16"/>
            </w:rPr>
            <w:id w:val="-628325165"/>
            <w:docPartObj>
              <w:docPartGallery w:val="Page Numbers (Top of Page)"/>
              <w:docPartUnique/>
            </w:docPartObj>
          </w:sdtPr>
          <w:sdtContent>
            <w:r w:rsidRPr="00221D18">
              <w:rPr>
                <w:rFonts w:cs="Arial"/>
                <w:sz w:val="16"/>
                <w:szCs w:val="16"/>
              </w:rPr>
              <w:t xml:space="preserve">Page </w:t>
            </w:r>
            <w:r w:rsidRPr="00221D18">
              <w:rPr>
                <w:rFonts w:cs="Arial"/>
                <w:b/>
                <w:bCs/>
                <w:sz w:val="16"/>
                <w:szCs w:val="16"/>
              </w:rPr>
              <w:fldChar w:fldCharType="begin"/>
            </w:r>
            <w:r w:rsidRPr="00221D18">
              <w:rPr>
                <w:rFonts w:cs="Arial"/>
                <w:b/>
                <w:bCs/>
                <w:sz w:val="16"/>
                <w:szCs w:val="16"/>
              </w:rPr>
              <w:instrText xml:space="preserve"> PAGE </w:instrText>
            </w:r>
            <w:r w:rsidRPr="00221D18">
              <w:rPr>
                <w:rFonts w:cs="Arial"/>
                <w:b/>
                <w:bCs/>
                <w:sz w:val="16"/>
                <w:szCs w:val="16"/>
              </w:rPr>
              <w:fldChar w:fldCharType="separate"/>
            </w:r>
            <w:r>
              <w:rPr>
                <w:rFonts w:cs="Arial"/>
                <w:b/>
                <w:bCs/>
                <w:noProof/>
                <w:sz w:val="16"/>
                <w:szCs w:val="16"/>
              </w:rPr>
              <w:t>26</w:t>
            </w:r>
            <w:r w:rsidRPr="00221D18">
              <w:rPr>
                <w:rFonts w:cs="Arial"/>
                <w:b/>
                <w:bCs/>
                <w:sz w:val="16"/>
                <w:szCs w:val="16"/>
              </w:rPr>
              <w:fldChar w:fldCharType="end"/>
            </w:r>
            <w:r w:rsidRPr="00221D18">
              <w:rPr>
                <w:rFonts w:cs="Arial"/>
                <w:sz w:val="16"/>
                <w:szCs w:val="16"/>
              </w:rPr>
              <w:t xml:space="preserve"> of </w:t>
            </w:r>
            <w:r w:rsidRPr="00221D18">
              <w:rPr>
                <w:rFonts w:cs="Arial"/>
                <w:b/>
                <w:bCs/>
                <w:sz w:val="16"/>
                <w:szCs w:val="16"/>
              </w:rPr>
              <w:fldChar w:fldCharType="begin"/>
            </w:r>
            <w:r w:rsidRPr="00221D18">
              <w:rPr>
                <w:rFonts w:cs="Arial"/>
                <w:b/>
                <w:bCs/>
                <w:sz w:val="16"/>
                <w:szCs w:val="16"/>
              </w:rPr>
              <w:instrText xml:space="preserve"> NUMPAGES  </w:instrText>
            </w:r>
            <w:r w:rsidRPr="00221D18">
              <w:rPr>
                <w:rFonts w:cs="Arial"/>
                <w:b/>
                <w:bCs/>
                <w:sz w:val="16"/>
                <w:szCs w:val="16"/>
              </w:rPr>
              <w:fldChar w:fldCharType="separate"/>
            </w:r>
            <w:r>
              <w:rPr>
                <w:rFonts w:cs="Arial"/>
                <w:b/>
                <w:bCs/>
                <w:noProof/>
                <w:sz w:val="16"/>
                <w:szCs w:val="16"/>
              </w:rPr>
              <w:t>26</w:t>
            </w:r>
            <w:r w:rsidRPr="00221D18">
              <w:rPr>
                <w:rFonts w:cs="Arial"/>
                <w:b/>
                <w:bCs/>
                <w:sz w:val="16"/>
                <w:szCs w:val="16"/>
              </w:rPr>
              <w:fldChar w:fldCharType="end"/>
            </w:r>
            <w:r w:rsidRPr="0057002F">
              <w:rPr>
                <w:noProof/>
                <w:lang w:eastAsia="en-AU"/>
              </w:rPr>
              <mc:AlternateContent>
                <mc:Choice Requires="wps">
                  <w:drawing>
                    <wp:anchor distT="0" distB="0" distL="114300" distR="114300" simplePos="0" relativeHeight="251659264" behindDoc="1" locked="1" layoutInCell="1" allowOverlap="1" wp14:anchorId="035A8707" wp14:editId="4DFB0775">
                      <wp:simplePos x="0" y="0"/>
                      <wp:positionH relativeFrom="page">
                        <wp:posOffset>5829935</wp:posOffset>
                      </wp:positionH>
                      <wp:positionV relativeFrom="bottomMargin">
                        <wp:align>top</wp:align>
                      </wp:positionV>
                      <wp:extent cx="1708785" cy="918845"/>
                      <wp:effectExtent l="0" t="0" r="5715" b="0"/>
                      <wp:wrapNone/>
                      <wp:docPr id="11"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785" cy="918845"/>
                              </a:xfrm>
                              <a:custGeom>
                                <a:avLst/>
                                <a:gdLst>
                                  <a:gd name="T0" fmla="*/ 299 w 4579"/>
                                  <a:gd name="T1" fmla="*/ 438 h 2453"/>
                                  <a:gd name="T2" fmla="*/ 342 w 4579"/>
                                  <a:gd name="T3" fmla="*/ 2453 h 2453"/>
                                  <a:gd name="T4" fmla="*/ 4579 w 4579"/>
                                  <a:gd name="T5" fmla="*/ 2453 h 2453"/>
                                  <a:gd name="T6" fmla="*/ 4579 w 4579"/>
                                  <a:gd name="T7" fmla="*/ 1890 h 2453"/>
                                  <a:gd name="T8" fmla="*/ 299 w 4579"/>
                                  <a:gd name="T9" fmla="*/ 438 h 2453"/>
                                </a:gdLst>
                                <a:ahLst/>
                                <a:cxnLst>
                                  <a:cxn ang="0">
                                    <a:pos x="T0" y="T1"/>
                                  </a:cxn>
                                  <a:cxn ang="0">
                                    <a:pos x="T2" y="T3"/>
                                  </a:cxn>
                                  <a:cxn ang="0">
                                    <a:pos x="T4" y="T5"/>
                                  </a:cxn>
                                  <a:cxn ang="0">
                                    <a:pos x="T6" y="T7"/>
                                  </a:cxn>
                                  <a:cxn ang="0">
                                    <a:pos x="T8" y="T9"/>
                                  </a:cxn>
                                </a:cxnLst>
                                <a:rect l="0" t="0" r="r" b="b"/>
                                <a:pathLst>
                                  <a:path w="4579" h="2453">
                                    <a:moveTo>
                                      <a:pt x="299" y="438"/>
                                    </a:moveTo>
                                    <a:cubicBezTo>
                                      <a:pt x="0" y="1573"/>
                                      <a:pt x="342" y="2453"/>
                                      <a:pt x="342" y="2453"/>
                                    </a:cubicBezTo>
                                    <a:cubicBezTo>
                                      <a:pt x="4579" y="2453"/>
                                      <a:pt x="4579" y="2453"/>
                                      <a:pt x="4579" y="2453"/>
                                    </a:cubicBezTo>
                                    <a:cubicBezTo>
                                      <a:pt x="4579" y="1890"/>
                                      <a:pt x="4579" y="1890"/>
                                      <a:pt x="4579" y="1890"/>
                                    </a:cubicBezTo>
                                    <a:cubicBezTo>
                                      <a:pt x="4579" y="1890"/>
                                      <a:pt x="3448" y="0"/>
                                      <a:pt x="299" y="438"/>
                                    </a:cubicBezTo>
                                  </a:path>
                                </a:pathLst>
                              </a:custGeom>
                              <a:solidFill>
                                <a:srgbClr val="FFD200"/>
                              </a:solidFill>
                              <a:ln>
                                <a:noFill/>
                              </a:ln>
                            </wps:spPr>
                            <wps:bodyPr vert="horz" wrap="non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CC6AE41" id="Freeform 5" o:spid="_x0000_s1026" alt="&quot;&quot;" style="position:absolute;margin-left:459.05pt;margin-top:0;width:134.55pt;height:72.35pt;z-index:-251657216;visibility:visible;mso-wrap-style:non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margin;mso-height-relative:margin;v-text-anchor:top" coordsize="4579,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" path="m299,438c,1573,342,2453,342,2453v4237,,4237,,4237,c4579,1890,4579,1890,4579,1890,4579,1890,3448,,299,438e" fillcolor="#ffd200" stroked="f">
                      <v:path arrowok="t" o:connecttype="custom" o:connectlocs="111580,164066;127627,918845;1708785,918845;1708785,707956;111580,164066" o:connectangles="0,0,0,0,0"/>
                      <w10:wrap anchorx="page" anchory="margin"/>
                      <w10:anchorlock/>
                    </v:shape>
                  </w:pict>
                </mc:Fallback>
              </mc:AlternateContent>
            </w:r>
          </w:sdtContent>
        </w:sdt>
      </w:sdtContent>
    </w:sdt>
    <w:r w:rsidRPr="0057002F">
      <w:rPr>
        <w:noProof/>
        <w:lang w:eastAsia="en-AU"/>
      </w:rPr>
      <mc:AlternateContent>
        <mc:Choice Requires="wps">
          <w:drawing>
            <wp:anchor distT="0" distB="0" distL="114300" distR="114300" simplePos="0" relativeHeight="251657216" behindDoc="1" locked="1" layoutInCell="1" allowOverlap="1" wp14:anchorId="27D2ECF1" wp14:editId="3259EC12">
              <wp:simplePos x="0" y="0"/>
              <wp:positionH relativeFrom="page">
                <wp:posOffset>5920740</wp:posOffset>
              </wp:positionH>
              <wp:positionV relativeFrom="bottomMargin">
                <wp:posOffset>-11714480</wp:posOffset>
              </wp:positionV>
              <wp:extent cx="1708785" cy="918845"/>
              <wp:effectExtent l="0" t="0" r="5715" b="0"/>
              <wp:wrapThrough wrapText="bothSides">
                <wp:wrapPolygon edited="0">
                  <wp:start x="2890" y="3135"/>
                  <wp:lineTo x="2167" y="5374"/>
                  <wp:lineTo x="722" y="10300"/>
                  <wp:lineTo x="722" y="17465"/>
                  <wp:lineTo x="963" y="21048"/>
                  <wp:lineTo x="21431" y="21048"/>
                  <wp:lineTo x="21431" y="17017"/>
                  <wp:lineTo x="20227" y="13883"/>
                  <wp:lineTo x="19023" y="10300"/>
                  <wp:lineTo x="8428" y="3135"/>
                  <wp:lineTo x="8187" y="3135"/>
                  <wp:lineTo x="2890" y="3135"/>
                </wp:wrapPolygon>
              </wp:wrapThrough>
              <wp:docPr id="12"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785" cy="918845"/>
                      </a:xfrm>
                      <a:custGeom>
                        <a:avLst/>
                        <a:gdLst>
                          <a:gd name="T0" fmla="*/ 299 w 4579"/>
                          <a:gd name="T1" fmla="*/ 438 h 2453"/>
                          <a:gd name="T2" fmla="*/ 342 w 4579"/>
                          <a:gd name="T3" fmla="*/ 2453 h 2453"/>
                          <a:gd name="T4" fmla="*/ 4579 w 4579"/>
                          <a:gd name="T5" fmla="*/ 2453 h 2453"/>
                          <a:gd name="T6" fmla="*/ 4579 w 4579"/>
                          <a:gd name="T7" fmla="*/ 1890 h 2453"/>
                          <a:gd name="T8" fmla="*/ 299 w 4579"/>
                          <a:gd name="T9" fmla="*/ 438 h 2453"/>
                        </a:gdLst>
                        <a:ahLst/>
                        <a:cxnLst>
                          <a:cxn ang="0">
                            <a:pos x="T0" y="T1"/>
                          </a:cxn>
                          <a:cxn ang="0">
                            <a:pos x="T2" y="T3"/>
                          </a:cxn>
                          <a:cxn ang="0">
                            <a:pos x="T4" y="T5"/>
                          </a:cxn>
                          <a:cxn ang="0">
                            <a:pos x="T6" y="T7"/>
                          </a:cxn>
                          <a:cxn ang="0">
                            <a:pos x="T8" y="T9"/>
                          </a:cxn>
                        </a:cxnLst>
                        <a:rect l="0" t="0" r="r" b="b"/>
                        <a:pathLst>
                          <a:path w="4579" h="2453">
                            <a:moveTo>
                              <a:pt x="299" y="438"/>
                            </a:moveTo>
                            <a:cubicBezTo>
                              <a:pt x="0" y="1573"/>
                              <a:pt x="342" y="2453"/>
                              <a:pt x="342" y="2453"/>
                            </a:cubicBezTo>
                            <a:cubicBezTo>
                              <a:pt x="4579" y="2453"/>
                              <a:pt x="4579" y="2453"/>
                              <a:pt x="4579" y="2453"/>
                            </a:cubicBezTo>
                            <a:cubicBezTo>
                              <a:pt x="4579" y="1890"/>
                              <a:pt x="4579" y="1890"/>
                              <a:pt x="4579" y="1890"/>
                            </a:cubicBezTo>
                            <a:cubicBezTo>
                              <a:pt x="4579" y="1890"/>
                              <a:pt x="3448" y="0"/>
                              <a:pt x="299" y="438"/>
                            </a:cubicBezTo>
                          </a:path>
                        </a:pathLst>
                      </a:custGeom>
                      <a:solidFill>
                        <a:srgbClr val="FFD200"/>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21CC152" id="Freeform 5" o:spid="_x0000_s1026" alt="&quot;&quot;" style="position:absolute;margin-left:466.2pt;margin-top:-922.4pt;width:134.55pt;height:7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coordsize="4579,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" path="m299,438c,1573,342,2453,342,2453v4237,,4237,,4237,c4579,1890,4579,1890,4579,1890,4579,1890,3448,,299,438e" fillcolor="#ffd200" stroked="f">
              <v:path arrowok="t" o:connecttype="custom" o:connectlocs="111580,164066;127627,918845;1708785,918845;1708785,707956;111580,164066" o:connectangles="0,0,0,0,0"/>
              <w10:wrap type="through" anchorx="page"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17C9B" w14:textId="77777777" w:rsidR="000C136E" w:rsidRDefault="000C136E" w:rsidP="0080782C">
      <w:pPr>
        <w:spacing w:after="0" w:line="240" w:lineRule="auto"/>
      </w:pPr>
      <w:r>
        <w:separator/>
      </w:r>
    </w:p>
  </w:footnote>
  <w:footnote w:type="continuationSeparator" w:id="0">
    <w:p w14:paraId="24130156" w14:textId="77777777" w:rsidR="000C136E" w:rsidRDefault="000C136E" w:rsidP="0080782C">
      <w:pPr>
        <w:spacing w:after="0" w:line="240" w:lineRule="auto"/>
      </w:pPr>
      <w:r>
        <w:continuationSeparator/>
      </w:r>
    </w:p>
  </w:footnote>
  <w:footnote w:type="continuationNotice" w:id="1">
    <w:p w14:paraId="5CFE41DF" w14:textId="77777777" w:rsidR="000C136E" w:rsidRDefault="000C136E">
      <w:pPr>
        <w:spacing w:after="0" w:line="240" w:lineRule="auto"/>
      </w:pPr>
    </w:p>
  </w:footnote>
  <w:footnote w:id="2">
    <w:p w14:paraId="4F392E17" w14:textId="77777777" w:rsidR="000C136E" w:rsidRPr="00F82E78" w:rsidRDefault="000C136E">
      <w:pPr>
        <w:pStyle w:val="FootnoteText"/>
        <w:rPr>
          <w:rFonts w:cs="Arial"/>
          <w:sz w:val="16"/>
          <w:szCs w:val="16"/>
        </w:rPr>
      </w:pPr>
      <w:r w:rsidRPr="00F82E78">
        <w:rPr>
          <w:rStyle w:val="FootnoteReference"/>
          <w:rFonts w:cs="Arial"/>
          <w:sz w:val="16"/>
          <w:szCs w:val="16"/>
        </w:rPr>
        <w:footnoteRef/>
      </w:r>
      <w:r w:rsidRPr="00F82E78">
        <w:rPr>
          <w:rFonts w:cs="Arial"/>
          <w:sz w:val="16"/>
          <w:szCs w:val="16"/>
        </w:rPr>
        <w:t xml:space="preserve"> NBCSP-related colonoscopies related to follow-up and surveillance colonoscopies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6F73C" w14:textId="77777777" w:rsidR="000C136E" w:rsidRDefault="000C136E">
    <w:pPr>
      <w:pStyle w:val="Header"/>
    </w:pPr>
    <w:r w:rsidRPr="00DD0596">
      <w:rPr>
        <w:noProof/>
        <w:lang w:eastAsia="en-AU"/>
      </w:rPr>
      <mc:AlternateContent>
        <mc:Choice Requires="wps">
          <w:drawing>
            <wp:anchor distT="0" distB="0" distL="114300" distR="114300" simplePos="0" relativeHeight="251657728" behindDoc="0" locked="1" layoutInCell="1" allowOverlap="1" wp14:anchorId="4C8CF4FE" wp14:editId="7ACFE4D6">
              <wp:simplePos x="0" y="0"/>
              <wp:positionH relativeFrom="page">
                <wp:align>right</wp:align>
              </wp:positionH>
              <wp:positionV relativeFrom="page">
                <wp:posOffset>4390390</wp:posOffset>
              </wp:positionV>
              <wp:extent cx="1439545" cy="2152650"/>
              <wp:effectExtent l="0" t="0" r="8255" b="0"/>
              <wp:wrapNone/>
              <wp:docPr id="7" name="Freeform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439545" cy="2152650"/>
                      </a:xfrm>
                      <a:custGeom>
                        <a:avLst/>
                        <a:gdLst>
                          <a:gd name="T0" fmla="*/ 4495 w 4495"/>
                          <a:gd name="T1" fmla="*/ 6705 h 6705"/>
                          <a:gd name="T2" fmla="*/ 0 w 4495"/>
                          <a:gd name="T3" fmla="*/ 181 h 6705"/>
                          <a:gd name="T4" fmla="*/ 4495 w 4495"/>
                          <a:gd name="T5" fmla="*/ 903 h 6705"/>
                          <a:gd name="T6" fmla="*/ 4495 w 4495"/>
                          <a:gd name="T7" fmla="*/ 6705 h 6705"/>
                        </a:gdLst>
                        <a:ahLst/>
                        <a:cxnLst>
                          <a:cxn ang="0">
                            <a:pos x="T0" y="T1"/>
                          </a:cxn>
                          <a:cxn ang="0">
                            <a:pos x="T2" y="T3"/>
                          </a:cxn>
                          <a:cxn ang="0">
                            <a:pos x="T4" y="T5"/>
                          </a:cxn>
                          <a:cxn ang="0">
                            <a:pos x="T6" y="T7"/>
                          </a:cxn>
                        </a:cxnLst>
                        <a:rect l="0" t="0" r="r" b="b"/>
                        <a:pathLst>
                          <a:path w="4495" h="6705">
                            <a:moveTo>
                              <a:pt x="4495" y="6705"/>
                            </a:moveTo>
                            <a:cubicBezTo>
                              <a:pt x="4495" y="6705"/>
                              <a:pt x="0" y="6260"/>
                              <a:pt x="0" y="181"/>
                            </a:cubicBezTo>
                            <a:cubicBezTo>
                              <a:pt x="2687" y="0"/>
                              <a:pt x="4495" y="903"/>
                              <a:pt x="4495" y="903"/>
                            </a:cubicBezTo>
                            <a:lnTo>
                              <a:pt x="4495" y="6705"/>
                            </a:lnTo>
                            <a:close/>
                          </a:path>
                        </a:pathLst>
                      </a:custGeom>
                      <a:solidFill>
                        <a:srgbClr val="009BDC"/>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C9853CC" id="Freeform 10" o:spid="_x0000_s1026" alt="&quot;&quot;" style="position:absolute;margin-left:62.15pt;margin-top:345.7pt;width:113.35pt;height:169.5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coordsize="4495,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" path="m4495,6705c4495,6705,,6260,,181,2687,,4495,903,4495,903r,5802xe" fillcolor="#009bdc" stroked="f">
              <v:path arrowok="t" o:connecttype="custom" o:connectlocs="1439545,2152650;0,58110;1439545,289909;1439545,2152650" o:connectangles="0,0,0,0"/>
              <o:lock v:ext="edit" aspectratio="t"/>
              <w10:wrap anchorx="page" anchory="page"/>
              <w10:anchorlock/>
            </v:shape>
          </w:pict>
        </mc:Fallback>
      </mc:AlternateContent>
    </w:r>
    <w:r>
      <w:rPr>
        <w:noProof/>
        <w:lang w:eastAsia="en-AU"/>
      </w:rPr>
      <w:drawing>
        <wp:anchor distT="0" distB="0" distL="114300" distR="114300" simplePos="0" relativeHeight="251655680" behindDoc="1" locked="1" layoutInCell="1" allowOverlap="1" wp14:anchorId="4551DB38" wp14:editId="13D96E2E">
          <wp:simplePos x="0" y="0"/>
          <wp:positionH relativeFrom="page">
            <wp:posOffset>914400</wp:posOffset>
          </wp:positionH>
          <wp:positionV relativeFrom="page">
            <wp:posOffset>612140</wp:posOffset>
          </wp:positionV>
          <wp:extent cx="2700000" cy="1411459"/>
          <wp:effectExtent l="0" t="0" r="0" b="0"/>
          <wp:wrapTopAndBottom/>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00000" cy="1411459"/>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828E3" w14:textId="77777777" w:rsidR="000C136E" w:rsidRDefault="000C136E" w:rsidP="004B54D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75032" w14:textId="77777777" w:rsidR="000C136E" w:rsidRDefault="000C136E" w:rsidP="004B54D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DF657" w14:textId="77777777" w:rsidR="000C136E" w:rsidRDefault="000C136E" w:rsidP="004B54D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BCA0F" w14:textId="77777777" w:rsidR="000C136E" w:rsidRDefault="000C136E" w:rsidP="004B54D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9E5B5" w14:textId="77777777" w:rsidR="000C136E" w:rsidRDefault="000C136E" w:rsidP="004B5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725E2" w14:textId="77777777" w:rsidR="000C136E" w:rsidRDefault="000C136E" w:rsidP="004B5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1BE1F" w14:textId="77777777" w:rsidR="000C136E" w:rsidRDefault="000C136E" w:rsidP="004B54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97D72" w14:textId="77777777" w:rsidR="000C136E" w:rsidRDefault="000C136E" w:rsidP="004B54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1F416" w14:textId="77777777" w:rsidR="000C136E" w:rsidRDefault="000C136E" w:rsidP="004B54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C1B8E" w14:textId="77777777" w:rsidR="000C136E" w:rsidRDefault="000C136E" w:rsidP="004B54D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5492B" w14:textId="77777777" w:rsidR="000C136E" w:rsidRDefault="000C136E" w:rsidP="004B54D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5D863" w14:textId="77777777" w:rsidR="000C136E" w:rsidRDefault="000C136E" w:rsidP="004B54D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FFB73" w14:textId="77777777" w:rsidR="000C136E" w:rsidRDefault="000C136E" w:rsidP="004B5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D9EC5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907B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605D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E4F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147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32B5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A226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D6B4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4A6F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02EA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96146"/>
    <w:multiLevelType w:val="hybridMultilevel"/>
    <w:tmpl w:val="FFFFFFFF"/>
    <w:lvl w:ilvl="0" w:tplc="F80EB2EA">
      <w:start w:val="1"/>
      <w:numFmt w:val="bullet"/>
      <w:lvlText w:val=""/>
      <w:lvlJc w:val="left"/>
      <w:pPr>
        <w:ind w:left="720" w:hanging="360"/>
      </w:pPr>
      <w:rPr>
        <w:rFonts w:ascii="Symbol" w:hAnsi="Symbol" w:hint="default"/>
      </w:rPr>
    </w:lvl>
    <w:lvl w:ilvl="1" w:tplc="44246F9A">
      <w:start w:val="1"/>
      <w:numFmt w:val="bullet"/>
      <w:lvlText w:val="o"/>
      <w:lvlJc w:val="left"/>
      <w:pPr>
        <w:ind w:left="1440" w:hanging="360"/>
      </w:pPr>
      <w:rPr>
        <w:rFonts w:ascii="Courier New" w:hAnsi="Courier New" w:hint="default"/>
      </w:rPr>
    </w:lvl>
    <w:lvl w:ilvl="2" w:tplc="FD5670E6">
      <w:start w:val="1"/>
      <w:numFmt w:val="bullet"/>
      <w:lvlText w:val=""/>
      <w:lvlJc w:val="left"/>
      <w:pPr>
        <w:ind w:left="2160" w:hanging="360"/>
      </w:pPr>
      <w:rPr>
        <w:rFonts w:ascii="Wingdings" w:hAnsi="Wingdings" w:hint="default"/>
      </w:rPr>
    </w:lvl>
    <w:lvl w:ilvl="3" w:tplc="BC48C32A">
      <w:start w:val="1"/>
      <w:numFmt w:val="bullet"/>
      <w:lvlText w:val=""/>
      <w:lvlJc w:val="left"/>
      <w:pPr>
        <w:ind w:left="2880" w:hanging="360"/>
      </w:pPr>
      <w:rPr>
        <w:rFonts w:ascii="Symbol" w:hAnsi="Symbol" w:hint="default"/>
      </w:rPr>
    </w:lvl>
    <w:lvl w:ilvl="4" w:tplc="B316D980">
      <w:start w:val="1"/>
      <w:numFmt w:val="bullet"/>
      <w:lvlText w:val="o"/>
      <w:lvlJc w:val="left"/>
      <w:pPr>
        <w:ind w:left="3600" w:hanging="360"/>
      </w:pPr>
      <w:rPr>
        <w:rFonts w:ascii="Courier New" w:hAnsi="Courier New" w:hint="default"/>
      </w:rPr>
    </w:lvl>
    <w:lvl w:ilvl="5" w:tplc="8BB87D64">
      <w:start w:val="1"/>
      <w:numFmt w:val="bullet"/>
      <w:lvlText w:val=""/>
      <w:lvlJc w:val="left"/>
      <w:pPr>
        <w:ind w:left="4320" w:hanging="360"/>
      </w:pPr>
      <w:rPr>
        <w:rFonts w:ascii="Wingdings" w:hAnsi="Wingdings" w:hint="default"/>
      </w:rPr>
    </w:lvl>
    <w:lvl w:ilvl="6" w:tplc="0C825CBC">
      <w:start w:val="1"/>
      <w:numFmt w:val="bullet"/>
      <w:lvlText w:val=""/>
      <w:lvlJc w:val="left"/>
      <w:pPr>
        <w:ind w:left="5040" w:hanging="360"/>
      </w:pPr>
      <w:rPr>
        <w:rFonts w:ascii="Symbol" w:hAnsi="Symbol" w:hint="default"/>
      </w:rPr>
    </w:lvl>
    <w:lvl w:ilvl="7" w:tplc="13168034">
      <w:start w:val="1"/>
      <w:numFmt w:val="bullet"/>
      <w:lvlText w:val="o"/>
      <w:lvlJc w:val="left"/>
      <w:pPr>
        <w:ind w:left="5760" w:hanging="360"/>
      </w:pPr>
      <w:rPr>
        <w:rFonts w:ascii="Courier New" w:hAnsi="Courier New" w:hint="default"/>
      </w:rPr>
    </w:lvl>
    <w:lvl w:ilvl="8" w:tplc="CF046B26">
      <w:start w:val="1"/>
      <w:numFmt w:val="bullet"/>
      <w:lvlText w:val=""/>
      <w:lvlJc w:val="left"/>
      <w:pPr>
        <w:ind w:left="6480" w:hanging="360"/>
      </w:pPr>
      <w:rPr>
        <w:rFonts w:ascii="Wingdings" w:hAnsi="Wingdings" w:hint="default"/>
      </w:rPr>
    </w:lvl>
  </w:abstractNum>
  <w:abstractNum w:abstractNumId="11" w15:restartNumberingAfterBreak="0">
    <w:nsid w:val="02EF35E7"/>
    <w:multiLevelType w:val="hybridMultilevel"/>
    <w:tmpl w:val="361402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24528E"/>
    <w:multiLevelType w:val="hybridMultilevel"/>
    <w:tmpl w:val="FFFFFFFF"/>
    <w:lvl w:ilvl="0" w:tplc="960CADAC">
      <w:start w:val="1"/>
      <w:numFmt w:val="bullet"/>
      <w:lvlText w:val=""/>
      <w:lvlJc w:val="left"/>
      <w:pPr>
        <w:ind w:left="720" w:hanging="360"/>
      </w:pPr>
      <w:rPr>
        <w:rFonts w:ascii="Symbol" w:hAnsi="Symbol" w:hint="default"/>
      </w:rPr>
    </w:lvl>
    <w:lvl w:ilvl="1" w:tplc="1EB692C6">
      <w:start w:val="1"/>
      <w:numFmt w:val="bullet"/>
      <w:lvlText w:val="o"/>
      <w:lvlJc w:val="left"/>
      <w:pPr>
        <w:ind w:left="1440" w:hanging="360"/>
      </w:pPr>
      <w:rPr>
        <w:rFonts w:ascii="Courier New" w:hAnsi="Courier New" w:hint="default"/>
      </w:rPr>
    </w:lvl>
    <w:lvl w:ilvl="2" w:tplc="2BA844EC">
      <w:start w:val="1"/>
      <w:numFmt w:val="bullet"/>
      <w:lvlText w:val=""/>
      <w:lvlJc w:val="left"/>
      <w:pPr>
        <w:ind w:left="2160" w:hanging="360"/>
      </w:pPr>
      <w:rPr>
        <w:rFonts w:ascii="Wingdings" w:hAnsi="Wingdings" w:hint="default"/>
      </w:rPr>
    </w:lvl>
    <w:lvl w:ilvl="3" w:tplc="92FAFB14">
      <w:start w:val="1"/>
      <w:numFmt w:val="bullet"/>
      <w:lvlText w:val=""/>
      <w:lvlJc w:val="left"/>
      <w:pPr>
        <w:ind w:left="2880" w:hanging="360"/>
      </w:pPr>
      <w:rPr>
        <w:rFonts w:ascii="Symbol" w:hAnsi="Symbol" w:hint="default"/>
      </w:rPr>
    </w:lvl>
    <w:lvl w:ilvl="4" w:tplc="DDB2A2B2">
      <w:start w:val="1"/>
      <w:numFmt w:val="bullet"/>
      <w:lvlText w:val="o"/>
      <w:lvlJc w:val="left"/>
      <w:pPr>
        <w:ind w:left="3600" w:hanging="360"/>
      </w:pPr>
      <w:rPr>
        <w:rFonts w:ascii="Courier New" w:hAnsi="Courier New" w:hint="default"/>
      </w:rPr>
    </w:lvl>
    <w:lvl w:ilvl="5" w:tplc="118CA168">
      <w:start w:val="1"/>
      <w:numFmt w:val="bullet"/>
      <w:lvlText w:val=""/>
      <w:lvlJc w:val="left"/>
      <w:pPr>
        <w:ind w:left="4320" w:hanging="360"/>
      </w:pPr>
      <w:rPr>
        <w:rFonts w:ascii="Wingdings" w:hAnsi="Wingdings" w:hint="default"/>
      </w:rPr>
    </w:lvl>
    <w:lvl w:ilvl="6" w:tplc="9CD65A00">
      <w:start w:val="1"/>
      <w:numFmt w:val="bullet"/>
      <w:lvlText w:val=""/>
      <w:lvlJc w:val="left"/>
      <w:pPr>
        <w:ind w:left="5040" w:hanging="360"/>
      </w:pPr>
      <w:rPr>
        <w:rFonts w:ascii="Symbol" w:hAnsi="Symbol" w:hint="default"/>
      </w:rPr>
    </w:lvl>
    <w:lvl w:ilvl="7" w:tplc="3648CD62">
      <w:start w:val="1"/>
      <w:numFmt w:val="bullet"/>
      <w:lvlText w:val="o"/>
      <w:lvlJc w:val="left"/>
      <w:pPr>
        <w:ind w:left="5760" w:hanging="360"/>
      </w:pPr>
      <w:rPr>
        <w:rFonts w:ascii="Courier New" w:hAnsi="Courier New" w:hint="default"/>
      </w:rPr>
    </w:lvl>
    <w:lvl w:ilvl="8" w:tplc="D31EC892">
      <w:start w:val="1"/>
      <w:numFmt w:val="bullet"/>
      <w:lvlText w:val=""/>
      <w:lvlJc w:val="left"/>
      <w:pPr>
        <w:ind w:left="6480" w:hanging="360"/>
      </w:pPr>
      <w:rPr>
        <w:rFonts w:ascii="Wingdings" w:hAnsi="Wingdings" w:hint="default"/>
      </w:rPr>
    </w:lvl>
  </w:abstractNum>
  <w:abstractNum w:abstractNumId="13" w15:restartNumberingAfterBreak="0">
    <w:nsid w:val="0868308E"/>
    <w:multiLevelType w:val="hybridMultilevel"/>
    <w:tmpl w:val="EDF809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BC12A9"/>
    <w:multiLevelType w:val="hybridMultilevel"/>
    <w:tmpl w:val="FFFFFFFF"/>
    <w:lvl w:ilvl="0" w:tplc="39F24C0A">
      <w:start w:val="1"/>
      <w:numFmt w:val="lowerLetter"/>
      <w:lvlText w:val="%1."/>
      <w:lvlJc w:val="left"/>
      <w:pPr>
        <w:ind w:left="720" w:hanging="360"/>
      </w:pPr>
    </w:lvl>
    <w:lvl w:ilvl="1" w:tplc="AC140846">
      <w:start w:val="1"/>
      <w:numFmt w:val="lowerLetter"/>
      <w:lvlText w:val="%2."/>
      <w:lvlJc w:val="left"/>
      <w:pPr>
        <w:ind w:left="1440" w:hanging="360"/>
      </w:pPr>
    </w:lvl>
    <w:lvl w:ilvl="2" w:tplc="E8162D58">
      <w:start w:val="1"/>
      <w:numFmt w:val="lowerRoman"/>
      <w:lvlText w:val="%3."/>
      <w:lvlJc w:val="right"/>
      <w:pPr>
        <w:ind w:left="2160" w:hanging="180"/>
      </w:pPr>
    </w:lvl>
    <w:lvl w:ilvl="3" w:tplc="00700FEE">
      <w:start w:val="1"/>
      <w:numFmt w:val="decimal"/>
      <w:lvlText w:val="%4."/>
      <w:lvlJc w:val="left"/>
      <w:pPr>
        <w:ind w:left="2880" w:hanging="360"/>
      </w:pPr>
    </w:lvl>
    <w:lvl w:ilvl="4" w:tplc="92CE6A3A">
      <w:start w:val="1"/>
      <w:numFmt w:val="lowerLetter"/>
      <w:lvlText w:val="%5."/>
      <w:lvlJc w:val="left"/>
      <w:pPr>
        <w:ind w:left="3600" w:hanging="360"/>
      </w:pPr>
    </w:lvl>
    <w:lvl w:ilvl="5" w:tplc="A606AAEA">
      <w:start w:val="1"/>
      <w:numFmt w:val="lowerRoman"/>
      <w:lvlText w:val="%6."/>
      <w:lvlJc w:val="right"/>
      <w:pPr>
        <w:ind w:left="4320" w:hanging="180"/>
      </w:pPr>
    </w:lvl>
    <w:lvl w:ilvl="6" w:tplc="731431AA">
      <w:start w:val="1"/>
      <w:numFmt w:val="decimal"/>
      <w:lvlText w:val="%7."/>
      <w:lvlJc w:val="left"/>
      <w:pPr>
        <w:ind w:left="5040" w:hanging="360"/>
      </w:pPr>
    </w:lvl>
    <w:lvl w:ilvl="7" w:tplc="B76C27B6">
      <w:start w:val="1"/>
      <w:numFmt w:val="lowerLetter"/>
      <w:lvlText w:val="%8."/>
      <w:lvlJc w:val="left"/>
      <w:pPr>
        <w:ind w:left="5760" w:hanging="360"/>
      </w:pPr>
    </w:lvl>
    <w:lvl w:ilvl="8" w:tplc="C974FF02">
      <w:start w:val="1"/>
      <w:numFmt w:val="lowerRoman"/>
      <w:lvlText w:val="%9."/>
      <w:lvlJc w:val="right"/>
      <w:pPr>
        <w:ind w:left="6480" w:hanging="180"/>
      </w:pPr>
    </w:lvl>
  </w:abstractNum>
  <w:abstractNum w:abstractNumId="15" w15:restartNumberingAfterBreak="0">
    <w:nsid w:val="0DE3720E"/>
    <w:multiLevelType w:val="hybridMultilevel"/>
    <w:tmpl w:val="A8962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F83E67"/>
    <w:multiLevelType w:val="hybridMultilevel"/>
    <w:tmpl w:val="FFFFFFFF"/>
    <w:lvl w:ilvl="0" w:tplc="60F4EA1C">
      <w:start w:val="1"/>
      <w:numFmt w:val="lowerLetter"/>
      <w:lvlText w:val="%1."/>
      <w:lvlJc w:val="left"/>
      <w:pPr>
        <w:ind w:left="720" w:hanging="360"/>
      </w:pPr>
    </w:lvl>
    <w:lvl w:ilvl="1" w:tplc="EA229B8C">
      <w:start w:val="1"/>
      <w:numFmt w:val="lowerLetter"/>
      <w:lvlText w:val="%2."/>
      <w:lvlJc w:val="left"/>
      <w:pPr>
        <w:ind w:left="1440" w:hanging="360"/>
      </w:pPr>
    </w:lvl>
    <w:lvl w:ilvl="2" w:tplc="EC1A6A56">
      <w:start w:val="1"/>
      <w:numFmt w:val="lowerRoman"/>
      <w:lvlText w:val="%3."/>
      <w:lvlJc w:val="right"/>
      <w:pPr>
        <w:ind w:left="2160" w:hanging="180"/>
      </w:pPr>
    </w:lvl>
    <w:lvl w:ilvl="3" w:tplc="C81C5D66">
      <w:start w:val="1"/>
      <w:numFmt w:val="decimal"/>
      <w:lvlText w:val="%4."/>
      <w:lvlJc w:val="left"/>
      <w:pPr>
        <w:ind w:left="2880" w:hanging="360"/>
      </w:pPr>
    </w:lvl>
    <w:lvl w:ilvl="4" w:tplc="8F18F118">
      <w:start w:val="1"/>
      <w:numFmt w:val="lowerLetter"/>
      <w:lvlText w:val="%5."/>
      <w:lvlJc w:val="left"/>
      <w:pPr>
        <w:ind w:left="3600" w:hanging="360"/>
      </w:pPr>
    </w:lvl>
    <w:lvl w:ilvl="5" w:tplc="BCA0BA8E">
      <w:start w:val="1"/>
      <w:numFmt w:val="lowerRoman"/>
      <w:lvlText w:val="%6."/>
      <w:lvlJc w:val="right"/>
      <w:pPr>
        <w:ind w:left="4320" w:hanging="180"/>
      </w:pPr>
    </w:lvl>
    <w:lvl w:ilvl="6" w:tplc="54F6E914">
      <w:start w:val="1"/>
      <w:numFmt w:val="decimal"/>
      <w:lvlText w:val="%7."/>
      <w:lvlJc w:val="left"/>
      <w:pPr>
        <w:ind w:left="5040" w:hanging="360"/>
      </w:pPr>
    </w:lvl>
    <w:lvl w:ilvl="7" w:tplc="27322358">
      <w:start w:val="1"/>
      <w:numFmt w:val="lowerLetter"/>
      <w:lvlText w:val="%8."/>
      <w:lvlJc w:val="left"/>
      <w:pPr>
        <w:ind w:left="5760" w:hanging="360"/>
      </w:pPr>
    </w:lvl>
    <w:lvl w:ilvl="8" w:tplc="6B32E272">
      <w:start w:val="1"/>
      <w:numFmt w:val="lowerRoman"/>
      <w:lvlText w:val="%9."/>
      <w:lvlJc w:val="right"/>
      <w:pPr>
        <w:ind w:left="6480" w:hanging="180"/>
      </w:pPr>
    </w:lvl>
  </w:abstractNum>
  <w:abstractNum w:abstractNumId="17" w15:restartNumberingAfterBreak="0">
    <w:nsid w:val="17B65954"/>
    <w:multiLevelType w:val="hybridMultilevel"/>
    <w:tmpl w:val="A5F6714C"/>
    <w:lvl w:ilvl="0" w:tplc="21AE641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9A485D"/>
    <w:multiLevelType w:val="hybridMultilevel"/>
    <w:tmpl w:val="FFFFFFFF"/>
    <w:lvl w:ilvl="0" w:tplc="D00610FA">
      <w:start w:val="1"/>
      <w:numFmt w:val="lowerLetter"/>
      <w:lvlText w:val="%1."/>
      <w:lvlJc w:val="left"/>
      <w:pPr>
        <w:ind w:left="720" w:hanging="360"/>
      </w:pPr>
    </w:lvl>
    <w:lvl w:ilvl="1" w:tplc="ACBE7C52">
      <w:start w:val="1"/>
      <w:numFmt w:val="lowerLetter"/>
      <w:lvlText w:val="%2."/>
      <w:lvlJc w:val="left"/>
      <w:pPr>
        <w:ind w:left="1440" w:hanging="360"/>
      </w:pPr>
    </w:lvl>
    <w:lvl w:ilvl="2" w:tplc="D638BBE6">
      <w:start w:val="1"/>
      <w:numFmt w:val="lowerRoman"/>
      <w:lvlText w:val="%3."/>
      <w:lvlJc w:val="right"/>
      <w:pPr>
        <w:ind w:left="2160" w:hanging="180"/>
      </w:pPr>
    </w:lvl>
    <w:lvl w:ilvl="3" w:tplc="E9D652F8">
      <w:start w:val="1"/>
      <w:numFmt w:val="decimal"/>
      <w:lvlText w:val="%4."/>
      <w:lvlJc w:val="left"/>
      <w:pPr>
        <w:ind w:left="2880" w:hanging="360"/>
      </w:pPr>
    </w:lvl>
    <w:lvl w:ilvl="4" w:tplc="607C0F5E">
      <w:start w:val="1"/>
      <w:numFmt w:val="lowerLetter"/>
      <w:lvlText w:val="%5."/>
      <w:lvlJc w:val="left"/>
      <w:pPr>
        <w:ind w:left="3600" w:hanging="360"/>
      </w:pPr>
    </w:lvl>
    <w:lvl w:ilvl="5" w:tplc="DF3A5974">
      <w:start w:val="1"/>
      <w:numFmt w:val="lowerRoman"/>
      <w:lvlText w:val="%6."/>
      <w:lvlJc w:val="right"/>
      <w:pPr>
        <w:ind w:left="4320" w:hanging="180"/>
      </w:pPr>
    </w:lvl>
    <w:lvl w:ilvl="6" w:tplc="08EA4534">
      <w:start w:val="1"/>
      <w:numFmt w:val="decimal"/>
      <w:lvlText w:val="%7."/>
      <w:lvlJc w:val="left"/>
      <w:pPr>
        <w:ind w:left="5040" w:hanging="360"/>
      </w:pPr>
    </w:lvl>
    <w:lvl w:ilvl="7" w:tplc="697AD5AC">
      <w:start w:val="1"/>
      <w:numFmt w:val="lowerLetter"/>
      <w:lvlText w:val="%8."/>
      <w:lvlJc w:val="left"/>
      <w:pPr>
        <w:ind w:left="5760" w:hanging="360"/>
      </w:pPr>
    </w:lvl>
    <w:lvl w:ilvl="8" w:tplc="AD202EDC">
      <w:start w:val="1"/>
      <w:numFmt w:val="lowerRoman"/>
      <w:lvlText w:val="%9."/>
      <w:lvlJc w:val="right"/>
      <w:pPr>
        <w:ind w:left="6480" w:hanging="180"/>
      </w:pPr>
    </w:lvl>
  </w:abstractNum>
  <w:abstractNum w:abstractNumId="19" w15:restartNumberingAfterBreak="0">
    <w:nsid w:val="2CF90CD6"/>
    <w:multiLevelType w:val="hybridMultilevel"/>
    <w:tmpl w:val="1D1E7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980AF1"/>
    <w:multiLevelType w:val="hybridMultilevel"/>
    <w:tmpl w:val="BF406E46"/>
    <w:lvl w:ilvl="0" w:tplc="9D6EF464">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B67B4E"/>
    <w:multiLevelType w:val="hybridMultilevel"/>
    <w:tmpl w:val="8BE075E8"/>
    <w:lvl w:ilvl="0" w:tplc="1C5447A2">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BC24F5"/>
    <w:multiLevelType w:val="hybridMultilevel"/>
    <w:tmpl w:val="FFFFFFFF"/>
    <w:lvl w:ilvl="0" w:tplc="25CA1664">
      <w:start w:val="1"/>
      <w:numFmt w:val="lowerLetter"/>
      <w:lvlText w:val="%1."/>
      <w:lvlJc w:val="left"/>
      <w:pPr>
        <w:ind w:left="720" w:hanging="360"/>
      </w:pPr>
    </w:lvl>
    <w:lvl w:ilvl="1" w:tplc="5E10161A">
      <w:start w:val="1"/>
      <w:numFmt w:val="lowerLetter"/>
      <w:lvlText w:val="%2."/>
      <w:lvlJc w:val="left"/>
      <w:pPr>
        <w:ind w:left="1440" w:hanging="360"/>
      </w:pPr>
    </w:lvl>
    <w:lvl w:ilvl="2" w:tplc="4426DB7E">
      <w:start w:val="1"/>
      <w:numFmt w:val="lowerRoman"/>
      <w:lvlText w:val="%3."/>
      <w:lvlJc w:val="right"/>
      <w:pPr>
        <w:ind w:left="2160" w:hanging="180"/>
      </w:pPr>
    </w:lvl>
    <w:lvl w:ilvl="3" w:tplc="167E3A66">
      <w:start w:val="1"/>
      <w:numFmt w:val="decimal"/>
      <w:lvlText w:val="%4."/>
      <w:lvlJc w:val="left"/>
      <w:pPr>
        <w:ind w:left="2880" w:hanging="360"/>
      </w:pPr>
    </w:lvl>
    <w:lvl w:ilvl="4" w:tplc="ADA051AA">
      <w:start w:val="1"/>
      <w:numFmt w:val="lowerLetter"/>
      <w:lvlText w:val="%5."/>
      <w:lvlJc w:val="left"/>
      <w:pPr>
        <w:ind w:left="3600" w:hanging="360"/>
      </w:pPr>
    </w:lvl>
    <w:lvl w:ilvl="5" w:tplc="6FD0069C">
      <w:start w:val="1"/>
      <w:numFmt w:val="lowerRoman"/>
      <w:lvlText w:val="%6."/>
      <w:lvlJc w:val="right"/>
      <w:pPr>
        <w:ind w:left="4320" w:hanging="180"/>
      </w:pPr>
    </w:lvl>
    <w:lvl w:ilvl="6" w:tplc="ED22C694">
      <w:start w:val="1"/>
      <w:numFmt w:val="decimal"/>
      <w:lvlText w:val="%7."/>
      <w:lvlJc w:val="left"/>
      <w:pPr>
        <w:ind w:left="5040" w:hanging="360"/>
      </w:pPr>
    </w:lvl>
    <w:lvl w:ilvl="7" w:tplc="A6B87C96">
      <w:start w:val="1"/>
      <w:numFmt w:val="lowerLetter"/>
      <w:lvlText w:val="%8."/>
      <w:lvlJc w:val="left"/>
      <w:pPr>
        <w:ind w:left="5760" w:hanging="360"/>
      </w:pPr>
    </w:lvl>
    <w:lvl w:ilvl="8" w:tplc="F94A1C00">
      <w:start w:val="1"/>
      <w:numFmt w:val="lowerRoman"/>
      <w:lvlText w:val="%9."/>
      <w:lvlJc w:val="right"/>
      <w:pPr>
        <w:ind w:left="6480" w:hanging="180"/>
      </w:pPr>
    </w:lvl>
  </w:abstractNum>
  <w:abstractNum w:abstractNumId="23" w15:restartNumberingAfterBreak="0">
    <w:nsid w:val="375910B4"/>
    <w:multiLevelType w:val="hybridMultilevel"/>
    <w:tmpl w:val="2034EF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4660B7"/>
    <w:multiLevelType w:val="hybridMultilevel"/>
    <w:tmpl w:val="14D8F1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315A2B"/>
    <w:multiLevelType w:val="hybridMultilevel"/>
    <w:tmpl w:val="FFFFFFFF"/>
    <w:lvl w:ilvl="0" w:tplc="E9982112">
      <w:start w:val="1"/>
      <w:numFmt w:val="lowerLetter"/>
      <w:lvlText w:val="%1."/>
      <w:lvlJc w:val="left"/>
      <w:pPr>
        <w:ind w:left="720" w:hanging="360"/>
      </w:pPr>
    </w:lvl>
    <w:lvl w:ilvl="1" w:tplc="021059D4">
      <w:start w:val="1"/>
      <w:numFmt w:val="lowerLetter"/>
      <w:lvlText w:val="%2."/>
      <w:lvlJc w:val="left"/>
      <w:pPr>
        <w:ind w:left="1440" w:hanging="360"/>
      </w:pPr>
    </w:lvl>
    <w:lvl w:ilvl="2" w:tplc="919CB9FA">
      <w:start w:val="1"/>
      <w:numFmt w:val="lowerRoman"/>
      <w:lvlText w:val="%3."/>
      <w:lvlJc w:val="right"/>
      <w:pPr>
        <w:ind w:left="2160" w:hanging="180"/>
      </w:pPr>
    </w:lvl>
    <w:lvl w:ilvl="3" w:tplc="40485C84">
      <w:start w:val="1"/>
      <w:numFmt w:val="decimal"/>
      <w:lvlText w:val="%4."/>
      <w:lvlJc w:val="left"/>
      <w:pPr>
        <w:ind w:left="2880" w:hanging="360"/>
      </w:pPr>
    </w:lvl>
    <w:lvl w:ilvl="4" w:tplc="B91E6948">
      <w:start w:val="1"/>
      <w:numFmt w:val="lowerLetter"/>
      <w:lvlText w:val="%5."/>
      <w:lvlJc w:val="left"/>
      <w:pPr>
        <w:ind w:left="3600" w:hanging="360"/>
      </w:pPr>
    </w:lvl>
    <w:lvl w:ilvl="5" w:tplc="75F4B1BE">
      <w:start w:val="1"/>
      <w:numFmt w:val="lowerRoman"/>
      <w:lvlText w:val="%6."/>
      <w:lvlJc w:val="right"/>
      <w:pPr>
        <w:ind w:left="4320" w:hanging="180"/>
      </w:pPr>
    </w:lvl>
    <w:lvl w:ilvl="6" w:tplc="72DA8F62">
      <w:start w:val="1"/>
      <w:numFmt w:val="decimal"/>
      <w:lvlText w:val="%7."/>
      <w:lvlJc w:val="left"/>
      <w:pPr>
        <w:ind w:left="5040" w:hanging="360"/>
      </w:pPr>
    </w:lvl>
    <w:lvl w:ilvl="7" w:tplc="25D4ABB0">
      <w:start w:val="1"/>
      <w:numFmt w:val="lowerLetter"/>
      <w:lvlText w:val="%8."/>
      <w:lvlJc w:val="left"/>
      <w:pPr>
        <w:ind w:left="5760" w:hanging="360"/>
      </w:pPr>
    </w:lvl>
    <w:lvl w:ilvl="8" w:tplc="F1062338">
      <w:start w:val="1"/>
      <w:numFmt w:val="lowerRoman"/>
      <w:lvlText w:val="%9."/>
      <w:lvlJc w:val="right"/>
      <w:pPr>
        <w:ind w:left="6480" w:hanging="180"/>
      </w:pPr>
    </w:lvl>
  </w:abstractNum>
  <w:abstractNum w:abstractNumId="26" w15:restartNumberingAfterBreak="0">
    <w:nsid w:val="446A4BEF"/>
    <w:multiLevelType w:val="hybridMultilevel"/>
    <w:tmpl w:val="FFFFFFFF"/>
    <w:lvl w:ilvl="0" w:tplc="BE30E7BE">
      <w:start w:val="1"/>
      <w:numFmt w:val="lowerLetter"/>
      <w:lvlText w:val="%1."/>
      <w:lvlJc w:val="left"/>
      <w:pPr>
        <w:ind w:left="720" w:hanging="360"/>
      </w:pPr>
    </w:lvl>
    <w:lvl w:ilvl="1" w:tplc="176E488A">
      <w:start w:val="1"/>
      <w:numFmt w:val="lowerLetter"/>
      <w:lvlText w:val="%2."/>
      <w:lvlJc w:val="left"/>
      <w:pPr>
        <w:ind w:left="1440" w:hanging="360"/>
      </w:pPr>
    </w:lvl>
    <w:lvl w:ilvl="2" w:tplc="3EFCC9F8">
      <w:start w:val="1"/>
      <w:numFmt w:val="lowerRoman"/>
      <w:lvlText w:val="%3."/>
      <w:lvlJc w:val="right"/>
      <w:pPr>
        <w:ind w:left="2160" w:hanging="180"/>
      </w:pPr>
    </w:lvl>
    <w:lvl w:ilvl="3" w:tplc="B1F0B34A">
      <w:start w:val="1"/>
      <w:numFmt w:val="decimal"/>
      <w:lvlText w:val="%4."/>
      <w:lvlJc w:val="left"/>
      <w:pPr>
        <w:ind w:left="2880" w:hanging="360"/>
      </w:pPr>
    </w:lvl>
    <w:lvl w:ilvl="4" w:tplc="8DCA23C4">
      <w:start w:val="1"/>
      <w:numFmt w:val="lowerLetter"/>
      <w:lvlText w:val="%5."/>
      <w:lvlJc w:val="left"/>
      <w:pPr>
        <w:ind w:left="3600" w:hanging="360"/>
      </w:pPr>
    </w:lvl>
    <w:lvl w:ilvl="5" w:tplc="A050BE3C">
      <w:start w:val="1"/>
      <w:numFmt w:val="lowerRoman"/>
      <w:lvlText w:val="%6."/>
      <w:lvlJc w:val="right"/>
      <w:pPr>
        <w:ind w:left="4320" w:hanging="180"/>
      </w:pPr>
    </w:lvl>
    <w:lvl w:ilvl="6" w:tplc="82E61DBA">
      <w:start w:val="1"/>
      <w:numFmt w:val="decimal"/>
      <w:lvlText w:val="%7."/>
      <w:lvlJc w:val="left"/>
      <w:pPr>
        <w:ind w:left="5040" w:hanging="360"/>
      </w:pPr>
    </w:lvl>
    <w:lvl w:ilvl="7" w:tplc="DDAA856A">
      <w:start w:val="1"/>
      <w:numFmt w:val="lowerLetter"/>
      <w:lvlText w:val="%8."/>
      <w:lvlJc w:val="left"/>
      <w:pPr>
        <w:ind w:left="5760" w:hanging="360"/>
      </w:pPr>
    </w:lvl>
    <w:lvl w:ilvl="8" w:tplc="999C841E">
      <w:start w:val="1"/>
      <w:numFmt w:val="lowerRoman"/>
      <w:lvlText w:val="%9."/>
      <w:lvlJc w:val="right"/>
      <w:pPr>
        <w:ind w:left="6480" w:hanging="180"/>
      </w:pPr>
    </w:lvl>
  </w:abstractNum>
  <w:abstractNum w:abstractNumId="27" w15:restartNumberingAfterBreak="0">
    <w:nsid w:val="459470DB"/>
    <w:multiLevelType w:val="hybridMultilevel"/>
    <w:tmpl w:val="ADC85046"/>
    <w:lvl w:ilvl="0" w:tplc="A53EE466">
      <w:start w:val="8"/>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5C14B15"/>
    <w:multiLevelType w:val="hybridMultilevel"/>
    <w:tmpl w:val="FFFFFFFF"/>
    <w:lvl w:ilvl="0" w:tplc="5F687D28">
      <w:start w:val="1"/>
      <w:numFmt w:val="lowerLetter"/>
      <w:lvlText w:val="%1."/>
      <w:lvlJc w:val="left"/>
      <w:pPr>
        <w:ind w:left="720" w:hanging="360"/>
      </w:pPr>
    </w:lvl>
    <w:lvl w:ilvl="1" w:tplc="022A641A">
      <w:start w:val="1"/>
      <w:numFmt w:val="lowerLetter"/>
      <w:lvlText w:val="%2."/>
      <w:lvlJc w:val="left"/>
      <w:pPr>
        <w:ind w:left="1440" w:hanging="360"/>
      </w:pPr>
    </w:lvl>
    <w:lvl w:ilvl="2" w:tplc="931C089A">
      <w:start w:val="1"/>
      <w:numFmt w:val="lowerRoman"/>
      <w:lvlText w:val="%3."/>
      <w:lvlJc w:val="right"/>
      <w:pPr>
        <w:ind w:left="2160" w:hanging="180"/>
      </w:pPr>
    </w:lvl>
    <w:lvl w:ilvl="3" w:tplc="462ECB78">
      <w:start w:val="1"/>
      <w:numFmt w:val="decimal"/>
      <w:lvlText w:val="%4."/>
      <w:lvlJc w:val="left"/>
      <w:pPr>
        <w:ind w:left="2880" w:hanging="360"/>
      </w:pPr>
    </w:lvl>
    <w:lvl w:ilvl="4" w:tplc="44F6EFC0">
      <w:start w:val="1"/>
      <w:numFmt w:val="lowerLetter"/>
      <w:lvlText w:val="%5."/>
      <w:lvlJc w:val="left"/>
      <w:pPr>
        <w:ind w:left="3600" w:hanging="360"/>
      </w:pPr>
    </w:lvl>
    <w:lvl w:ilvl="5" w:tplc="54CEEEAC">
      <w:start w:val="1"/>
      <w:numFmt w:val="lowerRoman"/>
      <w:lvlText w:val="%6."/>
      <w:lvlJc w:val="right"/>
      <w:pPr>
        <w:ind w:left="4320" w:hanging="180"/>
      </w:pPr>
    </w:lvl>
    <w:lvl w:ilvl="6" w:tplc="CA4E9A48">
      <w:start w:val="1"/>
      <w:numFmt w:val="decimal"/>
      <w:lvlText w:val="%7."/>
      <w:lvlJc w:val="left"/>
      <w:pPr>
        <w:ind w:left="5040" w:hanging="360"/>
      </w:pPr>
    </w:lvl>
    <w:lvl w:ilvl="7" w:tplc="5F56CCD6">
      <w:start w:val="1"/>
      <w:numFmt w:val="lowerLetter"/>
      <w:lvlText w:val="%8."/>
      <w:lvlJc w:val="left"/>
      <w:pPr>
        <w:ind w:left="5760" w:hanging="360"/>
      </w:pPr>
    </w:lvl>
    <w:lvl w:ilvl="8" w:tplc="A13E3586">
      <w:start w:val="1"/>
      <w:numFmt w:val="lowerRoman"/>
      <w:lvlText w:val="%9."/>
      <w:lvlJc w:val="right"/>
      <w:pPr>
        <w:ind w:left="6480" w:hanging="180"/>
      </w:pPr>
    </w:lvl>
  </w:abstractNum>
  <w:abstractNum w:abstractNumId="29" w15:restartNumberingAfterBreak="0">
    <w:nsid w:val="45E404E7"/>
    <w:multiLevelType w:val="hybridMultilevel"/>
    <w:tmpl w:val="7F42A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FF5A66"/>
    <w:multiLevelType w:val="hybridMultilevel"/>
    <w:tmpl w:val="FFFFFFFF"/>
    <w:lvl w:ilvl="0" w:tplc="8DD0E27C">
      <w:start w:val="1"/>
      <w:numFmt w:val="bullet"/>
      <w:lvlText w:val=""/>
      <w:lvlJc w:val="left"/>
      <w:pPr>
        <w:ind w:left="720" w:hanging="360"/>
      </w:pPr>
      <w:rPr>
        <w:rFonts w:ascii="Symbol" w:hAnsi="Symbol" w:hint="default"/>
      </w:rPr>
    </w:lvl>
    <w:lvl w:ilvl="1" w:tplc="3C6C8D5C">
      <w:start w:val="1"/>
      <w:numFmt w:val="bullet"/>
      <w:lvlText w:val="o"/>
      <w:lvlJc w:val="left"/>
      <w:pPr>
        <w:ind w:left="1440" w:hanging="360"/>
      </w:pPr>
      <w:rPr>
        <w:rFonts w:ascii="Courier New" w:hAnsi="Courier New" w:hint="default"/>
      </w:rPr>
    </w:lvl>
    <w:lvl w:ilvl="2" w:tplc="94867214">
      <w:start w:val="1"/>
      <w:numFmt w:val="bullet"/>
      <w:lvlText w:val=""/>
      <w:lvlJc w:val="left"/>
      <w:pPr>
        <w:ind w:left="2160" w:hanging="360"/>
      </w:pPr>
      <w:rPr>
        <w:rFonts w:ascii="Wingdings" w:hAnsi="Wingdings" w:hint="default"/>
      </w:rPr>
    </w:lvl>
    <w:lvl w:ilvl="3" w:tplc="E6F4CFA2">
      <w:start w:val="1"/>
      <w:numFmt w:val="bullet"/>
      <w:lvlText w:val=""/>
      <w:lvlJc w:val="left"/>
      <w:pPr>
        <w:ind w:left="2880" w:hanging="360"/>
      </w:pPr>
      <w:rPr>
        <w:rFonts w:ascii="Symbol" w:hAnsi="Symbol" w:hint="default"/>
      </w:rPr>
    </w:lvl>
    <w:lvl w:ilvl="4" w:tplc="0A58288E">
      <w:start w:val="1"/>
      <w:numFmt w:val="bullet"/>
      <w:lvlText w:val="o"/>
      <w:lvlJc w:val="left"/>
      <w:pPr>
        <w:ind w:left="3600" w:hanging="360"/>
      </w:pPr>
      <w:rPr>
        <w:rFonts w:ascii="Courier New" w:hAnsi="Courier New" w:hint="default"/>
      </w:rPr>
    </w:lvl>
    <w:lvl w:ilvl="5" w:tplc="21CA854E">
      <w:start w:val="1"/>
      <w:numFmt w:val="bullet"/>
      <w:lvlText w:val=""/>
      <w:lvlJc w:val="left"/>
      <w:pPr>
        <w:ind w:left="4320" w:hanging="360"/>
      </w:pPr>
      <w:rPr>
        <w:rFonts w:ascii="Wingdings" w:hAnsi="Wingdings" w:hint="default"/>
      </w:rPr>
    </w:lvl>
    <w:lvl w:ilvl="6" w:tplc="7DF492F2">
      <w:start w:val="1"/>
      <w:numFmt w:val="bullet"/>
      <w:lvlText w:val=""/>
      <w:lvlJc w:val="left"/>
      <w:pPr>
        <w:ind w:left="5040" w:hanging="360"/>
      </w:pPr>
      <w:rPr>
        <w:rFonts w:ascii="Symbol" w:hAnsi="Symbol" w:hint="default"/>
      </w:rPr>
    </w:lvl>
    <w:lvl w:ilvl="7" w:tplc="E78C6D4C">
      <w:start w:val="1"/>
      <w:numFmt w:val="bullet"/>
      <w:lvlText w:val="o"/>
      <w:lvlJc w:val="left"/>
      <w:pPr>
        <w:ind w:left="5760" w:hanging="360"/>
      </w:pPr>
      <w:rPr>
        <w:rFonts w:ascii="Courier New" w:hAnsi="Courier New" w:hint="default"/>
      </w:rPr>
    </w:lvl>
    <w:lvl w:ilvl="8" w:tplc="874E645E">
      <w:start w:val="1"/>
      <w:numFmt w:val="bullet"/>
      <w:lvlText w:val=""/>
      <w:lvlJc w:val="left"/>
      <w:pPr>
        <w:ind w:left="6480" w:hanging="360"/>
      </w:pPr>
      <w:rPr>
        <w:rFonts w:ascii="Wingdings" w:hAnsi="Wingdings" w:hint="default"/>
      </w:rPr>
    </w:lvl>
  </w:abstractNum>
  <w:abstractNum w:abstractNumId="31" w15:restartNumberingAfterBreak="0">
    <w:nsid w:val="49C256ED"/>
    <w:multiLevelType w:val="hybridMultilevel"/>
    <w:tmpl w:val="FFFFFFFF"/>
    <w:lvl w:ilvl="0" w:tplc="1C822686">
      <w:start w:val="1"/>
      <w:numFmt w:val="lowerLetter"/>
      <w:lvlText w:val="%1."/>
      <w:lvlJc w:val="left"/>
      <w:pPr>
        <w:ind w:left="720" w:hanging="360"/>
      </w:pPr>
    </w:lvl>
    <w:lvl w:ilvl="1" w:tplc="63E4B3D6">
      <w:start w:val="1"/>
      <w:numFmt w:val="lowerLetter"/>
      <w:lvlText w:val="%2."/>
      <w:lvlJc w:val="left"/>
      <w:pPr>
        <w:ind w:left="1440" w:hanging="360"/>
      </w:pPr>
    </w:lvl>
    <w:lvl w:ilvl="2" w:tplc="A16AE3F6">
      <w:start w:val="1"/>
      <w:numFmt w:val="lowerRoman"/>
      <w:lvlText w:val="%3."/>
      <w:lvlJc w:val="right"/>
      <w:pPr>
        <w:ind w:left="2160" w:hanging="180"/>
      </w:pPr>
    </w:lvl>
    <w:lvl w:ilvl="3" w:tplc="1500DFE0">
      <w:start w:val="1"/>
      <w:numFmt w:val="decimal"/>
      <w:lvlText w:val="%4."/>
      <w:lvlJc w:val="left"/>
      <w:pPr>
        <w:ind w:left="2880" w:hanging="360"/>
      </w:pPr>
    </w:lvl>
    <w:lvl w:ilvl="4" w:tplc="55DAE3A6">
      <w:start w:val="1"/>
      <w:numFmt w:val="lowerLetter"/>
      <w:lvlText w:val="%5."/>
      <w:lvlJc w:val="left"/>
      <w:pPr>
        <w:ind w:left="3600" w:hanging="360"/>
      </w:pPr>
    </w:lvl>
    <w:lvl w:ilvl="5" w:tplc="D8AAA61E">
      <w:start w:val="1"/>
      <w:numFmt w:val="lowerRoman"/>
      <w:lvlText w:val="%6."/>
      <w:lvlJc w:val="right"/>
      <w:pPr>
        <w:ind w:left="4320" w:hanging="180"/>
      </w:pPr>
    </w:lvl>
    <w:lvl w:ilvl="6" w:tplc="46EAF090">
      <w:start w:val="1"/>
      <w:numFmt w:val="decimal"/>
      <w:lvlText w:val="%7."/>
      <w:lvlJc w:val="left"/>
      <w:pPr>
        <w:ind w:left="5040" w:hanging="360"/>
      </w:pPr>
    </w:lvl>
    <w:lvl w:ilvl="7" w:tplc="56542526">
      <w:start w:val="1"/>
      <w:numFmt w:val="lowerLetter"/>
      <w:lvlText w:val="%8."/>
      <w:lvlJc w:val="left"/>
      <w:pPr>
        <w:ind w:left="5760" w:hanging="360"/>
      </w:pPr>
    </w:lvl>
    <w:lvl w:ilvl="8" w:tplc="7A00B910">
      <w:start w:val="1"/>
      <w:numFmt w:val="lowerRoman"/>
      <w:lvlText w:val="%9."/>
      <w:lvlJc w:val="right"/>
      <w:pPr>
        <w:ind w:left="6480" w:hanging="180"/>
      </w:pPr>
    </w:lvl>
  </w:abstractNum>
  <w:abstractNum w:abstractNumId="32" w15:restartNumberingAfterBreak="0">
    <w:nsid w:val="551A7EBA"/>
    <w:multiLevelType w:val="hybridMultilevel"/>
    <w:tmpl w:val="FFFFFFFF"/>
    <w:lvl w:ilvl="0" w:tplc="D506F242">
      <w:start w:val="1"/>
      <w:numFmt w:val="lowerLetter"/>
      <w:lvlText w:val="%1."/>
      <w:lvlJc w:val="left"/>
      <w:pPr>
        <w:ind w:left="720" w:hanging="360"/>
      </w:pPr>
    </w:lvl>
    <w:lvl w:ilvl="1" w:tplc="8CD40D7C">
      <w:start w:val="1"/>
      <w:numFmt w:val="lowerLetter"/>
      <w:lvlText w:val="%2."/>
      <w:lvlJc w:val="left"/>
      <w:pPr>
        <w:ind w:left="1440" w:hanging="360"/>
      </w:pPr>
    </w:lvl>
    <w:lvl w:ilvl="2" w:tplc="B956AB8A">
      <w:start w:val="1"/>
      <w:numFmt w:val="lowerRoman"/>
      <w:lvlText w:val="%3."/>
      <w:lvlJc w:val="right"/>
      <w:pPr>
        <w:ind w:left="2160" w:hanging="180"/>
      </w:pPr>
    </w:lvl>
    <w:lvl w:ilvl="3" w:tplc="7B4EF660">
      <w:start w:val="1"/>
      <w:numFmt w:val="decimal"/>
      <w:lvlText w:val="%4."/>
      <w:lvlJc w:val="left"/>
      <w:pPr>
        <w:ind w:left="2880" w:hanging="360"/>
      </w:pPr>
    </w:lvl>
    <w:lvl w:ilvl="4" w:tplc="428E8BD8">
      <w:start w:val="1"/>
      <w:numFmt w:val="lowerLetter"/>
      <w:lvlText w:val="%5."/>
      <w:lvlJc w:val="left"/>
      <w:pPr>
        <w:ind w:left="3600" w:hanging="360"/>
      </w:pPr>
    </w:lvl>
    <w:lvl w:ilvl="5" w:tplc="60C4B350">
      <w:start w:val="1"/>
      <w:numFmt w:val="lowerRoman"/>
      <w:lvlText w:val="%6."/>
      <w:lvlJc w:val="right"/>
      <w:pPr>
        <w:ind w:left="4320" w:hanging="180"/>
      </w:pPr>
    </w:lvl>
    <w:lvl w:ilvl="6" w:tplc="9C9A3CE6">
      <w:start w:val="1"/>
      <w:numFmt w:val="decimal"/>
      <w:lvlText w:val="%7."/>
      <w:lvlJc w:val="left"/>
      <w:pPr>
        <w:ind w:left="5040" w:hanging="360"/>
      </w:pPr>
    </w:lvl>
    <w:lvl w:ilvl="7" w:tplc="BB16EB04">
      <w:start w:val="1"/>
      <w:numFmt w:val="lowerLetter"/>
      <w:lvlText w:val="%8."/>
      <w:lvlJc w:val="left"/>
      <w:pPr>
        <w:ind w:left="5760" w:hanging="360"/>
      </w:pPr>
    </w:lvl>
    <w:lvl w:ilvl="8" w:tplc="B770BEE2">
      <w:start w:val="1"/>
      <w:numFmt w:val="lowerRoman"/>
      <w:lvlText w:val="%9."/>
      <w:lvlJc w:val="right"/>
      <w:pPr>
        <w:ind w:left="6480" w:hanging="180"/>
      </w:pPr>
    </w:lvl>
  </w:abstractNum>
  <w:abstractNum w:abstractNumId="33" w15:restartNumberingAfterBreak="0">
    <w:nsid w:val="55655220"/>
    <w:multiLevelType w:val="hybridMultilevel"/>
    <w:tmpl w:val="FFFFFFFF"/>
    <w:lvl w:ilvl="0" w:tplc="AE86BB08">
      <w:start w:val="1"/>
      <w:numFmt w:val="lowerLetter"/>
      <w:lvlText w:val="%1."/>
      <w:lvlJc w:val="left"/>
      <w:pPr>
        <w:ind w:left="720" w:hanging="360"/>
      </w:pPr>
    </w:lvl>
    <w:lvl w:ilvl="1" w:tplc="D82C9936">
      <w:start w:val="1"/>
      <w:numFmt w:val="lowerLetter"/>
      <w:lvlText w:val="%2."/>
      <w:lvlJc w:val="left"/>
      <w:pPr>
        <w:ind w:left="1440" w:hanging="360"/>
      </w:pPr>
    </w:lvl>
    <w:lvl w:ilvl="2" w:tplc="45A8BAE8">
      <w:start w:val="1"/>
      <w:numFmt w:val="lowerRoman"/>
      <w:lvlText w:val="%3."/>
      <w:lvlJc w:val="right"/>
      <w:pPr>
        <w:ind w:left="2160" w:hanging="180"/>
      </w:pPr>
    </w:lvl>
    <w:lvl w:ilvl="3" w:tplc="DA5233C4">
      <w:start w:val="1"/>
      <w:numFmt w:val="decimal"/>
      <w:lvlText w:val="%4."/>
      <w:lvlJc w:val="left"/>
      <w:pPr>
        <w:ind w:left="2880" w:hanging="360"/>
      </w:pPr>
    </w:lvl>
    <w:lvl w:ilvl="4" w:tplc="624424B2">
      <w:start w:val="1"/>
      <w:numFmt w:val="lowerLetter"/>
      <w:lvlText w:val="%5."/>
      <w:lvlJc w:val="left"/>
      <w:pPr>
        <w:ind w:left="3600" w:hanging="360"/>
      </w:pPr>
    </w:lvl>
    <w:lvl w:ilvl="5" w:tplc="44D04FF0">
      <w:start w:val="1"/>
      <w:numFmt w:val="lowerRoman"/>
      <w:lvlText w:val="%6."/>
      <w:lvlJc w:val="right"/>
      <w:pPr>
        <w:ind w:left="4320" w:hanging="180"/>
      </w:pPr>
    </w:lvl>
    <w:lvl w:ilvl="6" w:tplc="222A1942">
      <w:start w:val="1"/>
      <w:numFmt w:val="decimal"/>
      <w:lvlText w:val="%7."/>
      <w:lvlJc w:val="left"/>
      <w:pPr>
        <w:ind w:left="5040" w:hanging="360"/>
      </w:pPr>
    </w:lvl>
    <w:lvl w:ilvl="7" w:tplc="5F3E5782">
      <w:start w:val="1"/>
      <w:numFmt w:val="lowerLetter"/>
      <w:lvlText w:val="%8."/>
      <w:lvlJc w:val="left"/>
      <w:pPr>
        <w:ind w:left="5760" w:hanging="360"/>
      </w:pPr>
    </w:lvl>
    <w:lvl w:ilvl="8" w:tplc="8328049C">
      <w:start w:val="1"/>
      <w:numFmt w:val="lowerRoman"/>
      <w:lvlText w:val="%9."/>
      <w:lvlJc w:val="right"/>
      <w:pPr>
        <w:ind w:left="6480" w:hanging="180"/>
      </w:pPr>
    </w:lvl>
  </w:abstractNum>
  <w:abstractNum w:abstractNumId="34" w15:restartNumberingAfterBreak="0">
    <w:nsid w:val="56007A8F"/>
    <w:multiLevelType w:val="hybridMultilevel"/>
    <w:tmpl w:val="042A3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F52E39"/>
    <w:multiLevelType w:val="hybridMultilevel"/>
    <w:tmpl w:val="FFFFFFFF"/>
    <w:lvl w:ilvl="0" w:tplc="D7B02FCA">
      <w:start w:val="1"/>
      <w:numFmt w:val="lowerLetter"/>
      <w:lvlText w:val="%1."/>
      <w:lvlJc w:val="left"/>
      <w:pPr>
        <w:ind w:left="720" w:hanging="360"/>
      </w:pPr>
    </w:lvl>
    <w:lvl w:ilvl="1" w:tplc="D0ACD588">
      <w:start w:val="1"/>
      <w:numFmt w:val="lowerLetter"/>
      <w:lvlText w:val="%2."/>
      <w:lvlJc w:val="left"/>
      <w:pPr>
        <w:ind w:left="1440" w:hanging="360"/>
      </w:pPr>
    </w:lvl>
    <w:lvl w:ilvl="2" w:tplc="38EAD28E">
      <w:start w:val="1"/>
      <w:numFmt w:val="lowerRoman"/>
      <w:lvlText w:val="%3."/>
      <w:lvlJc w:val="right"/>
      <w:pPr>
        <w:ind w:left="2160" w:hanging="180"/>
      </w:pPr>
    </w:lvl>
    <w:lvl w:ilvl="3" w:tplc="427625B0">
      <w:start w:val="1"/>
      <w:numFmt w:val="decimal"/>
      <w:lvlText w:val="%4."/>
      <w:lvlJc w:val="left"/>
      <w:pPr>
        <w:ind w:left="2880" w:hanging="360"/>
      </w:pPr>
    </w:lvl>
    <w:lvl w:ilvl="4" w:tplc="243C8128">
      <w:start w:val="1"/>
      <w:numFmt w:val="lowerLetter"/>
      <w:lvlText w:val="%5."/>
      <w:lvlJc w:val="left"/>
      <w:pPr>
        <w:ind w:left="3600" w:hanging="360"/>
      </w:pPr>
    </w:lvl>
    <w:lvl w:ilvl="5" w:tplc="7D709732">
      <w:start w:val="1"/>
      <w:numFmt w:val="lowerRoman"/>
      <w:lvlText w:val="%6."/>
      <w:lvlJc w:val="right"/>
      <w:pPr>
        <w:ind w:left="4320" w:hanging="180"/>
      </w:pPr>
    </w:lvl>
    <w:lvl w:ilvl="6" w:tplc="FB941FC4">
      <w:start w:val="1"/>
      <w:numFmt w:val="decimal"/>
      <w:lvlText w:val="%7."/>
      <w:lvlJc w:val="left"/>
      <w:pPr>
        <w:ind w:left="5040" w:hanging="360"/>
      </w:pPr>
    </w:lvl>
    <w:lvl w:ilvl="7" w:tplc="1AFC94E2">
      <w:start w:val="1"/>
      <w:numFmt w:val="lowerLetter"/>
      <w:lvlText w:val="%8."/>
      <w:lvlJc w:val="left"/>
      <w:pPr>
        <w:ind w:left="5760" w:hanging="360"/>
      </w:pPr>
    </w:lvl>
    <w:lvl w:ilvl="8" w:tplc="50460EFC">
      <w:start w:val="1"/>
      <w:numFmt w:val="lowerRoman"/>
      <w:lvlText w:val="%9."/>
      <w:lvlJc w:val="right"/>
      <w:pPr>
        <w:ind w:left="6480" w:hanging="180"/>
      </w:pPr>
    </w:lvl>
  </w:abstractNum>
  <w:abstractNum w:abstractNumId="36" w15:restartNumberingAfterBreak="0">
    <w:nsid w:val="578B2932"/>
    <w:multiLevelType w:val="hybridMultilevel"/>
    <w:tmpl w:val="0F30240E"/>
    <w:lvl w:ilvl="0" w:tplc="6C487042">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7" w15:restartNumberingAfterBreak="0">
    <w:nsid w:val="5B521CE3"/>
    <w:multiLevelType w:val="hybridMultilevel"/>
    <w:tmpl w:val="FFFFFFFF"/>
    <w:lvl w:ilvl="0" w:tplc="FFFFFFFF">
      <w:start w:val="1"/>
      <w:numFmt w:val="bullet"/>
      <w:lvlText w:val=""/>
      <w:lvlJc w:val="left"/>
      <w:pPr>
        <w:ind w:left="720" w:hanging="360"/>
      </w:pPr>
      <w:rPr>
        <w:rFonts w:ascii="Symbol" w:hAnsi="Symbol" w:hint="default"/>
      </w:rPr>
    </w:lvl>
    <w:lvl w:ilvl="1" w:tplc="170EC79C">
      <w:start w:val="1"/>
      <w:numFmt w:val="bullet"/>
      <w:lvlText w:val="o"/>
      <w:lvlJc w:val="left"/>
      <w:pPr>
        <w:ind w:left="1440" w:hanging="360"/>
      </w:pPr>
      <w:rPr>
        <w:rFonts w:ascii="Courier New" w:hAnsi="Courier New" w:hint="default"/>
      </w:rPr>
    </w:lvl>
    <w:lvl w:ilvl="2" w:tplc="635664B8">
      <w:start w:val="1"/>
      <w:numFmt w:val="bullet"/>
      <w:lvlText w:val=""/>
      <w:lvlJc w:val="left"/>
      <w:pPr>
        <w:ind w:left="2160" w:hanging="360"/>
      </w:pPr>
      <w:rPr>
        <w:rFonts w:ascii="Wingdings" w:hAnsi="Wingdings" w:hint="default"/>
      </w:rPr>
    </w:lvl>
    <w:lvl w:ilvl="3" w:tplc="648EF83C">
      <w:start w:val="1"/>
      <w:numFmt w:val="bullet"/>
      <w:lvlText w:val=""/>
      <w:lvlJc w:val="left"/>
      <w:pPr>
        <w:ind w:left="2880" w:hanging="360"/>
      </w:pPr>
      <w:rPr>
        <w:rFonts w:ascii="Symbol" w:hAnsi="Symbol" w:hint="default"/>
      </w:rPr>
    </w:lvl>
    <w:lvl w:ilvl="4" w:tplc="A3EE9020">
      <w:start w:val="1"/>
      <w:numFmt w:val="bullet"/>
      <w:lvlText w:val="o"/>
      <w:lvlJc w:val="left"/>
      <w:pPr>
        <w:ind w:left="3600" w:hanging="360"/>
      </w:pPr>
      <w:rPr>
        <w:rFonts w:ascii="Courier New" w:hAnsi="Courier New" w:hint="default"/>
      </w:rPr>
    </w:lvl>
    <w:lvl w:ilvl="5" w:tplc="9F4A4DFE">
      <w:start w:val="1"/>
      <w:numFmt w:val="bullet"/>
      <w:lvlText w:val=""/>
      <w:lvlJc w:val="left"/>
      <w:pPr>
        <w:ind w:left="4320" w:hanging="360"/>
      </w:pPr>
      <w:rPr>
        <w:rFonts w:ascii="Wingdings" w:hAnsi="Wingdings" w:hint="default"/>
      </w:rPr>
    </w:lvl>
    <w:lvl w:ilvl="6" w:tplc="721E4518">
      <w:start w:val="1"/>
      <w:numFmt w:val="bullet"/>
      <w:lvlText w:val=""/>
      <w:lvlJc w:val="left"/>
      <w:pPr>
        <w:ind w:left="5040" w:hanging="360"/>
      </w:pPr>
      <w:rPr>
        <w:rFonts w:ascii="Symbol" w:hAnsi="Symbol" w:hint="default"/>
      </w:rPr>
    </w:lvl>
    <w:lvl w:ilvl="7" w:tplc="F62A381E">
      <w:start w:val="1"/>
      <w:numFmt w:val="bullet"/>
      <w:lvlText w:val="o"/>
      <w:lvlJc w:val="left"/>
      <w:pPr>
        <w:ind w:left="5760" w:hanging="360"/>
      </w:pPr>
      <w:rPr>
        <w:rFonts w:ascii="Courier New" w:hAnsi="Courier New" w:hint="default"/>
      </w:rPr>
    </w:lvl>
    <w:lvl w:ilvl="8" w:tplc="51A0D990">
      <w:start w:val="1"/>
      <w:numFmt w:val="bullet"/>
      <w:lvlText w:val=""/>
      <w:lvlJc w:val="left"/>
      <w:pPr>
        <w:ind w:left="6480" w:hanging="360"/>
      </w:pPr>
      <w:rPr>
        <w:rFonts w:ascii="Wingdings" w:hAnsi="Wingdings" w:hint="default"/>
      </w:rPr>
    </w:lvl>
  </w:abstractNum>
  <w:abstractNum w:abstractNumId="38" w15:restartNumberingAfterBreak="0">
    <w:nsid w:val="5C1D1B2F"/>
    <w:multiLevelType w:val="hybridMultilevel"/>
    <w:tmpl w:val="FFFFFFFF"/>
    <w:lvl w:ilvl="0" w:tplc="20E8E6EC">
      <w:start w:val="1"/>
      <w:numFmt w:val="bullet"/>
      <w:lvlText w:val=""/>
      <w:lvlJc w:val="left"/>
      <w:pPr>
        <w:ind w:left="720" w:hanging="360"/>
      </w:pPr>
      <w:rPr>
        <w:rFonts w:ascii="Symbol" w:hAnsi="Symbol" w:hint="default"/>
      </w:rPr>
    </w:lvl>
    <w:lvl w:ilvl="1" w:tplc="748472BE">
      <w:start w:val="1"/>
      <w:numFmt w:val="bullet"/>
      <w:lvlText w:val="o"/>
      <w:lvlJc w:val="left"/>
      <w:pPr>
        <w:ind w:left="1440" w:hanging="360"/>
      </w:pPr>
      <w:rPr>
        <w:rFonts w:ascii="Courier New" w:hAnsi="Courier New" w:hint="default"/>
      </w:rPr>
    </w:lvl>
    <w:lvl w:ilvl="2" w:tplc="465A6EB8">
      <w:start w:val="1"/>
      <w:numFmt w:val="bullet"/>
      <w:lvlText w:val=""/>
      <w:lvlJc w:val="left"/>
      <w:pPr>
        <w:ind w:left="2160" w:hanging="360"/>
      </w:pPr>
      <w:rPr>
        <w:rFonts w:ascii="Wingdings" w:hAnsi="Wingdings" w:hint="default"/>
      </w:rPr>
    </w:lvl>
    <w:lvl w:ilvl="3" w:tplc="1ADA8A62">
      <w:start w:val="1"/>
      <w:numFmt w:val="bullet"/>
      <w:lvlText w:val=""/>
      <w:lvlJc w:val="left"/>
      <w:pPr>
        <w:ind w:left="2880" w:hanging="360"/>
      </w:pPr>
      <w:rPr>
        <w:rFonts w:ascii="Symbol" w:hAnsi="Symbol" w:hint="default"/>
      </w:rPr>
    </w:lvl>
    <w:lvl w:ilvl="4" w:tplc="38C8AE52">
      <w:start w:val="1"/>
      <w:numFmt w:val="bullet"/>
      <w:lvlText w:val="o"/>
      <w:lvlJc w:val="left"/>
      <w:pPr>
        <w:ind w:left="3600" w:hanging="360"/>
      </w:pPr>
      <w:rPr>
        <w:rFonts w:ascii="Courier New" w:hAnsi="Courier New" w:hint="default"/>
      </w:rPr>
    </w:lvl>
    <w:lvl w:ilvl="5" w:tplc="341A52A8">
      <w:start w:val="1"/>
      <w:numFmt w:val="bullet"/>
      <w:lvlText w:val=""/>
      <w:lvlJc w:val="left"/>
      <w:pPr>
        <w:ind w:left="4320" w:hanging="360"/>
      </w:pPr>
      <w:rPr>
        <w:rFonts w:ascii="Wingdings" w:hAnsi="Wingdings" w:hint="default"/>
      </w:rPr>
    </w:lvl>
    <w:lvl w:ilvl="6" w:tplc="6010BB80">
      <w:start w:val="1"/>
      <w:numFmt w:val="bullet"/>
      <w:lvlText w:val=""/>
      <w:lvlJc w:val="left"/>
      <w:pPr>
        <w:ind w:left="5040" w:hanging="360"/>
      </w:pPr>
      <w:rPr>
        <w:rFonts w:ascii="Symbol" w:hAnsi="Symbol" w:hint="default"/>
      </w:rPr>
    </w:lvl>
    <w:lvl w:ilvl="7" w:tplc="CA0A7D32">
      <w:start w:val="1"/>
      <w:numFmt w:val="bullet"/>
      <w:lvlText w:val="o"/>
      <w:lvlJc w:val="left"/>
      <w:pPr>
        <w:ind w:left="5760" w:hanging="360"/>
      </w:pPr>
      <w:rPr>
        <w:rFonts w:ascii="Courier New" w:hAnsi="Courier New" w:hint="default"/>
      </w:rPr>
    </w:lvl>
    <w:lvl w:ilvl="8" w:tplc="72E8BF4C">
      <w:start w:val="1"/>
      <w:numFmt w:val="bullet"/>
      <w:lvlText w:val=""/>
      <w:lvlJc w:val="left"/>
      <w:pPr>
        <w:ind w:left="6480" w:hanging="360"/>
      </w:pPr>
      <w:rPr>
        <w:rFonts w:ascii="Wingdings" w:hAnsi="Wingdings" w:hint="default"/>
      </w:rPr>
    </w:lvl>
  </w:abstractNum>
  <w:abstractNum w:abstractNumId="39" w15:restartNumberingAfterBreak="0">
    <w:nsid w:val="5CC82396"/>
    <w:multiLevelType w:val="hybridMultilevel"/>
    <w:tmpl w:val="CDBAE7C8"/>
    <w:lvl w:ilvl="0" w:tplc="9D6EF464">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FD6C68"/>
    <w:multiLevelType w:val="hybridMultilevel"/>
    <w:tmpl w:val="FFFFFFFF"/>
    <w:lvl w:ilvl="0" w:tplc="5066E2A8">
      <w:start w:val="1"/>
      <w:numFmt w:val="lowerLetter"/>
      <w:lvlText w:val="%1."/>
      <w:lvlJc w:val="left"/>
      <w:pPr>
        <w:ind w:left="720" w:hanging="360"/>
      </w:pPr>
    </w:lvl>
    <w:lvl w:ilvl="1" w:tplc="CE4A6422">
      <w:start w:val="1"/>
      <w:numFmt w:val="lowerLetter"/>
      <w:lvlText w:val="%2."/>
      <w:lvlJc w:val="left"/>
      <w:pPr>
        <w:ind w:left="1440" w:hanging="360"/>
      </w:pPr>
    </w:lvl>
    <w:lvl w:ilvl="2" w:tplc="D30C184A">
      <w:start w:val="1"/>
      <w:numFmt w:val="lowerRoman"/>
      <w:lvlText w:val="%3."/>
      <w:lvlJc w:val="right"/>
      <w:pPr>
        <w:ind w:left="2160" w:hanging="180"/>
      </w:pPr>
    </w:lvl>
    <w:lvl w:ilvl="3" w:tplc="55D40834">
      <w:start w:val="1"/>
      <w:numFmt w:val="decimal"/>
      <w:lvlText w:val="%4."/>
      <w:lvlJc w:val="left"/>
      <w:pPr>
        <w:ind w:left="2880" w:hanging="360"/>
      </w:pPr>
    </w:lvl>
    <w:lvl w:ilvl="4" w:tplc="076AD476">
      <w:start w:val="1"/>
      <w:numFmt w:val="lowerLetter"/>
      <w:lvlText w:val="%5."/>
      <w:lvlJc w:val="left"/>
      <w:pPr>
        <w:ind w:left="3600" w:hanging="360"/>
      </w:pPr>
    </w:lvl>
    <w:lvl w:ilvl="5" w:tplc="64B83DF4">
      <w:start w:val="1"/>
      <w:numFmt w:val="lowerRoman"/>
      <w:lvlText w:val="%6."/>
      <w:lvlJc w:val="right"/>
      <w:pPr>
        <w:ind w:left="4320" w:hanging="180"/>
      </w:pPr>
    </w:lvl>
    <w:lvl w:ilvl="6" w:tplc="3AE253A4">
      <w:start w:val="1"/>
      <w:numFmt w:val="decimal"/>
      <w:lvlText w:val="%7."/>
      <w:lvlJc w:val="left"/>
      <w:pPr>
        <w:ind w:left="5040" w:hanging="360"/>
      </w:pPr>
    </w:lvl>
    <w:lvl w:ilvl="7" w:tplc="1E2616E0">
      <w:start w:val="1"/>
      <w:numFmt w:val="lowerLetter"/>
      <w:lvlText w:val="%8."/>
      <w:lvlJc w:val="left"/>
      <w:pPr>
        <w:ind w:left="5760" w:hanging="360"/>
      </w:pPr>
    </w:lvl>
    <w:lvl w:ilvl="8" w:tplc="164E0AAA">
      <w:start w:val="1"/>
      <w:numFmt w:val="lowerRoman"/>
      <w:lvlText w:val="%9."/>
      <w:lvlJc w:val="right"/>
      <w:pPr>
        <w:ind w:left="6480" w:hanging="180"/>
      </w:pPr>
    </w:lvl>
  </w:abstractNum>
  <w:abstractNum w:abstractNumId="41" w15:restartNumberingAfterBreak="0">
    <w:nsid w:val="631A35A7"/>
    <w:multiLevelType w:val="hybridMultilevel"/>
    <w:tmpl w:val="FFFFFFFF"/>
    <w:lvl w:ilvl="0" w:tplc="E7D45D28">
      <w:start w:val="1"/>
      <w:numFmt w:val="lowerLetter"/>
      <w:lvlText w:val="%1."/>
      <w:lvlJc w:val="left"/>
      <w:pPr>
        <w:ind w:left="720" w:hanging="360"/>
      </w:pPr>
    </w:lvl>
    <w:lvl w:ilvl="1" w:tplc="225A238A">
      <w:start w:val="1"/>
      <w:numFmt w:val="lowerLetter"/>
      <w:lvlText w:val="%2."/>
      <w:lvlJc w:val="left"/>
      <w:pPr>
        <w:ind w:left="1440" w:hanging="360"/>
      </w:pPr>
    </w:lvl>
    <w:lvl w:ilvl="2" w:tplc="E20ECACA">
      <w:start w:val="1"/>
      <w:numFmt w:val="lowerRoman"/>
      <w:lvlText w:val="%3."/>
      <w:lvlJc w:val="right"/>
      <w:pPr>
        <w:ind w:left="2160" w:hanging="180"/>
      </w:pPr>
    </w:lvl>
    <w:lvl w:ilvl="3" w:tplc="2BB6377E">
      <w:start w:val="1"/>
      <w:numFmt w:val="decimal"/>
      <w:lvlText w:val="%4."/>
      <w:lvlJc w:val="left"/>
      <w:pPr>
        <w:ind w:left="2880" w:hanging="360"/>
      </w:pPr>
    </w:lvl>
    <w:lvl w:ilvl="4" w:tplc="662AB4BA">
      <w:start w:val="1"/>
      <w:numFmt w:val="lowerLetter"/>
      <w:lvlText w:val="%5."/>
      <w:lvlJc w:val="left"/>
      <w:pPr>
        <w:ind w:left="3600" w:hanging="360"/>
      </w:pPr>
    </w:lvl>
    <w:lvl w:ilvl="5" w:tplc="D4AA00FC">
      <w:start w:val="1"/>
      <w:numFmt w:val="lowerRoman"/>
      <w:lvlText w:val="%6."/>
      <w:lvlJc w:val="right"/>
      <w:pPr>
        <w:ind w:left="4320" w:hanging="180"/>
      </w:pPr>
    </w:lvl>
    <w:lvl w:ilvl="6" w:tplc="09CA019C">
      <w:start w:val="1"/>
      <w:numFmt w:val="decimal"/>
      <w:lvlText w:val="%7."/>
      <w:lvlJc w:val="left"/>
      <w:pPr>
        <w:ind w:left="5040" w:hanging="360"/>
      </w:pPr>
    </w:lvl>
    <w:lvl w:ilvl="7" w:tplc="3FD64B6C">
      <w:start w:val="1"/>
      <w:numFmt w:val="lowerLetter"/>
      <w:lvlText w:val="%8."/>
      <w:lvlJc w:val="left"/>
      <w:pPr>
        <w:ind w:left="5760" w:hanging="360"/>
      </w:pPr>
    </w:lvl>
    <w:lvl w:ilvl="8" w:tplc="021C522C">
      <w:start w:val="1"/>
      <w:numFmt w:val="lowerRoman"/>
      <w:lvlText w:val="%9."/>
      <w:lvlJc w:val="right"/>
      <w:pPr>
        <w:ind w:left="6480" w:hanging="180"/>
      </w:pPr>
    </w:lvl>
  </w:abstractNum>
  <w:abstractNum w:abstractNumId="42" w15:restartNumberingAfterBreak="0">
    <w:nsid w:val="67725C50"/>
    <w:multiLevelType w:val="hybridMultilevel"/>
    <w:tmpl w:val="FFFFFFFF"/>
    <w:lvl w:ilvl="0" w:tplc="79F8AFC8">
      <w:start w:val="1"/>
      <w:numFmt w:val="lowerLetter"/>
      <w:lvlText w:val="%1."/>
      <w:lvlJc w:val="left"/>
      <w:pPr>
        <w:ind w:left="720" w:hanging="360"/>
      </w:pPr>
    </w:lvl>
    <w:lvl w:ilvl="1" w:tplc="2632AD6E">
      <w:start w:val="1"/>
      <w:numFmt w:val="lowerLetter"/>
      <w:lvlText w:val="%2."/>
      <w:lvlJc w:val="left"/>
      <w:pPr>
        <w:ind w:left="1440" w:hanging="360"/>
      </w:pPr>
    </w:lvl>
    <w:lvl w:ilvl="2" w:tplc="FDD2201C">
      <w:start w:val="1"/>
      <w:numFmt w:val="lowerRoman"/>
      <w:lvlText w:val="%3."/>
      <w:lvlJc w:val="right"/>
      <w:pPr>
        <w:ind w:left="2160" w:hanging="180"/>
      </w:pPr>
    </w:lvl>
    <w:lvl w:ilvl="3" w:tplc="265AB22E">
      <w:start w:val="1"/>
      <w:numFmt w:val="decimal"/>
      <w:lvlText w:val="%4."/>
      <w:lvlJc w:val="left"/>
      <w:pPr>
        <w:ind w:left="2880" w:hanging="360"/>
      </w:pPr>
    </w:lvl>
    <w:lvl w:ilvl="4" w:tplc="0B643BB0">
      <w:start w:val="1"/>
      <w:numFmt w:val="lowerLetter"/>
      <w:lvlText w:val="%5."/>
      <w:lvlJc w:val="left"/>
      <w:pPr>
        <w:ind w:left="3600" w:hanging="360"/>
      </w:pPr>
    </w:lvl>
    <w:lvl w:ilvl="5" w:tplc="51046680">
      <w:start w:val="1"/>
      <w:numFmt w:val="lowerRoman"/>
      <w:lvlText w:val="%6."/>
      <w:lvlJc w:val="right"/>
      <w:pPr>
        <w:ind w:left="4320" w:hanging="180"/>
      </w:pPr>
    </w:lvl>
    <w:lvl w:ilvl="6" w:tplc="DB4C767C">
      <w:start w:val="1"/>
      <w:numFmt w:val="decimal"/>
      <w:lvlText w:val="%7."/>
      <w:lvlJc w:val="left"/>
      <w:pPr>
        <w:ind w:left="5040" w:hanging="360"/>
      </w:pPr>
    </w:lvl>
    <w:lvl w:ilvl="7" w:tplc="D3564702">
      <w:start w:val="1"/>
      <w:numFmt w:val="lowerLetter"/>
      <w:lvlText w:val="%8."/>
      <w:lvlJc w:val="left"/>
      <w:pPr>
        <w:ind w:left="5760" w:hanging="360"/>
      </w:pPr>
    </w:lvl>
    <w:lvl w:ilvl="8" w:tplc="84341DE8">
      <w:start w:val="1"/>
      <w:numFmt w:val="lowerRoman"/>
      <w:lvlText w:val="%9."/>
      <w:lvlJc w:val="right"/>
      <w:pPr>
        <w:ind w:left="6480" w:hanging="180"/>
      </w:pPr>
    </w:lvl>
  </w:abstractNum>
  <w:abstractNum w:abstractNumId="43" w15:restartNumberingAfterBreak="0">
    <w:nsid w:val="67A446B9"/>
    <w:multiLevelType w:val="hybridMultilevel"/>
    <w:tmpl w:val="FFFFFFFF"/>
    <w:lvl w:ilvl="0" w:tplc="F9F01204">
      <w:start w:val="1"/>
      <w:numFmt w:val="lowerLetter"/>
      <w:lvlText w:val="%1."/>
      <w:lvlJc w:val="left"/>
      <w:pPr>
        <w:ind w:left="720" w:hanging="360"/>
      </w:pPr>
    </w:lvl>
    <w:lvl w:ilvl="1" w:tplc="9DD2F070">
      <w:start w:val="1"/>
      <w:numFmt w:val="lowerLetter"/>
      <w:lvlText w:val="%2."/>
      <w:lvlJc w:val="left"/>
      <w:pPr>
        <w:ind w:left="1440" w:hanging="360"/>
      </w:pPr>
    </w:lvl>
    <w:lvl w:ilvl="2" w:tplc="A82E85B8">
      <w:start w:val="1"/>
      <w:numFmt w:val="lowerRoman"/>
      <w:lvlText w:val="%3."/>
      <w:lvlJc w:val="right"/>
      <w:pPr>
        <w:ind w:left="2160" w:hanging="180"/>
      </w:pPr>
    </w:lvl>
    <w:lvl w:ilvl="3" w:tplc="49BC1C1C">
      <w:start w:val="1"/>
      <w:numFmt w:val="decimal"/>
      <w:lvlText w:val="%4."/>
      <w:lvlJc w:val="left"/>
      <w:pPr>
        <w:ind w:left="2880" w:hanging="360"/>
      </w:pPr>
    </w:lvl>
    <w:lvl w:ilvl="4" w:tplc="B216AACE">
      <w:start w:val="1"/>
      <w:numFmt w:val="lowerLetter"/>
      <w:lvlText w:val="%5."/>
      <w:lvlJc w:val="left"/>
      <w:pPr>
        <w:ind w:left="3600" w:hanging="360"/>
      </w:pPr>
    </w:lvl>
    <w:lvl w:ilvl="5" w:tplc="22D48DB2">
      <w:start w:val="1"/>
      <w:numFmt w:val="lowerRoman"/>
      <w:lvlText w:val="%6."/>
      <w:lvlJc w:val="right"/>
      <w:pPr>
        <w:ind w:left="4320" w:hanging="180"/>
      </w:pPr>
    </w:lvl>
    <w:lvl w:ilvl="6" w:tplc="86E6ABCC">
      <w:start w:val="1"/>
      <w:numFmt w:val="decimal"/>
      <w:lvlText w:val="%7."/>
      <w:lvlJc w:val="left"/>
      <w:pPr>
        <w:ind w:left="5040" w:hanging="360"/>
      </w:pPr>
    </w:lvl>
    <w:lvl w:ilvl="7" w:tplc="4FA29024">
      <w:start w:val="1"/>
      <w:numFmt w:val="lowerLetter"/>
      <w:lvlText w:val="%8."/>
      <w:lvlJc w:val="left"/>
      <w:pPr>
        <w:ind w:left="5760" w:hanging="360"/>
      </w:pPr>
    </w:lvl>
    <w:lvl w:ilvl="8" w:tplc="1EA06308">
      <w:start w:val="1"/>
      <w:numFmt w:val="lowerRoman"/>
      <w:lvlText w:val="%9."/>
      <w:lvlJc w:val="right"/>
      <w:pPr>
        <w:ind w:left="6480" w:hanging="180"/>
      </w:pPr>
    </w:lvl>
  </w:abstractNum>
  <w:abstractNum w:abstractNumId="44" w15:restartNumberingAfterBreak="0">
    <w:nsid w:val="6A9409A4"/>
    <w:multiLevelType w:val="hybridMultilevel"/>
    <w:tmpl w:val="FFFFFFFF"/>
    <w:lvl w:ilvl="0" w:tplc="169A5A78">
      <w:start w:val="1"/>
      <w:numFmt w:val="lowerLetter"/>
      <w:lvlText w:val="%1."/>
      <w:lvlJc w:val="left"/>
      <w:pPr>
        <w:ind w:left="720" w:hanging="360"/>
      </w:pPr>
    </w:lvl>
    <w:lvl w:ilvl="1" w:tplc="16DAEDE0">
      <w:start w:val="1"/>
      <w:numFmt w:val="lowerLetter"/>
      <w:lvlText w:val="%2."/>
      <w:lvlJc w:val="left"/>
      <w:pPr>
        <w:ind w:left="1440" w:hanging="360"/>
      </w:pPr>
    </w:lvl>
    <w:lvl w:ilvl="2" w:tplc="3DE04AF6">
      <w:start w:val="1"/>
      <w:numFmt w:val="lowerRoman"/>
      <w:lvlText w:val="%3."/>
      <w:lvlJc w:val="right"/>
      <w:pPr>
        <w:ind w:left="2160" w:hanging="180"/>
      </w:pPr>
    </w:lvl>
    <w:lvl w:ilvl="3" w:tplc="331E7566">
      <w:start w:val="1"/>
      <w:numFmt w:val="decimal"/>
      <w:lvlText w:val="%4."/>
      <w:lvlJc w:val="left"/>
      <w:pPr>
        <w:ind w:left="2880" w:hanging="360"/>
      </w:pPr>
    </w:lvl>
    <w:lvl w:ilvl="4" w:tplc="55E46BDC">
      <w:start w:val="1"/>
      <w:numFmt w:val="lowerLetter"/>
      <w:lvlText w:val="%5."/>
      <w:lvlJc w:val="left"/>
      <w:pPr>
        <w:ind w:left="3600" w:hanging="360"/>
      </w:pPr>
    </w:lvl>
    <w:lvl w:ilvl="5" w:tplc="579699BC">
      <w:start w:val="1"/>
      <w:numFmt w:val="lowerRoman"/>
      <w:lvlText w:val="%6."/>
      <w:lvlJc w:val="right"/>
      <w:pPr>
        <w:ind w:left="4320" w:hanging="180"/>
      </w:pPr>
    </w:lvl>
    <w:lvl w:ilvl="6" w:tplc="4A4EF5E6">
      <w:start w:val="1"/>
      <w:numFmt w:val="decimal"/>
      <w:lvlText w:val="%7."/>
      <w:lvlJc w:val="left"/>
      <w:pPr>
        <w:ind w:left="5040" w:hanging="360"/>
      </w:pPr>
    </w:lvl>
    <w:lvl w:ilvl="7" w:tplc="0AEECD00">
      <w:start w:val="1"/>
      <w:numFmt w:val="lowerLetter"/>
      <w:lvlText w:val="%8."/>
      <w:lvlJc w:val="left"/>
      <w:pPr>
        <w:ind w:left="5760" w:hanging="360"/>
      </w:pPr>
    </w:lvl>
    <w:lvl w:ilvl="8" w:tplc="EF040D50">
      <w:start w:val="1"/>
      <w:numFmt w:val="lowerRoman"/>
      <w:lvlText w:val="%9."/>
      <w:lvlJc w:val="right"/>
      <w:pPr>
        <w:ind w:left="6480" w:hanging="180"/>
      </w:pPr>
    </w:lvl>
  </w:abstractNum>
  <w:abstractNum w:abstractNumId="45" w15:restartNumberingAfterBreak="0">
    <w:nsid w:val="6EC55433"/>
    <w:multiLevelType w:val="hybridMultilevel"/>
    <w:tmpl w:val="D83635B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78621C5"/>
    <w:multiLevelType w:val="hybridMultilevel"/>
    <w:tmpl w:val="584842C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8CC78A1"/>
    <w:multiLevelType w:val="hybridMultilevel"/>
    <w:tmpl w:val="176AA34E"/>
    <w:lvl w:ilvl="0" w:tplc="07D6078C">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AB40B81"/>
    <w:multiLevelType w:val="hybridMultilevel"/>
    <w:tmpl w:val="F8BCD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D725431"/>
    <w:multiLevelType w:val="hybridMultilevel"/>
    <w:tmpl w:val="3500A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48"/>
  </w:num>
  <w:num w:numId="4">
    <w:abstractNumId w:val="46"/>
  </w:num>
  <w:num w:numId="5">
    <w:abstractNumId w:val="21"/>
  </w:num>
  <w:num w:numId="6">
    <w:abstractNumId w:val="29"/>
  </w:num>
  <w:num w:numId="7">
    <w:abstractNumId w:val="17"/>
  </w:num>
  <w:num w:numId="8">
    <w:abstractNumId w:val="24"/>
  </w:num>
  <w:num w:numId="9">
    <w:abstractNumId w:val="27"/>
  </w:num>
  <w:num w:numId="10">
    <w:abstractNumId w:val="20"/>
  </w:num>
  <w:num w:numId="11">
    <w:abstractNumId w:val="47"/>
  </w:num>
  <w:num w:numId="12">
    <w:abstractNumId w:val="39"/>
  </w:num>
  <w:num w:numId="13">
    <w:abstractNumId w:val="22"/>
  </w:num>
  <w:num w:numId="14">
    <w:abstractNumId w:val="25"/>
  </w:num>
  <w:num w:numId="15">
    <w:abstractNumId w:val="31"/>
  </w:num>
  <w:num w:numId="16">
    <w:abstractNumId w:val="32"/>
  </w:num>
  <w:num w:numId="17">
    <w:abstractNumId w:val="33"/>
  </w:num>
  <w:num w:numId="18">
    <w:abstractNumId w:val="40"/>
  </w:num>
  <w:num w:numId="19">
    <w:abstractNumId w:val="35"/>
  </w:num>
  <w:num w:numId="20">
    <w:abstractNumId w:val="42"/>
  </w:num>
  <w:num w:numId="21">
    <w:abstractNumId w:val="26"/>
  </w:num>
  <w:num w:numId="22">
    <w:abstractNumId w:val="14"/>
  </w:num>
  <w:num w:numId="23">
    <w:abstractNumId w:val="28"/>
  </w:num>
  <w:num w:numId="24">
    <w:abstractNumId w:val="43"/>
  </w:num>
  <w:num w:numId="25">
    <w:abstractNumId w:val="44"/>
  </w:num>
  <w:num w:numId="26">
    <w:abstractNumId w:val="18"/>
  </w:num>
  <w:num w:numId="27">
    <w:abstractNumId w:val="16"/>
  </w:num>
  <w:num w:numId="28">
    <w:abstractNumId w:val="41"/>
  </w:num>
  <w:num w:numId="29">
    <w:abstractNumId w:val="23"/>
  </w:num>
  <w:num w:numId="30">
    <w:abstractNumId w:val="34"/>
  </w:num>
  <w:num w:numId="31">
    <w:abstractNumId w:val="15"/>
  </w:num>
  <w:num w:numId="32">
    <w:abstractNumId w:val="49"/>
  </w:num>
  <w:num w:numId="33">
    <w:abstractNumId w:val="36"/>
  </w:num>
  <w:num w:numId="34">
    <w:abstractNumId w:val="45"/>
  </w:num>
  <w:num w:numId="35">
    <w:abstractNumId w:val="12"/>
  </w:num>
  <w:num w:numId="36">
    <w:abstractNumId w:val="10"/>
  </w:num>
  <w:num w:numId="37">
    <w:abstractNumId w:val="38"/>
  </w:num>
  <w:num w:numId="38">
    <w:abstractNumId w:val="30"/>
  </w:num>
  <w:num w:numId="39">
    <w:abstractNumId w:val="37"/>
  </w:num>
  <w:num w:numId="40">
    <w:abstractNumId w:val="1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numFmt w:val="lowerRoman"/>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w5xfz9x0x0z2iereeq5tfpuzdst0rpdraev&quot;&gt;MRFF Endnore&lt;record-ids&gt;&lt;item&gt;9&lt;/item&gt;&lt;/record-ids&gt;&lt;/item&gt;&lt;/Libraries&gt;"/>
  </w:docVars>
  <w:rsids>
    <w:rsidRoot w:val="003169F8"/>
    <w:rsid w:val="00000440"/>
    <w:rsid w:val="00000C01"/>
    <w:rsid w:val="00001E7A"/>
    <w:rsid w:val="00002939"/>
    <w:rsid w:val="00002AF7"/>
    <w:rsid w:val="00002B20"/>
    <w:rsid w:val="00003768"/>
    <w:rsid w:val="000039D8"/>
    <w:rsid w:val="00003B10"/>
    <w:rsid w:val="00003E3C"/>
    <w:rsid w:val="000040A5"/>
    <w:rsid w:val="00004882"/>
    <w:rsid w:val="000053FA"/>
    <w:rsid w:val="000056CE"/>
    <w:rsid w:val="000060C1"/>
    <w:rsid w:val="00006D6E"/>
    <w:rsid w:val="00006DA9"/>
    <w:rsid w:val="00007C64"/>
    <w:rsid w:val="000107E0"/>
    <w:rsid w:val="00010ADF"/>
    <w:rsid w:val="0001158B"/>
    <w:rsid w:val="00013198"/>
    <w:rsid w:val="00013A78"/>
    <w:rsid w:val="00015042"/>
    <w:rsid w:val="00015285"/>
    <w:rsid w:val="00016457"/>
    <w:rsid w:val="00016B7F"/>
    <w:rsid w:val="00017DA2"/>
    <w:rsid w:val="00020858"/>
    <w:rsid w:val="00020980"/>
    <w:rsid w:val="00020FB5"/>
    <w:rsid w:val="0002146C"/>
    <w:rsid w:val="00021B6E"/>
    <w:rsid w:val="000239F0"/>
    <w:rsid w:val="00023D9D"/>
    <w:rsid w:val="0002427B"/>
    <w:rsid w:val="00024E93"/>
    <w:rsid w:val="000252A6"/>
    <w:rsid w:val="00026492"/>
    <w:rsid w:val="000266D8"/>
    <w:rsid w:val="00026C5B"/>
    <w:rsid w:val="00027A94"/>
    <w:rsid w:val="00027E35"/>
    <w:rsid w:val="00030116"/>
    <w:rsid w:val="0003068B"/>
    <w:rsid w:val="0003069B"/>
    <w:rsid w:val="00030D0A"/>
    <w:rsid w:val="000335E1"/>
    <w:rsid w:val="00033A7B"/>
    <w:rsid w:val="00033FDD"/>
    <w:rsid w:val="000341BB"/>
    <w:rsid w:val="00034F4B"/>
    <w:rsid w:val="0003536E"/>
    <w:rsid w:val="00040D71"/>
    <w:rsid w:val="00040E7A"/>
    <w:rsid w:val="00041469"/>
    <w:rsid w:val="00042065"/>
    <w:rsid w:val="0004246C"/>
    <w:rsid w:val="000440A4"/>
    <w:rsid w:val="00045577"/>
    <w:rsid w:val="00045F2D"/>
    <w:rsid w:val="0004631E"/>
    <w:rsid w:val="00046B93"/>
    <w:rsid w:val="00050021"/>
    <w:rsid w:val="000500F7"/>
    <w:rsid w:val="0005078F"/>
    <w:rsid w:val="00050C1E"/>
    <w:rsid w:val="000518E8"/>
    <w:rsid w:val="00051E57"/>
    <w:rsid w:val="00052BC6"/>
    <w:rsid w:val="0005338B"/>
    <w:rsid w:val="000533F7"/>
    <w:rsid w:val="00053A94"/>
    <w:rsid w:val="00053E4F"/>
    <w:rsid w:val="00055668"/>
    <w:rsid w:val="0005586B"/>
    <w:rsid w:val="00056624"/>
    <w:rsid w:val="000567A0"/>
    <w:rsid w:val="00057C0A"/>
    <w:rsid w:val="000602DF"/>
    <w:rsid w:val="00060802"/>
    <w:rsid w:val="00061D53"/>
    <w:rsid w:val="000625B1"/>
    <w:rsid w:val="00063ABA"/>
    <w:rsid w:val="0006404D"/>
    <w:rsid w:val="00064656"/>
    <w:rsid w:val="00064D15"/>
    <w:rsid w:val="0006540B"/>
    <w:rsid w:val="000669CA"/>
    <w:rsid w:val="00066C4E"/>
    <w:rsid w:val="00067781"/>
    <w:rsid w:val="000679E8"/>
    <w:rsid w:val="00070DF7"/>
    <w:rsid w:val="000714B0"/>
    <w:rsid w:val="00071E61"/>
    <w:rsid w:val="00071F65"/>
    <w:rsid w:val="00073B35"/>
    <w:rsid w:val="00073D01"/>
    <w:rsid w:val="00074871"/>
    <w:rsid w:val="00074FB9"/>
    <w:rsid w:val="0007533E"/>
    <w:rsid w:val="0007584D"/>
    <w:rsid w:val="00076DB7"/>
    <w:rsid w:val="0007745C"/>
    <w:rsid w:val="0007798B"/>
    <w:rsid w:val="000806D1"/>
    <w:rsid w:val="00081F1F"/>
    <w:rsid w:val="00082BE7"/>
    <w:rsid w:val="00084F11"/>
    <w:rsid w:val="000900CA"/>
    <w:rsid w:val="0009059B"/>
    <w:rsid w:val="00091190"/>
    <w:rsid w:val="00093137"/>
    <w:rsid w:val="00093D4E"/>
    <w:rsid w:val="00094D02"/>
    <w:rsid w:val="00095AFB"/>
    <w:rsid w:val="00096CA0"/>
    <w:rsid w:val="000976F3"/>
    <w:rsid w:val="000A0041"/>
    <w:rsid w:val="000A014A"/>
    <w:rsid w:val="000A01AD"/>
    <w:rsid w:val="000A08A9"/>
    <w:rsid w:val="000A096C"/>
    <w:rsid w:val="000A0AD5"/>
    <w:rsid w:val="000A0D66"/>
    <w:rsid w:val="000A1647"/>
    <w:rsid w:val="000A1E5C"/>
    <w:rsid w:val="000A21BC"/>
    <w:rsid w:val="000A22F7"/>
    <w:rsid w:val="000A2A4C"/>
    <w:rsid w:val="000A35EB"/>
    <w:rsid w:val="000A46FF"/>
    <w:rsid w:val="000A4E93"/>
    <w:rsid w:val="000A4F4B"/>
    <w:rsid w:val="000A5008"/>
    <w:rsid w:val="000A5A87"/>
    <w:rsid w:val="000A5EC4"/>
    <w:rsid w:val="000A6C7B"/>
    <w:rsid w:val="000B0850"/>
    <w:rsid w:val="000B1B71"/>
    <w:rsid w:val="000B1EDB"/>
    <w:rsid w:val="000B212E"/>
    <w:rsid w:val="000B2272"/>
    <w:rsid w:val="000B2FB1"/>
    <w:rsid w:val="000B36F8"/>
    <w:rsid w:val="000B4AC7"/>
    <w:rsid w:val="000B5A96"/>
    <w:rsid w:val="000B5BF2"/>
    <w:rsid w:val="000B5FE8"/>
    <w:rsid w:val="000B6F76"/>
    <w:rsid w:val="000C00EE"/>
    <w:rsid w:val="000C0A6B"/>
    <w:rsid w:val="000C0C97"/>
    <w:rsid w:val="000C136E"/>
    <w:rsid w:val="000C2C19"/>
    <w:rsid w:val="000C2F5E"/>
    <w:rsid w:val="000C36C3"/>
    <w:rsid w:val="000C3B23"/>
    <w:rsid w:val="000C4998"/>
    <w:rsid w:val="000C4D94"/>
    <w:rsid w:val="000C5A8A"/>
    <w:rsid w:val="000C624C"/>
    <w:rsid w:val="000C67C8"/>
    <w:rsid w:val="000C71BD"/>
    <w:rsid w:val="000C76ED"/>
    <w:rsid w:val="000C7BAD"/>
    <w:rsid w:val="000CFF35"/>
    <w:rsid w:val="000D1DB8"/>
    <w:rsid w:val="000D1F61"/>
    <w:rsid w:val="000D2187"/>
    <w:rsid w:val="000D3926"/>
    <w:rsid w:val="000D47C3"/>
    <w:rsid w:val="000D51C4"/>
    <w:rsid w:val="000D542F"/>
    <w:rsid w:val="000D59C8"/>
    <w:rsid w:val="000D5C81"/>
    <w:rsid w:val="000D66B6"/>
    <w:rsid w:val="000D68CF"/>
    <w:rsid w:val="000D7162"/>
    <w:rsid w:val="000E13FA"/>
    <w:rsid w:val="000E17DC"/>
    <w:rsid w:val="000E480A"/>
    <w:rsid w:val="000E4D5E"/>
    <w:rsid w:val="000E4E74"/>
    <w:rsid w:val="000E4E9B"/>
    <w:rsid w:val="000E52ED"/>
    <w:rsid w:val="000E5C4F"/>
    <w:rsid w:val="000E61D7"/>
    <w:rsid w:val="000E6286"/>
    <w:rsid w:val="000F09E6"/>
    <w:rsid w:val="000F11AD"/>
    <w:rsid w:val="000F166D"/>
    <w:rsid w:val="000F1707"/>
    <w:rsid w:val="000F1F4B"/>
    <w:rsid w:val="000F254F"/>
    <w:rsid w:val="000F2A04"/>
    <w:rsid w:val="000F2BDF"/>
    <w:rsid w:val="000F38C6"/>
    <w:rsid w:val="000F3982"/>
    <w:rsid w:val="000F516D"/>
    <w:rsid w:val="000F5614"/>
    <w:rsid w:val="000F566B"/>
    <w:rsid w:val="000F5928"/>
    <w:rsid w:val="000F5BBA"/>
    <w:rsid w:val="000F5C53"/>
    <w:rsid w:val="000F63DF"/>
    <w:rsid w:val="000F6B0D"/>
    <w:rsid w:val="000F7614"/>
    <w:rsid w:val="001002F7"/>
    <w:rsid w:val="00101832"/>
    <w:rsid w:val="001027A6"/>
    <w:rsid w:val="00104083"/>
    <w:rsid w:val="001040B7"/>
    <w:rsid w:val="00104855"/>
    <w:rsid w:val="00104E3B"/>
    <w:rsid w:val="00106A02"/>
    <w:rsid w:val="00110E68"/>
    <w:rsid w:val="0011205D"/>
    <w:rsid w:val="001135B7"/>
    <w:rsid w:val="00115F58"/>
    <w:rsid w:val="00116243"/>
    <w:rsid w:val="00116E74"/>
    <w:rsid w:val="00116F33"/>
    <w:rsid w:val="0011773F"/>
    <w:rsid w:val="0012057D"/>
    <w:rsid w:val="001208C7"/>
    <w:rsid w:val="001208DC"/>
    <w:rsid w:val="00122D40"/>
    <w:rsid w:val="001233B5"/>
    <w:rsid w:val="001239DA"/>
    <w:rsid w:val="00123D11"/>
    <w:rsid w:val="001243AE"/>
    <w:rsid w:val="00125D33"/>
    <w:rsid w:val="00130FAF"/>
    <w:rsid w:val="001315F7"/>
    <w:rsid w:val="00131B8E"/>
    <w:rsid w:val="00132151"/>
    <w:rsid w:val="00132483"/>
    <w:rsid w:val="0013371E"/>
    <w:rsid w:val="00134DB1"/>
    <w:rsid w:val="001350E0"/>
    <w:rsid w:val="0013516D"/>
    <w:rsid w:val="001359AC"/>
    <w:rsid w:val="00136598"/>
    <w:rsid w:val="0013660A"/>
    <w:rsid w:val="00136969"/>
    <w:rsid w:val="0013704E"/>
    <w:rsid w:val="00137C5B"/>
    <w:rsid w:val="00137F44"/>
    <w:rsid w:val="00140659"/>
    <w:rsid w:val="001416AA"/>
    <w:rsid w:val="00141BFB"/>
    <w:rsid w:val="00142A79"/>
    <w:rsid w:val="0014358B"/>
    <w:rsid w:val="001439A7"/>
    <w:rsid w:val="00143C14"/>
    <w:rsid w:val="00143F5D"/>
    <w:rsid w:val="001440D6"/>
    <w:rsid w:val="001442B1"/>
    <w:rsid w:val="0014583F"/>
    <w:rsid w:val="00145DA1"/>
    <w:rsid w:val="001466A9"/>
    <w:rsid w:val="00147642"/>
    <w:rsid w:val="00147D61"/>
    <w:rsid w:val="001504FA"/>
    <w:rsid w:val="001505F2"/>
    <w:rsid w:val="0015267C"/>
    <w:rsid w:val="001527E8"/>
    <w:rsid w:val="00152D5D"/>
    <w:rsid w:val="0015451C"/>
    <w:rsid w:val="001546D0"/>
    <w:rsid w:val="00156472"/>
    <w:rsid w:val="0015677F"/>
    <w:rsid w:val="00160386"/>
    <w:rsid w:val="00160580"/>
    <w:rsid w:val="0016243E"/>
    <w:rsid w:val="001628D0"/>
    <w:rsid w:val="00162FA9"/>
    <w:rsid w:val="00163956"/>
    <w:rsid w:val="00163990"/>
    <w:rsid w:val="00164014"/>
    <w:rsid w:val="001645A4"/>
    <w:rsid w:val="00164B23"/>
    <w:rsid w:val="001661E1"/>
    <w:rsid w:val="00167C40"/>
    <w:rsid w:val="00167F1B"/>
    <w:rsid w:val="00170337"/>
    <w:rsid w:val="001709EC"/>
    <w:rsid w:val="001709ED"/>
    <w:rsid w:val="00172CDB"/>
    <w:rsid w:val="00173158"/>
    <w:rsid w:val="001734B3"/>
    <w:rsid w:val="00173C99"/>
    <w:rsid w:val="001747DF"/>
    <w:rsid w:val="00174F62"/>
    <w:rsid w:val="001751FB"/>
    <w:rsid w:val="00175239"/>
    <w:rsid w:val="001756AF"/>
    <w:rsid w:val="00176000"/>
    <w:rsid w:val="0017721A"/>
    <w:rsid w:val="00177D04"/>
    <w:rsid w:val="001801CB"/>
    <w:rsid w:val="0018071C"/>
    <w:rsid w:val="00180809"/>
    <w:rsid w:val="00181F13"/>
    <w:rsid w:val="0018257D"/>
    <w:rsid w:val="00182FD0"/>
    <w:rsid w:val="001835AF"/>
    <w:rsid w:val="00183AA0"/>
    <w:rsid w:val="00184AEA"/>
    <w:rsid w:val="001851DE"/>
    <w:rsid w:val="0018579E"/>
    <w:rsid w:val="00185FBA"/>
    <w:rsid w:val="0018660C"/>
    <w:rsid w:val="00187081"/>
    <w:rsid w:val="00187D08"/>
    <w:rsid w:val="00187F42"/>
    <w:rsid w:val="00190097"/>
    <w:rsid w:val="001904A7"/>
    <w:rsid w:val="0019173E"/>
    <w:rsid w:val="00191D02"/>
    <w:rsid w:val="00192129"/>
    <w:rsid w:val="00193611"/>
    <w:rsid w:val="00193770"/>
    <w:rsid w:val="00193E3B"/>
    <w:rsid w:val="001946D0"/>
    <w:rsid w:val="00194DCA"/>
    <w:rsid w:val="00195413"/>
    <w:rsid w:val="00195986"/>
    <w:rsid w:val="001961B3"/>
    <w:rsid w:val="001966F3"/>
    <w:rsid w:val="00196862"/>
    <w:rsid w:val="00196F0E"/>
    <w:rsid w:val="00197702"/>
    <w:rsid w:val="00197F4C"/>
    <w:rsid w:val="001A0233"/>
    <w:rsid w:val="001A0AF8"/>
    <w:rsid w:val="001A0E2B"/>
    <w:rsid w:val="001A1055"/>
    <w:rsid w:val="001A1D2B"/>
    <w:rsid w:val="001A276B"/>
    <w:rsid w:val="001A2B48"/>
    <w:rsid w:val="001A2BC7"/>
    <w:rsid w:val="001A3241"/>
    <w:rsid w:val="001A4919"/>
    <w:rsid w:val="001A5214"/>
    <w:rsid w:val="001A5984"/>
    <w:rsid w:val="001A5F63"/>
    <w:rsid w:val="001A699D"/>
    <w:rsid w:val="001A77FF"/>
    <w:rsid w:val="001A7E78"/>
    <w:rsid w:val="001B05EC"/>
    <w:rsid w:val="001B0E2B"/>
    <w:rsid w:val="001B0F38"/>
    <w:rsid w:val="001B2B12"/>
    <w:rsid w:val="001B32E6"/>
    <w:rsid w:val="001B35B5"/>
    <w:rsid w:val="001B3D73"/>
    <w:rsid w:val="001B4196"/>
    <w:rsid w:val="001B49FB"/>
    <w:rsid w:val="001B5782"/>
    <w:rsid w:val="001B5997"/>
    <w:rsid w:val="001B6352"/>
    <w:rsid w:val="001B6C4C"/>
    <w:rsid w:val="001B7CEB"/>
    <w:rsid w:val="001C22AE"/>
    <w:rsid w:val="001C2F76"/>
    <w:rsid w:val="001C325A"/>
    <w:rsid w:val="001C36C2"/>
    <w:rsid w:val="001C4011"/>
    <w:rsid w:val="001C4E85"/>
    <w:rsid w:val="001C5785"/>
    <w:rsid w:val="001C6CDB"/>
    <w:rsid w:val="001C7844"/>
    <w:rsid w:val="001D2572"/>
    <w:rsid w:val="001D2F60"/>
    <w:rsid w:val="001D31E4"/>
    <w:rsid w:val="001D3550"/>
    <w:rsid w:val="001D3602"/>
    <w:rsid w:val="001D4EE1"/>
    <w:rsid w:val="001D6211"/>
    <w:rsid w:val="001D6EA9"/>
    <w:rsid w:val="001D71DA"/>
    <w:rsid w:val="001D76CD"/>
    <w:rsid w:val="001D795E"/>
    <w:rsid w:val="001D7D77"/>
    <w:rsid w:val="001D7FFB"/>
    <w:rsid w:val="001E0EED"/>
    <w:rsid w:val="001E2906"/>
    <w:rsid w:val="001E2E09"/>
    <w:rsid w:val="001E38D4"/>
    <w:rsid w:val="001E3DAD"/>
    <w:rsid w:val="001E5530"/>
    <w:rsid w:val="001E578E"/>
    <w:rsid w:val="001E5B29"/>
    <w:rsid w:val="001E6089"/>
    <w:rsid w:val="001E620D"/>
    <w:rsid w:val="001E7885"/>
    <w:rsid w:val="001F0EFE"/>
    <w:rsid w:val="001F1F2E"/>
    <w:rsid w:val="001F320A"/>
    <w:rsid w:val="001F4D4E"/>
    <w:rsid w:val="001F609D"/>
    <w:rsid w:val="001F718A"/>
    <w:rsid w:val="001F73FC"/>
    <w:rsid w:val="001F79E7"/>
    <w:rsid w:val="001F7A34"/>
    <w:rsid w:val="0020129D"/>
    <w:rsid w:val="002030F5"/>
    <w:rsid w:val="00203D2F"/>
    <w:rsid w:val="00204CA8"/>
    <w:rsid w:val="002054F1"/>
    <w:rsid w:val="00205D25"/>
    <w:rsid w:val="00206077"/>
    <w:rsid w:val="00207396"/>
    <w:rsid w:val="0020768A"/>
    <w:rsid w:val="00207DAC"/>
    <w:rsid w:val="00211105"/>
    <w:rsid w:val="00211F28"/>
    <w:rsid w:val="002121C7"/>
    <w:rsid w:val="0021228C"/>
    <w:rsid w:val="00213095"/>
    <w:rsid w:val="00213119"/>
    <w:rsid w:val="0021452F"/>
    <w:rsid w:val="00214ABF"/>
    <w:rsid w:val="0021503C"/>
    <w:rsid w:val="00215EB5"/>
    <w:rsid w:val="00216254"/>
    <w:rsid w:val="00216B79"/>
    <w:rsid w:val="0021717A"/>
    <w:rsid w:val="00217432"/>
    <w:rsid w:val="002177AC"/>
    <w:rsid w:val="00220A10"/>
    <w:rsid w:val="00221765"/>
    <w:rsid w:val="002217D3"/>
    <w:rsid w:val="00221AB6"/>
    <w:rsid w:val="00221D18"/>
    <w:rsid w:val="00221D28"/>
    <w:rsid w:val="002229FE"/>
    <w:rsid w:val="00222A36"/>
    <w:rsid w:val="00223703"/>
    <w:rsid w:val="00223B9E"/>
    <w:rsid w:val="00223FA4"/>
    <w:rsid w:val="002250AD"/>
    <w:rsid w:val="0022524F"/>
    <w:rsid w:val="002265E2"/>
    <w:rsid w:val="00227E5B"/>
    <w:rsid w:val="00230F2F"/>
    <w:rsid w:val="00231A9F"/>
    <w:rsid w:val="00232419"/>
    <w:rsid w:val="00232BE2"/>
    <w:rsid w:val="00232D9A"/>
    <w:rsid w:val="002341C7"/>
    <w:rsid w:val="00235360"/>
    <w:rsid w:val="0023554A"/>
    <w:rsid w:val="002357BB"/>
    <w:rsid w:val="00235A71"/>
    <w:rsid w:val="00236C19"/>
    <w:rsid w:val="0023735C"/>
    <w:rsid w:val="00243211"/>
    <w:rsid w:val="00243C3D"/>
    <w:rsid w:val="00244BDA"/>
    <w:rsid w:val="00245397"/>
    <w:rsid w:val="002453A4"/>
    <w:rsid w:val="002478FC"/>
    <w:rsid w:val="00247B0F"/>
    <w:rsid w:val="00247C58"/>
    <w:rsid w:val="00247DB2"/>
    <w:rsid w:val="00250FA4"/>
    <w:rsid w:val="00251106"/>
    <w:rsid w:val="002515FA"/>
    <w:rsid w:val="00251BF1"/>
    <w:rsid w:val="00251CCD"/>
    <w:rsid w:val="00251D96"/>
    <w:rsid w:val="0025222E"/>
    <w:rsid w:val="002525D2"/>
    <w:rsid w:val="002535E2"/>
    <w:rsid w:val="00254245"/>
    <w:rsid w:val="00254517"/>
    <w:rsid w:val="00255272"/>
    <w:rsid w:val="00256107"/>
    <w:rsid w:val="00257925"/>
    <w:rsid w:val="00260113"/>
    <w:rsid w:val="00260E30"/>
    <w:rsid w:val="002617E5"/>
    <w:rsid w:val="00261DBC"/>
    <w:rsid w:val="002620B5"/>
    <w:rsid w:val="00262225"/>
    <w:rsid w:val="00262533"/>
    <w:rsid w:val="00262B3B"/>
    <w:rsid w:val="00262CBC"/>
    <w:rsid w:val="002653D8"/>
    <w:rsid w:val="0026546A"/>
    <w:rsid w:val="00265B23"/>
    <w:rsid w:val="00265B85"/>
    <w:rsid w:val="002666AC"/>
    <w:rsid w:val="00266894"/>
    <w:rsid w:val="00266FEE"/>
    <w:rsid w:val="002672D9"/>
    <w:rsid w:val="00267EFC"/>
    <w:rsid w:val="00270399"/>
    <w:rsid w:val="00270868"/>
    <w:rsid w:val="002711AB"/>
    <w:rsid w:val="00271231"/>
    <w:rsid w:val="00271232"/>
    <w:rsid w:val="002713CF"/>
    <w:rsid w:val="002715EF"/>
    <w:rsid w:val="002721F0"/>
    <w:rsid w:val="00272857"/>
    <w:rsid w:val="00273C9E"/>
    <w:rsid w:val="00273CFC"/>
    <w:rsid w:val="0027436E"/>
    <w:rsid w:val="00275599"/>
    <w:rsid w:val="00275F29"/>
    <w:rsid w:val="00276752"/>
    <w:rsid w:val="00277116"/>
    <w:rsid w:val="00280431"/>
    <w:rsid w:val="002811ED"/>
    <w:rsid w:val="00281810"/>
    <w:rsid w:val="00281939"/>
    <w:rsid w:val="00281ACF"/>
    <w:rsid w:val="00283305"/>
    <w:rsid w:val="002835EC"/>
    <w:rsid w:val="00284A73"/>
    <w:rsid w:val="00285D33"/>
    <w:rsid w:val="00285DDE"/>
    <w:rsid w:val="00287442"/>
    <w:rsid w:val="00290A3B"/>
    <w:rsid w:val="00293616"/>
    <w:rsid w:val="00293E57"/>
    <w:rsid w:val="002949E2"/>
    <w:rsid w:val="00295D56"/>
    <w:rsid w:val="0029728A"/>
    <w:rsid w:val="002977B9"/>
    <w:rsid w:val="002A01A7"/>
    <w:rsid w:val="002A098F"/>
    <w:rsid w:val="002A0A8C"/>
    <w:rsid w:val="002A1572"/>
    <w:rsid w:val="002A15B8"/>
    <w:rsid w:val="002A3198"/>
    <w:rsid w:val="002A39DB"/>
    <w:rsid w:val="002A3B9C"/>
    <w:rsid w:val="002A41B7"/>
    <w:rsid w:val="002A44B7"/>
    <w:rsid w:val="002A5AE8"/>
    <w:rsid w:val="002A605A"/>
    <w:rsid w:val="002A667F"/>
    <w:rsid w:val="002B0821"/>
    <w:rsid w:val="002B0CF1"/>
    <w:rsid w:val="002B1F52"/>
    <w:rsid w:val="002B23FA"/>
    <w:rsid w:val="002B3A82"/>
    <w:rsid w:val="002B3B38"/>
    <w:rsid w:val="002B415A"/>
    <w:rsid w:val="002B444C"/>
    <w:rsid w:val="002B4727"/>
    <w:rsid w:val="002B4B84"/>
    <w:rsid w:val="002B4BFA"/>
    <w:rsid w:val="002B5178"/>
    <w:rsid w:val="002B5974"/>
    <w:rsid w:val="002B68ED"/>
    <w:rsid w:val="002B73D8"/>
    <w:rsid w:val="002B78F9"/>
    <w:rsid w:val="002C0085"/>
    <w:rsid w:val="002C0D4B"/>
    <w:rsid w:val="002C165B"/>
    <w:rsid w:val="002C1CCD"/>
    <w:rsid w:val="002C282C"/>
    <w:rsid w:val="002C370D"/>
    <w:rsid w:val="002C4B7F"/>
    <w:rsid w:val="002C512E"/>
    <w:rsid w:val="002C63F3"/>
    <w:rsid w:val="002C6B80"/>
    <w:rsid w:val="002C6C29"/>
    <w:rsid w:val="002C6E76"/>
    <w:rsid w:val="002C7468"/>
    <w:rsid w:val="002C791D"/>
    <w:rsid w:val="002C7928"/>
    <w:rsid w:val="002C79DF"/>
    <w:rsid w:val="002D0DCD"/>
    <w:rsid w:val="002D10B1"/>
    <w:rsid w:val="002D13DD"/>
    <w:rsid w:val="002D2A80"/>
    <w:rsid w:val="002D2C53"/>
    <w:rsid w:val="002D301A"/>
    <w:rsid w:val="002D4C64"/>
    <w:rsid w:val="002D5344"/>
    <w:rsid w:val="002D585B"/>
    <w:rsid w:val="002D5EA1"/>
    <w:rsid w:val="002D601F"/>
    <w:rsid w:val="002D745C"/>
    <w:rsid w:val="002E0733"/>
    <w:rsid w:val="002E1B8F"/>
    <w:rsid w:val="002E1D00"/>
    <w:rsid w:val="002E20C5"/>
    <w:rsid w:val="002E39CE"/>
    <w:rsid w:val="002E461D"/>
    <w:rsid w:val="002E4B27"/>
    <w:rsid w:val="002E5852"/>
    <w:rsid w:val="002E5B4E"/>
    <w:rsid w:val="002E6352"/>
    <w:rsid w:val="002E6C6E"/>
    <w:rsid w:val="002E7794"/>
    <w:rsid w:val="002E78B0"/>
    <w:rsid w:val="002E7CEB"/>
    <w:rsid w:val="002E7E64"/>
    <w:rsid w:val="002E7EF9"/>
    <w:rsid w:val="002F079C"/>
    <w:rsid w:val="002F0A84"/>
    <w:rsid w:val="002F0F40"/>
    <w:rsid w:val="002F0FDA"/>
    <w:rsid w:val="002F13BD"/>
    <w:rsid w:val="002F21FF"/>
    <w:rsid w:val="002F2246"/>
    <w:rsid w:val="002F295D"/>
    <w:rsid w:val="002F31D9"/>
    <w:rsid w:val="002F4AEA"/>
    <w:rsid w:val="002F5724"/>
    <w:rsid w:val="002F62FF"/>
    <w:rsid w:val="002F63E3"/>
    <w:rsid w:val="002F6B48"/>
    <w:rsid w:val="002F6C0D"/>
    <w:rsid w:val="002F73DF"/>
    <w:rsid w:val="002F7DA1"/>
    <w:rsid w:val="002F9355"/>
    <w:rsid w:val="00300495"/>
    <w:rsid w:val="00300815"/>
    <w:rsid w:val="00300D01"/>
    <w:rsid w:val="00301896"/>
    <w:rsid w:val="00302066"/>
    <w:rsid w:val="0030234D"/>
    <w:rsid w:val="0030303A"/>
    <w:rsid w:val="003039D1"/>
    <w:rsid w:val="00304590"/>
    <w:rsid w:val="00306EF3"/>
    <w:rsid w:val="0030774F"/>
    <w:rsid w:val="00307C20"/>
    <w:rsid w:val="00310A11"/>
    <w:rsid w:val="003111F3"/>
    <w:rsid w:val="00311779"/>
    <w:rsid w:val="00311E04"/>
    <w:rsid w:val="00312085"/>
    <w:rsid w:val="00315002"/>
    <w:rsid w:val="00315DE0"/>
    <w:rsid w:val="00315E5E"/>
    <w:rsid w:val="003169F8"/>
    <w:rsid w:val="003169FF"/>
    <w:rsid w:val="003201EB"/>
    <w:rsid w:val="0032117E"/>
    <w:rsid w:val="00323EE5"/>
    <w:rsid w:val="0032489B"/>
    <w:rsid w:val="00324D63"/>
    <w:rsid w:val="003259C0"/>
    <w:rsid w:val="00326668"/>
    <w:rsid w:val="00326805"/>
    <w:rsid w:val="00327A81"/>
    <w:rsid w:val="00327D56"/>
    <w:rsid w:val="003311F4"/>
    <w:rsid w:val="00331350"/>
    <w:rsid w:val="00331EFF"/>
    <w:rsid w:val="00331F00"/>
    <w:rsid w:val="0033353B"/>
    <w:rsid w:val="00333A6E"/>
    <w:rsid w:val="00333EEE"/>
    <w:rsid w:val="00335E1E"/>
    <w:rsid w:val="00336B12"/>
    <w:rsid w:val="00336EE9"/>
    <w:rsid w:val="0033781A"/>
    <w:rsid w:val="0034018F"/>
    <w:rsid w:val="003403EA"/>
    <w:rsid w:val="00340961"/>
    <w:rsid w:val="00341755"/>
    <w:rsid w:val="00341C30"/>
    <w:rsid w:val="0034219E"/>
    <w:rsid w:val="003426BD"/>
    <w:rsid w:val="00342893"/>
    <w:rsid w:val="003436D7"/>
    <w:rsid w:val="00344917"/>
    <w:rsid w:val="00345698"/>
    <w:rsid w:val="00345C22"/>
    <w:rsid w:val="00346F36"/>
    <w:rsid w:val="0034776C"/>
    <w:rsid w:val="00347DB0"/>
    <w:rsid w:val="00350A57"/>
    <w:rsid w:val="003516C9"/>
    <w:rsid w:val="00351E90"/>
    <w:rsid w:val="0035243D"/>
    <w:rsid w:val="00352E7B"/>
    <w:rsid w:val="003534B4"/>
    <w:rsid w:val="003539EC"/>
    <w:rsid w:val="003546FE"/>
    <w:rsid w:val="00354B69"/>
    <w:rsid w:val="0035558A"/>
    <w:rsid w:val="0035572A"/>
    <w:rsid w:val="00355923"/>
    <w:rsid w:val="003574BD"/>
    <w:rsid w:val="00357626"/>
    <w:rsid w:val="00363173"/>
    <w:rsid w:val="00364184"/>
    <w:rsid w:val="003642B6"/>
    <w:rsid w:val="003647A1"/>
    <w:rsid w:val="00365379"/>
    <w:rsid w:val="00365CE7"/>
    <w:rsid w:val="00365E8F"/>
    <w:rsid w:val="003665AD"/>
    <w:rsid w:val="00367FAC"/>
    <w:rsid w:val="003702B5"/>
    <w:rsid w:val="00370E1D"/>
    <w:rsid w:val="00370EAC"/>
    <w:rsid w:val="00371133"/>
    <w:rsid w:val="003712CE"/>
    <w:rsid w:val="003714D1"/>
    <w:rsid w:val="003730C0"/>
    <w:rsid w:val="003733E2"/>
    <w:rsid w:val="003741B4"/>
    <w:rsid w:val="003741B7"/>
    <w:rsid w:val="00375A38"/>
    <w:rsid w:val="00375B5A"/>
    <w:rsid w:val="003761D8"/>
    <w:rsid w:val="00376382"/>
    <w:rsid w:val="00376B1C"/>
    <w:rsid w:val="00380CB8"/>
    <w:rsid w:val="00381408"/>
    <w:rsid w:val="0038164C"/>
    <w:rsid w:val="00382197"/>
    <w:rsid w:val="00382FDD"/>
    <w:rsid w:val="0038384B"/>
    <w:rsid w:val="00383F9A"/>
    <w:rsid w:val="003856B1"/>
    <w:rsid w:val="00385DAA"/>
    <w:rsid w:val="003875E1"/>
    <w:rsid w:val="003879B4"/>
    <w:rsid w:val="0039084B"/>
    <w:rsid w:val="00390A7E"/>
    <w:rsid w:val="00390FCC"/>
    <w:rsid w:val="003910E9"/>
    <w:rsid w:val="00391164"/>
    <w:rsid w:val="00391243"/>
    <w:rsid w:val="00391D16"/>
    <w:rsid w:val="00391FEA"/>
    <w:rsid w:val="003920AB"/>
    <w:rsid w:val="00392166"/>
    <w:rsid w:val="003923BE"/>
    <w:rsid w:val="003957D5"/>
    <w:rsid w:val="00395DFA"/>
    <w:rsid w:val="003971C3"/>
    <w:rsid w:val="00397C1D"/>
    <w:rsid w:val="003A33BD"/>
    <w:rsid w:val="003A448A"/>
    <w:rsid w:val="003A4CEB"/>
    <w:rsid w:val="003A51A7"/>
    <w:rsid w:val="003A5B29"/>
    <w:rsid w:val="003A68C8"/>
    <w:rsid w:val="003A6ECE"/>
    <w:rsid w:val="003A7A18"/>
    <w:rsid w:val="003A7D42"/>
    <w:rsid w:val="003B0118"/>
    <w:rsid w:val="003B0201"/>
    <w:rsid w:val="003B113C"/>
    <w:rsid w:val="003B1160"/>
    <w:rsid w:val="003B1766"/>
    <w:rsid w:val="003B1BCC"/>
    <w:rsid w:val="003B2011"/>
    <w:rsid w:val="003B2562"/>
    <w:rsid w:val="003B33AE"/>
    <w:rsid w:val="003B514C"/>
    <w:rsid w:val="003B5E61"/>
    <w:rsid w:val="003B7163"/>
    <w:rsid w:val="003B72F4"/>
    <w:rsid w:val="003C020E"/>
    <w:rsid w:val="003C17C1"/>
    <w:rsid w:val="003C17E0"/>
    <w:rsid w:val="003C25C1"/>
    <w:rsid w:val="003C2721"/>
    <w:rsid w:val="003C4090"/>
    <w:rsid w:val="003C5920"/>
    <w:rsid w:val="003C5B70"/>
    <w:rsid w:val="003C6D30"/>
    <w:rsid w:val="003C78E9"/>
    <w:rsid w:val="003C7ADD"/>
    <w:rsid w:val="003C7B3B"/>
    <w:rsid w:val="003C7D26"/>
    <w:rsid w:val="003C7E6A"/>
    <w:rsid w:val="003C7FDE"/>
    <w:rsid w:val="003D02AB"/>
    <w:rsid w:val="003D0C0E"/>
    <w:rsid w:val="003D189A"/>
    <w:rsid w:val="003D1DD9"/>
    <w:rsid w:val="003D2A1B"/>
    <w:rsid w:val="003D2CED"/>
    <w:rsid w:val="003D37A8"/>
    <w:rsid w:val="003D4427"/>
    <w:rsid w:val="003D6101"/>
    <w:rsid w:val="003D632D"/>
    <w:rsid w:val="003D72B7"/>
    <w:rsid w:val="003E0801"/>
    <w:rsid w:val="003E0C49"/>
    <w:rsid w:val="003E19B7"/>
    <w:rsid w:val="003E2820"/>
    <w:rsid w:val="003E34EC"/>
    <w:rsid w:val="003E44FA"/>
    <w:rsid w:val="003E4733"/>
    <w:rsid w:val="003E50EC"/>
    <w:rsid w:val="003E73DB"/>
    <w:rsid w:val="003E7576"/>
    <w:rsid w:val="003E7FCB"/>
    <w:rsid w:val="003F07A4"/>
    <w:rsid w:val="003F1F48"/>
    <w:rsid w:val="003F2217"/>
    <w:rsid w:val="003F247C"/>
    <w:rsid w:val="003F332A"/>
    <w:rsid w:val="003F38B9"/>
    <w:rsid w:val="003F4D28"/>
    <w:rsid w:val="003F4D8A"/>
    <w:rsid w:val="003F5521"/>
    <w:rsid w:val="003F59B3"/>
    <w:rsid w:val="003F63CC"/>
    <w:rsid w:val="003F7F8F"/>
    <w:rsid w:val="00401019"/>
    <w:rsid w:val="0040105D"/>
    <w:rsid w:val="00401409"/>
    <w:rsid w:val="00404BA7"/>
    <w:rsid w:val="004059CA"/>
    <w:rsid w:val="0040668C"/>
    <w:rsid w:val="00406C98"/>
    <w:rsid w:val="00410241"/>
    <w:rsid w:val="004113F1"/>
    <w:rsid w:val="00411F04"/>
    <w:rsid w:val="00414303"/>
    <w:rsid w:val="00414421"/>
    <w:rsid w:val="00414B10"/>
    <w:rsid w:val="00415901"/>
    <w:rsid w:val="00415E56"/>
    <w:rsid w:val="00415F1D"/>
    <w:rsid w:val="00416C6F"/>
    <w:rsid w:val="00416EAC"/>
    <w:rsid w:val="00417376"/>
    <w:rsid w:val="004177F1"/>
    <w:rsid w:val="0042014F"/>
    <w:rsid w:val="004218E1"/>
    <w:rsid w:val="00421AD5"/>
    <w:rsid w:val="0042211D"/>
    <w:rsid w:val="00423208"/>
    <w:rsid w:val="00423AC5"/>
    <w:rsid w:val="004243F8"/>
    <w:rsid w:val="00424607"/>
    <w:rsid w:val="004255CA"/>
    <w:rsid w:val="00426DB9"/>
    <w:rsid w:val="004276A7"/>
    <w:rsid w:val="004308BF"/>
    <w:rsid w:val="00430921"/>
    <w:rsid w:val="00431244"/>
    <w:rsid w:val="00432B3A"/>
    <w:rsid w:val="00432E13"/>
    <w:rsid w:val="00432FF6"/>
    <w:rsid w:val="004333D3"/>
    <w:rsid w:val="00433F0B"/>
    <w:rsid w:val="00434939"/>
    <w:rsid w:val="00434F1D"/>
    <w:rsid w:val="00435235"/>
    <w:rsid w:val="00435345"/>
    <w:rsid w:val="00435822"/>
    <w:rsid w:val="00437F52"/>
    <w:rsid w:val="00441D44"/>
    <w:rsid w:val="004422F0"/>
    <w:rsid w:val="00442724"/>
    <w:rsid w:val="00442967"/>
    <w:rsid w:val="00442E2D"/>
    <w:rsid w:val="00443BDA"/>
    <w:rsid w:val="0044526D"/>
    <w:rsid w:val="004453E2"/>
    <w:rsid w:val="004503F1"/>
    <w:rsid w:val="00450C31"/>
    <w:rsid w:val="00450D94"/>
    <w:rsid w:val="004522F9"/>
    <w:rsid w:val="0045392D"/>
    <w:rsid w:val="00453D6A"/>
    <w:rsid w:val="00456444"/>
    <w:rsid w:val="00456856"/>
    <w:rsid w:val="00456A86"/>
    <w:rsid w:val="00456BBC"/>
    <w:rsid w:val="00460091"/>
    <w:rsid w:val="00461364"/>
    <w:rsid w:val="00461964"/>
    <w:rsid w:val="00461B9D"/>
    <w:rsid w:val="00461FA9"/>
    <w:rsid w:val="00462251"/>
    <w:rsid w:val="00464A66"/>
    <w:rsid w:val="00464EF4"/>
    <w:rsid w:val="0046533F"/>
    <w:rsid w:val="00465750"/>
    <w:rsid w:val="0046632C"/>
    <w:rsid w:val="00466481"/>
    <w:rsid w:val="0047021E"/>
    <w:rsid w:val="004702C3"/>
    <w:rsid w:val="00470712"/>
    <w:rsid w:val="0047080C"/>
    <w:rsid w:val="00470D52"/>
    <w:rsid w:val="0047217A"/>
    <w:rsid w:val="00472DAE"/>
    <w:rsid w:val="00472EEF"/>
    <w:rsid w:val="00473FAF"/>
    <w:rsid w:val="004745A9"/>
    <w:rsid w:val="00475157"/>
    <w:rsid w:val="00475601"/>
    <w:rsid w:val="00475CC3"/>
    <w:rsid w:val="00475F5C"/>
    <w:rsid w:val="00476DFE"/>
    <w:rsid w:val="00477031"/>
    <w:rsid w:val="00480431"/>
    <w:rsid w:val="00480CA2"/>
    <w:rsid w:val="0048146B"/>
    <w:rsid w:val="004826CE"/>
    <w:rsid w:val="00483AC4"/>
    <w:rsid w:val="004841E1"/>
    <w:rsid w:val="00484AC0"/>
    <w:rsid w:val="004866BE"/>
    <w:rsid w:val="00486F7E"/>
    <w:rsid w:val="0048721B"/>
    <w:rsid w:val="00487784"/>
    <w:rsid w:val="00491660"/>
    <w:rsid w:val="00491CF5"/>
    <w:rsid w:val="004933A4"/>
    <w:rsid w:val="00493D9A"/>
    <w:rsid w:val="00494E25"/>
    <w:rsid w:val="00495BC7"/>
    <w:rsid w:val="004963BD"/>
    <w:rsid w:val="00496407"/>
    <w:rsid w:val="0049670B"/>
    <w:rsid w:val="00496CBD"/>
    <w:rsid w:val="00496E66"/>
    <w:rsid w:val="00497BB7"/>
    <w:rsid w:val="004A18F7"/>
    <w:rsid w:val="004A4036"/>
    <w:rsid w:val="004A67CB"/>
    <w:rsid w:val="004A741E"/>
    <w:rsid w:val="004A74D8"/>
    <w:rsid w:val="004A75CD"/>
    <w:rsid w:val="004A76DC"/>
    <w:rsid w:val="004B0260"/>
    <w:rsid w:val="004B1779"/>
    <w:rsid w:val="004B28EA"/>
    <w:rsid w:val="004B2ED8"/>
    <w:rsid w:val="004B3516"/>
    <w:rsid w:val="004B3A8E"/>
    <w:rsid w:val="004B3D47"/>
    <w:rsid w:val="004B49D3"/>
    <w:rsid w:val="004B4B23"/>
    <w:rsid w:val="004B4E57"/>
    <w:rsid w:val="004B4EAD"/>
    <w:rsid w:val="004B517B"/>
    <w:rsid w:val="004B54DA"/>
    <w:rsid w:val="004B583B"/>
    <w:rsid w:val="004B61AD"/>
    <w:rsid w:val="004B626B"/>
    <w:rsid w:val="004B6FC9"/>
    <w:rsid w:val="004B7216"/>
    <w:rsid w:val="004B7DF6"/>
    <w:rsid w:val="004B7F9E"/>
    <w:rsid w:val="004C03A8"/>
    <w:rsid w:val="004C111A"/>
    <w:rsid w:val="004C1607"/>
    <w:rsid w:val="004C1626"/>
    <w:rsid w:val="004C1A39"/>
    <w:rsid w:val="004C2901"/>
    <w:rsid w:val="004C29F2"/>
    <w:rsid w:val="004C2DB5"/>
    <w:rsid w:val="004C35C4"/>
    <w:rsid w:val="004C3A13"/>
    <w:rsid w:val="004C3EA9"/>
    <w:rsid w:val="004C428E"/>
    <w:rsid w:val="004C43A8"/>
    <w:rsid w:val="004C6087"/>
    <w:rsid w:val="004C6130"/>
    <w:rsid w:val="004C64F1"/>
    <w:rsid w:val="004C684C"/>
    <w:rsid w:val="004C6940"/>
    <w:rsid w:val="004C6B26"/>
    <w:rsid w:val="004C6D62"/>
    <w:rsid w:val="004C6E3E"/>
    <w:rsid w:val="004C6F18"/>
    <w:rsid w:val="004C6F27"/>
    <w:rsid w:val="004C780F"/>
    <w:rsid w:val="004D01A4"/>
    <w:rsid w:val="004D0703"/>
    <w:rsid w:val="004D0AE2"/>
    <w:rsid w:val="004D1281"/>
    <w:rsid w:val="004D13CF"/>
    <w:rsid w:val="004D2593"/>
    <w:rsid w:val="004D2A33"/>
    <w:rsid w:val="004D3196"/>
    <w:rsid w:val="004D331B"/>
    <w:rsid w:val="004D347F"/>
    <w:rsid w:val="004D4213"/>
    <w:rsid w:val="004D47A6"/>
    <w:rsid w:val="004D483E"/>
    <w:rsid w:val="004D5E03"/>
    <w:rsid w:val="004D6E43"/>
    <w:rsid w:val="004D70DF"/>
    <w:rsid w:val="004D7A97"/>
    <w:rsid w:val="004E006A"/>
    <w:rsid w:val="004E0411"/>
    <w:rsid w:val="004E0F1D"/>
    <w:rsid w:val="004E179B"/>
    <w:rsid w:val="004E28BD"/>
    <w:rsid w:val="004E2EE8"/>
    <w:rsid w:val="004E3583"/>
    <w:rsid w:val="004E4A3A"/>
    <w:rsid w:val="004E4C5A"/>
    <w:rsid w:val="004E4DD9"/>
    <w:rsid w:val="004E4F7C"/>
    <w:rsid w:val="004E574D"/>
    <w:rsid w:val="004E6CB9"/>
    <w:rsid w:val="004F0B83"/>
    <w:rsid w:val="004F1F44"/>
    <w:rsid w:val="004F26C6"/>
    <w:rsid w:val="004F2BFA"/>
    <w:rsid w:val="004F335F"/>
    <w:rsid w:val="004F49B9"/>
    <w:rsid w:val="004F535E"/>
    <w:rsid w:val="004F65C0"/>
    <w:rsid w:val="004F663F"/>
    <w:rsid w:val="004F68B3"/>
    <w:rsid w:val="004F7D66"/>
    <w:rsid w:val="0050045D"/>
    <w:rsid w:val="00500809"/>
    <w:rsid w:val="0050151B"/>
    <w:rsid w:val="0050176B"/>
    <w:rsid w:val="00501BC3"/>
    <w:rsid w:val="005026B4"/>
    <w:rsid w:val="00502B1E"/>
    <w:rsid w:val="00502CFD"/>
    <w:rsid w:val="00503BF0"/>
    <w:rsid w:val="00504491"/>
    <w:rsid w:val="00504764"/>
    <w:rsid w:val="00504B36"/>
    <w:rsid w:val="00504B38"/>
    <w:rsid w:val="005058C5"/>
    <w:rsid w:val="00505A20"/>
    <w:rsid w:val="00505E58"/>
    <w:rsid w:val="00507033"/>
    <w:rsid w:val="00510780"/>
    <w:rsid w:val="00511021"/>
    <w:rsid w:val="00513189"/>
    <w:rsid w:val="00515158"/>
    <w:rsid w:val="005153B7"/>
    <w:rsid w:val="00515D1A"/>
    <w:rsid w:val="00516816"/>
    <w:rsid w:val="00517FCD"/>
    <w:rsid w:val="00521865"/>
    <w:rsid w:val="00522520"/>
    <w:rsid w:val="00522532"/>
    <w:rsid w:val="00522AA9"/>
    <w:rsid w:val="0052420F"/>
    <w:rsid w:val="00524C39"/>
    <w:rsid w:val="00527A3D"/>
    <w:rsid w:val="005313F5"/>
    <w:rsid w:val="00531808"/>
    <w:rsid w:val="00531B0C"/>
    <w:rsid w:val="00532779"/>
    <w:rsid w:val="00533CD3"/>
    <w:rsid w:val="00535991"/>
    <w:rsid w:val="00535AC0"/>
    <w:rsid w:val="005368FE"/>
    <w:rsid w:val="00536B9E"/>
    <w:rsid w:val="00537670"/>
    <w:rsid w:val="00541A44"/>
    <w:rsid w:val="005420D4"/>
    <w:rsid w:val="00542C2B"/>
    <w:rsid w:val="0054377C"/>
    <w:rsid w:val="00543896"/>
    <w:rsid w:val="00543A7B"/>
    <w:rsid w:val="00543D15"/>
    <w:rsid w:val="0054487A"/>
    <w:rsid w:val="0054607A"/>
    <w:rsid w:val="00546300"/>
    <w:rsid w:val="00546B7B"/>
    <w:rsid w:val="005479D4"/>
    <w:rsid w:val="00547DA5"/>
    <w:rsid w:val="005501AC"/>
    <w:rsid w:val="00550F4F"/>
    <w:rsid w:val="00551B82"/>
    <w:rsid w:val="0055266D"/>
    <w:rsid w:val="005534F7"/>
    <w:rsid w:val="00553C5D"/>
    <w:rsid w:val="00554532"/>
    <w:rsid w:val="00555A1C"/>
    <w:rsid w:val="00555E7B"/>
    <w:rsid w:val="005561F6"/>
    <w:rsid w:val="005569D5"/>
    <w:rsid w:val="00556DE5"/>
    <w:rsid w:val="0056109D"/>
    <w:rsid w:val="00561D38"/>
    <w:rsid w:val="00561EB9"/>
    <w:rsid w:val="00563436"/>
    <w:rsid w:val="0056592E"/>
    <w:rsid w:val="00567635"/>
    <w:rsid w:val="00570541"/>
    <w:rsid w:val="005706A5"/>
    <w:rsid w:val="005714FF"/>
    <w:rsid w:val="00571547"/>
    <w:rsid w:val="00571DB9"/>
    <w:rsid w:val="00571FE5"/>
    <w:rsid w:val="005722BD"/>
    <w:rsid w:val="0057373F"/>
    <w:rsid w:val="00573FA3"/>
    <w:rsid w:val="00574702"/>
    <w:rsid w:val="00574913"/>
    <w:rsid w:val="00574FCF"/>
    <w:rsid w:val="005758EA"/>
    <w:rsid w:val="0057668B"/>
    <w:rsid w:val="005768FF"/>
    <w:rsid w:val="00576C2F"/>
    <w:rsid w:val="00580BD9"/>
    <w:rsid w:val="00581C97"/>
    <w:rsid w:val="00581D59"/>
    <w:rsid w:val="005827F9"/>
    <w:rsid w:val="005830E1"/>
    <w:rsid w:val="00584814"/>
    <w:rsid w:val="00586DCB"/>
    <w:rsid w:val="005870CE"/>
    <w:rsid w:val="0058E6F9"/>
    <w:rsid w:val="005902EA"/>
    <w:rsid w:val="005905EC"/>
    <w:rsid w:val="00591620"/>
    <w:rsid w:val="00591756"/>
    <w:rsid w:val="00591ED0"/>
    <w:rsid w:val="00591FB8"/>
    <w:rsid w:val="00592E3A"/>
    <w:rsid w:val="00592F4F"/>
    <w:rsid w:val="00593CFA"/>
    <w:rsid w:val="005944AA"/>
    <w:rsid w:val="0059544C"/>
    <w:rsid w:val="0059604C"/>
    <w:rsid w:val="005972B8"/>
    <w:rsid w:val="00597331"/>
    <w:rsid w:val="0059783C"/>
    <w:rsid w:val="00597C6F"/>
    <w:rsid w:val="00597D8C"/>
    <w:rsid w:val="005A1094"/>
    <w:rsid w:val="005A1599"/>
    <w:rsid w:val="005A1DE2"/>
    <w:rsid w:val="005A37F3"/>
    <w:rsid w:val="005A3E77"/>
    <w:rsid w:val="005A3F1D"/>
    <w:rsid w:val="005A4A77"/>
    <w:rsid w:val="005A50FD"/>
    <w:rsid w:val="005A5792"/>
    <w:rsid w:val="005A5FFC"/>
    <w:rsid w:val="005A6476"/>
    <w:rsid w:val="005A6656"/>
    <w:rsid w:val="005A68C9"/>
    <w:rsid w:val="005A7458"/>
    <w:rsid w:val="005A7A29"/>
    <w:rsid w:val="005A7AB3"/>
    <w:rsid w:val="005A7E16"/>
    <w:rsid w:val="005B0F88"/>
    <w:rsid w:val="005B2745"/>
    <w:rsid w:val="005B2999"/>
    <w:rsid w:val="005B29A7"/>
    <w:rsid w:val="005B2ED3"/>
    <w:rsid w:val="005B4206"/>
    <w:rsid w:val="005B438C"/>
    <w:rsid w:val="005B4DFC"/>
    <w:rsid w:val="005B5031"/>
    <w:rsid w:val="005B6094"/>
    <w:rsid w:val="005B612D"/>
    <w:rsid w:val="005B6390"/>
    <w:rsid w:val="005B6443"/>
    <w:rsid w:val="005B69B4"/>
    <w:rsid w:val="005B782D"/>
    <w:rsid w:val="005B7A25"/>
    <w:rsid w:val="005B7A54"/>
    <w:rsid w:val="005C129C"/>
    <w:rsid w:val="005C1397"/>
    <w:rsid w:val="005C2981"/>
    <w:rsid w:val="005C2CA8"/>
    <w:rsid w:val="005C38E0"/>
    <w:rsid w:val="005C3B6F"/>
    <w:rsid w:val="005C425A"/>
    <w:rsid w:val="005C54A8"/>
    <w:rsid w:val="005C616F"/>
    <w:rsid w:val="005C6E6C"/>
    <w:rsid w:val="005C7AD3"/>
    <w:rsid w:val="005C7FD3"/>
    <w:rsid w:val="005D026E"/>
    <w:rsid w:val="005D02EB"/>
    <w:rsid w:val="005D03C5"/>
    <w:rsid w:val="005D0FEE"/>
    <w:rsid w:val="005D105F"/>
    <w:rsid w:val="005D1CEB"/>
    <w:rsid w:val="005D1E92"/>
    <w:rsid w:val="005D2C51"/>
    <w:rsid w:val="005D2CCE"/>
    <w:rsid w:val="005D33F3"/>
    <w:rsid w:val="005D3DE3"/>
    <w:rsid w:val="005D519C"/>
    <w:rsid w:val="005D5898"/>
    <w:rsid w:val="005D5F60"/>
    <w:rsid w:val="005D5F71"/>
    <w:rsid w:val="005D66EB"/>
    <w:rsid w:val="005D6B3B"/>
    <w:rsid w:val="005D7D91"/>
    <w:rsid w:val="005E0027"/>
    <w:rsid w:val="005E0B27"/>
    <w:rsid w:val="005E0C10"/>
    <w:rsid w:val="005E0F1A"/>
    <w:rsid w:val="005E322F"/>
    <w:rsid w:val="005E3485"/>
    <w:rsid w:val="005E359A"/>
    <w:rsid w:val="005E4A89"/>
    <w:rsid w:val="005E4EF8"/>
    <w:rsid w:val="005E5F6F"/>
    <w:rsid w:val="005E7365"/>
    <w:rsid w:val="005E740F"/>
    <w:rsid w:val="005F15B3"/>
    <w:rsid w:val="005F16D4"/>
    <w:rsid w:val="005F1774"/>
    <w:rsid w:val="005F187A"/>
    <w:rsid w:val="005F1FE0"/>
    <w:rsid w:val="005F35DE"/>
    <w:rsid w:val="005F3CDB"/>
    <w:rsid w:val="005F3E1D"/>
    <w:rsid w:val="005F5EE0"/>
    <w:rsid w:val="005F608E"/>
    <w:rsid w:val="005F660C"/>
    <w:rsid w:val="005F673D"/>
    <w:rsid w:val="005F7E73"/>
    <w:rsid w:val="00600314"/>
    <w:rsid w:val="00600C70"/>
    <w:rsid w:val="00600D85"/>
    <w:rsid w:val="00600E05"/>
    <w:rsid w:val="00601AB0"/>
    <w:rsid w:val="0060258B"/>
    <w:rsid w:val="0060345D"/>
    <w:rsid w:val="00604148"/>
    <w:rsid w:val="006047B6"/>
    <w:rsid w:val="0060539D"/>
    <w:rsid w:val="006056C2"/>
    <w:rsid w:val="00605F12"/>
    <w:rsid w:val="00605F93"/>
    <w:rsid w:val="00607214"/>
    <w:rsid w:val="00607BA6"/>
    <w:rsid w:val="00610118"/>
    <w:rsid w:val="00611EAF"/>
    <w:rsid w:val="006121FC"/>
    <w:rsid w:val="006123EF"/>
    <w:rsid w:val="006126AE"/>
    <w:rsid w:val="00612CD1"/>
    <w:rsid w:val="00613BE0"/>
    <w:rsid w:val="00614B77"/>
    <w:rsid w:val="006156BF"/>
    <w:rsid w:val="0061594E"/>
    <w:rsid w:val="00615CD5"/>
    <w:rsid w:val="00615F5B"/>
    <w:rsid w:val="00616362"/>
    <w:rsid w:val="0062091E"/>
    <w:rsid w:val="0062099E"/>
    <w:rsid w:val="0062124D"/>
    <w:rsid w:val="00621766"/>
    <w:rsid w:val="00621DEF"/>
    <w:rsid w:val="0062262D"/>
    <w:rsid w:val="00623A50"/>
    <w:rsid w:val="00623C22"/>
    <w:rsid w:val="00623D05"/>
    <w:rsid w:val="00624082"/>
    <w:rsid w:val="006243A4"/>
    <w:rsid w:val="00624F6E"/>
    <w:rsid w:val="00626776"/>
    <w:rsid w:val="00627B6D"/>
    <w:rsid w:val="00630D17"/>
    <w:rsid w:val="00631B24"/>
    <w:rsid w:val="00633395"/>
    <w:rsid w:val="00634346"/>
    <w:rsid w:val="00634CA5"/>
    <w:rsid w:val="00634E8C"/>
    <w:rsid w:val="00635485"/>
    <w:rsid w:val="00635541"/>
    <w:rsid w:val="00635C1B"/>
    <w:rsid w:val="006363CE"/>
    <w:rsid w:val="00636403"/>
    <w:rsid w:val="0063739C"/>
    <w:rsid w:val="00637425"/>
    <w:rsid w:val="00637AA5"/>
    <w:rsid w:val="00637F4B"/>
    <w:rsid w:val="006401BA"/>
    <w:rsid w:val="00640957"/>
    <w:rsid w:val="0064190F"/>
    <w:rsid w:val="006435BE"/>
    <w:rsid w:val="006449C4"/>
    <w:rsid w:val="00645EC7"/>
    <w:rsid w:val="00646364"/>
    <w:rsid w:val="006463C3"/>
    <w:rsid w:val="00646909"/>
    <w:rsid w:val="00647409"/>
    <w:rsid w:val="00650A84"/>
    <w:rsid w:val="00650CD2"/>
    <w:rsid w:val="0065180A"/>
    <w:rsid w:val="0065202E"/>
    <w:rsid w:val="006520C9"/>
    <w:rsid w:val="00652E5B"/>
    <w:rsid w:val="006542FE"/>
    <w:rsid w:val="006549A4"/>
    <w:rsid w:val="006554D7"/>
    <w:rsid w:val="0065594A"/>
    <w:rsid w:val="00656A51"/>
    <w:rsid w:val="00656B99"/>
    <w:rsid w:val="0065711F"/>
    <w:rsid w:val="00657BB2"/>
    <w:rsid w:val="00660029"/>
    <w:rsid w:val="006608B0"/>
    <w:rsid w:val="006613ED"/>
    <w:rsid w:val="006618AB"/>
    <w:rsid w:val="006624EF"/>
    <w:rsid w:val="00662587"/>
    <w:rsid w:val="0066324A"/>
    <w:rsid w:val="006651D8"/>
    <w:rsid w:val="0066538B"/>
    <w:rsid w:val="00665876"/>
    <w:rsid w:val="00665CD1"/>
    <w:rsid w:val="00666049"/>
    <w:rsid w:val="00666261"/>
    <w:rsid w:val="0066706E"/>
    <w:rsid w:val="0066709A"/>
    <w:rsid w:val="0066713E"/>
    <w:rsid w:val="00667D8B"/>
    <w:rsid w:val="00667E18"/>
    <w:rsid w:val="00672C13"/>
    <w:rsid w:val="0067354E"/>
    <w:rsid w:val="00673F14"/>
    <w:rsid w:val="006744FB"/>
    <w:rsid w:val="00674BFF"/>
    <w:rsid w:val="0067591D"/>
    <w:rsid w:val="0067597B"/>
    <w:rsid w:val="00675DEA"/>
    <w:rsid w:val="006774CA"/>
    <w:rsid w:val="006804E8"/>
    <w:rsid w:val="006807E5"/>
    <w:rsid w:val="00680E28"/>
    <w:rsid w:val="006813B8"/>
    <w:rsid w:val="00681B0B"/>
    <w:rsid w:val="00681FAE"/>
    <w:rsid w:val="006838C7"/>
    <w:rsid w:val="00683DB0"/>
    <w:rsid w:val="00684DA9"/>
    <w:rsid w:val="006856E8"/>
    <w:rsid w:val="006856F5"/>
    <w:rsid w:val="0068628C"/>
    <w:rsid w:val="00690134"/>
    <w:rsid w:val="006918B4"/>
    <w:rsid w:val="0069286A"/>
    <w:rsid w:val="00692994"/>
    <w:rsid w:val="00692C59"/>
    <w:rsid w:val="00692EB2"/>
    <w:rsid w:val="00692F30"/>
    <w:rsid w:val="00693547"/>
    <w:rsid w:val="00694949"/>
    <w:rsid w:val="00695043"/>
    <w:rsid w:val="00695872"/>
    <w:rsid w:val="006958C7"/>
    <w:rsid w:val="0069678B"/>
    <w:rsid w:val="00696911"/>
    <w:rsid w:val="00697130"/>
    <w:rsid w:val="00697C0D"/>
    <w:rsid w:val="006A088B"/>
    <w:rsid w:val="006A1717"/>
    <w:rsid w:val="006A29DD"/>
    <w:rsid w:val="006A2BCA"/>
    <w:rsid w:val="006A39E3"/>
    <w:rsid w:val="006A4A12"/>
    <w:rsid w:val="006A4A77"/>
    <w:rsid w:val="006A5230"/>
    <w:rsid w:val="006A611A"/>
    <w:rsid w:val="006A6808"/>
    <w:rsid w:val="006A6A7E"/>
    <w:rsid w:val="006A7123"/>
    <w:rsid w:val="006B0070"/>
    <w:rsid w:val="006B1EE2"/>
    <w:rsid w:val="006B29C5"/>
    <w:rsid w:val="006B2E41"/>
    <w:rsid w:val="006B30BD"/>
    <w:rsid w:val="006B3995"/>
    <w:rsid w:val="006B4021"/>
    <w:rsid w:val="006B43A5"/>
    <w:rsid w:val="006B6371"/>
    <w:rsid w:val="006B7955"/>
    <w:rsid w:val="006B7B9D"/>
    <w:rsid w:val="006C0850"/>
    <w:rsid w:val="006C1166"/>
    <w:rsid w:val="006C1959"/>
    <w:rsid w:val="006C5662"/>
    <w:rsid w:val="006C5A67"/>
    <w:rsid w:val="006C5A9D"/>
    <w:rsid w:val="006C626C"/>
    <w:rsid w:val="006C6428"/>
    <w:rsid w:val="006C68F8"/>
    <w:rsid w:val="006C6A6F"/>
    <w:rsid w:val="006C7990"/>
    <w:rsid w:val="006C7DA5"/>
    <w:rsid w:val="006D00ED"/>
    <w:rsid w:val="006D024C"/>
    <w:rsid w:val="006D0294"/>
    <w:rsid w:val="006D0B90"/>
    <w:rsid w:val="006D170E"/>
    <w:rsid w:val="006D229C"/>
    <w:rsid w:val="006D27DE"/>
    <w:rsid w:val="006D364A"/>
    <w:rsid w:val="006D39A3"/>
    <w:rsid w:val="006D3D8F"/>
    <w:rsid w:val="006D4C44"/>
    <w:rsid w:val="006D59BA"/>
    <w:rsid w:val="006D5A7D"/>
    <w:rsid w:val="006D63F7"/>
    <w:rsid w:val="006D64D8"/>
    <w:rsid w:val="006D6A31"/>
    <w:rsid w:val="006D6FB8"/>
    <w:rsid w:val="006D77FE"/>
    <w:rsid w:val="006E0FCF"/>
    <w:rsid w:val="006E1B6A"/>
    <w:rsid w:val="006E3116"/>
    <w:rsid w:val="006E36B2"/>
    <w:rsid w:val="006E6024"/>
    <w:rsid w:val="006E7081"/>
    <w:rsid w:val="006F0C8B"/>
    <w:rsid w:val="006F1B08"/>
    <w:rsid w:val="006F51C2"/>
    <w:rsid w:val="006F5678"/>
    <w:rsid w:val="006F5CE6"/>
    <w:rsid w:val="006F7096"/>
    <w:rsid w:val="006F7262"/>
    <w:rsid w:val="006F7444"/>
    <w:rsid w:val="006F750F"/>
    <w:rsid w:val="006F7A3E"/>
    <w:rsid w:val="006F7AE9"/>
    <w:rsid w:val="006F7E11"/>
    <w:rsid w:val="0070059C"/>
    <w:rsid w:val="007006A1"/>
    <w:rsid w:val="00701291"/>
    <w:rsid w:val="00701DD1"/>
    <w:rsid w:val="00702BCF"/>
    <w:rsid w:val="007042ED"/>
    <w:rsid w:val="007045F1"/>
    <w:rsid w:val="00704F03"/>
    <w:rsid w:val="007058C2"/>
    <w:rsid w:val="00707C01"/>
    <w:rsid w:val="00710F90"/>
    <w:rsid w:val="0071324E"/>
    <w:rsid w:val="00713623"/>
    <w:rsid w:val="00713720"/>
    <w:rsid w:val="00714152"/>
    <w:rsid w:val="00714293"/>
    <w:rsid w:val="007150F0"/>
    <w:rsid w:val="00715F41"/>
    <w:rsid w:val="00716952"/>
    <w:rsid w:val="00716EFC"/>
    <w:rsid w:val="00717E05"/>
    <w:rsid w:val="007201FB"/>
    <w:rsid w:val="00720255"/>
    <w:rsid w:val="00720B1C"/>
    <w:rsid w:val="007218BD"/>
    <w:rsid w:val="00722E2E"/>
    <w:rsid w:val="007232F6"/>
    <w:rsid w:val="00723447"/>
    <w:rsid w:val="00723665"/>
    <w:rsid w:val="0072403C"/>
    <w:rsid w:val="00724FA1"/>
    <w:rsid w:val="00726484"/>
    <w:rsid w:val="0072659C"/>
    <w:rsid w:val="0072676D"/>
    <w:rsid w:val="00726A52"/>
    <w:rsid w:val="00726B58"/>
    <w:rsid w:val="00727109"/>
    <w:rsid w:val="0072797D"/>
    <w:rsid w:val="00727A88"/>
    <w:rsid w:val="00730457"/>
    <w:rsid w:val="00730769"/>
    <w:rsid w:val="00730A1B"/>
    <w:rsid w:val="00733D92"/>
    <w:rsid w:val="0073462D"/>
    <w:rsid w:val="00734FA2"/>
    <w:rsid w:val="00735982"/>
    <w:rsid w:val="007363CF"/>
    <w:rsid w:val="007367A8"/>
    <w:rsid w:val="00736890"/>
    <w:rsid w:val="00736B55"/>
    <w:rsid w:val="007403EB"/>
    <w:rsid w:val="00742458"/>
    <w:rsid w:val="007433B6"/>
    <w:rsid w:val="007435EB"/>
    <w:rsid w:val="00744784"/>
    <w:rsid w:val="0074488C"/>
    <w:rsid w:val="0074582D"/>
    <w:rsid w:val="00745BBD"/>
    <w:rsid w:val="00746064"/>
    <w:rsid w:val="00746131"/>
    <w:rsid w:val="00746821"/>
    <w:rsid w:val="00747340"/>
    <w:rsid w:val="0074737F"/>
    <w:rsid w:val="00747946"/>
    <w:rsid w:val="00747DBF"/>
    <w:rsid w:val="0075066B"/>
    <w:rsid w:val="007512CC"/>
    <w:rsid w:val="007515A8"/>
    <w:rsid w:val="00751E64"/>
    <w:rsid w:val="0075233F"/>
    <w:rsid w:val="00752352"/>
    <w:rsid w:val="007546BA"/>
    <w:rsid w:val="00754BDB"/>
    <w:rsid w:val="00754DC0"/>
    <w:rsid w:val="00755F9F"/>
    <w:rsid w:val="007565A1"/>
    <w:rsid w:val="00756F1A"/>
    <w:rsid w:val="0076379D"/>
    <w:rsid w:val="007639CB"/>
    <w:rsid w:val="00763F97"/>
    <w:rsid w:val="007642EF"/>
    <w:rsid w:val="007650DF"/>
    <w:rsid w:val="00765B17"/>
    <w:rsid w:val="00766294"/>
    <w:rsid w:val="00767344"/>
    <w:rsid w:val="0076738A"/>
    <w:rsid w:val="007678A4"/>
    <w:rsid w:val="00767E17"/>
    <w:rsid w:val="00772E0E"/>
    <w:rsid w:val="00772F29"/>
    <w:rsid w:val="007739C9"/>
    <w:rsid w:val="00774776"/>
    <w:rsid w:val="00774AE2"/>
    <w:rsid w:val="00775279"/>
    <w:rsid w:val="0077551A"/>
    <w:rsid w:val="00775FF5"/>
    <w:rsid w:val="0077739F"/>
    <w:rsid w:val="00777E01"/>
    <w:rsid w:val="00782497"/>
    <w:rsid w:val="00783C6C"/>
    <w:rsid w:val="007845E2"/>
    <w:rsid w:val="0078498E"/>
    <w:rsid w:val="00786715"/>
    <w:rsid w:val="00791138"/>
    <w:rsid w:val="0079219A"/>
    <w:rsid w:val="0079232F"/>
    <w:rsid w:val="007927E7"/>
    <w:rsid w:val="00792BA7"/>
    <w:rsid w:val="007931F5"/>
    <w:rsid w:val="00793AFE"/>
    <w:rsid w:val="00793C13"/>
    <w:rsid w:val="0079442F"/>
    <w:rsid w:val="00794C51"/>
    <w:rsid w:val="00795BD9"/>
    <w:rsid w:val="00796CC1"/>
    <w:rsid w:val="0079723C"/>
    <w:rsid w:val="007976DA"/>
    <w:rsid w:val="007A0EE5"/>
    <w:rsid w:val="007A0FEE"/>
    <w:rsid w:val="007A154D"/>
    <w:rsid w:val="007A1D39"/>
    <w:rsid w:val="007A2203"/>
    <w:rsid w:val="007A3783"/>
    <w:rsid w:val="007A3D7F"/>
    <w:rsid w:val="007A40AA"/>
    <w:rsid w:val="007A4123"/>
    <w:rsid w:val="007A58E6"/>
    <w:rsid w:val="007A5BAA"/>
    <w:rsid w:val="007A685F"/>
    <w:rsid w:val="007A6EC2"/>
    <w:rsid w:val="007B24BF"/>
    <w:rsid w:val="007B2E83"/>
    <w:rsid w:val="007B316C"/>
    <w:rsid w:val="007B3CD6"/>
    <w:rsid w:val="007B3DFD"/>
    <w:rsid w:val="007B3E46"/>
    <w:rsid w:val="007B3E99"/>
    <w:rsid w:val="007B3F77"/>
    <w:rsid w:val="007B423F"/>
    <w:rsid w:val="007B584E"/>
    <w:rsid w:val="007B6EB4"/>
    <w:rsid w:val="007B7309"/>
    <w:rsid w:val="007C02D7"/>
    <w:rsid w:val="007C0503"/>
    <w:rsid w:val="007C16E5"/>
    <w:rsid w:val="007C1D6B"/>
    <w:rsid w:val="007C2777"/>
    <w:rsid w:val="007C292B"/>
    <w:rsid w:val="007C2E96"/>
    <w:rsid w:val="007C3CC0"/>
    <w:rsid w:val="007C3EFC"/>
    <w:rsid w:val="007C42BC"/>
    <w:rsid w:val="007C73E7"/>
    <w:rsid w:val="007C7B2A"/>
    <w:rsid w:val="007C7DB5"/>
    <w:rsid w:val="007C7EFA"/>
    <w:rsid w:val="007D0685"/>
    <w:rsid w:val="007D096D"/>
    <w:rsid w:val="007D112D"/>
    <w:rsid w:val="007D297F"/>
    <w:rsid w:val="007D319B"/>
    <w:rsid w:val="007D41FD"/>
    <w:rsid w:val="007D6209"/>
    <w:rsid w:val="007D7071"/>
    <w:rsid w:val="007D7275"/>
    <w:rsid w:val="007D7967"/>
    <w:rsid w:val="007D7B4B"/>
    <w:rsid w:val="007E0831"/>
    <w:rsid w:val="007E0BFE"/>
    <w:rsid w:val="007E1046"/>
    <w:rsid w:val="007E136E"/>
    <w:rsid w:val="007E26C2"/>
    <w:rsid w:val="007E2B07"/>
    <w:rsid w:val="007E346D"/>
    <w:rsid w:val="007E3B4C"/>
    <w:rsid w:val="007E52C9"/>
    <w:rsid w:val="007E61B9"/>
    <w:rsid w:val="007E6213"/>
    <w:rsid w:val="007E6519"/>
    <w:rsid w:val="007E652D"/>
    <w:rsid w:val="007E6534"/>
    <w:rsid w:val="007E67F7"/>
    <w:rsid w:val="007E7A1E"/>
    <w:rsid w:val="007F0434"/>
    <w:rsid w:val="007F050E"/>
    <w:rsid w:val="007F0698"/>
    <w:rsid w:val="007F2848"/>
    <w:rsid w:val="007F2F61"/>
    <w:rsid w:val="007F5C7F"/>
    <w:rsid w:val="007F5D15"/>
    <w:rsid w:val="007F629B"/>
    <w:rsid w:val="007F66D2"/>
    <w:rsid w:val="007F687E"/>
    <w:rsid w:val="007F6E97"/>
    <w:rsid w:val="007F799C"/>
    <w:rsid w:val="007F7C68"/>
    <w:rsid w:val="007F7D81"/>
    <w:rsid w:val="0080245D"/>
    <w:rsid w:val="008025B2"/>
    <w:rsid w:val="00803567"/>
    <w:rsid w:val="00803AEC"/>
    <w:rsid w:val="00803EE8"/>
    <w:rsid w:val="0080405A"/>
    <w:rsid w:val="0080474E"/>
    <w:rsid w:val="008048EF"/>
    <w:rsid w:val="00805D0F"/>
    <w:rsid w:val="008072A9"/>
    <w:rsid w:val="0080782C"/>
    <w:rsid w:val="0080783E"/>
    <w:rsid w:val="00807BE0"/>
    <w:rsid w:val="008127E4"/>
    <w:rsid w:val="00812AC4"/>
    <w:rsid w:val="00813426"/>
    <w:rsid w:val="0081417B"/>
    <w:rsid w:val="0081437F"/>
    <w:rsid w:val="008148C7"/>
    <w:rsid w:val="00814D60"/>
    <w:rsid w:val="00815050"/>
    <w:rsid w:val="008151C7"/>
    <w:rsid w:val="0081554F"/>
    <w:rsid w:val="008159BF"/>
    <w:rsid w:val="00815F7A"/>
    <w:rsid w:val="00816418"/>
    <w:rsid w:val="008168FB"/>
    <w:rsid w:val="00816DA1"/>
    <w:rsid w:val="00820137"/>
    <w:rsid w:val="00821BE5"/>
    <w:rsid w:val="00821D8C"/>
    <w:rsid w:val="00821F85"/>
    <w:rsid w:val="008226D6"/>
    <w:rsid w:val="00824CB0"/>
    <w:rsid w:val="0082562E"/>
    <w:rsid w:val="00825892"/>
    <w:rsid w:val="00825B02"/>
    <w:rsid w:val="00826C5E"/>
    <w:rsid w:val="0082785A"/>
    <w:rsid w:val="0083116B"/>
    <w:rsid w:val="00831636"/>
    <w:rsid w:val="008316D1"/>
    <w:rsid w:val="008320F2"/>
    <w:rsid w:val="00832594"/>
    <w:rsid w:val="008333E6"/>
    <w:rsid w:val="0083495D"/>
    <w:rsid w:val="00834F5E"/>
    <w:rsid w:val="00835289"/>
    <w:rsid w:val="0083572F"/>
    <w:rsid w:val="008363CD"/>
    <w:rsid w:val="008371D9"/>
    <w:rsid w:val="008379E3"/>
    <w:rsid w:val="00837A6C"/>
    <w:rsid w:val="00837AEE"/>
    <w:rsid w:val="00840B4A"/>
    <w:rsid w:val="008414BF"/>
    <w:rsid w:val="00841DCF"/>
    <w:rsid w:val="008421EF"/>
    <w:rsid w:val="0084298E"/>
    <w:rsid w:val="00843846"/>
    <w:rsid w:val="00843C0D"/>
    <w:rsid w:val="0084527E"/>
    <w:rsid w:val="0084664B"/>
    <w:rsid w:val="00850E2D"/>
    <w:rsid w:val="00851642"/>
    <w:rsid w:val="00852C2F"/>
    <w:rsid w:val="00852FB8"/>
    <w:rsid w:val="0085336A"/>
    <w:rsid w:val="00854216"/>
    <w:rsid w:val="00855AFA"/>
    <w:rsid w:val="008583AE"/>
    <w:rsid w:val="00860435"/>
    <w:rsid w:val="00861335"/>
    <w:rsid w:val="00861353"/>
    <w:rsid w:val="00862794"/>
    <w:rsid w:val="008638EC"/>
    <w:rsid w:val="00863CB8"/>
    <w:rsid w:val="008641B8"/>
    <w:rsid w:val="008667C8"/>
    <w:rsid w:val="008705A2"/>
    <w:rsid w:val="00871719"/>
    <w:rsid w:val="008718F8"/>
    <w:rsid w:val="00872036"/>
    <w:rsid w:val="00872A8F"/>
    <w:rsid w:val="0087387B"/>
    <w:rsid w:val="00873893"/>
    <w:rsid w:val="00874293"/>
    <w:rsid w:val="00877DF6"/>
    <w:rsid w:val="00877E37"/>
    <w:rsid w:val="00880581"/>
    <w:rsid w:val="00880A2C"/>
    <w:rsid w:val="0088166A"/>
    <w:rsid w:val="00881861"/>
    <w:rsid w:val="00883E24"/>
    <w:rsid w:val="00883EE8"/>
    <w:rsid w:val="00884CD2"/>
    <w:rsid w:val="00885B0B"/>
    <w:rsid w:val="008867AE"/>
    <w:rsid w:val="008867C2"/>
    <w:rsid w:val="0088759E"/>
    <w:rsid w:val="00887DF8"/>
    <w:rsid w:val="00887E2A"/>
    <w:rsid w:val="00890280"/>
    <w:rsid w:val="00890EE6"/>
    <w:rsid w:val="00891866"/>
    <w:rsid w:val="00891A45"/>
    <w:rsid w:val="00891AAE"/>
    <w:rsid w:val="00892272"/>
    <w:rsid w:val="00892F98"/>
    <w:rsid w:val="008933E0"/>
    <w:rsid w:val="00893716"/>
    <w:rsid w:val="00893E62"/>
    <w:rsid w:val="00894558"/>
    <w:rsid w:val="00895799"/>
    <w:rsid w:val="0089603C"/>
    <w:rsid w:val="0089644F"/>
    <w:rsid w:val="008964C8"/>
    <w:rsid w:val="00896895"/>
    <w:rsid w:val="0089760D"/>
    <w:rsid w:val="00897A0C"/>
    <w:rsid w:val="008A0C34"/>
    <w:rsid w:val="008A0C64"/>
    <w:rsid w:val="008A0FC7"/>
    <w:rsid w:val="008A14C8"/>
    <w:rsid w:val="008A1537"/>
    <w:rsid w:val="008A1D79"/>
    <w:rsid w:val="008A1E5E"/>
    <w:rsid w:val="008A32A9"/>
    <w:rsid w:val="008A360F"/>
    <w:rsid w:val="008A45D6"/>
    <w:rsid w:val="008A622D"/>
    <w:rsid w:val="008A63FF"/>
    <w:rsid w:val="008A70C6"/>
    <w:rsid w:val="008A770B"/>
    <w:rsid w:val="008B05DC"/>
    <w:rsid w:val="008B1DE9"/>
    <w:rsid w:val="008B213B"/>
    <w:rsid w:val="008B23AC"/>
    <w:rsid w:val="008B2926"/>
    <w:rsid w:val="008B2D47"/>
    <w:rsid w:val="008B3E67"/>
    <w:rsid w:val="008B3EE3"/>
    <w:rsid w:val="008B4EB1"/>
    <w:rsid w:val="008B5004"/>
    <w:rsid w:val="008B5321"/>
    <w:rsid w:val="008B5B37"/>
    <w:rsid w:val="008B6B9E"/>
    <w:rsid w:val="008B6C8E"/>
    <w:rsid w:val="008B6C99"/>
    <w:rsid w:val="008C11B2"/>
    <w:rsid w:val="008C1843"/>
    <w:rsid w:val="008C1ACA"/>
    <w:rsid w:val="008C278A"/>
    <w:rsid w:val="008C27C5"/>
    <w:rsid w:val="008C2EF4"/>
    <w:rsid w:val="008C2F3A"/>
    <w:rsid w:val="008C3072"/>
    <w:rsid w:val="008C49F9"/>
    <w:rsid w:val="008C508C"/>
    <w:rsid w:val="008C5442"/>
    <w:rsid w:val="008C61E6"/>
    <w:rsid w:val="008C764D"/>
    <w:rsid w:val="008C7712"/>
    <w:rsid w:val="008C7BE4"/>
    <w:rsid w:val="008D0B06"/>
    <w:rsid w:val="008D26A7"/>
    <w:rsid w:val="008D3344"/>
    <w:rsid w:val="008D42CB"/>
    <w:rsid w:val="008D48A4"/>
    <w:rsid w:val="008D5255"/>
    <w:rsid w:val="008D5726"/>
    <w:rsid w:val="008D57CA"/>
    <w:rsid w:val="008D654D"/>
    <w:rsid w:val="008D7728"/>
    <w:rsid w:val="008E05B9"/>
    <w:rsid w:val="008E0F2F"/>
    <w:rsid w:val="008E1354"/>
    <w:rsid w:val="008E159F"/>
    <w:rsid w:val="008E18F2"/>
    <w:rsid w:val="008E2CF3"/>
    <w:rsid w:val="008E3CB2"/>
    <w:rsid w:val="008E44E1"/>
    <w:rsid w:val="008E48A2"/>
    <w:rsid w:val="008E4A0D"/>
    <w:rsid w:val="008E50FF"/>
    <w:rsid w:val="008E53F0"/>
    <w:rsid w:val="008E55B8"/>
    <w:rsid w:val="008E653E"/>
    <w:rsid w:val="008E6E62"/>
    <w:rsid w:val="008E72F6"/>
    <w:rsid w:val="008E7526"/>
    <w:rsid w:val="008E7F3C"/>
    <w:rsid w:val="008F06B8"/>
    <w:rsid w:val="008F0C1B"/>
    <w:rsid w:val="008F0CB3"/>
    <w:rsid w:val="008F1A27"/>
    <w:rsid w:val="008F2161"/>
    <w:rsid w:val="008F3558"/>
    <w:rsid w:val="008F3FD3"/>
    <w:rsid w:val="008F58EF"/>
    <w:rsid w:val="008F5A27"/>
    <w:rsid w:val="008F6295"/>
    <w:rsid w:val="008F728B"/>
    <w:rsid w:val="008F7AA0"/>
    <w:rsid w:val="008F7E00"/>
    <w:rsid w:val="00900242"/>
    <w:rsid w:val="00900C3C"/>
    <w:rsid w:val="00902C5B"/>
    <w:rsid w:val="00902FEF"/>
    <w:rsid w:val="009049B9"/>
    <w:rsid w:val="0090541C"/>
    <w:rsid w:val="00905B0A"/>
    <w:rsid w:val="00906B0B"/>
    <w:rsid w:val="00907079"/>
    <w:rsid w:val="00907CB0"/>
    <w:rsid w:val="0091027B"/>
    <w:rsid w:val="009118B5"/>
    <w:rsid w:val="00911A12"/>
    <w:rsid w:val="00913634"/>
    <w:rsid w:val="00913961"/>
    <w:rsid w:val="0091435C"/>
    <w:rsid w:val="00914BDB"/>
    <w:rsid w:val="00915481"/>
    <w:rsid w:val="00916444"/>
    <w:rsid w:val="009200F7"/>
    <w:rsid w:val="00920165"/>
    <w:rsid w:val="00920419"/>
    <w:rsid w:val="009227F8"/>
    <w:rsid w:val="00924068"/>
    <w:rsid w:val="00925794"/>
    <w:rsid w:val="00925E7B"/>
    <w:rsid w:val="00926353"/>
    <w:rsid w:val="0092748C"/>
    <w:rsid w:val="00927717"/>
    <w:rsid w:val="00927E47"/>
    <w:rsid w:val="0093049F"/>
    <w:rsid w:val="00931298"/>
    <w:rsid w:val="00931578"/>
    <w:rsid w:val="009326BF"/>
    <w:rsid w:val="00932E47"/>
    <w:rsid w:val="00932F20"/>
    <w:rsid w:val="00933345"/>
    <w:rsid w:val="00933502"/>
    <w:rsid w:val="009335C6"/>
    <w:rsid w:val="0093511C"/>
    <w:rsid w:val="00935D01"/>
    <w:rsid w:val="00937178"/>
    <w:rsid w:val="009377E1"/>
    <w:rsid w:val="00937A16"/>
    <w:rsid w:val="00940254"/>
    <w:rsid w:val="0094289D"/>
    <w:rsid w:val="00942C30"/>
    <w:rsid w:val="00944AF9"/>
    <w:rsid w:val="00945C44"/>
    <w:rsid w:val="00946397"/>
    <w:rsid w:val="0094687B"/>
    <w:rsid w:val="00946962"/>
    <w:rsid w:val="009470E7"/>
    <w:rsid w:val="00950269"/>
    <w:rsid w:val="009510E8"/>
    <w:rsid w:val="009511C8"/>
    <w:rsid w:val="00953CDD"/>
    <w:rsid w:val="00953F4C"/>
    <w:rsid w:val="009540B0"/>
    <w:rsid w:val="009541CD"/>
    <w:rsid w:val="00954381"/>
    <w:rsid w:val="009558D4"/>
    <w:rsid w:val="0095619E"/>
    <w:rsid w:val="00957833"/>
    <w:rsid w:val="00960E0C"/>
    <w:rsid w:val="0096313A"/>
    <w:rsid w:val="00963706"/>
    <w:rsid w:val="00964363"/>
    <w:rsid w:val="009648D1"/>
    <w:rsid w:val="00964D78"/>
    <w:rsid w:val="00965A6B"/>
    <w:rsid w:val="00965AF5"/>
    <w:rsid w:val="00966725"/>
    <w:rsid w:val="009669A8"/>
    <w:rsid w:val="009673B6"/>
    <w:rsid w:val="00971171"/>
    <w:rsid w:val="00972582"/>
    <w:rsid w:val="00972AAE"/>
    <w:rsid w:val="00972C2C"/>
    <w:rsid w:val="00972F9A"/>
    <w:rsid w:val="00973300"/>
    <w:rsid w:val="00973B70"/>
    <w:rsid w:val="00973CD9"/>
    <w:rsid w:val="00973F27"/>
    <w:rsid w:val="0097415E"/>
    <w:rsid w:val="009743E9"/>
    <w:rsid w:val="009749D0"/>
    <w:rsid w:val="00974C10"/>
    <w:rsid w:val="00974CA5"/>
    <w:rsid w:val="00975231"/>
    <w:rsid w:val="009756B0"/>
    <w:rsid w:val="00976835"/>
    <w:rsid w:val="009771BC"/>
    <w:rsid w:val="00977CF3"/>
    <w:rsid w:val="00977D90"/>
    <w:rsid w:val="0098011D"/>
    <w:rsid w:val="0098021C"/>
    <w:rsid w:val="0098060E"/>
    <w:rsid w:val="009810F7"/>
    <w:rsid w:val="00984098"/>
    <w:rsid w:val="00984200"/>
    <w:rsid w:val="009846B8"/>
    <w:rsid w:val="009848AA"/>
    <w:rsid w:val="00984A69"/>
    <w:rsid w:val="0098589F"/>
    <w:rsid w:val="00985D9D"/>
    <w:rsid w:val="009909E3"/>
    <w:rsid w:val="00990D27"/>
    <w:rsid w:val="00991B7C"/>
    <w:rsid w:val="00991D0D"/>
    <w:rsid w:val="00991EC2"/>
    <w:rsid w:val="00992745"/>
    <w:rsid w:val="00993839"/>
    <w:rsid w:val="0099399E"/>
    <w:rsid w:val="00993D89"/>
    <w:rsid w:val="009942CD"/>
    <w:rsid w:val="00994B50"/>
    <w:rsid w:val="00994CCF"/>
    <w:rsid w:val="00994F59"/>
    <w:rsid w:val="009957B7"/>
    <w:rsid w:val="00995C2C"/>
    <w:rsid w:val="009964C0"/>
    <w:rsid w:val="00996D71"/>
    <w:rsid w:val="0099713D"/>
    <w:rsid w:val="0099755B"/>
    <w:rsid w:val="00997893"/>
    <w:rsid w:val="00997919"/>
    <w:rsid w:val="009979A1"/>
    <w:rsid w:val="009A13B9"/>
    <w:rsid w:val="009A2011"/>
    <w:rsid w:val="009A264C"/>
    <w:rsid w:val="009A298C"/>
    <w:rsid w:val="009A2EE2"/>
    <w:rsid w:val="009A382D"/>
    <w:rsid w:val="009A3AC0"/>
    <w:rsid w:val="009A42BB"/>
    <w:rsid w:val="009A511F"/>
    <w:rsid w:val="009A5346"/>
    <w:rsid w:val="009A54D3"/>
    <w:rsid w:val="009A6731"/>
    <w:rsid w:val="009A6F45"/>
    <w:rsid w:val="009A722D"/>
    <w:rsid w:val="009A7EAE"/>
    <w:rsid w:val="009B059C"/>
    <w:rsid w:val="009B06DE"/>
    <w:rsid w:val="009B1144"/>
    <w:rsid w:val="009B15CB"/>
    <w:rsid w:val="009B2667"/>
    <w:rsid w:val="009B3A2D"/>
    <w:rsid w:val="009B3E56"/>
    <w:rsid w:val="009B4113"/>
    <w:rsid w:val="009B4287"/>
    <w:rsid w:val="009B44F6"/>
    <w:rsid w:val="009B46F9"/>
    <w:rsid w:val="009B4D5E"/>
    <w:rsid w:val="009B4FE3"/>
    <w:rsid w:val="009B51E3"/>
    <w:rsid w:val="009B56EF"/>
    <w:rsid w:val="009B726C"/>
    <w:rsid w:val="009B7C88"/>
    <w:rsid w:val="009C0E79"/>
    <w:rsid w:val="009C19C8"/>
    <w:rsid w:val="009C1B75"/>
    <w:rsid w:val="009C1E85"/>
    <w:rsid w:val="009C24DB"/>
    <w:rsid w:val="009C26C7"/>
    <w:rsid w:val="009C32D3"/>
    <w:rsid w:val="009C3553"/>
    <w:rsid w:val="009C3B19"/>
    <w:rsid w:val="009C3C79"/>
    <w:rsid w:val="009C3E7B"/>
    <w:rsid w:val="009C46A9"/>
    <w:rsid w:val="009C4ABA"/>
    <w:rsid w:val="009C4B01"/>
    <w:rsid w:val="009C587D"/>
    <w:rsid w:val="009C5D41"/>
    <w:rsid w:val="009C6B93"/>
    <w:rsid w:val="009C745C"/>
    <w:rsid w:val="009D017D"/>
    <w:rsid w:val="009D0A6C"/>
    <w:rsid w:val="009D21EB"/>
    <w:rsid w:val="009D2380"/>
    <w:rsid w:val="009D2D18"/>
    <w:rsid w:val="009D381E"/>
    <w:rsid w:val="009D38A4"/>
    <w:rsid w:val="009D4011"/>
    <w:rsid w:val="009D4352"/>
    <w:rsid w:val="009D44A4"/>
    <w:rsid w:val="009D5673"/>
    <w:rsid w:val="009D5EF6"/>
    <w:rsid w:val="009D5F27"/>
    <w:rsid w:val="009D7252"/>
    <w:rsid w:val="009D7501"/>
    <w:rsid w:val="009D7BFF"/>
    <w:rsid w:val="009D7E57"/>
    <w:rsid w:val="009E0956"/>
    <w:rsid w:val="009E0A3D"/>
    <w:rsid w:val="009E0BB0"/>
    <w:rsid w:val="009E1A6A"/>
    <w:rsid w:val="009E32C6"/>
    <w:rsid w:val="009E3B06"/>
    <w:rsid w:val="009E457C"/>
    <w:rsid w:val="009E54C1"/>
    <w:rsid w:val="009E6A16"/>
    <w:rsid w:val="009E6E59"/>
    <w:rsid w:val="009E7C92"/>
    <w:rsid w:val="009F0B1B"/>
    <w:rsid w:val="009F1590"/>
    <w:rsid w:val="009F25FC"/>
    <w:rsid w:val="009F2B4C"/>
    <w:rsid w:val="009F325C"/>
    <w:rsid w:val="009F3437"/>
    <w:rsid w:val="009F4C32"/>
    <w:rsid w:val="009F5014"/>
    <w:rsid w:val="009F638C"/>
    <w:rsid w:val="009F6DE9"/>
    <w:rsid w:val="009F747F"/>
    <w:rsid w:val="009F758D"/>
    <w:rsid w:val="00A003B9"/>
    <w:rsid w:val="00A00BA1"/>
    <w:rsid w:val="00A032AA"/>
    <w:rsid w:val="00A03360"/>
    <w:rsid w:val="00A03459"/>
    <w:rsid w:val="00A038E3"/>
    <w:rsid w:val="00A043BF"/>
    <w:rsid w:val="00A04E91"/>
    <w:rsid w:val="00A07E49"/>
    <w:rsid w:val="00A10E06"/>
    <w:rsid w:val="00A11760"/>
    <w:rsid w:val="00A154E2"/>
    <w:rsid w:val="00A15772"/>
    <w:rsid w:val="00A157FF"/>
    <w:rsid w:val="00A16076"/>
    <w:rsid w:val="00A16C60"/>
    <w:rsid w:val="00A16D03"/>
    <w:rsid w:val="00A223D8"/>
    <w:rsid w:val="00A24035"/>
    <w:rsid w:val="00A2495E"/>
    <w:rsid w:val="00A25414"/>
    <w:rsid w:val="00A260EE"/>
    <w:rsid w:val="00A26A94"/>
    <w:rsid w:val="00A2744F"/>
    <w:rsid w:val="00A276D2"/>
    <w:rsid w:val="00A27A0E"/>
    <w:rsid w:val="00A27ADD"/>
    <w:rsid w:val="00A30934"/>
    <w:rsid w:val="00A316C7"/>
    <w:rsid w:val="00A31C79"/>
    <w:rsid w:val="00A31D35"/>
    <w:rsid w:val="00A32110"/>
    <w:rsid w:val="00A323E5"/>
    <w:rsid w:val="00A32DFF"/>
    <w:rsid w:val="00A34037"/>
    <w:rsid w:val="00A3424D"/>
    <w:rsid w:val="00A35119"/>
    <w:rsid w:val="00A35471"/>
    <w:rsid w:val="00A35739"/>
    <w:rsid w:val="00A3574C"/>
    <w:rsid w:val="00A35A33"/>
    <w:rsid w:val="00A35FEB"/>
    <w:rsid w:val="00A361CF"/>
    <w:rsid w:val="00A36291"/>
    <w:rsid w:val="00A37BF4"/>
    <w:rsid w:val="00A40008"/>
    <w:rsid w:val="00A4074E"/>
    <w:rsid w:val="00A418A5"/>
    <w:rsid w:val="00A420D1"/>
    <w:rsid w:val="00A4238C"/>
    <w:rsid w:val="00A42414"/>
    <w:rsid w:val="00A42C83"/>
    <w:rsid w:val="00A4327A"/>
    <w:rsid w:val="00A43510"/>
    <w:rsid w:val="00A44345"/>
    <w:rsid w:val="00A44537"/>
    <w:rsid w:val="00A44BA0"/>
    <w:rsid w:val="00A44C65"/>
    <w:rsid w:val="00A47F30"/>
    <w:rsid w:val="00A519ED"/>
    <w:rsid w:val="00A52098"/>
    <w:rsid w:val="00A5257D"/>
    <w:rsid w:val="00A5360C"/>
    <w:rsid w:val="00A53A50"/>
    <w:rsid w:val="00A53BF4"/>
    <w:rsid w:val="00A55638"/>
    <w:rsid w:val="00A55B17"/>
    <w:rsid w:val="00A56114"/>
    <w:rsid w:val="00A5666C"/>
    <w:rsid w:val="00A600A7"/>
    <w:rsid w:val="00A61CCB"/>
    <w:rsid w:val="00A61F2D"/>
    <w:rsid w:val="00A620B5"/>
    <w:rsid w:val="00A63826"/>
    <w:rsid w:val="00A64067"/>
    <w:rsid w:val="00A65E24"/>
    <w:rsid w:val="00A66852"/>
    <w:rsid w:val="00A73375"/>
    <w:rsid w:val="00A73839"/>
    <w:rsid w:val="00A73EA5"/>
    <w:rsid w:val="00A75413"/>
    <w:rsid w:val="00A759BD"/>
    <w:rsid w:val="00A7661B"/>
    <w:rsid w:val="00A766A4"/>
    <w:rsid w:val="00A8163D"/>
    <w:rsid w:val="00A81AB6"/>
    <w:rsid w:val="00A829B0"/>
    <w:rsid w:val="00A82ED3"/>
    <w:rsid w:val="00A82FF9"/>
    <w:rsid w:val="00A8410D"/>
    <w:rsid w:val="00A842B5"/>
    <w:rsid w:val="00A846A7"/>
    <w:rsid w:val="00A858A0"/>
    <w:rsid w:val="00A85C19"/>
    <w:rsid w:val="00A85F7B"/>
    <w:rsid w:val="00A86AC7"/>
    <w:rsid w:val="00A86FA7"/>
    <w:rsid w:val="00A90347"/>
    <w:rsid w:val="00A909A6"/>
    <w:rsid w:val="00A92936"/>
    <w:rsid w:val="00A94725"/>
    <w:rsid w:val="00A9526F"/>
    <w:rsid w:val="00A954E0"/>
    <w:rsid w:val="00A95D11"/>
    <w:rsid w:val="00A963C1"/>
    <w:rsid w:val="00A969A2"/>
    <w:rsid w:val="00A96D9A"/>
    <w:rsid w:val="00A96EBC"/>
    <w:rsid w:val="00A97B9E"/>
    <w:rsid w:val="00AA1321"/>
    <w:rsid w:val="00AA2F01"/>
    <w:rsid w:val="00AA31EC"/>
    <w:rsid w:val="00AA38B3"/>
    <w:rsid w:val="00AA38CE"/>
    <w:rsid w:val="00AA469B"/>
    <w:rsid w:val="00AA4CD9"/>
    <w:rsid w:val="00AA4FA8"/>
    <w:rsid w:val="00AA50C7"/>
    <w:rsid w:val="00AB0B96"/>
    <w:rsid w:val="00AB133C"/>
    <w:rsid w:val="00AB1550"/>
    <w:rsid w:val="00AB17EC"/>
    <w:rsid w:val="00AB2057"/>
    <w:rsid w:val="00AB3C56"/>
    <w:rsid w:val="00AB46F2"/>
    <w:rsid w:val="00AB5591"/>
    <w:rsid w:val="00AB5A10"/>
    <w:rsid w:val="00AB613E"/>
    <w:rsid w:val="00AB631D"/>
    <w:rsid w:val="00AB7A3F"/>
    <w:rsid w:val="00AB7F43"/>
    <w:rsid w:val="00AC04A5"/>
    <w:rsid w:val="00AC1E2A"/>
    <w:rsid w:val="00AC26A0"/>
    <w:rsid w:val="00AC33A1"/>
    <w:rsid w:val="00AC3D15"/>
    <w:rsid w:val="00AC3E0E"/>
    <w:rsid w:val="00AC57EF"/>
    <w:rsid w:val="00AC6682"/>
    <w:rsid w:val="00AC6A06"/>
    <w:rsid w:val="00AC6E9B"/>
    <w:rsid w:val="00AC742D"/>
    <w:rsid w:val="00AC79C1"/>
    <w:rsid w:val="00AC7B24"/>
    <w:rsid w:val="00AC7D04"/>
    <w:rsid w:val="00AD02A4"/>
    <w:rsid w:val="00AD0DB7"/>
    <w:rsid w:val="00AD2A22"/>
    <w:rsid w:val="00AD30F9"/>
    <w:rsid w:val="00AD3222"/>
    <w:rsid w:val="00AD360C"/>
    <w:rsid w:val="00AD3DB8"/>
    <w:rsid w:val="00AD451D"/>
    <w:rsid w:val="00AD4D36"/>
    <w:rsid w:val="00AD5664"/>
    <w:rsid w:val="00AD5F70"/>
    <w:rsid w:val="00AD6324"/>
    <w:rsid w:val="00AD67F7"/>
    <w:rsid w:val="00AD6F79"/>
    <w:rsid w:val="00AD7E10"/>
    <w:rsid w:val="00AE005C"/>
    <w:rsid w:val="00AE0423"/>
    <w:rsid w:val="00AE079C"/>
    <w:rsid w:val="00AE1063"/>
    <w:rsid w:val="00AE1E6F"/>
    <w:rsid w:val="00AE24F4"/>
    <w:rsid w:val="00AE2673"/>
    <w:rsid w:val="00AE391B"/>
    <w:rsid w:val="00AE3F7C"/>
    <w:rsid w:val="00AE497E"/>
    <w:rsid w:val="00AE5BB5"/>
    <w:rsid w:val="00AE6173"/>
    <w:rsid w:val="00AE6537"/>
    <w:rsid w:val="00AE6A96"/>
    <w:rsid w:val="00AE6AB6"/>
    <w:rsid w:val="00AE6EE5"/>
    <w:rsid w:val="00AF01E4"/>
    <w:rsid w:val="00AF0621"/>
    <w:rsid w:val="00AF1871"/>
    <w:rsid w:val="00AF231B"/>
    <w:rsid w:val="00AF27A2"/>
    <w:rsid w:val="00AF3182"/>
    <w:rsid w:val="00AF3F74"/>
    <w:rsid w:val="00AF52E0"/>
    <w:rsid w:val="00AF58F4"/>
    <w:rsid w:val="00AF5974"/>
    <w:rsid w:val="00AF6279"/>
    <w:rsid w:val="00AF641E"/>
    <w:rsid w:val="00B0078C"/>
    <w:rsid w:val="00B007A6"/>
    <w:rsid w:val="00B00A4E"/>
    <w:rsid w:val="00B018E7"/>
    <w:rsid w:val="00B032C9"/>
    <w:rsid w:val="00B03AF6"/>
    <w:rsid w:val="00B0469F"/>
    <w:rsid w:val="00B06D6A"/>
    <w:rsid w:val="00B07B44"/>
    <w:rsid w:val="00B07D9C"/>
    <w:rsid w:val="00B10F95"/>
    <w:rsid w:val="00B116CF"/>
    <w:rsid w:val="00B11866"/>
    <w:rsid w:val="00B12537"/>
    <w:rsid w:val="00B12CF0"/>
    <w:rsid w:val="00B12EA9"/>
    <w:rsid w:val="00B1323C"/>
    <w:rsid w:val="00B1395B"/>
    <w:rsid w:val="00B1526F"/>
    <w:rsid w:val="00B153AE"/>
    <w:rsid w:val="00B16E2D"/>
    <w:rsid w:val="00B17CD9"/>
    <w:rsid w:val="00B2133F"/>
    <w:rsid w:val="00B21C52"/>
    <w:rsid w:val="00B22A6B"/>
    <w:rsid w:val="00B22C93"/>
    <w:rsid w:val="00B244D7"/>
    <w:rsid w:val="00B26365"/>
    <w:rsid w:val="00B26EA7"/>
    <w:rsid w:val="00B26ED3"/>
    <w:rsid w:val="00B2714C"/>
    <w:rsid w:val="00B27182"/>
    <w:rsid w:val="00B27578"/>
    <w:rsid w:val="00B30D36"/>
    <w:rsid w:val="00B32E25"/>
    <w:rsid w:val="00B33848"/>
    <w:rsid w:val="00B34330"/>
    <w:rsid w:val="00B351DF"/>
    <w:rsid w:val="00B352E3"/>
    <w:rsid w:val="00B35B6F"/>
    <w:rsid w:val="00B35D49"/>
    <w:rsid w:val="00B36A5C"/>
    <w:rsid w:val="00B371C3"/>
    <w:rsid w:val="00B37537"/>
    <w:rsid w:val="00B405A3"/>
    <w:rsid w:val="00B414C7"/>
    <w:rsid w:val="00B4171A"/>
    <w:rsid w:val="00B42AF2"/>
    <w:rsid w:val="00B43947"/>
    <w:rsid w:val="00B43D46"/>
    <w:rsid w:val="00B44270"/>
    <w:rsid w:val="00B462A8"/>
    <w:rsid w:val="00B4734A"/>
    <w:rsid w:val="00B4747E"/>
    <w:rsid w:val="00B5019C"/>
    <w:rsid w:val="00B51142"/>
    <w:rsid w:val="00B52B40"/>
    <w:rsid w:val="00B53C3D"/>
    <w:rsid w:val="00B5423F"/>
    <w:rsid w:val="00B55C8C"/>
    <w:rsid w:val="00B55CA1"/>
    <w:rsid w:val="00B56B0C"/>
    <w:rsid w:val="00B60ADC"/>
    <w:rsid w:val="00B61A25"/>
    <w:rsid w:val="00B61EE7"/>
    <w:rsid w:val="00B622A2"/>
    <w:rsid w:val="00B62705"/>
    <w:rsid w:val="00B639A1"/>
    <w:rsid w:val="00B63D25"/>
    <w:rsid w:val="00B63DBA"/>
    <w:rsid w:val="00B67690"/>
    <w:rsid w:val="00B6798F"/>
    <w:rsid w:val="00B71168"/>
    <w:rsid w:val="00B71556"/>
    <w:rsid w:val="00B71DE6"/>
    <w:rsid w:val="00B72423"/>
    <w:rsid w:val="00B72903"/>
    <w:rsid w:val="00B742CF"/>
    <w:rsid w:val="00B7522D"/>
    <w:rsid w:val="00B76FB4"/>
    <w:rsid w:val="00B7750D"/>
    <w:rsid w:val="00B77657"/>
    <w:rsid w:val="00B77C60"/>
    <w:rsid w:val="00B81A74"/>
    <w:rsid w:val="00B81B23"/>
    <w:rsid w:val="00B81D42"/>
    <w:rsid w:val="00B82219"/>
    <w:rsid w:val="00B824BC"/>
    <w:rsid w:val="00B82728"/>
    <w:rsid w:val="00B82842"/>
    <w:rsid w:val="00B8317A"/>
    <w:rsid w:val="00B83F54"/>
    <w:rsid w:val="00B83FB9"/>
    <w:rsid w:val="00B840A6"/>
    <w:rsid w:val="00B84641"/>
    <w:rsid w:val="00B8617D"/>
    <w:rsid w:val="00B86370"/>
    <w:rsid w:val="00B87511"/>
    <w:rsid w:val="00B87740"/>
    <w:rsid w:val="00B87E1A"/>
    <w:rsid w:val="00B8E991"/>
    <w:rsid w:val="00B90CEB"/>
    <w:rsid w:val="00B92798"/>
    <w:rsid w:val="00B94298"/>
    <w:rsid w:val="00B94599"/>
    <w:rsid w:val="00B949F9"/>
    <w:rsid w:val="00B94E89"/>
    <w:rsid w:val="00B9510C"/>
    <w:rsid w:val="00B961EB"/>
    <w:rsid w:val="00B97707"/>
    <w:rsid w:val="00B97B67"/>
    <w:rsid w:val="00BA0680"/>
    <w:rsid w:val="00BA0B79"/>
    <w:rsid w:val="00BA13CE"/>
    <w:rsid w:val="00BA19A3"/>
    <w:rsid w:val="00BA2A00"/>
    <w:rsid w:val="00BA4310"/>
    <w:rsid w:val="00BA4CF0"/>
    <w:rsid w:val="00BA5176"/>
    <w:rsid w:val="00BA5CEF"/>
    <w:rsid w:val="00BA5E62"/>
    <w:rsid w:val="00BA6A29"/>
    <w:rsid w:val="00BA701E"/>
    <w:rsid w:val="00BA755A"/>
    <w:rsid w:val="00BA767D"/>
    <w:rsid w:val="00BA76EA"/>
    <w:rsid w:val="00BA8C7C"/>
    <w:rsid w:val="00BB0472"/>
    <w:rsid w:val="00BB38AB"/>
    <w:rsid w:val="00BB3A79"/>
    <w:rsid w:val="00BB3CBC"/>
    <w:rsid w:val="00BB448B"/>
    <w:rsid w:val="00BB4B59"/>
    <w:rsid w:val="00BB6020"/>
    <w:rsid w:val="00BB65C6"/>
    <w:rsid w:val="00BB67BF"/>
    <w:rsid w:val="00BB6B6C"/>
    <w:rsid w:val="00BC0B5C"/>
    <w:rsid w:val="00BC1A5C"/>
    <w:rsid w:val="00BC1CD1"/>
    <w:rsid w:val="00BC1D12"/>
    <w:rsid w:val="00BC22EC"/>
    <w:rsid w:val="00BC2C29"/>
    <w:rsid w:val="00BC312E"/>
    <w:rsid w:val="00BC31B4"/>
    <w:rsid w:val="00BC48CE"/>
    <w:rsid w:val="00BC4B63"/>
    <w:rsid w:val="00BC4BAB"/>
    <w:rsid w:val="00BC4E23"/>
    <w:rsid w:val="00BC64E3"/>
    <w:rsid w:val="00BC6D60"/>
    <w:rsid w:val="00BC7553"/>
    <w:rsid w:val="00BC7B1E"/>
    <w:rsid w:val="00BD045D"/>
    <w:rsid w:val="00BD3BB9"/>
    <w:rsid w:val="00BD3D98"/>
    <w:rsid w:val="00BD3F24"/>
    <w:rsid w:val="00BD4264"/>
    <w:rsid w:val="00BD651A"/>
    <w:rsid w:val="00BD66D3"/>
    <w:rsid w:val="00BD6D64"/>
    <w:rsid w:val="00BD780E"/>
    <w:rsid w:val="00BD7E8C"/>
    <w:rsid w:val="00BE0E3D"/>
    <w:rsid w:val="00BE0FD2"/>
    <w:rsid w:val="00BE1F19"/>
    <w:rsid w:val="00BE2E25"/>
    <w:rsid w:val="00BE4AE0"/>
    <w:rsid w:val="00BE6380"/>
    <w:rsid w:val="00BE663B"/>
    <w:rsid w:val="00BE676E"/>
    <w:rsid w:val="00BE7349"/>
    <w:rsid w:val="00BE78C3"/>
    <w:rsid w:val="00BE7FD3"/>
    <w:rsid w:val="00BF0A04"/>
    <w:rsid w:val="00BF15F0"/>
    <w:rsid w:val="00BF25A7"/>
    <w:rsid w:val="00BF2982"/>
    <w:rsid w:val="00BF2EC5"/>
    <w:rsid w:val="00BF3054"/>
    <w:rsid w:val="00BF35A2"/>
    <w:rsid w:val="00BF3AAA"/>
    <w:rsid w:val="00BF3F08"/>
    <w:rsid w:val="00BF4CD5"/>
    <w:rsid w:val="00BF4F32"/>
    <w:rsid w:val="00BF620F"/>
    <w:rsid w:val="00BF6A60"/>
    <w:rsid w:val="00BF6BFF"/>
    <w:rsid w:val="00BF749B"/>
    <w:rsid w:val="00BF7D8B"/>
    <w:rsid w:val="00BF7DE5"/>
    <w:rsid w:val="00BFF5FD"/>
    <w:rsid w:val="00C006AD"/>
    <w:rsid w:val="00C01072"/>
    <w:rsid w:val="00C02263"/>
    <w:rsid w:val="00C0238C"/>
    <w:rsid w:val="00C02E54"/>
    <w:rsid w:val="00C03415"/>
    <w:rsid w:val="00C056F4"/>
    <w:rsid w:val="00C05CA2"/>
    <w:rsid w:val="00C05CE4"/>
    <w:rsid w:val="00C07598"/>
    <w:rsid w:val="00C0796A"/>
    <w:rsid w:val="00C1025A"/>
    <w:rsid w:val="00C11C5E"/>
    <w:rsid w:val="00C125B2"/>
    <w:rsid w:val="00C13874"/>
    <w:rsid w:val="00C13D08"/>
    <w:rsid w:val="00C14032"/>
    <w:rsid w:val="00C14BC7"/>
    <w:rsid w:val="00C14EF3"/>
    <w:rsid w:val="00C15197"/>
    <w:rsid w:val="00C15A72"/>
    <w:rsid w:val="00C15BAE"/>
    <w:rsid w:val="00C1620D"/>
    <w:rsid w:val="00C16513"/>
    <w:rsid w:val="00C16C82"/>
    <w:rsid w:val="00C16D3E"/>
    <w:rsid w:val="00C171A1"/>
    <w:rsid w:val="00C17C37"/>
    <w:rsid w:val="00C21AB8"/>
    <w:rsid w:val="00C22E6E"/>
    <w:rsid w:val="00C231F2"/>
    <w:rsid w:val="00C23AC7"/>
    <w:rsid w:val="00C23E67"/>
    <w:rsid w:val="00C2455F"/>
    <w:rsid w:val="00C24576"/>
    <w:rsid w:val="00C261C9"/>
    <w:rsid w:val="00C2652C"/>
    <w:rsid w:val="00C26AF4"/>
    <w:rsid w:val="00C278C5"/>
    <w:rsid w:val="00C278EA"/>
    <w:rsid w:val="00C27B09"/>
    <w:rsid w:val="00C30222"/>
    <w:rsid w:val="00C3323B"/>
    <w:rsid w:val="00C33AE6"/>
    <w:rsid w:val="00C3494F"/>
    <w:rsid w:val="00C35C16"/>
    <w:rsid w:val="00C362BD"/>
    <w:rsid w:val="00C36890"/>
    <w:rsid w:val="00C37409"/>
    <w:rsid w:val="00C37C32"/>
    <w:rsid w:val="00C40F11"/>
    <w:rsid w:val="00C411B2"/>
    <w:rsid w:val="00C41ACA"/>
    <w:rsid w:val="00C41F97"/>
    <w:rsid w:val="00C420CD"/>
    <w:rsid w:val="00C422EE"/>
    <w:rsid w:val="00C43D7B"/>
    <w:rsid w:val="00C441A8"/>
    <w:rsid w:val="00C455DA"/>
    <w:rsid w:val="00C457FF"/>
    <w:rsid w:val="00C50B34"/>
    <w:rsid w:val="00C50CBD"/>
    <w:rsid w:val="00C51AC7"/>
    <w:rsid w:val="00C52162"/>
    <w:rsid w:val="00C5285D"/>
    <w:rsid w:val="00C540D3"/>
    <w:rsid w:val="00C54CF2"/>
    <w:rsid w:val="00C55966"/>
    <w:rsid w:val="00C568DA"/>
    <w:rsid w:val="00C56EC3"/>
    <w:rsid w:val="00C571E7"/>
    <w:rsid w:val="00C600B5"/>
    <w:rsid w:val="00C60DF9"/>
    <w:rsid w:val="00C6164F"/>
    <w:rsid w:val="00C616A9"/>
    <w:rsid w:val="00C617CF"/>
    <w:rsid w:val="00C61EFC"/>
    <w:rsid w:val="00C6269C"/>
    <w:rsid w:val="00C6280E"/>
    <w:rsid w:val="00C62BC2"/>
    <w:rsid w:val="00C633D9"/>
    <w:rsid w:val="00C63FD9"/>
    <w:rsid w:val="00C64141"/>
    <w:rsid w:val="00C64777"/>
    <w:rsid w:val="00C65472"/>
    <w:rsid w:val="00C65683"/>
    <w:rsid w:val="00C6595A"/>
    <w:rsid w:val="00C65E0C"/>
    <w:rsid w:val="00C67288"/>
    <w:rsid w:val="00C67C32"/>
    <w:rsid w:val="00C7178F"/>
    <w:rsid w:val="00C717B4"/>
    <w:rsid w:val="00C72153"/>
    <w:rsid w:val="00C736F7"/>
    <w:rsid w:val="00C742BB"/>
    <w:rsid w:val="00C744C7"/>
    <w:rsid w:val="00C751E6"/>
    <w:rsid w:val="00C75B30"/>
    <w:rsid w:val="00C763E0"/>
    <w:rsid w:val="00C76724"/>
    <w:rsid w:val="00C76D28"/>
    <w:rsid w:val="00C80FBD"/>
    <w:rsid w:val="00C83937"/>
    <w:rsid w:val="00C84FBF"/>
    <w:rsid w:val="00C84FE0"/>
    <w:rsid w:val="00C8631E"/>
    <w:rsid w:val="00C9000A"/>
    <w:rsid w:val="00C903F3"/>
    <w:rsid w:val="00C92240"/>
    <w:rsid w:val="00C92588"/>
    <w:rsid w:val="00C9322E"/>
    <w:rsid w:val="00C95B23"/>
    <w:rsid w:val="00C9653B"/>
    <w:rsid w:val="00C969EE"/>
    <w:rsid w:val="00C9EA90"/>
    <w:rsid w:val="00CA01D8"/>
    <w:rsid w:val="00CA0E3B"/>
    <w:rsid w:val="00CA17CE"/>
    <w:rsid w:val="00CA2341"/>
    <w:rsid w:val="00CA3711"/>
    <w:rsid w:val="00CA39B5"/>
    <w:rsid w:val="00CA3FD2"/>
    <w:rsid w:val="00CA4289"/>
    <w:rsid w:val="00CA43D7"/>
    <w:rsid w:val="00CA4D34"/>
    <w:rsid w:val="00CA4DFA"/>
    <w:rsid w:val="00CA5C0A"/>
    <w:rsid w:val="00CA6CCC"/>
    <w:rsid w:val="00CA6F55"/>
    <w:rsid w:val="00CA72F5"/>
    <w:rsid w:val="00CA75F7"/>
    <w:rsid w:val="00CB110C"/>
    <w:rsid w:val="00CB186B"/>
    <w:rsid w:val="00CB2337"/>
    <w:rsid w:val="00CB26CC"/>
    <w:rsid w:val="00CB27EF"/>
    <w:rsid w:val="00CB36F0"/>
    <w:rsid w:val="00CB39DD"/>
    <w:rsid w:val="00CB3D69"/>
    <w:rsid w:val="00CB5B0D"/>
    <w:rsid w:val="00CB6642"/>
    <w:rsid w:val="00CB6C95"/>
    <w:rsid w:val="00CC14A6"/>
    <w:rsid w:val="00CC14C8"/>
    <w:rsid w:val="00CC14E3"/>
    <w:rsid w:val="00CC1536"/>
    <w:rsid w:val="00CC21AD"/>
    <w:rsid w:val="00CC2B0E"/>
    <w:rsid w:val="00CC44C1"/>
    <w:rsid w:val="00CC48E7"/>
    <w:rsid w:val="00CC4CE2"/>
    <w:rsid w:val="00CC591C"/>
    <w:rsid w:val="00CC6063"/>
    <w:rsid w:val="00CC66C5"/>
    <w:rsid w:val="00CC72DC"/>
    <w:rsid w:val="00CC7AF7"/>
    <w:rsid w:val="00CD1DB0"/>
    <w:rsid w:val="00CD266D"/>
    <w:rsid w:val="00CD2FD2"/>
    <w:rsid w:val="00CD30B6"/>
    <w:rsid w:val="00CD3EA1"/>
    <w:rsid w:val="00CD3FD9"/>
    <w:rsid w:val="00CD4F84"/>
    <w:rsid w:val="00CD56E2"/>
    <w:rsid w:val="00CD68EE"/>
    <w:rsid w:val="00CD6B4D"/>
    <w:rsid w:val="00CD7135"/>
    <w:rsid w:val="00CD73DC"/>
    <w:rsid w:val="00CD7ABA"/>
    <w:rsid w:val="00CE012A"/>
    <w:rsid w:val="00CE0945"/>
    <w:rsid w:val="00CE0D55"/>
    <w:rsid w:val="00CE165F"/>
    <w:rsid w:val="00CE1972"/>
    <w:rsid w:val="00CE2053"/>
    <w:rsid w:val="00CE2291"/>
    <w:rsid w:val="00CE235A"/>
    <w:rsid w:val="00CE2445"/>
    <w:rsid w:val="00CE28DF"/>
    <w:rsid w:val="00CE3E8B"/>
    <w:rsid w:val="00CE4589"/>
    <w:rsid w:val="00CE4654"/>
    <w:rsid w:val="00CE4DB8"/>
    <w:rsid w:val="00CE5D5D"/>
    <w:rsid w:val="00CE5E15"/>
    <w:rsid w:val="00CE60E4"/>
    <w:rsid w:val="00CE6166"/>
    <w:rsid w:val="00CE6170"/>
    <w:rsid w:val="00CE6962"/>
    <w:rsid w:val="00CE6B6D"/>
    <w:rsid w:val="00CE6CA5"/>
    <w:rsid w:val="00CF08F7"/>
    <w:rsid w:val="00CF0EE3"/>
    <w:rsid w:val="00CF15BE"/>
    <w:rsid w:val="00CF1640"/>
    <w:rsid w:val="00CF2283"/>
    <w:rsid w:val="00CF26F6"/>
    <w:rsid w:val="00CF29D5"/>
    <w:rsid w:val="00CF2EC6"/>
    <w:rsid w:val="00CF4825"/>
    <w:rsid w:val="00CF4E02"/>
    <w:rsid w:val="00CF4F2C"/>
    <w:rsid w:val="00CF5272"/>
    <w:rsid w:val="00CF529C"/>
    <w:rsid w:val="00CF5428"/>
    <w:rsid w:val="00CF57DE"/>
    <w:rsid w:val="00CF585E"/>
    <w:rsid w:val="00CF67A3"/>
    <w:rsid w:val="00CF6859"/>
    <w:rsid w:val="00D01406"/>
    <w:rsid w:val="00D01B55"/>
    <w:rsid w:val="00D01BF6"/>
    <w:rsid w:val="00D01DA3"/>
    <w:rsid w:val="00D03ECA"/>
    <w:rsid w:val="00D04986"/>
    <w:rsid w:val="00D05138"/>
    <w:rsid w:val="00D05150"/>
    <w:rsid w:val="00D051B4"/>
    <w:rsid w:val="00D0556C"/>
    <w:rsid w:val="00D05B55"/>
    <w:rsid w:val="00D0690E"/>
    <w:rsid w:val="00D07410"/>
    <w:rsid w:val="00D0767C"/>
    <w:rsid w:val="00D10C74"/>
    <w:rsid w:val="00D10C8C"/>
    <w:rsid w:val="00D10E50"/>
    <w:rsid w:val="00D1204D"/>
    <w:rsid w:val="00D12067"/>
    <w:rsid w:val="00D12139"/>
    <w:rsid w:val="00D13819"/>
    <w:rsid w:val="00D13ABD"/>
    <w:rsid w:val="00D141F2"/>
    <w:rsid w:val="00D1628D"/>
    <w:rsid w:val="00D1686D"/>
    <w:rsid w:val="00D171ED"/>
    <w:rsid w:val="00D17318"/>
    <w:rsid w:val="00D1760C"/>
    <w:rsid w:val="00D17B3A"/>
    <w:rsid w:val="00D2045A"/>
    <w:rsid w:val="00D2089C"/>
    <w:rsid w:val="00D2145E"/>
    <w:rsid w:val="00D218E4"/>
    <w:rsid w:val="00D222D9"/>
    <w:rsid w:val="00D231C7"/>
    <w:rsid w:val="00D23E67"/>
    <w:rsid w:val="00D24088"/>
    <w:rsid w:val="00D25841"/>
    <w:rsid w:val="00D25892"/>
    <w:rsid w:val="00D26479"/>
    <w:rsid w:val="00D27136"/>
    <w:rsid w:val="00D273A7"/>
    <w:rsid w:val="00D308DE"/>
    <w:rsid w:val="00D30EA6"/>
    <w:rsid w:val="00D31633"/>
    <w:rsid w:val="00D31C7D"/>
    <w:rsid w:val="00D32A24"/>
    <w:rsid w:val="00D3500B"/>
    <w:rsid w:val="00D3544F"/>
    <w:rsid w:val="00D35493"/>
    <w:rsid w:val="00D35F30"/>
    <w:rsid w:val="00D36FD0"/>
    <w:rsid w:val="00D37727"/>
    <w:rsid w:val="00D378FA"/>
    <w:rsid w:val="00D40C6F"/>
    <w:rsid w:val="00D40D57"/>
    <w:rsid w:val="00D40E3D"/>
    <w:rsid w:val="00D41284"/>
    <w:rsid w:val="00D418ED"/>
    <w:rsid w:val="00D41CDF"/>
    <w:rsid w:val="00D42DF9"/>
    <w:rsid w:val="00D4351D"/>
    <w:rsid w:val="00D43C3B"/>
    <w:rsid w:val="00D43F1B"/>
    <w:rsid w:val="00D45950"/>
    <w:rsid w:val="00D45D5F"/>
    <w:rsid w:val="00D45EC8"/>
    <w:rsid w:val="00D462AF"/>
    <w:rsid w:val="00D468E8"/>
    <w:rsid w:val="00D46B9B"/>
    <w:rsid w:val="00D478F6"/>
    <w:rsid w:val="00D50C24"/>
    <w:rsid w:val="00D5156C"/>
    <w:rsid w:val="00D52214"/>
    <w:rsid w:val="00D5269A"/>
    <w:rsid w:val="00D52C21"/>
    <w:rsid w:val="00D539C1"/>
    <w:rsid w:val="00D54C77"/>
    <w:rsid w:val="00D54D00"/>
    <w:rsid w:val="00D56847"/>
    <w:rsid w:val="00D56A11"/>
    <w:rsid w:val="00D56A7B"/>
    <w:rsid w:val="00D60093"/>
    <w:rsid w:val="00D61B0D"/>
    <w:rsid w:val="00D6201A"/>
    <w:rsid w:val="00D62CE8"/>
    <w:rsid w:val="00D644AE"/>
    <w:rsid w:val="00D647CA"/>
    <w:rsid w:val="00D6493E"/>
    <w:rsid w:val="00D64B86"/>
    <w:rsid w:val="00D65116"/>
    <w:rsid w:val="00D65F1E"/>
    <w:rsid w:val="00D662A9"/>
    <w:rsid w:val="00D66353"/>
    <w:rsid w:val="00D66B8C"/>
    <w:rsid w:val="00D70F0F"/>
    <w:rsid w:val="00D7260E"/>
    <w:rsid w:val="00D7295E"/>
    <w:rsid w:val="00D73698"/>
    <w:rsid w:val="00D751AE"/>
    <w:rsid w:val="00D759D3"/>
    <w:rsid w:val="00D76620"/>
    <w:rsid w:val="00D76D19"/>
    <w:rsid w:val="00D772BD"/>
    <w:rsid w:val="00D77471"/>
    <w:rsid w:val="00D7751D"/>
    <w:rsid w:val="00D77535"/>
    <w:rsid w:val="00D778D5"/>
    <w:rsid w:val="00D77ECC"/>
    <w:rsid w:val="00D80854"/>
    <w:rsid w:val="00D81348"/>
    <w:rsid w:val="00D81525"/>
    <w:rsid w:val="00D815EA"/>
    <w:rsid w:val="00D82542"/>
    <w:rsid w:val="00D82798"/>
    <w:rsid w:val="00D8334B"/>
    <w:rsid w:val="00D83DF9"/>
    <w:rsid w:val="00D8598C"/>
    <w:rsid w:val="00D85E17"/>
    <w:rsid w:val="00D85E96"/>
    <w:rsid w:val="00D85EDB"/>
    <w:rsid w:val="00D87299"/>
    <w:rsid w:val="00D8745E"/>
    <w:rsid w:val="00D90216"/>
    <w:rsid w:val="00D914BE"/>
    <w:rsid w:val="00D91547"/>
    <w:rsid w:val="00D91DC2"/>
    <w:rsid w:val="00D93883"/>
    <w:rsid w:val="00D945A9"/>
    <w:rsid w:val="00D95288"/>
    <w:rsid w:val="00D954D0"/>
    <w:rsid w:val="00D95A66"/>
    <w:rsid w:val="00D9689C"/>
    <w:rsid w:val="00D96CDE"/>
    <w:rsid w:val="00D97937"/>
    <w:rsid w:val="00DA01ED"/>
    <w:rsid w:val="00DA0359"/>
    <w:rsid w:val="00DA0402"/>
    <w:rsid w:val="00DA055A"/>
    <w:rsid w:val="00DA0A6B"/>
    <w:rsid w:val="00DA1610"/>
    <w:rsid w:val="00DA1870"/>
    <w:rsid w:val="00DA1A11"/>
    <w:rsid w:val="00DA212C"/>
    <w:rsid w:val="00DA2E43"/>
    <w:rsid w:val="00DA5D53"/>
    <w:rsid w:val="00DA611D"/>
    <w:rsid w:val="00DA788C"/>
    <w:rsid w:val="00DB0D92"/>
    <w:rsid w:val="00DB1ACE"/>
    <w:rsid w:val="00DB1E16"/>
    <w:rsid w:val="00DB2216"/>
    <w:rsid w:val="00DB3440"/>
    <w:rsid w:val="00DB3829"/>
    <w:rsid w:val="00DB393B"/>
    <w:rsid w:val="00DB3D5B"/>
    <w:rsid w:val="00DB40FC"/>
    <w:rsid w:val="00DB43FC"/>
    <w:rsid w:val="00DB45E1"/>
    <w:rsid w:val="00DB48DD"/>
    <w:rsid w:val="00DB53AD"/>
    <w:rsid w:val="00DB5418"/>
    <w:rsid w:val="00DB575A"/>
    <w:rsid w:val="00DB58BE"/>
    <w:rsid w:val="00DB6D6D"/>
    <w:rsid w:val="00DB7AF2"/>
    <w:rsid w:val="00DC0240"/>
    <w:rsid w:val="00DC0439"/>
    <w:rsid w:val="00DC0A9B"/>
    <w:rsid w:val="00DC15C1"/>
    <w:rsid w:val="00DC22B6"/>
    <w:rsid w:val="00DC256D"/>
    <w:rsid w:val="00DC2E8D"/>
    <w:rsid w:val="00DC3683"/>
    <w:rsid w:val="00DC3CDE"/>
    <w:rsid w:val="00DC452C"/>
    <w:rsid w:val="00DC4A65"/>
    <w:rsid w:val="00DC4E5A"/>
    <w:rsid w:val="00DC5A7F"/>
    <w:rsid w:val="00DC676A"/>
    <w:rsid w:val="00DC7173"/>
    <w:rsid w:val="00DD0622"/>
    <w:rsid w:val="00DD0EEC"/>
    <w:rsid w:val="00DD1686"/>
    <w:rsid w:val="00DD197F"/>
    <w:rsid w:val="00DD1999"/>
    <w:rsid w:val="00DD216C"/>
    <w:rsid w:val="00DD3D8A"/>
    <w:rsid w:val="00DD3E8F"/>
    <w:rsid w:val="00DD43D6"/>
    <w:rsid w:val="00DD47A3"/>
    <w:rsid w:val="00DD4813"/>
    <w:rsid w:val="00DD4E61"/>
    <w:rsid w:val="00DD537D"/>
    <w:rsid w:val="00DD5718"/>
    <w:rsid w:val="00DD63F2"/>
    <w:rsid w:val="00DD6C21"/>
    <w:rsid w:val="00DD755C"/>
    <w:rsid w:val="00DD7579"/>
    <w:rsid w:val="00DE0494"/>
    <w:rsid w:val="00DE1B97"/>
    <w:rsid w:val="00DE2DDC"/>
    <w:rsid w:val="00DE38F6"/>
    <w:rsid w:val="00DE3E3C"/>
    <w:rsid w:val="00DE43B5"/>
    <w:rsid w:val="00DE4B1C"/>
    <w:rsid w:val="00DE4FC7"/>
    <w:rsid w:val="00DE6F12"/>
    <w:rsid w:val="00DE77AC"/>
    <w:rsid w:val="00DE7F4A"/>
    <w:rsid w:val="00DF1664"/>
    <w:rsid w:val="00DF18A3"/>
    <w:rsid w:val="00DF2457"/>
    <w:rsid w:val="00DF29BD"/>
    <w:rsid w:val="00DF2A88"/>
    <w:rsid w:val="00DF355A"/>
    <w:rsid w:val="00DF466B"/>
    <w:rsid w:val="00DF4D7A"/>
    <w:rsid w:val="00DF4F02"/>
    <w:rsid w:val="00DF56AA"/>
    <w:rsid w:val="00DF572E"/>
    <w:rsid w:val="00DF5C62"/>
    <w:rsid w:val="00DF6129"/>
    <w:rsid w:val="00DF76E4"/>
    <w:rsid w:val="00E0075E"/>
    <w:rsid w:val="00E00B21"/>
    <w:rsid w:val="00E00D66"/>
    <w:rsid w:val="00E00D86"/>
    <w:rsid w:val="00E015CA"/>
    <w:rsid w:val="00E019CF"/>
    <w:rsid w:val="00E021B3"/>
    <w:rsid w:val="00E02862"/>
    <w:rsid w:val="00E030DE"/>
    <w:rsid w:val="00E0371D"/>
    <w:rsid w:val="00E0482D"/>
    <w:rsid w:val="00E058C3"/>
    <w:rsid w:val="00E064F4"/>
    <w:rsid w:val="00E0685D"/>
    <w:rsid w:val="00E07044"/>
    <w:rsid w:val="00E104CF"/>
    <w:rsid w:val="00E104FC"/>
    <w:rsid w:val="00E12017"/>
    <w:rsid w:val="00E127DA"/>
    <w:rsid w:val="00E13B72"/>
    <w:rsid w:val="00E14744"/>
    <w:rsid w:val="00E14B99"/>
    <w:rsid w:val="00E14FE3"/>
    <w:rsid w:val="00E150DB"/>
    <w:rsid w:val="00E1517F"/>
    <w:rsid w:val="00E15B33"/>
    <w:rsid w:val="00E15F4B"/>
    <w:rsid w:val="00E168EA"/>
    <w:rsid w:val="00E16FC3"/>
    <w:rsid w:val="00E2197B"/>
    <w:rsid w:val="00E22598"/>
    <w:rsid w:val="00E22B71"/>
    <w:rsid w:val="00E25262"/>
    <w:rsid w:val="00E26562"/>
    <w:rsid w:val="00E267BD"/>
    <w:rsid w:val="00E2684C"/>
    <w:rsid w:val="00E26F27"/>
    <w:rsid w:val="00E271C7"/>
    <w:rsid w:val="00E300D2"/>
    <w:rsid w:val="00E31037"/>
    <w:rsid w:val="00E310D7"/>
    <w:rsid w:val="00E314B8"/>
    <w:rsid w:val="00E3168B"/>
    <w:rsid w:val="00E32EF1"/>
    <w:rsid w:val="00E33E56"/>
    <w:rsid w:val="00E351C0"/>
    <w:rsid w:val="00E35E12"/>
    <w:rsid w:val="00E36EE6"/>
    <w:rsid w:val="00E3747E"/>
    <w:rsid w:val="00E37783"/>
    <w:rsid w:val="00E37D45"/>
    <w:rsid w:val="00E37F19"/>
    <w:rsid w:val="00E37F5C"/>
    <w:rsid w:val="00E4040A"/>
    <w:rsid w:val="00E40714"/>
    <w:rsid w:val="00E4090C"/>
    <w:rsid w:val="00E4112A"/>
    <w:rsid w:val="00E425AC"/>
    <w:rsid w:val="00E428FE"/>
    <w:rsid w:val="00E4297D"/>
    <w:rsid w:val="00E432F2"/>
    <w:rsid w:val="00E43870"/>
    <w:rsid w:val="00E43CA9"/>
    <w:rsid w:val="00E43CE4"/>
    <w:rsid w:val="00E44A44"/>
    <w:rsid w:val="00E44C6C"/>
    <w:rsid w:val="00E455CB"/>
    <w:rsid w:val="00E464D3"/>
    <w:rsid w:val="00E46BE4"/>
    <w:rsid w:val="00E46CB9"/>
    <w:rsid w:val="00E47A48"/>
    <w:rsid w:val="00E47B29"/>
    <w:rsid w:val="00E47CDF"/>
    <w:rsid w:val="00E50541"/>
    <w:rsid w:val="00E50572"/>
    <w:rsid w:val="00E50D1A"/>
    <w:rsid w:val="00E50EAD"/>
    <w:rsid w:val="00E51073"/>
    <w:rsid w:val="00E51F37"/>
    <w:rsid w:val="00E520BB"/>
    <w:rsid w:val="00E521AB"/>
    <w:rsid w:val="00E528DA"/>
    <w:rsid w:val="00E538E0"/>
    <w:rsid w:val="00E539BC"/>
    <w:rsid w:val="00E53E7B"/>
    <w:rsid w:val="00E540D0"/>
    <w:rsid w:val="00E55158"/>
    <w:rsid w:val="00E551E8"/>
    <w:rsid w:val="00E5539D"/>
    <w:rsid w:val="00E561CD"/>
    <w:rsid w:val="00E56884"/>
    <w:rsid w:val="00E61295"/>
    <w:rsid w:val="00E61D10"/>
    <w:rsid w:val="00E61DA3"/>
    <w:rsid w:val="00E62527"/>
    <w:rsid w:val="00E62A5D"/>
    <w:rsid w:val="00E640D1"/>
    <w:rsid w:val="00E64AC1"/>
    <w:rsid w:val="00E64BBC"/>
    <w:rsid w:val="00E65224"/>
    <w:rsid w:val="00E66189"/>
    <w:rsid w:val="00E665E1"/>
    <w:rsid w:val="00E66720"/>
    <w:rsid w:val="00E66A25"/>
    <w:rsid w:val="00E6727E"/>
    <w:rsid w:val="00E67AF9"/>
    <w:rsid w:val="00E7048E"/>
    <w:rsid w:val="00E712D2"/>
    <w:rsid w:val="00E72831"/>
    <w:rsid w:val="00E72DB1"/>
    <w:rsid w:val="00E7322E"/>
    <w:rsid w:val="00E73E35"/>
    <w:rsid w:val="00E749BF"/>
    <w:rsid w:val="00E75298"/>
    <w:rsid w:val="00E756EE"/>
    <w:rsid w:val="00E75912"/>
    <w:rsid w:val="00E801A1"/>
    <w:rsid w:val="00E8117C"/>
    <w:rsid w:val="00E8126B"/>
    <w:rsid w:val="00E81D39"/>
    <w:rsid w:val="00E82D2E"/>
    <w:rsid w:val="00E82D4D"/>
    <w:rsid w:val="00E83296"/>
    <w:rsid w:val="00E832F9"/>
    <w:rsid w:val="00E843A6"/>
    <w:rsid w:val="00E8512F"/>
    <w:rsid w:val="00E86A9B"/>
    <w:rsid w:val="00E879E0"/>
    <w:rsid w:val="00E90A8B"/>
    <w:rsid w:val="00E90DBB"/>
    <w:rsid w:val="00E90DBE"/>
    <w:rsid w:val="00E90E9A"/>
    <w:rsid w:val="00E90EA1"/>
    <w:rsid w:val="00E913DC"/>
    <w:rsid w:val="00E9182D"/>
    <w:rsid w:val="00E91857"/>
    <w:rsid w:val="00E918E3"/>
    <w:rsid w:val="00E91B46"/>
    <w:rsid w:val="00E92515"/>
    <w:rsid w:val="00E934FB"/>
    <w:rsid w:val="00E94943"/>
    <w:rsid w:val="00E95CA0"/>
    <w:rsid w:val="00E9600C"/>
    <w:rsid w:val="00E96F8E"/>
    <w:rsid w:val="00E97630"/>
    <w:rsid w:val="00EA171C"/>
    <w:rsid w:val="00EA1B74"/>
    <w:rsid w:val="00EA274B"/>
    <w:rsid w:val="00EA2F73"/>
    <w:rsid w:val="00EA4ABC"/>
    <w:rsid w:val="00EA4E5D"/>
    <w:rsid w:val="00EA6423"/>
    <w:rsid w:val="00EA6B48"/>
    <w:rsid w:val="00EA6CE6"/>
    <w:rsid w:val="00EA71E1"/>
    <w:rsid w:val="00EB00D9"/>
    <w:rsid w:val="00EB025A"/>
    <w:rsid w:val="00EB09E1"/>
    <w:rsid w:val="00EB1046"/>
    <w:rsid w:val="00EB107E"/>
    <w:rsid w:val="00EB13E1"/>
    <w:rsid w:val="00EB1A57"/>
    <w:rsid w:val="00EB2FE1"/>
    <w:rsid w:val="00EB33ED"/>
    <w:rsid w:val="00EB3AAC"/>
    <w:rsid w:val="00EB3BE0"/>
    <w:rsid w:val="00EB3E9A"/>
    <w:rsid w:val="00EB5A9A"/>
    <w:rsid w:val="00EB5ADB"/>
    <w:rsid w:val="00EB6481"/>
    <w:rsid w:val="00EB7573"/>
    <w:rsid w:val="00EB7D22"/>
    <w:rsid w:val="00EC11EE"/>
    <w:rsid w:val="00EC22E8"/>
    <w:rsid w:val="00EC310E"/>
    <w:rsid w:val="00EC38DC"/>
    <w:rsid w:val="00EC3CF1"/>
    <w:rsid w:val="00EC4C81"/>
    <w:rsid w:val="00EC6CE2"/>
    <w:rsid w:val="00EC7FAC"/>
    <w:rsid w:val="00ED043E"/>
    <w:rsid w:val="00ED182C"/>
    <w:rsid w:val="00ED1A3C"/>
    <w:rsid w:val="00ED216D"/>
    <w:rsid w:val="00ED26C5"/>
    <w:rsid w:val="00ED35D7"/>
    <w:rsid w:val="00ED39CB"/>
    <w:rsid w:val="00ED440F"/>
    <w:rsid w:val="00ED46AD"/>
    <w:rsid w:val="00ED4843"/>
    <w:rsid w:val="00ED4BEB"/>
    <w:rsid w:val="00ED4D56"/>
    <w:rsid w:val="00ED5057"/>
    <w:rsid w:val="00ED565D"/>
    <w:rsid w:val="00ED5A1B"/>
    <w:rsid w:val="00ED5F2C"/>
    <w:rsid w:val="00ED7B20"/>
    <w:rsid w:val="00EE121E"/>
    <w:rsid w:val="00EE1780"/>
    <w:rsid w:val="00EE1A09"/>
    <w:rsid w:val="00EE3264"/>
    <w:rsid w:val="00EE3506"/>
    <w:rsid w:val="00EE37AE"/>
    <w:rsid w:val="00EE3C72"/>
    <w:rsid w:val="00EE43BD"/>
    <w:rsid w:val="00EE44A9"/>
    <w:rsid w:val="00EE52BD"/>
    <w:rsid w:val="00EE57F9"/>
    <w:rsid w:val="00EE6072"/>
    <w:rsid w:val="00EE6172"/>
    <w:rsid w:val="00EE70C5"/>
    <w:rsid w:val="00EE7FB4"/>
    <w:rsid w:val="00EF027A"/>
    <w:rsid w:val="00EF04A3"/>
    <w:rsid w:val="00EF1646"/>
    <w:rsid w:val="00EF1A99"/>
    <w:rsid w:val="00EF1FE3"/>
    <w:rsid w:val="00EF2570"/>
    <w:rsid w:val="00EF2D21"/>
    <w:rsid w:val="00EF3363"/>
    <w:rsid w:val="00EF38DC"/>
    <w:rsid w:val="00EF3A2A"/>
    <w:rsid w:val="00EF4722"/>
    <w:rsid w:val="00EF4844"/>
    <w:rsid w:val="00EF48A6"/>
    <w:rsid w:val="00EF4E97"/>
    <w:rsid w:val="00EF73BF"/>
    <w:rsid w:val="00F002C8"/>
    <w:rsid w:val="00F006C5"/>
    <w:rsid w:val="00F011AF"/>
    <w:rsid w:val="00F0122F"/>
    <w:rsid w:val="00F015EC"/>
    <w:rsid w:val="00F02688"/>
    <w:rsid w:val="00F04849"/>
    <w:rsid w:val="00F0526F"/>
    <w:rsid w:val="00F05C85"/>
    <w:rsid w:val="00F06D03"/>
    <w:rsid w:val="00F076F7"/>
    <w:rsid w:val="00F10573"/>
    <w:rsid w:val="00F106CB"/>
    <w:rsid w:val="00F10903"/>
    <w:rsid w:val="00F11606"/>
    <w:rsid w:val="00F12FA3"/>
    <w:rsid w:val="00F13B44"/>
    <w:rsid w:val="00F13D2A"/>
    <w:rsid w:val="00F149EB"/>
    <w:rsid w:val="00F15604"/>
    <w:rsid w:val="00F15F52"/>
    <w:rsid w:val="00F174B5"/>
    <w:rsid w:val="00F218AD"/>
    <w:rsid w:val="00F22B73"/>
    <w:rsid w:val="00F22CE6"/>
    <w:rsid w:val="00F2435D"/>
    <w:rsid w:val="00F248E5"/>
    <w:rsid w:val="00F25B55"/>
    <w:rsid w:val="00F261C8"/>
    <w:rsid w:val="00F26581"/>
    <w:rsid w:val="00F27FED"/>
    <w:rsid w:val="00F30CB1"/>
    <w:rsid w:val="00F3112A"/>
    <w:rsid w:val="00F316F3"/>
    <w:rsid w:val="00F3283C"/>
    <w:rsid w:val="00F3337F"/>
    <w:rsid w:val="00F33560"/>
    <w:rsid w:val="00F33EC7"/>
    <w:rsid w:val="00F34923"/>
    <w:rsid w:val="00F34E70"/>
    <w:rsid w:val="00F35A01"/>
    <w:rsid w:val="00F36AC3"/>
    <w:rsid w:val="00F37251"/>
    <w:rsid w:val="00F4013B"/>
    <w:rsid w:val="00F41DCE"/>
    <w:rsid w:val="00F42870"/>
    <w:rsid w:val="00F44663"/>
    <w:rsid w:val="00F45B86"/>
    <w:rsid w:val="00F507A3"/>
    <w:rsid w:val="00F5086C"/>
    <w:rsid w:val="00F50B2E"/>
    <w:rsid w:val="00F5108F"/>
    <w:rsid w:val="00F51414"/>
    <w:rsid w:val="00F51AD3"/>
    <w:rsid w:val="00F51F8D"/>
    <w:rsid w:val="00F5217F"/>
    <w:rsid w:val="00F5250E"/>
    <w:rsid w:val="00F52532"/>
    <w:rsid w:val="00F525E9"/>
    <w:rsid w:val="00F52635"/>
    <w:rsid w:val="00F53934"/>
    <w:rsid w:val="00F543B0"/>
    <w:rsid w:val="00F55354"/>
    <w:rsid w:val="00F55AAC"/>
    <w:rsid w:val="00F566DA"/>
    <w:rsid w:val="00F57777"/>
    <w:rsid w:val="00F57E6C"/>
    <w:rsid w:val="00F57FEC"/>
    <w:rsid w:val="00F61016"/>
    <w:rsid w:val="00F6103B"/>
    <w:rsid w:val="00F61BE1"/>
    <w:rsid w:val="00F61DD4"/>
    <w:rsid w:val="00F62B47"/>
    <w:rsid w:val="00F635B5"/>
    <w:rsid w:val="00F63FA4"/>
    <w:rsid w:val="00F64497"/>
    <w:rsid w:val="00F644A9"/>
    <w:rsid w:val="00F64770"/>
    <w:rsid w:val="00F647B3"/>
    <w:rsid w:val="00F64823"/>
    <w:rsid w:val="00F65F56"/>
    <w:rsid w:val="00F66857"/>
    <w:rsid w:val="00F66C55"/>
    <w:rsid w:val="00F7044E"/>
    <w:rsid w:val="00F709A0"/>
    <w:rsid w:val="00F712F7"/>
    <w:rsid w:val="00F716F1"/>
    <w:rsid w:val="00F72345"/>
    <w:rsid w:val="00F7285E"/>
    <w:rsid w:val="00F72B5B"/>
    <w:rsid w:val="00F73C51"/>
    <w:rsid w:val="00F73FC5"/>
    <w:rsid w:val="00F74D5B"/>
    <w:rsid w:val="00F758FA"/>
    <w:rsid w:val="00F76DA6"/>
    <w:rsid w:val="00F77E91"/>
    <w:rsid w:val="00F80467"/>
    <w:rsid w:val="00F82E78"/>
    <w:rsid w:val="00F83737"/>
    <w:rsid w:val="00F838CF"/>
    <w:rsid w:val="00F846D9"/>
    <w:rsid w:val="00F84A13"/>
    <w:rsid w:val="00F85056"/>
    <w:rsid w:val="00F85E9E"/>
    <w:rsid w:val="00F8626E"/>
    <w:rsid w:val="00F8659B"/>
    <w:rsid w:val="00F873B8"/>
    <w:rsid w:val="00F900BF"/>
    <w:rsid w:val="00F900E8"/>
    <w:rsid w:val="00F91B3B"/>
    <w:rsid w:val="00F9276F"/>
    <w:rsid w:val="00F9393A"/>
    <w:rsid w:val="00F939D9"/>
    <w:rsid w:val="00F94033"/>
    <w:rsid w:val="00F95F32"/>
    <w:rsid w:val="00F96A17"/>
    <w:rsid w:val="00F97467"/>
    <w:rsid w:val="00F97C4E"/>
    <w:rsid w:val="00FA0576"/>
    <w:rsid w:val="00FA0950"/>
    <w:rsid w:val="00FA0C7A"/>
    <w:rsid w:val="00FA1DDB"/>
    <w:rsid w:val="00FA2814"/>
    <w:rsid w:val="00FA2C19"/>
    <w:rsid w:val="00FA362D"/>
    <w:rsid w:val="00FA6673"/>
    <w:rsid w:val="00FA6BFD"/>
    <w:rsid w:val="00FB0D02"/>
    <w:rsid w:val="00FB37DF"/>
    <w:rsid w:val="00FB39AA"/>
    <w:rsid w:val="00FB3D50"/>
    <w:rsid w:val="00FB4181"/>
    <w:rsid w:val="00FB49D7"/>
    <w:rsid w:val="00FB4F3D"/>
    <w:rsid w:val="00FB58FD"/>
    <w:rsid w:val="00FB5D10"/>
    <w:rsid w:val="00FB6890"/>
    <w:rsid w:val="00FB7CE7"/>
    <w:rsid w:val="00FB7FFE"/>
    <w:rsid w:val="00FC0237"/>
    <w:rsid w:val="00FC0DDC"/>
    <w:rsid w:val="00FC2C2A"/>
    <w:rsid w:val="00FC3F5C"/>
    <w:rsid w:val="00FC400A"/>
    <w:rsid w:val="00FC4073"/>
    <w:rsid w:val="00FC4E00"/>
    <w:rsid w:val="00FC52DC"/>
    <w:rsid w:val="00FC5967"/>
    <w:rsid w:val="00FC63B3"/>
    <w:rsid w:val="00FC68FC"/>
    <w:rsid w:val="00FC73A5"/>
    <w:rsid w:val="00FC7EDD"/>
    <w:rsid w:val="00FD0039"/>
    <w:rsid w:val="00FD0E4E"/>
    <w:rsid w:val="00FD125B"/>
    <w:rsid w:val="00FD1354"/>
    <w:rsid w:val="00FD1677"/>
    <w:rsid w:val="00FD1796"/>
    <w:rsid w:val="00FD1FA3"/>
    <w:rsid w:val="00FD23D1"/>
    <w:rsid w:val="00FD2FF6"/>
    <w:rsid w:val="00FD33FD"/>
    <w:rsid w:val="00FD3777"/>
    <w:rsid w:val="00FD52CB"/>
    <w:rsid w:val="00FD5ABE"/>
    <w:rsid w:val="00FD67E9"/>
    <w:rsid w:val="00FD682F"/>
    <w:rsid w:val="00FE054A"/>
    <w:rsid w:val="00FE1C7C"/>
    <w:rsid w:val="00FE2131"/>
    <w:rsid w:val="00FE3A65"/>
    <w:rsid w:val="00FE445D"/>
    <w:rsid w:val="00FE458E"/>
    <w:rsid w:val="00FE4A49"/>
    <w:rsid w:val="00FE78C2"/>
    <w:rsid w:val="00FF015B"/>
    <w:rsid w:val="00FF0B83"/>
    <w:rsid w:val="00FF28D6"/>
    <w:rsid w:val="00FF2FFF"/>
    <w:rsid w:val="00FF3934"/>
    <w:rsid w:val="00FF4799"/>
    <w:rsid w:val="00FF4F98"/>
    <w:rsid w:val="00FF544B"/>
    <w:rsid w:val="00FF64AD"/>
    <w:rsid w:val="00FF683F"/>
    <w:rsid w:val="00FF78CE"/>
    <w:rsid w:val="0129974B"/>
    <w:rsid w:val="01375FE7"/>
    <w:rsid w:val="0170827B"/>
    <w:rsid w:val="01BE159A"/>
    <w:rsid w:val="01BE3336"/>
    <w:rsid w:val="01D08E8B"/>
    <w:rsid w:val="01DB2B0B"/>
    <w:rsid w:val="02037E3F"/>
    <w:rsid w:val="0219F4B1"/>
    <w:rsid w:val="024460F2"/>
    <w:rsid w:val="026B444C"/>
    <w:rsid w:val="02BDDFA5"/>
    <w:rsid w:val="02EA2F84"/>
    <w:rsid w:val="02FEAE72"/>
    <w:rsid w:val="0317E1C3"/>
    <w:rsid w:val="0345F859"/>
    <w:rsid w:val="0353B729"/>
    <w:rsid w:val="03B4B046"/>
    <w:rsid w:val="03B5DB53"/>
    <w:rsid w:val="03FD7551"/>
    <w:rsid w:val="04551297"/>
    <w:rsid w:val="046F1043"/>
    <w:rsid w:val="0476E492"/>
    <w:rsid w:val="04CBB910"/>
    <w:rsid w:val="05333F98"/>
    <w:rsid w:val="05395F70"/>
    <w:rsid w:val="05D3E35B"/>
    <w:rsid w:val="05E2B563"/>
    <w:rsid w:val="05EFAA23"/>
    <w:rsid w:val="05FD4E8D"/>
    <w:rsid w:val="05FF499A"/>
    <w:rsid w:val="0622DA99"/>
    <w:rsid w:val="0627127D"/>
    <w:rsid w:val="0638D97B"/>
    <w:rsid w:val="068CE141"/>
    <w:rsid w:val="06A8BF80"/>
    <w:rsid w:val="06CD720B"/>
    <w:rsid w:val="06D377A0"/>
    <w:rsid w:val="06F3B02E"/>
    <w:rsid w:val="07038420"/>
    <w:rsid w:val="0723A6E2"/>
    <w:rsid w:val="0764C469"/>
    <w:rsid w:val="07659CC2"/>
    <w:rsid w:val="077CFAFC"/>
    <w:rsid w:val="0789EE83"/>
    <w:rsid w:val="07D3A9A7"/>
    <w:rsid w:val="07F44E60"/>
    <w:rsid w:val="08BDFD60"/>
    <w:rsid w:val="092BC85D"/>
    <w:rsid w:val="09899D4F"/>
    <w:rsid w:val="0997CD7C"/>
    <w:rsid w:val="0A000F3E"/>
    <w:rsid w:val="0A04622A"/>
    <w:rsid w:val="0A0D1200"/>
    <w:rsid w:val="0A253066"/>
    <w:rsid w:val="0A3B73E0"/>
    <w:rsid w:val="0A47BCDE"/>
    <w:rsid w:val="0A58AD38"/>
    <w:rsid w:val="0A70C786"/>
    <w:rsid w:val="0A83375E"/>
    <w:rsid w:val="0AA6FA90"/>
    <w:rsid w:val="0AD505DB"/>
    <w:rsid w:val="0AD71D1D"/>
    <w:rsid w:val="0AE446DC"/>
    <w:rsid w:val="0AFBE359"/>
    <w:rsid w:val="0B0F9F74"/>
    <w:rsid w:val="0B1FD9F6"/>
    <w:rsid w:val="0B3453E5"/>
    <w:rsid w:val="0B93E720"/>
    <w:rsid w:val="0BA32867"/>
    <w:rsid w:val="0BAFF4E7"/>
    <w:rsid w:val="0BD9C52D"/>
    <w:rsid w:val="0C030BD6"/>
    <w:rsid w:val="0C2B25F7"/>
    <w:rsid w:val="0C3E2F6B"/>
    <w:rsid w:val="0C6F58A6"/>
    <w:rsid w:val="0CADD4C0"/>
    <w:rsid w:val="0CBBE31B"/>
    <w:rsid w:val="0D18356D"/>
    <w:rsid w:val="0D6CD019"/>
    <w:rsid w:val="0D9BEAF5"/>
    <w:rsid w:val="0DAFE628"/>
    <w:rsid w:val="0DFB51C1"/>
    <w:rsid w:val="0E30ABFC"/>
    <w:rsid w:val="0E760D23"/>
    <w:rsid w:val="0E986CAB"/>
    <w:rsid w:val="0E9EFFF5"/>
    <w:rsid w:val="0EDD5619"/>
    <w:rsid w:val="0EEE627C"/>
    <w:rsid w:val="0EFC5450"/>
    <w:rsid w:val="0F176B25"/>
    <w:rsid w:val="0F261790"/>
    <w:rsid w:val="0F65FCDA"/>
    <w:rsid w:val="0F6DF6AD"/>
    <w:rsid w:val="0F7FE735"/>
    <w:rsid w:val="0FF5A778"/>
    <w:rsid w:val="100155A6"/>
    <w:rsid w:val="1019EE93"/>
    <w:rsid w:val="102720F3"/>
    <w:rsid w:val="108F9154"/>
    <w:rsid w:val="10D56434"/>
    <w:rsid w:val="110E34C4"/>
    <w:rsid w:val="111DD357"/>
    <w:rsid w:val="112E82F8"/>
    <w:rsid w:val="1172592D"/>
    <w:rsid w:val="1190631B"/>
    <w:rsid w:val="119C239A"/>
    <w:rsid w:val="11B2896D"/>
    <w:rsid w:val="120B6722"/>
    <w:rsid w:val="120D5CE9"/>
    <w:rsid w:val="121E87D2"/>
    <w:rsid w:val="1237FAD6"/>
    <w:rsid w:val="1263D0ED"/>
    <w:rsid w:val="13103D52"/>
    <w:rsid w:val="1329BA63"/>
    <w:rsid w:val="13434C2E"/>
    <w:rsid w:val="13B3A7FE"/>
    <w:rsid w:val="13D741FB"/>
    <w:rsid w:val="140A43E9"/>
    <w:rsid w:val="1413F7EB"/>
    <w:rsid w:val="14446DA6"/>
    <w:rsid w:val="1446080F"/>
    <w:rsid w:val="14C5B460"/>
    <w:rsid w:val="150D5538"/>
    <w:rsid w:val="151BDD75"/>
    <w:rsid w:val="152AFF4F"/>
    <w:rsid w:val="1552636E"/>
    <w:rsid w:val="155280D3"/>
    <w:rsid w:val="157F0C55"/>
    <w:rsid w:val="158D9D15"/>
    <w:rsid w:val="15E942E2"/>
    <w:rsid w:val="1620EF77"/>
    <w:rsid w:val="1623D146"/>
    <w:rsid w:val="16286CE0"/>
    <w:rsid w:val="16348B9F"/>
    <w:rsid w:val="166CEDCD"/>
    <w:rsid w:val="168EC885"/>
    <w:rsid w:val="16CAEFC0"/>
    <w:rsid w:val="16E75937"/>
    <w:rsid w:val="17145FA5"/>
    <w:rsid w:val="17165038"/>
    <w:rsid w:val="173BEC72"/>
    <w:rsid w:val="174EC3B0"/>
    <w:rsid w:val="17785026"/>
    <w:rsid w:val="17AB7377"/>
    <w:rsid w:val="17CE2B97"/>
    <w:rsid w:val="17D25A06"/>
    <w:rsid w:val="17E104FB"/>
    <w:rsid w:val="180CA3AE"/>
    <w:rsid w:val="1868580B"/>
    <w:rsid w:val="186DF673"/>
    <w:rsid w:val="188BDE65"/>
    <w:rsid w:val="18AFE6BC"/>
    <w:rsid w:val="190359A3"/>
    <w:rsid w:val="190C5FD5"/>
    <w:rsid w:val="19223AE3"/>
    <w:rsid w:val="1967F706"/>
    <w:rsid w:val="196B23B9"/>
    <w:rsid w:val="196E9D6F"/>
    <w:rsid w:val="19B30DF5"/>
    <w:rsid w:val="19BAD85E"/>
    <w:rsid w:val="19D91E38"/>
    <w:rsid w:val="19DAF9BD"/>
    <w:rsid w:val="19EE3338"/>
    <w:rsid w:val="1A694C46"/>
    <w:rsid w:val="1A6D1AB6"/>
    <w:rsid w:val="1AAA7F2F"/>
    <w:rsid w:val="1AB7AC8E"/>
    <w:rsid w:val="1B0FF1E3"/>
    <w:rsid w:val="1B3FFEF1"/>
    <w:rsid w:val="1B935F4C"/>
    <w:rsid w:val="1BF56823"/>
    <w:rsid w:val="1C17226F"/>
    <w:rsid w:val="1C46F2AF"/>
    <w:rsid w:val="1C4A0FDC"/>
    <w:rsid w:val="1C68B957"/>
    <w:rsid w:val="1C6D0BCC"/>
    <w:rsid w:val="1C9EFC0A"/>
    <w:rsid w:val="1CAE4610"/>
    <w:rsid w:val="1CCB0738"/>
    <w:rsid w:val="1CFDEBA4"/>
    <w:rsid w:val="1D3D729C"/>
    <w:rsid w:val="1D576553"/>
    <w:rsid w:val="1D73A15E"/>
    <w:rsid w:val="1DC48D98"/>
    <w:rsid w:val="1E381994"/>
    <w:rsid w:val="1EBF918E"/>
    <w:rsid w:val="1EDB533D"/>
    <w:rsid w:val="1EF515CD"/>
    <w:rsid w:val="1F6725C8"/>
    <w:rsid w:val="1F87DEAC"/>
    <w:rsid w:val="1FF5174C"/>
    <w:rsid w:val="200A49B9"/>
    <w:rsid w:val="20198485"/>
    <w:rsid w:val="201F63CC"/>
    <w:rsid w:val="20389F84"/>
    <w:rsid w:val="20390B45"/>
    <w:rsid w:val="20498BF2"/>
    <w:rsid w:val="20606CE1"/>
    <w:rsid w:val="20702388"/>
    <w:rsid w:val="2080A06B"/>
    <w:rsid w:val="20BA6121"/>
    <w:rsid w:val="20C65B44"/>
    <w:rsid w:val="20DD6029"/>
    <w:rsid w:val="20FB8EA7"/>
    <w:rsid w:val="2140F794"/>
    <w:rsid w:val="214A97D6"/>
    <w:rsid w:val="21552D58"/>
    <w:rsid w:val="218BEB14"/>
    <w:rsid w:val="21932CA8"/>
    <w:rsid w:val="21CE1A00"/>
    <w:rsid w:val="21D17B45"/>
    <w:rsid w:val="22044ED9"/>
    <w:rsid w:val="222D4C48"/>
    <w:rsid w:val="2252FD77"/>
    <w:rsid w:val="2298D7B9"/>
    <w:rsid w:val="22FF99B0"/>
    <w:rsid w:val="2351CBF0"/>
    <w:rsid w:val="235A8737"/>
    <w:rsid w:val="23A9352E"/>
    <w:rsid w:val="23C24964"/>
    <w:rsid w:val="23C67CD1"/>
    <w:rsid w:val="23CC2219"/>
    <w:rsid w:val="23EED536"/>
    <w:rsid w:val="244624BA"/>
    <w:rsid w:val="244876DD"/>
    <w:rsid w:val="247607C6"/>
    <w:rsid w:val="24D2DE32"/>
    <w:rsid w:val="24F745CB"/>
    <w:rsid w:val="25087B9D"/>
    <w:rsid w:val="253B91F5"/>
    <w:rsid w:val="25684032"/>
    <w:rsid w:val="258355A1"/>
    <w:rsid w:val="25B9E214"/>
    <w:rsid w:val="2774A055"/>
    <w:rsid w:val="27835921"/>
    <w:rsid w:val="27D7A15F"/>
    <w:rsid w:val="27DE201C"/>
    <w:rsid w:val="27FE38D1"/>
    <w:rsid w:val="2838C7A8"/>
    <w:rsid w:val="283C34BC"/>
    <w:rsid w:val="28751271"/>
    <w:rsid w:val="287F3CBB"/>
    <w:rsid w:val="28C029D4"/>
    <w:rsid w:val="28F1C74C"/>
    <w:rsid w:val="28FFBCD4"/>
    <w:rsid w:val="2910777E"/>
    <w:rsid w:val="2917F051"/>
    <w:rsid w:val="2939F11F"/>
    <w:rsid w:val="295AF6D1"/>
    <w:rsid w:val="296DB4BC"/>
    <w:rsid w:val="29AAD2B6"/>
    <w:rsid w:val="2A3713E8"/>
    <w:rsid w:val="2A3B11BE"/>
    <w:rsid w:val="2A9E5FB1"/>
    <w:rsid w:val="2ABBF71B"/>
    <w:rsid w:val="2AE12CAF"/>
    <w:rsid w:val="2AFA30D9"/>
    <w:rsid w:val="2B33BE1E"/>
    <w:rsid w:val="2B3A563D"/>
    <w:rsid w:val="2B5DA1C0"/>
    <w:rsid w:val="2B7D7421"/>
    <w:rsid w:val="2B80277B"/>
    <w:rsid w:val="2B9B26B4"/>
    <w:rsid w:val="2BDB1FAA"/>
    <w:rsid w:val="2BE22280"/>
    <w:rsid w:val="2BEFF3A8"/>
    <w:rsid w:val="2C7DCD50"/>
    <w:rsid w:val="2CCE97D2"/>
    <w:rsid w:val="2D01AA73"/>
    <w:rsid w:val="2D1C789F"/>
    <w:rsid w:val="2D1CB139"/>
    <w:rsid w:val="2D249233"/>
    <w:rsid w:val="2D274341"/>
    <w:rsid w:val="2E19C970"/>
    <w:rsid w:val="2E2A8A53"/>
    <w:rsid w:val="2E31C277"/>
    <w:rsid w:val="2E35C28A"/>
    <w:rsid w:val="2E3CC0A6"/>
    <w:rsid w:val="2E5FE67D"/>
    <w:rsid w:val="2EDE0AEF"/>
    <w:rsid w:val="2EF7D8B0"/>
    <w:rsid w:val="2F13C8D1"/>
    <w:rsid w:val="2F21984A"/>
    <w:rsid w:val="2F61A428"/>
    <w:rsid w:val="2FA96A5D"/>
    <w:rsid w:val="2FB42C52"/>
    <w:rsid w:val="2FB825B7"/>
    <w:rsid w:val="2FC189A5"/>
    <w:rsid w:val="301DA322"/>
    <w:rsid w:val="3068FB3B"/>
    <w:rsid w:val="307149EB"/>
    <w:rsid w:val="307D8738"/>
    <w:rsid w:val="309EA940"/>
    <w:rsid w:val="30DC2E68"/>
    <w:rsid w:val="30FC5281"/>
    <w:rsid w:val="312C8E0B"/>
    <w:rsid w:val="313C1F6C"/>
    <w:rsid w:val="320DA2EF"/>
    <w:rsid w:val="3222DC77"/>
    <w:rsid w:val="322A6C87"/>
    <w:rsid w:val="3258A307"/>
    <w:rsid w:val="3259F7B4"/>
    <w:rsid w:val="328087D5"/>
    <w:rsid w:val="32978BCB"/>
    <w:rsid w:val="32A46BB7"/>
    <w:rsid w:val="3330E7AE"/>
    <w:rsid w:val="333B36BA"/>
    <w:rsid w:val="33605066"/>
    <w:rsid w:val="3377613E"/>
    <w:rsid w:val="3384C4D3"/>
    <w:rsid w:val="33995169"/>
    <w:rsid w:val="33D20EC2"/>
    <w:rsid w:val="33D4083A"/>
    <w:rsid w:val="340671A5"/>
    <w:rsid w:val="3415F065"/>
    <w:rsid w:val="3426D1C0"/>
    <w:rsid w:val="344939FA"/>
    <w:rsid w:val="345367C9"/>
    <w:rsid w:val="3469FB95"/>
    <w:rsid w:val="34CC3804"/>
    <w:rsid w:val="3546E521"/>
    <w:rsid w:val="3571780E"/>
    <w:rsid w:val="357E99FD"/>
    <w:rsid w:val="3583C4FF"/>
    <w:rsid w:val="35AE0726"/>
    <w:rsid w:val="35CB7870"/>
    <w:rsid w:val="35F8F566"/>
    <w:rsid w:val="363A23B1"/>
    <w:rsid w:val="36582297"/>
    <w:rsid w:val="3748E180"/>
    <w:rsid w:val="3771113F"/>
    <w:rsid w:val="378050DE"/>
    <w:rsid w:val="378BD821"/>
    <w:rsid w:val="3799CE58"/>
    <w:rsid w:val="37E8A09D"/>
    <w:rsid w:val="38565697"/>
    <w:rsid w:val="389197B2"/>
    <w:rsid w:val="38BF3314"/>
    <w:rsid w:val="38C8000A"/>
    <w:rsid w:val="38D84163"/>
    <w:rsid w:val="38EC4080"/>
    <w:rsid w:val="390E67FA"/>
    <w:rsid w:val="393B83C5"/>
    <w:rsid w:val="3961AB53"/>
    <w:rsid w:val="3A073D56"/>
    <w:rsid w:val="3A6E3BED"/>
    <w:rsid w:val="3A87C089"/>
    <w:rsid w:val="3A90D9E0"/>
    <w:rsid w:val="3A981D80"/>
    <w:rsid w:val="3AA5184D"/>
    <w:rsid w:val="3ACDF875"/>
    <w:rsid w:val="3AE37C7E"/>
    <w:rsid w:val="3BC3B445"/>
    <w:rsid w:val="3BFF5225"/>
    <w:rsid w:val="3C1217ED"/>
    <w:rsid w:val="3C36F3AD"/>
    <w:rsid w:val="3C4F9166"/>
    <w:rsid w:val="3C648EF8"/>
    <w:rsid w:val="3CF917AE"/>
    <w:rsid w:val="3CFAF335"/>
    <w:rsid w:val="3D1FC76B"/>
    <w:rsid w:val="3D361F67"/>
    <w:rsid w:val="3D3F1F63"/>
    <w:rsid w:val="3D59224D"/>
    <w:rsid w:val="3DAB8D07"/>
    <w:rsid w:val="3DB4C1DE"/>
    <w:rsid w:val="3DDB0F23"/>
    <w:rsid w:val="3DF590BA"/>
    <w:rsid w:val="3E00B076"/>
    <w:rsid w:val="3E0F926C"/>
    <w:rsid w:val="3E1EE2AA"/>
    <w:rsid w:val="3E335B0D"/>
    <w:rsid w:val="3E48A6F9"/>
    <w:rsid w:val="3E7250E3"/>
    <w:rsid w:val="3E8031AC"/>
    <w:rsid w:val="3EC583BA"/>
    <w:rsid w:val="3F3BD043"/>
    <w:rsid w:val="3F46CAEF"/>
    <w:rsid w:val="3F4E0E77"/>
    <w:rsid w:val="40281B2B"/>
    <w:rsid w:val="40506F2B"/>
    <w:rsid w:val="40AA79D7"/>
    <w:rsid w:val="40D0DA3F"/>
    <w:rsid w:val="40D3F3F9"/>
    <w:rsid w:val="411E2589"/>
    <w:rsid w:val="4140146A"/>
    <w:rsid w:val="41B02322"/>
    <w:rsid w:val="41C4F72D"/>
    <w:rsid w:val="41E5B1C5"/>
    <w:rsid w:val="41EF26AA"/>
    <w:rsid w:val="4206571E"/>
    <w:rsid w:val="42108855"/>
    <w:rsid w:val="42449F3C"/>
    <w:rsid w:val="42690470"/>
    <w:rsid w:val="42C106F4"/>
    <w:rsid w:val="42D28A0F"/>
    <w:rsid w:val="4313D859"/>
    <w:rsid w:val="431D5301"/>
    <w:rsid w:val="432374AC"/>
    <w:rsid w:val="43371A39"/>
    <w:rsid w:val="43688BF8"/>
    <w:rsid w:val="43AEAB68"/>
    <w:rsid w:val="43BBCD5D"/>
    <w:rsid w:val="43D93423"/>
    <w:rsid w:val="448D0B86"/>
    <w:rsid w:val="4492A18E"/>
    <w:rsid w:val="44E3D774"/>
    <w:rsid w:val="44EAEED6"/>
    <w:rsid w:val="44FB6AF9"/>
    <w:rsid w:val="4502F7D7"/>
    <w:rsid w:val="45722FDE"/>
    <w:rsid w:val="45756B1F"/>
    <w:rsid w:val="459957F8"/>
    <w:rsid w:val="45D81A96"/>
    <w:rsid w:val="45F185F9"/>
    <w:rsid w:val="45FA3ED8"/>
    <w:rsid w:val="4601315A"/>
    <w:rsid w:val="463DB014"/>
    <w:rsid w:val="46454257"/>
    <w:rsid w:val="467FE685"/>
    <w:rsid w:val="471CFCD9"/>
    <w:rsid w:val="474C1A9B"/>
    <w:rsid w:val="47E2EB0B"/>
    <w:rsid w:val="48270D10"/>
    <w:rsid w:val="48615EA2"/>
    <w:rsid w:val="48645AA9"/>
    <w:rsid w:val="487F5E7A"/>
    <w:rsid w:val="48B0653E"/>
    <w:rsid w:val="48B83B47"/>
    <w:rsid w:val="48CA76B4"/>
    <w:rsid w:val="48E6F791"/>
    <w:rsid w:val="48F8B289"/>
    <w:rsid w:val="495AD9D2"/>
    <w:rsid w:val="49769432"/>
    <w:rsid w:val="4995C76F"/>
    <w:rsid w:val="49A16C25"/>
    <w:rsid w:val="49A2818A"/>
    <w:rsid w:val="49B01480"/>
    <w:rsid w:val="49C743DB"/>
    <w:rsid w:val="49F55F45"/>
    <w:rsid w:val="4A1726DF"/>
    <w:rsid w:val="4A9FB2CF"/>
    <w:rsid w:val="4ADBBBBA"/>
    <w:rsid w:val="4AEDC064"/>
    <w:rsid w:val="4B053730"/>
    <w:rsid w:val="4B2626CC"/>
    <w:rsid w:val="4B526107"/>
    <w:rsid w:val="4B9AFFA8"/>
    <w:rsid w:val="4BE97758"/>
    <w:rsid w:val="4C11AA70"/>
    <w:rsid w:val="4C1793BC"/>
    <w:rsid w:val="4C68B585"/>
    <w:rsid w:val="4C80FAD6"/>
    <w:rsid w:val="4C954AE0"/>
    <w:rsid w:val="4CD8DF58"/>
    <w:rsid w:val="4CF90A72"/>
    <w:rsid w:val="4D6B2932"/>
    <w:rsid w:val="4E134650"/>
    <w:rsid w:val="4E5BC712"/>
    <w:rsid w:val="4E609370"/>
    <w:rsid w:val="4E72D887"/>
    <w:rsid w:val="4EBACBDD"/>
    <w:rsid w:val="4EC3249E"/>
    <w:rsid w:val="4ED830C2"/>
    <w:rsid w:val="4F20C4B0"/>
    <w:rsid w:val="4F345ADF"/>
    <w:rsid w:val="4F951B1E"/>
    <w:rsid w:val="4FCF2069"/>
    <w:rsid w:val="4FF97961"/>
    <w:rsid w:val="50139EF5"/>
    <w:rsid w:val="503B0FF5"/>
    <w:rsid w:val="50B05173"/>
    <w:rsid w:val="50DA0A77"/>
    <w:rsid w:val="5100D05B"/>
    <w:rsid w:val="51021993"/>
    <w:rsid w:val="5106CFDF"/>
    <w:rsid w:val="512D4F34"/>
    <w:rsid w:val="5172AB66"/>
    <w:rsid w:val="5178192E"/>
    <w:rsid w:val="52502FC3"/>
    <w:rsid w:val="5300BBA9"/>
    <w:rsid w:val="535F58AF"/>
    <w:rsid w:val="53A82D82"/>
    <w:rsid w:val="53CC1A54"/>
    <w:rsid w:val="53D35BE5"/>
    <w:rsid w:val="5401E4D5"/>
    <w:rsid w:val="54131C15"/>
    <w:rsid w:val="545E3B31"/>
    <w:rsid w:val="548F8E32"/>
    <w:rsid w:val="548FD216"/>
    <w:rsid w:val="54AC1FCB"/>
    <w:rsid w:val="54C5E3B9"/>
    <w:rsid w:val="54D830C3"/>
    <w:rsid w:val="54FC9B88"/>
    <w:rsid w:val="55055B91"/>
    <w:rsid w:val="55166B7A"/>
    <w:rsid w:val="5550B357"/>
    <w:rsid w:val="5583CF75"/>
    <w:rsid w:val="558DEF91"/>
    <w:rsid w:val="559A1F20"/>
    <w:rsid w:val="55B0616C"/>
    <w:rsid w:val="55C2B402"/>
    <w:rsid w:val="55C68414"/>
    <w:rsid w:val="55C8C4A5"/>
    <w:rsid w:val="5640D976"/>
    <w:rsid w:val="564240CE"/>
    <w:rsid w:val="564D121F"/>
    <w:rsid w:val="56AEDD45"/>
    <w:rsid w:val="56D07ACB"/>
    <w:rsid w:val="57185F19"/>
    <w:rsid w:val="5729EF85"/>
    <w:rsid w:val="5733051D"/>
    <w:rsid w:val="5775C760"/>
    <w:rsid w:val="57B15301"/>
    <w:rsid w:val="57CEF8BA"/>
    <w:rsid w:val="57D1F160"/>
    <w:rsid w:val="5824F801"/>
    <w:rsid w:val="588B23F8"/>
    <w:rsid w:val="59022687"/>
    <w:rsid w:val="59467AF7"/>
    <w:rsid w:val="5956609B"/>
    <w:rsid w:val="599112DF"/>
    <w:rsid w:val="59F49055"/>
    <w:rsid w:val="59F6BC19"/>
    <w:rsid w:val="5A113C77"/>
    <w:rsid w:val="5A14F029"/>
    <w:rsid w:val="5A702267"/>
    <w:rsid w:val="5AB7F1B5"/>
    <w:rsid w:val="5AD8F878"/>
    <w:rsid w:val="5ADF30A4"/>
    <w:rsid w:val="5B1C894D"/>
    <w:rsid w:val="5B55BEF9"/>
    <w:rsid w:val="5B873F89"/>
    <w:rsid w:val="5BA0AE34"/>
    <w:rsid w:val="5C2F4D53"/>
    <w:rsid w:val="5C9839FD"/>
    <w:rsid w:val="5CBAA68F"/>
    <w:rsid w:val="5CC2E900"/>
    <w:rsid w:val="5CCF2969"/>
    <w:rsid w:val="5CED3A75"/>
    <w:rsid w:val="5CF5C56E"/>
    <w:rsid w:val="5CF7AFE6"/>
    <w:rsid w:val="5D2E8945"/>
    <w:rsid w:val="5D3481AF"/>
    <w:rsid w:val="5DB3C27D"/>
    <w:rsid w:val="5DC59D30"/>
    <w:rsid w:val="5DC9887A"/>
    <w:rsid w:val="5DF29493"/>
    <w:rsid w:val="5E146344"/>
    <w:rsid w:val="5E3D3A94"/>
    <w:rsid w:val="5E82428A"/>
    <w:rsid w:val="5EC545CF"/>
    <w:rsid w:val="5ED4DDE8"/>
    <w:rsid w:val="5F099658"/>
    <w:rsid w:val="5F0E176E"/>
    <w:rsid w:val="5F338952"/>
    <w:rsid w:val="5FA30A91"/>
    <w:rsid w:val="5FCC6D0C"/>
    <w:rsid w:val="6006DA68"/>
    <w:rsid w:val="601B9ECF"/>
    <w:rsid w:val="603EA895"/>
    <w:rsid w:val="606324DD"/>
    <w:rsid w:val="606ACF18"/>
    <w:rsid w:val="60D9D7C8"/>
    <w:rsid w:val="612C623C"/>
    <w:rsid w:val="614C9AD2"/>
    <w:rsid w:val="61ADC6BC"/>
    <w:rsid w:val="6203564F"/>
    <w:rsid w:val="6226F39C"/>
    <w:rsid w:val="6241A754"/>
    <w:rsid w:val="62499AB8"/>
    <w:rsid w:val="628ECD92"/>
    <w:rsid w:val="62949394"/>
    <w:rsid w:val="62CE3498"/>
    <w:rsid w:val="63179477"/>
    <w:rsid w:val="63212A11"/>
    <w:rsid w:val="634EC324"/>
    <w:rsid w:val="6389408B"/>
    <w:rsid w:val="63D23E21"/>
    <w:rsid w:val="6404AB89"/>
    <w:rsid w:val="646A4885"/>
    <w:rsid w:val="647C5A46"/>
    <w:rsid w:val="648BBDF3"/>
    <w:rsid w:val="64AB245D"/>
    <w:rsid w:val="64F3CB03"/>
    <w:rsid w:val="650940EF"/>
    <w:rsid w:val="65142074"/>
    <w:rsid w:val="656843EF"/>
    <w:rsid w:val="65ADE41F"/>
    <w:rsid w:val="65BB01AC"/>
    <w:rsid w:val="65DC852E"/>
    <w:rsid w:val="6618F83A"/>
    <w:rsid w:val="6622809A"/>
    <w:rsid w:val="662ABBBA"/>
    <w:rsid w:val="6639CCC8"/>
    <w:rsid w:val="668E5425"/>
    <w:rsid w:val="66B641D2"/>
    <w:rsid w:val="66E19C26"/>
    <w:rsid w:val="672D66DB"/>
    <w:rsid w:val="6753F512"/>
    <w:rsid w:val="6781E72B"/>
    <w:rsid w:val="67A51EF5"/>
    <w:rsid w:val="67A53673"/>
    <w:rsid w:val="67F6024B"/>
    <w:rsid w:val="6815FE4B"/>
    <w:rsid w:val="687165F5"/>
    <w:rsid w:val="68B41370"/>
    <w:rsid w:val="68BA02FE"/>
    <w:rsid w:val="68DE8314"/>
    <w:rsid w:val="68F6F571"/>
    <w:rsid w:val="692FB999"/>
    <w:rsid w:val="69860F1C"/>
    <w:rsid w:val="69B618F4"/>
    <w:rsid w:val="6A38640B"/>
    <w:rsid w:val="6A58083B"/>
    <w:rsid w:val="6A92E441"/>
    <w:rsid w:val="6A965B99"/>
    <w:rsid w:val="6ADAADAC"/>
    <w:rsid w:val="6B0A82F7"/>
    <w:rsid w:val="6B1CA375"/>
    <w:rsid w:val="6B42597E"/>
    <w:rsid w:val="6B4FE9DD"/>
    <w:rsid w:val="6B77C716"/>
    <w:rsid w:val="6BBCC0E4"/>
    <w:rsid w:val="6C1865ED"/>
    <w:rsid w:val="6CAB9059"/>
    <w:rsid w:val="6CDC08A9"/>
    <w:rsid w:val="6CE9E07E"/>
    <w:rsid w:val="6D6453E9"/>
    <w:rsid w:val="6D647C3D"/>
    <w:rsid w:val="6D771783"/>
    <w:rsid w:val="6D8059B2"/>
    <w:rsid w:val="6DA90EE1"/>
    <w:rsid w:val="6E00551D"/>
    <w:rsid w:val="6E738A06"/>
    <w:rsid w:val="6EAA09C5"/>
    <w:rsid w:val="6F1EE6A9"/>
    <w:rsid w:val="6F207775"/>
    <w:rsid w:val="6F25B5E5"/>
    <w:rsid w:val="6F31CEAC"/>
    <w:rsid w:val="6F8E4259"/>
    <w:rsid w:val="6FAFEFE1"/>
    <w:rsid w:val="6FB28410"/>
    <w:rsid w:val="6FF52B70"/>
    <w:rsid w:val="6FFADFC5"/>
    <w:rsid w:val="7008EFD2"/>
    <w:rsid w:val="7019B3CA"/>
    <w:rsid w:val="7022B8A4"/>
    <w:rsid w:val="7045BD80"/>
    <w:rsid w:val="70916632"/>
    <w:rsid w:val="70ABB36F"/>
    <w:rsid w:val="70BA134F"/>
    <w:rsid w:val="7107394A"/>
    <w:rsid w:val="71870021"/>
    <w:rsid w:val="71B28D2D"/>
    <w:rsid w:val="71FAA541"/>
    <w:rsid w:val="7200706D"/>
    <w:rsid w:val="724B5AFF"/>
    <w:rsid w:val="730ADBF6"/>
    <w:rsid w:val="74721438"/>
    <w:rsid w:val="74727DDC"/>
    <w:rsid w:val="74A5D121"/>
    <w:rsid w:val="74BDBA3B"/>
    <w:rsid w:val="74DA7163"/>
    <w:rsid w:val="74FD5410"/>
    <w:rsid w:val="75273245"/>
    <w:rsid w:val="756A8F79"/>
    <w:rsid w:val="75D1368B"/>
    <w:rsid w:val="75F650B5"/>
    <w:rsid w:val="7608F52B"/>
    <w:rsid w:val="7614DEC0"/>
    <w:rsid w:val="761DFC80"/>
    <w:rsid w:val="7629A76E"/>
    <w:rsid w:val="76627F31"/>
    <w:rsid w:val="768D1CF2"/>
    <w:rsid w:val="76C06CCC"/>
    <w:rsid w:val="77011259"/>
    <w:rsid w:val="7708E73D"/>
    <w:rsid w:val="77627D9A"/>
    <w:rsid w:val="7791EE45"/>
    <w:rsid w:val="77AACADB"/>
    <w:rsid w:val="77E77EA9"/>
    <w:rsid w:val="7837B9F8"/>
    <w:rsid w:val="78F6322A"/>
    <w:rsid w:val="7920FE35"/>
    <w:rsid w:val="792745FB"/>
    <w:rsid w:val="792C6DD3"/>
    <w:rsid w:val="7996649E"/>
    <w:rsid w:val="799810B5"/>
    <w:rsid w:val="79BAE3A5"/>
    <w:rsid w:val="79CCC9F5"/>
    <w:rsid w:val="7A19ECBF"/>
    <w:rsid w:val="7A1C2B4F"/>
    <w:rsid w:val="7A3C7E04"/>
    <w:rsid w:val="7A70F90E"/>
    <w:rsid w:val="7B229A12"/>
    <w:rsid w:val="7B7CD9BD"/>
    <w:rsid w:val="7B84404F"/>
    <w:rsid w:val="7B9A1416"/>
    <w:rsid w:val="7C4BF7A2"/>
    <w:rsid w:val="7C67872A"/>
    <w:rsid w:val="7C6910BC"/>
    <w:rsid w:val="7CA52C7D"/>
    <w:rsid w:val="7CDD329A"/>
    <w:rsid w:val="7D10A3C1"/>
    <w:rsid w:val="7E004816"/>
    <w:rsid w:val="7E17D99F"/>
    <w:rsid w:val="7E30DF6F"/>
    <w:rsid w:val="7EA42D87"/>
    <w:rsid w:val="7EAA2C60"/>
    <w:rsid w:val="7EB2198A"/>
    <w:rsid w:val="7EB6C0C5"/>
    <w:rsid w:val="7EB87578"/>
    <w:rsid w:val="7EDAE07B"/>
    <w:rsid w:val="7EDC9706"/>
    <w:rsid w:val="7F47795B"/>
    <w:rsid w:val="7F4F0EE8"/>
    <w:rsid w:val="7F8FCA53"/>
    <w:rsid w:val="7F9599E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08C9C1"/>
  <w15:docId w15:val="{5FADD2AA-EB54-4712-BF13-4081F54F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13B"/>
    <w:pPr>
      <w:spacing w:before="120" w:after="120" w:line="360" w:lineRule="auto"/>
    </w:pPr>
    <w:rPr>
      <w:rFonts w:ascii="Arial" w:hAnsi="Arial"/>
    </w:rPr>
  </w:style>
  <w:style w:type="paragraph" w:styleId="Heading1">
    <w:name w:val="heading 1"/>
    <w:basedOn w:val="Normal"/>
    <w:next w:val="Normal"/>
    <w:link w:val="Heading1Char"/>
    <w:uiPriority w:val="9"/>
    <w:qFormat/>
    <w:rsid w:val="008B213B"/>
    <w:pPr>
      <w:keepNext/>
      <w:keepLines/>
      <w:spacing w:before="360" w:after="240" w:line="240" w:lineRule="auto"/>
      <w:outlineLvl w:val="0"/>
    </w:pPr>
    <w:rPr>
      <w:rFonts w:eastAsia="SimHei" w:cs="Arial"/>
      <w:b/>
      <w:color w:val="0F1E64"/>
      <w:sz w:val="32"/>
      <w:szCs w:val="32"/>
    </w:rPr>
  </w:style>
  <w:style w:type="paragraph" w:styleId="Heading2">
    <w:name w:val="heading 2"/>
    <w:basedOn w:val="Heading1"/>
    <w:next w:val="Normal"/>
    <w:link w:val="Heading2Char"/>
    <w:uiPriority w:val="9"/>
    <w:unhideWhenUsed/>
    <w:qFormat/>
    <w:rsid w:val="008B213B"/>
    <w:pPr>
      <w:spacing w:before="40" w:after="0"/>
      <w:outlineLvl w:val="1"/>
    </w:pPr>
    <w:rPr>
      <w:rFonts w:eastAsiaTheme="majorEastAsia" w:cstheme="majorBidi"/>
      <w:color w:val="auto"/>
      <w:sz w:val="24"/>
      <w:szCs w:val="26"/>
    </w:rPr>
  </w:style>
  <w:style w:type="paragraph" w:styleId="Heading3">
    <w:name w:val="heading 3"/>
    <w:basedOn w:val="Normal"/>
    <w:next w:val="Normal"/>
    <w:link w:val="Heading3Char"/>
    <w:uiPriority w:val="9"/>
    <w:unhideWhenUsed/>
    <w:qFormat/>
    <w:rsid w:val="008078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65F1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82C"/>
  </w:style>
  <w:style w:type="paragraph" w:styleId="Footer">
    <w:name w:val="footer"/>
    <w:basedOn w:val="Normal"/>
    <w:link w:val="FooterChar"/>
    <w:uiPriority w:val="99"/>
    <w:unhideWhenUsed/>
    <w:rsid w:val="00807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82C"/>
  </w:style>
  <w:style w:type="character" w:customStyle="1" w:styleId="Heading1Char">
    <w:name w:val="Heading 1 Char"/>
    <w:basedOn w:val="DefaultParagraphFont"/>
    <w:link w:val="Heading1"/>
    <w:uiPriority w:val="9"/>
    <w:rsid w:val="008B213B"/>
    <w:rPr>
      <w:rFonts w:ascii="Arial" w:eastAsia="SimHei" w:hAnsi="Arial" w:cs="Arial"/>
      <w:b/>
      <w:color w:val="0F1E64"/>
      <w:sz w:val="32"/>
      <w:szCs w:val="32"/>
    </w:rPr>
  </w:style>
  <w:style w:type="character" w:customStyle="1" w:styleId="Heading2Char">
    <w:name w:val="Heading 2 Char"/>
    <w:basedOn w:val="DefaultParagraphFont"/>
    <w:link w:val="Heading2"/>
    <w:uiPriority w:val="9"/>
    <w:rsid w:val="008B213B"/>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80782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B61AD"/>
    <w:pPr>
      <w:spacing w:before="60" w:after="60" w:line="240" w:lineRule="auto"/>
      <w:ind w:left="720"/>
    </w:pPr>
  </w:style>
  <w:style w:type="character" w:styleId="CommentReference">
    <w:name w:val="annotation reference"/>
    <w:basedOn w:val="DefaultParagraphFont"/>
    <w:uiPriority w:val="99"/>
    <w:semiHidden/>
    <w:unhideWhenUsed/>
    <w:rsid w:val="0080782C"/>
    <w:rPr>
      <w:sz w:val="16"/>
      <w:szCs w:val="16"/>
    </w:rPr>
  </w:style>
  <w:style w:type="paragraph" w:styleId="CommentText">
    <w:name w:val="annotation text"/>
    <w:basedOn w:val="Normal"/>
    <w:link w:val="CommentTextChar"/>
    <w:uiPriority w:val="99"/>
    <w:unhideWhenUsed/>
    <w:rsid w:val="0080782C"/>
    <w:pPr>
      <w:spacing w:line="240" w:lineRule="auto"/>
    </w:pPr>
    <w:rPr>
      <w:sz w:val="20"/>
      <w:szCs w:val="20"/>
    </w:rPr>
  </w:style>
  <w:style w:type="character" w:customStyle="1" w:styleId="CommentTextChar">
    <w:name w:val="Comment Text Char"/>
    <w:basedOn w:val="DefaultParagraphFont"/>
    <w:link w:val="CommentText"/>
    <w:uiPriority w:val="99"/>
    <w:rsid w:val="0080782C"/>
    <w:rPr>
      <w:sz w:val="20"/>
      <w:szCs w:val="20"/>
    </w:rPr>
  </w:style>
  <w:style w:type="paragraph" w:styleId="BalloonText">
    <w:name w:val="Balloon Text"/>
    <w:basedOn w:val="Normal"/>
    <w:link w:val="BalloonTextChar"/>
    <w:uiPriority w:val="99"/>
    <w:semiHidden/>
    <w:unhideWhenUsed/>
    <w:rsid w:val="00807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82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4737F"/>
    <w:rPr>
      <w:b/>
      <w:bCs/>
    </w:rPr>
  </w:style>
  <w:style w:type="character" w:customStyle="1" w:styleId="CommentSubjectChar">
    <w:name w:val="Comment Subject Char"/>
    <w:basedOn w:val="CommentTextChar"/>
    <w:link w:val="CommentSubject"/>
    <w:uiPriority w:val="99"/>
    <w:semiHidden/>
    <w:rsid w:val="0074737F"/>
    <w:rPr>
      <w:b/>
      <w:bCs/>
      <w:sz w:val="20"/>
      <w:szCs w:val="20"/>
    </w:rPr>
  </w:style>
  <w:style w:type="paragraph" w:customStyle="1" w:styleId="EndNoteBibliographyTitle">
    <w:name w:val="EndNote Bibliography Title"/>
    <w:basedOn w:val="Normal"/>
    <w:link w:val="EndNoteBibliographyTitleChar"/>
    <w:rsid w:val="007435E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435EB"/>
    <w:rPr>
      <w:rFonts w:ascii="Calibri" w:hAnsi="Calibri" w:cs="Calibri"/>
      <w:noProof/>
      <w:lang w:val="en-US"/>
    </w:rPr>
  </w:style>
  <w:style w:type="paragraph" w:customStyle="1" w:styleId="EndNoteBibliography">
    <w:name w:val="EndNote Bibliography"/>
    <w:basedOn w:val="Normal"/>
    <w:link w:val="EndNoteBibliographyChar"/>
    <w:rsid w:val="007435E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435EB"/>
    <w:rPr>
      <w:rFonts w:ascii="Calibri" w:hAnsi="Calibri" w:cs="Calibri"/>
      <w:noProof/>
      <w:lang w:val="en-US"/>
    </w:rPr>
  </w:style>
  <w:style w:type="paragraph" w:styleId="Caption">
    <w:name w:val="caption"/>
    <w:basedOn w:val="Normal"/>
    <w:next w:val="Normal"/>
    <w:uiPriority w:val="35"/>
    <w:unhideWhenUsed/>
    <w:qFormat/>
    <w:rsid w:val="00D41284"/>
    <w:pPr>
      <w:spacing w:line="240" w:lineRule="auto"/>
    </w:pPr>
    <w:rPr>
      <w:b/>
      <w:iCs/>
      <w:color w:val="44546A" w:themeColor="text2"/>
      <w:sz w:val="20"/>
      <w:szCs w:val="18"/>
    </w:rPr>
  </w:style>
  <w:style w:type="character" w:styleId="Hyperlink">
    <w:name w:val="Hyperlink"/>
    <w:basedOn w:val="DefaultParagraphFont"/>
    <w:uiPriority w:val="99"/>
    <w:unhideWhenUsed/>
    <w:rsid w:val="00E36EE6"/>
    <w:rPr>
      <w:color w:val="0563C1" w:themeColor="hyperlink"/>
      <w:u w:val="single"/>
    </w:rPr>
  </w:style>
  <w:style w:type="character" w:customStyle="1" w:styleId="UnresolvedMention1">
    <w:name w:val="Unresolved Mention1"/>
    <w:basedOn w:val="DefaultParagraphFont"/>
    <w:uiPriority w:val="99"/>
    <w:semiHidden/>
    <w:unhideWhenUsed/>
    <w:rsid w:val="00BF4F32"/>
    <w:rPr>
      <w:color w:val="605E5C"/>
      <w:shd w:val="clear" w:color="auto" w:fill="E1DFDD"/>
    </w:rPr>
  </w:style>
  <w:style w:type="character" w:customStyle="1" w:styleId="Heading4Char">
    <w:name w:val="Heading 4 Char"/>
    <w:basedOn w:val="DefaultParagraphFont"/>
    <w:link w:val="Heading4"/>
    <w:uiPriority w:val="9"/>
    <w:rsid w:val="00D65F1E"/>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65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27DE"/>
    <w:pPr>
      <w:spacing w:after="0" w:line="240" w:lineRule="auto"/>
    </w:pPr>
  </w:style>
  <w:style w:type="character" w:customStyle="1" w:styleId="UnresolvedMention10">
    <w:name w:val="Unresolved Mention10"/>
    <w:basedOn w:val="DefaultParagraphFont"/>
    <w:uiPriority w:val="99"/>
    <w:unhideWhenUsed/>
    <w:rsid w:val="00840B4A"/>
    <w:rPr>
      <w:color w:val="605E5C"/>
      <w:shd w:val="clear" w:color="auto" w:fill="E1DFDD"/>
    </w:rPr>
  </w:style>
  <w:style w:type="character" w:customStyle="1" w:styleId="Mention1">
    <w:name w:val="Mention1"/>
    <w:basedOn w:val="DefaultParagraphFont"/>
    <w:uiPriority w:val="99"/>
    <w:unhideWhenUsed/>
    <w:rsid w:val="00840B4A"/>
    <w:rPr>
      <w:color w:val="2B579A"/>
      <w:shd w:val="clear" w:color="auto" w:fill="E1DFDD"/>
    </w:rPr>
  </w:style>
  <w:style w:type="character" w:customStyle="1" w:styleId="UnresolvedMention100">
    <w:name w:val="Unresolved Mention100"/>
    <w:basedOn w:val="DefaultParagraphFont"/>
    <w:uiPriority w:val="99"/>
    <w:unhideWhenUsed/>
    <w:rsid w:val="00F3337F"/>
    <w:rPr>
      <w:color w:val="605E5C"/>
      <w:shd w:val="clear" w:color="auto" w:fill="E1DFDD"/>
    </w:rPr>
  </w:style>
  <w:style w:type="character" w:customStyle="1" w:styleId="UnresolvedMention1000">
    <w:name w:val="Unresolved Mention1000"/>
    <w:basedOn w:val="DefaultParagraphFont"/>
    <w:uiPriority w:val="99"/>
    <w:unhideWhenUsed/>
    <w:rsid w:val="00A10E06"/>
    <w:rPr>
      <w:color w:val="605E5C"/>
      <w:shd w:val="clear" w:color="auto" w:fill="E1DFDD"/>
    </w:rPr>
  </w:style>
  <w:style w:type="character" w:customStyle="1" w:styleId="UnresolvedMention10000">
    <w:name w:val="Unresolved Mention10000"/>
    <w:basedOn w:val="DefaultParagraphFont"/>
    <w:uiPriority w:val="99"/>
    <w:unhideWhenUsed/>
    <w:rsid w:val="00B61A25"/>
    <w:rPr>
      <w:color w:val="605E5C"/>
      <w:shd w:val="clear" w:color="auto" w:fill="E1DFDD"/>
    </w:rPr>
  </w:style>
  <w:style w:type="character" w:customStyle="1" w:styleId="UnresolvedMention100000">
    <w:name w:val="Unresolved Mention100000"/>
    <w:basedOn w:val="DefaultParagraphFont"/>
    <w:uiPriority w:val="99"/>
    <w:unhideWhenUsed/>
    <w:rsid w:val="00B61A25"/>
    <w:rPr>
      <w:color w:val="605E5C"/>
      <w:shd w:val="clear" w:color="auto" w:fill="E1DFDD"/>
    </w:rPr>
  </w:style>
  <w:style w:type="character" w:customStyle="1" w:styleId="UnresolvedMention1000000">
    <w:name w:val="Unresolved Mention1000000"/>
    <w:basedOn w:val="DefaultParagraphFont"/>
    <w:uiPriority w:val="99"/>
    <w:unhideWhenUsed/>
    <w:rsid w:val="00B61A25"/>
    <w:rPr>
      <w:color w:val="605E5C"/>
      <w:shd w:val="clear" w:color="auto" w:fill="E1DFDD"/>
    </w:rPr>
  </w:style>
  <w:style w:type="paragraph" w:styleId="FootnoteText">
    <w:name w:val="footnote text"/>
    <w:basedOn w:val="Normal"/>
    <w:link w:val="FootnoteTextChar"/>
    <w:uiPriority w:val="99"/>
    <w:semiHidden/>
    <w:unhideWhenUsed/>
    <w:rsid w:val="00D204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45A"/>
    <w:rPr>
      <w:sz w:val="20"/>
      <w:szCs w:val="20"/>
    </w:rPr>
  </w:style>
  <w:style w:type="character" w:styleId="FootnoteReference">
    <w:name w:val="footnote reference"/>
    <w:basedOn w:val="DefaultParagraphFont"/>
    <w:uiPriority w:val="99"/>
    <w:semiHidden/>
    <w:unhideWhenUsed/>
    <w:rsid w:val="00D2045A"/>
    <w:rPr>
      <w:vertAlign w:val="superscript"/>
    </w:rPr>
  </w:style>
  <w:style w:type="character" w:styleId="PlaceholderText">
    <w:name w:val="Placeholder Text"/>
    <w:basedOn w:val="DefaultParagraphFont"/>
    <w:uiPriority w:val="99"/>
    <w:semiHidden/>
    <w:rsid w:val="009A54D3"/>
    <w:rPr>
      <w:color w:val="808080"/>
    </w:rPr>
  </w:style>
  <w:style w:type="paragraph" w:styleId="Date">
    <w:name w:val="Date"/>
    <w:basedOn w:val="Normal"/>
    <w:link w:val="DateChar"/>
    <w:uiPriority w:val="99"/>
    <w:unhideWhenUsed/>
    <w:rsid w:val="00C64141"/>
    <w:pPr>
      <w:framePr w:w="4536" w:wrap="around" w:hAnchor="margin" w:yAlign="bottom" w:anchorLock="1"/>
      <w:spacing w:line="240" w:lineRule="auto"/>
    </w:pPr>
    <w:rPr>
      <w:color w:val="44546A" w:themeColor="text2"/>
      <w:sz w:val="28"/>
    </w:rPr>
  </w:style>
  <w:style w:type="character" w:customStyle="1" w:styleId="DateChar">
    <w:name w:val="Date Char"/>
    <w:basedOn w:val="DefaultParagraphFont"/>
    <w:link w:val="Date"/>
    <w:uiPriority w:val="99"/>
    <w:rsid w:val="00C64141"/>
    <w:rPr>
      <w:color w:val="44546A" w:themeColor="text2"/>
      <w:sz w:val="28"/>
    </w:rPr>
  </w:style>
  <w:style w:type="paragraph" w:customStyle="1" w:styleId="URL">
    <w:name w:val="URL"/>
    <w:basedOn w:val="Footer"/>
    <w:link w:val="URLChar"/>
    <w:rsid w:val="002D585B"/>
    <w:pPr>
      <w:framePr w:h="1701" w:hRule="exact" w:wrap="around" w:vAnchor="page" w:hAnchor="margin" w:yAlign="bottom" w:anchorLock="1"/>
    </w:pPr>
    <w:rPr>
      <w:b/>
      <w:color w:val="44546A" w:themeColor="text2"/>
      <w:sz w:val="36"/>
    </w:rPr>
  </w:style>
  <w:style w:type="character" w:customStyle="1" w:styleId="URLChar">
    <w:name w:val="URL Char"/>
    <w:basedOn w:val="FooterChar"/>
    <w:link w:val="URL"/>
    <w:rsid w:val="002D585B"/>
    <w:rPr>
      <w:b/>
      <w:color w:val="44546A" w:themeColor="text2"/>
      <w:sz w:val="36"/>
    </w:rPr>
  </w:style>
  <w:style w:type="character" w:customStyle="1" w:styleId="UnresolvedMention2">
    <w:name w:val="Unresolved Mention2"/>
    <w:basedOn w:val="DefaultParagraphFont"/>
    <w:uiPriority w:val="99"/>
    <w:unhideWhenUsed/>
    <w:rsid w:val="0087387B"/>
    <w:rPr>
      <w:color w:val="605E5C"/>
      <w:shd w:val="clear" w:color="auto" w:fill="E1DFDD"/>
    </w:rPr>
  </w:style>
  <w:style w:type="character" w:customStyle="1" w:styleId="Mention2">
    <w:name w:val="Mention2"/>
    <w:basedOn w:val="DefaultParagraphFont"/>
    <w:uiPriority w:val="99"/>
    <w:unhideWhenUsed/>
    <w:rsid w:val="0087387B"/>
    <w:rPr>
      <w:color w:val="2B579A"/>
      <w:shd w:val="clear" w:color="auto" w:fill="E1DFDD"/>
    </w:rPr>
  </w:style>
  <w:style w:type="table" w:styleId="GridTable2-Accent3">
    <w:name w:val="Grid Table 2 Accent 3"/>
    <w:basedOn w:val="TableNormal"/>
    <w:uiPriority w:val="47"/>
    <w:rsid w:val="00AD6F7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3">
    <w:name w:val="List Table 6 Colorful Accent 3"/>
    <w:basedOn w:val="TableNormal"/>
    <w:uiPriority w:val="51"/>
    <w:rsid w:val="002453A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DefaultParagraphFont"/>
    <w:uiPriority w:val="99"/>
    <w:semiHidden/>
    <w:unhideWhenUsed/>
    <w:rsid w:val="001A699D"/>
    <w:rPr>
      <w:color w:val="605E5C"/>
      <w:shd w:val="clear" w:color="auto" w:fill="E1DFDD"/>
    </w:rPr>
  </w:style>
  <w:style w:type="paragraph" w:styleId="Title">
    <w:name w:val="Title"/>
    <w:next w:val="Normal"/>
    <w:link w:val="TitleChar"/>
    <w:uiPriority w:val="10"/>
    <w:qFormat/>
    <w:rsid w:val="00D41284"/>
    <w:pPr>
      <w:spacing w:after="0" w:line="240" w:lineRule="auto"/>
      <w:contextualSpacing/>
    </w:pPr>
    <w:rPr>
      <w:rFonts w:ascii="Arial" w:eastAsiaTheme="majorEastAsia" w:hAnsi="Arial" w:cstheme="majorBidi"/>
      <w:b/>
      <w:spacing w:val="-10"/>
      <w:kern w:val="28"/>
      <w:sz w:val="56"/>
      <w:szCs w:val="56"/>
    </w:rPr>
  </w:style>
  <w:style w:type="character" w:customStyle="1" w:styleId="TitleChar">
    <w:name w:val="Title Char"/>
    <w:basedOn w:val="DefaultParagraphFont"/>
    <w:link w:val="Title"/>
    <w:uiPriority w:val="10"/>
    <w:rsid w:val="00D41284"/>
    <w:rPr>
      <w:rFonts w:ascii="Arial" w:eastAsiaTheme="majorEastAsia" w:hAnsi="Arial" w:cstheme="majorBidi"/>
      <w:b/>
      <w:spacing w:val="-10"/>
      <w:kern w:val="28"/>
      <w:sz w:val="56"/>
      <w:szCs w:val="56"/>
    </w:rPr>
  </w:style>
  <w:style w:type="table" w:styleId="GridTable4-Accent1">
    <w:name w:val="Grid Table 4 Accent 1"/>
    <w:basedOn w:val="TableNormal"/>
    <w:uiPriority w:val="49"/>
    <w:rsid w:val="008B213B"/>
    <w:pPr>
      <w:spacing w:after="0" w:line="240" w:lineRule="auto"/>
    </w:pPr>
    <w:rPr>
      <w:rFonts w:ascii="Arial" w:hAnsi="Arial"/>
      <w:sz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rFonts w:ascii="Arial" w:hAnsi="Arial"/>
        <w:b/>
        <w:bCs/>
        <w:color w:val="FFFFFF" w:themeColor="background1"/>
        <w:sz w:val="20"/>
      </w:rPr>
      <w:tblPr/>
      <w:tcPr>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cBorders>
        <w:shd w:val="clear" w:color="auto" w:fill="2F5496" w:themeFill="accent1" w:themeFillShade="BF"/>
      </w:tcPr>
    </w:tblStylePr>
    <w:tblStylePr w:type="lastRow">
      <w:rPr>
        <w:b/>
        <w:bCs/>
      </w:rPr>
      <w:tblPr/>
      <w:tcPr>
        <w:tcBorders>
          <w:top w:val="double" w:sz="4" w:space="0" w:color="4472C4" w:themeColor="accent1"/>
        </w:tcBorders>
      </w:tcPr>
    </w:tblStylePr>
    <w:tblStylePr w:type="firstCol">
      <w:rPr>
        <w:b w:val="0"/>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ableofAuthorities">
    <w:name w:val="table of authorities"/>
    <w:next w:val="Normal"/>
    <w:uiPriority w:val="99"/>
    <w:unhideWhenUsed/>
    <w:rsid w:val="008B213B"/>
    <w:pPr>
      <w:spacing w:after="0" w:line="240" w:lineRule="auto"/>
    </w:pPr>
    <w:rPr>
      <w:color w:val="FFFFFF" w:themeColor="background1"/>
    </w:rPr>
  </w:style>
  <w:style w:type="character" w:styleId="Emphasis">
    <w:name w:val="Emphasis"/>
    <w:basedOn w:val="DefaultParagraphFont"/>
    <w:uiPriority w:val="20"/>
    <w:qFormat/>
    <w:rsid w:val="008B213B"/>
    <w:rPr>
      <w:rFonts w:ascii="Arial" w:hAnsi="Arial"/>
      <w:i/>
      <w:iCs/>
      <w:sz w:val="22"/>
    </w:rPr>
  </w:style>
  <w:style w:type="paragraph" w:styleId="TableofFigures">
    <w:name w:val="table of figures"/>
    <w:basedOn w:val="Normal"/>
    <w:next w:val="Normal"/>
    <w:uiPriority w:val="99"/>
    <w:unhideWhenUsed/>
    <w:rsid w:val="006554D7"/>
    <w:pPr>
      <w:spacing w:after="0"/>
    </w:pPr>
  </w:style>
  <w:style w:type="paragraph" w:styleId="Subtitle">
    <w:name w:val="Subtitle"/>
    <w:basedOn w:val="Normal"/>
    <w:next w:val="Normal"/>
    <w:link w:val="SubtitleChar"/>
    <w:uiPriority w:val="11"/>
    <w:qFormat/>
    <w:rsid w:val="004B61AD"/>
    <w:pPr>
      <w:numPr>
        <w:ilvl w:val="1"/>
      </w:numPr>
      <w:spacing w:before="4200" w:line="240" w:lineRule="auto"/>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4B61AD"/>
    <w:rPr>
      <w:rFonts w:ascii="Arial" w:eastAsiaTheme="minorEastAsia" w:hAnsi="Arial"/>
      <w:b/>
      <w:color w:val="5A5A5A" w:themeColor="text1" w:themeTint="A5"/>
      <w:spacing w:val="15"/>
    </w:rPr>
  </w:style>
  <w:style w:type="character" w:styleId="SubtleReference">
    <w:name w:val="Subtle Reference"/>
    <w:uiPriority w:val="31"/>
    <w:qFormat/>
    <w:rsid w:val="004B61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400">
      <w:bodyDiv w:val="1"/>
      <w:marLeft w:val="0"/>
      <w:marRight w:val="0"/>
      <w:marTop w:val="0"/>
      <w:marBottom w:val="0"/>
      <w:divBdr>
        <w:top w:val="none" w:sz="0" w:space="0" w:color="auto"/>
        <w:left w:val="none" w:sz="0" w:space="0" w:color="auto"/>
        <w:bottom w:val="none" w:sz="0" w:space="0" w:color="auto"/>
        <w:right w:val="none" w:sz="0" w:space="0" w:color="auto"/>
      </w:divBdr>
      <w:divsChild>
        <w:div w:id="2098751615">
          <w:marLeft w:val="0"/>
          <w:marRight w:val="0"/>
          <w:marTop w:val="0"/>
          <w:marBottom w:val="0"/>
          <w:divBdr>
            <w:top w:val="none" w:sz="0" w:space="0" w:color="auto"/>
            <w:left w:val="none" w:sz="0" w:space="0" w:color="auto"/>
            <w:bottom w:val="none" w:sz="0" w:space="0" w:color="auto"/>
            <w:right w:val="none" w:sz="0" w:space="0" w:color="auto"/>
          </w:divBdr>
        </w:div>
      </w:divsChild>
    </w:div>
    <w:div w:id="45178555">
      <w:bodyDiv w:val="1"/>
      <w:marLeft w:val="0"/>
      <w:marRight w:val="0"/>
      <w:marTop w:val="0"/>
      <w:marBottom w:val="0"/>
      <w:divBdr>
        <w:top w:val="none" w:sz="0" w:space="0" w:color="auto"/>
        <w:left w:val="none" w:sz="0" w:space="0" w:color="auto"/>
        <w:bottom w:val="none" w:sz="0" w:space="0" w:color="auto"/>
        <w:right w:val="none" w:sz="0" w:space="0" w:color="auto"/>
      </w:divBdr>
    </w:div>
    <w:div w:id="55664889">
      <w:bodyDiv w:val="1"/>
      <w:marLeft w:val="0"/>
      <w:marRight w:val="0"/>
      <w:marTop w:val="0"/>
      <w:marBottom w:val="0"/>
      <w:divBdr>
        <w:top w:val="none" w:sz="0" w:space="0" w:color="auto"/>
        <w:left w:val="none" w:sz="0" w:space="0" w:color="auto"/>
        <w:bottom w:val="none" w:sz="0" w:space="0" w:color="auto"/>
        <w:right w:val="none" w:sz="0" w:space="0" w:color="auto"/>
      </w:divBdr>
    </w:div>
    <w:div w:id="66155139">
      <w:bodyDiv w:val="1"/>
      <w:marLeft w:val="0"/>
      <w:marRight w:val="0"/>
      <w:marTop w:val="0"/>
      <w:marBottom w:val="0"/>
      <w:divBdr>
        <w:top w:val="none" w:sz="0" w:space="0" w:color="auto"/>
        <w:left w:val="none" w:sz="0" w:space="0" w:color="auto"/>
        <w:bottom w:val="none" w:sz="0" w:space="0" w:color="auto"/>
        <w:right w:val="none" w:sz="0" w:space="0" w:color="auto"/>
      </w:divBdr>
    </w:div>
    <w:div w:id="78987236">
      <w:bodyDiv w:val="1"/>
      <w:marLeft w:val="0"/>
      <w:marRight w:val="0"/>
      <w:marTop w:val="0"/>
      <w:marBottom w:val="0"/>
      <w:divBdr>
        <w:top w:val="none" w:sz="0" w:space="0" w:color="auto"/>
        <w:left w:val="none" w:sz="0" w:space="0" w:color="auto"/>
        <w:bottom w:val="none" w:sz="0" w:space="0" w:color="auto"/>
        <w:right w:val="none" w:sz="0" w:space="0" w:color="auto"/>
      </w:divBdr>
    </w:div>
    <w:div w:id="84151124">
      <w:bodyDiv w:val="1"/>
      <w:marLeft w:val="0"/>
      <w:marRight w:val="0"/>
      <w:marTop w:val="0"/>
      <w:marBottom w:val="0"/>
      <w:divBdr>
        <w:top w:val="none" w:sz="0" w:space="0" w:color="auto"/>
        <w:left w:val="none" w:sz="0" w:space="0" w:color="auto"/>
        <w:bottom w:val="none" w:sz="0" w:space="0" w:color="auto"/>
        <w:right w:val="none" w:sz="0" w:space="0" w:color="auto"/>
      </w:divBdr>
    </w:div>
    <w:div w:id="222260662">
      <w:bodyDiv w:val="1"/>
      <w:marLeft w:val="0"/>
      <w:marRight w:val="0"/>
      <w:marTop w:val="0"/>
      <w:marBottom w:val="0"/>
      <w:divBdr>
        <w:top w:val="none" w:sz="0" w:space="0" w:color="auto"/>
        <w:left w:val="none" w:sz="0" w:space="0" w:color="auto"/>
        <w:bottom w:val="none" w:sz="0" w:space="0" w:color="auto"/>
        <w:right w:val="none" w:sz="0" w:space="0" w:color="auto"/>
      </w:divBdr>
    </w:div>
    <w:div w:id="344092709">
      <w:bodyDiv w:val="1"/>
      <w:marLeft w:val="0"/>
      <w:marRight w:val="0"/>
      <w:marTop w:val="0"/>
      <w:marBottom w:val="0"/>
      <w:divBdr>
        <w:top w:val="none" w:sz="0" w:space="0" w:color="auto"/>
        <w:left w:val="none" w:sz="0" w:space="0" w:color="auto"/>
        <w:bottom w:val="none" w:sz="0" w:space="0" w:color="auto"/>
        <w:right w:val="none" w:sz="0" w:space="0" w:color="auto"/>
      </w:divBdr>
    </w:div>
    <w:div w:id="386532946">
      <w:bodyDiv w:val="1"/>
      <w:marLeft w:val="0"/>
      <w:marRight w:val="0"/>
      <w:marTop w:val="0"/>
      <w:marBottom w:val="0"/>
      <w:divBdr>
        <w:top w:val="none" w:sz="0" w:space="0" w:color="auto"/>
        <w:left w:val="none" w:sz="0" w:space="0" w:color="auto"/>
        <w:bottom w:val="none" w:sz="0" w:space="0" w:color="auto"/>
        <w:right w:val="none" w:sz="0" w:space="0" w:color="auto"/>
      </w:divBdr>
    </w:div>
    <w:div w:id="516966385">
      <w:bodyDiv w:val="1"/>
      <w:marLeft w:val="0"/>
      <w:marRight w:val="0"/>
      <w:marTop w:val="0"/>
      <w:marBottom w:val="0"/>
      <w:divBdr>
        <w:top w:val="none" w:sz="0" w:space="0" w:color="auto"/>
        <w:left w:val="none" w:sz="0" w:space="0" w:color="auto"/>
        <w:bottom w:val="none" w:sz="0" w:space="0" w:color="auto"/>
        <w:right w:val="none" w:sz="0" w:space="0" w:color="auto"/>
      </w:divBdr>
    </w:div>
    <w:div w:id="597176074">
      <w:bodyDiv w:val="1"/>
      <w:marLeft w:val="0"/>
      <w:marRight w:val="0"/>
      <w:marTop w:val="0"/>
      <w:marBottom w:val="0"/>
      <w:divBdr>
        <w:top w:val="none" w:sz="0" w:space="0" w:color="auto"/>
        <w:left w:val="none" w:sz="0" w:space="0" w:color="auto"/>
        <w:bottom w:val="none" w:sz="0" w:space="0" w:color="auto"/>
        <w:right w:val="none" w:sz="0" w:space="0" w:color="auto"/>
      </w:divBdr>
    </w:div>
    <w:div w:id="670908467">
      <w:bodyDiv w:val="1"/>
      <w:marLeft w:val="0"/>
      <w:marRight w:val="0"/>
      <w:marTop w:val="0"/>
      <w:marBottom w:val="0"/>
      <w:divBdr>
        <w:top w:val="none" w:sz="0" w:space="0" w:color="auto"/>
        <w:left w:val="none" w:sz="0" w:space="0" w:color="auto"/>
        <w:bottom w:val="none" w:sz="0" w:space="0" w:color="auto"/>
        <w:right w:val="none" w:sz="0" w:space="0" w:color="auto"/>
      </w:divBdr>
    </w:div>
    <w:div w:id="674309767">
      <w:bodyDiv w:val="1"/>
      <w:marLeft w:val="0"/>
      <w:marRight w:val="0"/>
      <w:marTop w:val="0"/>
      <w:marBottom w:val="0"/>
      <w:divBdr>
        <w:top w:val="none" w:sz="0" w:space="0" w:color="auto"/>
        <w:left w:val="none" w:sz="0" w:space="0" w:color="auto"/>
        <w:bottom w:val="none" w:sz="0" w:space="0" w:color="auto"/>
        <w:right w:val="none" w:sz="0" w:space="0" w:color="auto"/>
      </w:divBdr>
    </w:div>
    <w:div w:id="700669442">
      <w:bodyDiv w:val="1"/>
      <w:marLeft w:val="0"/>
      <w:marRight w:val="0"/>
      <w:marTop w:val="0"/>
      <w:marBottom w:val="0"/>
      <w:divBdr>
        <w:top w:val="none" w:sz="0" w:space="0" w:color="auto"/>
        <w:left w:val="none" w:sz="0" w:space="0" w:color="auto"/>
        <w:bottom w:val="none" w:sz="0" w:space="0" w:color="auto"/>
        <w:right w:val="none" w:sz="0" w:space="0" w:color="auto"/>
      </w:divBdr>
    </w:div>
    <w:div w:id="718167739">
      <w:bodyDiv w:val="1"/>
      <w:marLeft w:val="0"/>
      <w:marRight w:val="0"/>
      <w:marTop w:val="0"/>
      <w:marBottom w:val="0"/>
      <w:divBdr>
        <w:top w:val="none" w:sz="0" w:space="0" w:color="auto"/>
        <w:left w:val="none" w:sz="0" w:space="0" w:color="auto"/>
        <w:bottom w:val="none" w:sz="0" w:space="0" w:color="auto"/>
        <w:right w:val="none" w:sz="0" w:space="0" w:color="auto"/>
      </w:divBdr>
    </w:div>
    <w:div w:id="813528644">
      <w:bodyDiv w:val="1"/>
      <w:marLeft w:val="0"/>
      <w:marRight w:val="0"/>
      <w:marTop w:val="0"/>
      <w:marBottom w:val="0"/>
      <w:divBdr>
        <w:top w:val="none" w:sz="0" w:space="0" w:color="auto"/>
        <w:left w:val="none" w:sz="0" w:space="0" w:color="auto"/>
        <w:bottom w:val="none" w:sz="0" w:space="0" w:color="auto"/>
        <w:right w:val="none" w:sz="0" w:space="0" w:color="auto"/>
      </w:divBdr>
    </w:div>
    <w:div w:id="831215715">
      <w:bodyDiv w:val="1"/>
      <w:marLeft w:val="0"/>
      <w:marRight w:val="0"/>
      <w:marTop w:val="0"/>
      <w:marBottom w:val="0"/>
      <w:divBdr>
        <w:top w:val="none" w:sz="0" w:space="0" w:color="auto"/>
        <w:left w:val="none" w:sz="0" w:space="0" w:color="auto"/>
        <w:bottom w:val="none" w:sz="0" w:space="0" w:color="auto"/>
        <w:right w:val="none" w:sz="0" w:space="0" w:color="auto"/>
      </w:divBdr>
    </w:div>
    <w:div w:id="834803241">
      <w:bodyDiv w:val="1"/>
      <w:marLeft w:val="0"/>
      <w:marRight w:val="0"/>
      <w:marTop w:val="0"/>
      <w:marBottom w:val="0"/>
      <w:divBdr>
        <w:top w:val="none" w:sz="0" w:space="0" w:color="auto"/>
        <w:left w:val="none" w:sz="0" w:space="0" w:color="auto"/>
        <w:bottom w:val="none" w:sz="0" w:space="0" w:color="auto"/>
        <w:right w:val="none" w:sz="0" w:space="0" w:color="auto"/>
      </w:divBdr>
    </w:div>
    <w:div w:id="847017214">
      <w:bodyDiv w:val="1"/>
      <w:marLeft w:val="0"/>
      <w:marRight w:val="0"/>
      <w:marTop w:val="0"/>
      <w:marBottom w:val="0"/>
      <w:divBdr>
        <w:top w:val="none" w:sz="0" w:space="0" w:color="auto"/>
        <w:left w:val="none" w:sz="0" w:space="0" w:color="auto"/>
        <w:bottom w:val="none" w:sz="0" w:space="0" w:color="auto"/>
        <w:right w:val="none" w:sz="0" w:space="0" w:color="auto"/>
      </w:divBdr>
    </w:div>
    <w:div w:id="849561138">
      <w:bodyDiv w:val="1"/>
      <w:marLeft w:val="0"/>
      <w:marRight w:val="0"/>
      <w:marTop w:val="0"/>
      <w:marBottom w:val="0"/>
      <w:divBdr>
        <w:top w:val="none" w:sz="0" w:space="0" w:color="auto"/>
        <w:left w:val="none" w:sz="0" w:space="0" w:color="auto"/>
        <w:bottom w:val="none" w:sz="0" w:space="0" w:color="auto"/>
        <w:right w:val="none" w:sz="0" w:space="0" w:color="auto"/>
      </w:divBdr>
    </w:div>
    <w:div w:id="879129608">
      <w:bodyDiv w:val="1"/>
      <w:marLeft w:val="0"/>
      <w:marRight w:val="0"/>
      <w:marTop w:val="0"/>
      <w:marBottom w:val="0"/>
      <w:divBdr>
        <w:top w:val="none" w:sz="0" w:space="0" w:color="auto"/>
        <w:left w:val="none" w:sz="0" w:space="0" w:color="auto"/>
        <w:bottom w:val="none" w:sz="0" w:space="0" w:color="auto"/>
        <w:right w:val="none" w:sz="0" w:space="0" w:color="auto"/>
      </w:divBdr>
    </w:div>
    <w:div w:id="977758985">
      <w:bodyDiv w:val="1"/>
      <w:marLeft w:val="0"/>
      <w:marRight w:val="0"/>
      <w:marTop w:val="0"/>
      <w:marBottom w:val="0"/>
      <w:divBdr>
        <w:top w:val="none" w:sz="0" w:space="0" w:color="auto"/>
        <w:left w:val="none" w:sz="0" w:space="0" w:color="auto"/>
        <w:bottom w:val="none" w:sz="0" w:space="0" w:color="auto"/>
        <w:right w:val="none" w:sz="0" w:space="0" w:color="auto"/>
      </w:divBdr>
    </w:div>
    <w:div w:id="1178733638">
      <w:bodyDiv w:val="1"/>
      <w:marLeft w:val="0"/>
      <w:marRight w:val="0"/>
      <w:marTop w:val="0"/>
      <w:marBottom w:val="0"/>
      <w:divBdr>
        <w:top w:val="none" w:sz="0" w:space="0" w:color="auto"/>
        <w:left w:val="none" w:sz="0" w:space="0" w:color="auto"/>
        <w:bottom w:val="none" w:sz="0" w:space="0" w:color="auto"/>
        <w:right w:val="none" w:sz="0" w:space="0" w:color="auto"/>
      </w:divBdr>
    </w:div>
    <w:div w:id="1209998216">
      <w:bodyDiv w:val="1"/>
      <w:marLeft w:val="0"/>
      <w:marRight w:val="0"/>
      <w:marTop w:val="0"/>
      <w:marBottom w:val="0"/>
      <w:divBdr>
        <w:top w:val="none" w:sz="0" w:space="0" w:color="auto"/>
        <w:left w:val="none" w:sz="0" w:space="0" w:color="auto"/>
        <w:bottom w:val="none" w:sz="0" w:space="0" w:color="auto"/>
        <w:right w:val="none" w:sz="0" w:space="0" w:color="auto"/>
      </w:divBdr>
    </w:div>
    <w:div w:id="1222253439">
      <w:bodyDiv w:val="1"/>
      <w:marLeft w:val="0"/>
      <w:marRight w:val="0"/>
      <w:marTop w:val="0"/>
      <w:marBottom w:val="0"/>
      <w:divBdr>
        <w:top w:val="none" w:sz="0" w:space="0" w:color="auto"/>
        <w:left w:val="none" w:sz="0" w:space="0" w:color="auto"/>
        <w:bottom w:val="none" w:sz="0" w:space="0" w:color="auto"/>
        <w:right w:val="none" w:sz="0" w:space="0" w:color="auto"/>
      </w:divBdr>
    </w:div>
    <w:div w:id="1222403505">
      <w:bodyDiv w:val="1"/>
      <w:marLeft w:val="0"/>
      <w:marRight w:val="0"/>
      <w:marTop w:val="0"/>
      <w:marBottom w:val="0"/>
      <w:divBdr>
        <w:top w:val="none" w:sz="0" w:space="0" w:color="auto"/>
        <w:left w:val="none" w:sz="0" w:space="0" w:color="auto"/>
        <w:bottom w:val="none" w:sz="0" w:space="0" w:color="auto"/>
        <w:right w:val="none" w:sz="0" w:space="0" w:color="auto"/>
      </w:divBdr>
    </w:div>
    <w:div w:id="1222600334">
      <w:bodyDiv w:val="1"/>
      <w:marLeft w:val="0"/>
      <w:marRight w:val="0"/>
      <w:marTop w:val="0"/>
      <w:marBottom w:val="0"/>
      <w:divBdr>
        <w:top w:val="none" w:sz="0" w:space="0" w:color="auto"/>
        <w:left w:val="none" w:sz="0" w:space="0" w:color="auto"/>
        <w:bottom w:val="none" w:sz="0" w:space="0" w:color="auto"/>
        <w:right w:val="none" w:sz="0" w:space="0" w:color="auto"/>
      </w:divBdr>
    </w:div>
    <w:div w:id="1335257999">
      <w:bodyDiv w:val="1"/>
      <w:marLeft w:val="0"/>
      <w:marRight w:val="0"/>
      <w:marTop w:val="0"/>
      <w:marBottom w:val="0"/>
      <w:divBdr>
        <w:top w:val="none" w:sz="0" w:space="0" w:color="auto"/>
        <w:left w:val="none" w:sz="0" w:space="0" w:color="auto"/>
        <w:bottom w:val="none" w:sz="0" w:space="0" w:color="auto"/>
        <w:right w:val="none" w:sz="0" w:space="0" w:color="auto"/>
      </w:divBdr>
    </w:div>
    <w:div w:id="1347319320">
      <w:bodyDiv w:val="1"/>
      <w:marLeft w:val="0"/>
      <w:marRight w:val="0"/>
      <w:marTop w:val="0"/>
      <w:marBottom w:val="0"/>
      <w:divBdr>
        <w:top w:val="none" w:sz="0" w:space="0" w:color="auto"/>
        <w:left w:val="none" w:sz="0" w:space="0" w:color="auto"/>
        <w:bottom w:val="none" w:sz="0" w:space="0" w:color="auto"/>
        <w:right w:val="none" w:sz="0" w:space="0" w:color="auto"/>
      </w:divBdr>
    </w:div>
    <w:div w:id="1386828094">
      <w:bodyDiv w:val="1"/>
      <w:marLeft w:val="0"/>
      <w:marRight w:val="0"/>
      <w:marTop w:val="0"/>
      <w:marBottom w:val="0"/>
      <w:divBdr>
        <w:top w:val="none" w:sz="0" w:space="0" w:color="auto"/>
        <w:left w:val="none" w:sz="0" w:space="0" w:color="auto"/>
        <w:bottom w:val="none" w:sz="0" w:space="0" w:color="auto"/>
        <w:right w:val="none" w:sz="0" w:space="0" w:color="auto"/>
      </w:divBdr>
    </w:div>
    <w:div w:id="1409957315">
      <w:bodyDiv w:val="1"/>
      <w:marLeft w:val="0"/>
      <w:marRight w:val="0"/>
      <w:marTop w:val="0"/>
      <w:marBottom w:val="0"/>
      <w:divBdr>
        <w:top w:val="none" w:sz="0" w:space="0" w:color="auto"/>
        <w:left w:val="none" w:sz="0" w:space="0" w:color="auto"/>
        <w:bottom w:val="none" w:sz="0" w:space="0" w:color="auto"/>
        <w:right w:val="none" w:sz="0" w:space="0" w:color="auto"/>
      </w:divBdr>
    </w:div>
    <w:div w:id="1410150585">
      <w:bodyDiv w:val="1"/>
      <w:marLeft w:val="0"/>
      <w:marRight w:val="0"/>
      <w:marTop w:val="0"/>
      <w:marBottom w:val="0"/>
      <w:divBdr>
        <w:top w:val="none" w:sz="0" w:space="0" w:color="auto"/>
        <w:left w:val="none" w:sz="0" w:space="0" w:color="auto"/>
        <w:bottom w:val="none" w:sz="0" w:space="0" w:color="auto"/>
        <w:right w:val="none" w:sz="0" w:space="0" w:color="auto"/>
      </w:divBdr>
    </w:div>
    <w:div w:id="1445731781">
      <w:bodyDiv w:val="1"/>
      <w:marLeft w:val="0"/>
      <w:marRight w:val="0"/>
      <w:marTop w:val="0"/>
      <w:marBottom w:val="0"/>
      <w:divBdr>
        <w:top w:val="none" w:sz="0" w:space="0" w:color="auto"/>
        <w:left w:val="none" w:sz="0" w:space="0" w:color="auto"/>
        <w:bottom w:val="none" w:sz="0" w:space="0" w:color="auto"/>
        <w:right w:val="none" w:sz="0" w:space="0" w:color="auto"/>
      </w:divBdr>
    </w:div>
    <w:div w:id="1485967841">
      <w:bodyDiv w:val="1"/>
      <w:marLeft w:val="0"/>
      <w:marRight w:val="0"/>
      <w:marTop w:val="0"/>
      <w:marBottom w:val="0"/>
      <w:divBdr>
        <w:top w:val="none" w:sz="0" w:space="0" w:color="auto"/>
        <w:left w:val="none" w:sz="0" w:space="0" w:color="auto"/>
        <w:bottom w:val="none" w:sz="0" w:space="0" w:color="auto"/>
        <w:right w:val="none" w:sz="0" w:space="0" w:color="auto"/>
      </w:divBdr>
    </w:div>
    <w:div w:id="1500386186">
      <w:bodyDiv w:val="1"/>
      <w:marLeft w:val="0"/>
      <w:marRight w:val="0"/>
      <w:marTop w:val="0"/>
      <w:marBottom w:val="0"/>
      <w:divBdr>
        <w:top w:val="none" w:sz="0" w:space="0" w:color="auto"/>
        <w:left w:val="none" w:sz="0" w:space="0" w:color="auto"/>
        <w:bottom w:val="none" w:sz="0" w:space="0" w:color="auto"/>
        <w:right w:val="none" w:sz="0" w:space="0" w:color="auto"/>
      </w:divBdr>
    </w:div>
    <w:div w:id="1517769986">
      <w:bodyDiv w:val="1"/>
      <w:marLeft w:val="0"/>
      <w:marRight w:val="0"/>
      <w:marTop w:val="0"/>
      <w:marBottom w:val="0"/>
      <w:divBdr>
        <w:top w:val="none" w:sz="0" w:space="0" w:color="auto"/>
        <w:left w:val="none" w:sz="0" w:space="0" w:color="auto"/>
        <w:bottom w:val="none" w:sz="0" w:space="0" w:color="auto"/>
        <w:right w:val="none" w:sz="0" w:space="0" w:color="auto"/>
      </w:divBdr>
    </w:div>
    <w:div w:id="1521509611">
      <w:bodyDiv w:val="1"/>
      <w:marLeft w:val="0"/>
      <w:marRight w:val="0"/>
      <w:marTop w:val="0"/>
      <w:marBottom w:val="0"/>
      <w:divBdr>
        <w:top w:val="none" w:sz="0" w:space="0" w:color="auto"/>
        <w:left w:val="none" w:sz="0" w:space="0" w:color="auto"/>
        <w:bottom w:val="none" w:sz="0" w:space="0" w:color="auto"/>
        <w:right w:val="none" w:sz="0" w:space="0" w:color="auto"/>
      </w:divBdr>
    </w:div>
    <w:div w:id="1555581669">
      <w:bodyDiv w:val="1"/>
      <w:marLeft w:val="0"/>
      <w:marRight w:val="0"/>
      <w:marTop w:val="0"/>
      <w:marBottom w:val="0"/>
      <w:divBdr>
        <w:top w:val="none" w:sz="0" w:space="0" w:color="auto"/>
        <w:left w:val="none" w:sz="0" w:space="0" w:color="auto"/>
        <w:bottom w:val="none" w:sz="0" w:space="0" w:color="auto"/>
        <w:right w:val="none" w:sz="0" w:space="0" w:color="auto"/>
      </w:divBdr>
    </w:div>
    <w:div w:id="1629626843">
      <w:bodyDiv w:val="1"/>
      <w:marLeft w:val="0"/>
      <w:marRight w:val="0"/>
      <w:marTop w:val="0"/>
      <w:marBottom w:val="0"/>
      <w:divBdr>
        <w:top w:val="none" w:sz="0" w:space="0" w:color="auto"/>
        <w:left w:val="none" w:sz="0" w:space="0" w:color="auto"/>
        <w:bottom w:val="none" w:sz="0" w:space="0" w:color="auto"/>
        <w:right w:val="none" w:sz="0" w:space="0" w:color="auto"/>
      </w:divBdr>
    </w:div>
    <w:div w:id="1674915976">
      <w:bodyDiv w:val="1"/>
      <w:marLeft w:val="0"/>
      <w:marRight w:val="0"/>
      <w:marTop w:val="0"/>
      <w:marBottom w:val="0"/>
      <w:divBdr>
        <w:top w:val="none" w:sz="0" w:space="0" w:color="auto"/>
        <w:left w:val="none" w:sz="0" w:space="0" w:color="auto"/>
        <w:bottom w:val="none" w:sz="0" w:space="0" w:color="auto"/>
        <w:right w:val="none" w:sz="0" w:space="0" w:color="auto"/>
      </w:divBdr>
    </w:div>
    <w:div w:id="1737436116">
      <w:bodyDiv w:val="1"/>
      <w:marLeft w:val="0"/>
      <w:marRight w:val="0"/>
      <w:marTop w:val="0"/>
      <w:marBottom w:val="0"/>
      <w:divBdr>
        <w:top w:val="none" w:sz="0" w:space="0" w:color="auto"/>
        <w:left w:val="none" w:sz="0" w:space="0" w:color="auto"/>
        <w:bottom w:val="none" w:sz="0" w:space="0" w:color="auto"/>
        <w:right w:val="none" w:sz="0" w:space="0" w:color="auto"/>
      </w:divBdr>
    </w:div>
    <w:div w:id="1760827918">
      <w:bodyDiv w:val="1"/>
      <w:marLeft w:val="0"/>
      <w:marRight w:val="0"/>
      <w:marTop w:val="0"/>
      <w:marBottom w:val="0"/>
      <w:divBdr>
        <w:top w:val="none" w:sz="0" w:space="0" w:color="auto"/>
        <w:left w:val="none" w:sz="0" w:space="0" w:color="auto"/>
        <w:bottom w:val="none" w:sz="0" w:space="0" w:color="auto"/>
        <w:right w:val="none" w:sz="0" w:space="0" w:color="auto"/>
      </w:divBdr>
    </w:div>
    <w:div w:id="1835104703">
      <w:bodyDiv w:val="1"/>
      <w:marLeft w:val="0"/>
      <w:marRight w:val="0"/>
      <w:marTop w:val="0"/>
      <w:marBottom w:val="0"/>
      <w:divBdr>
        <w:top w:val="none" w:sz="0" w:space="0" w:color="auto"/>
        <w:left w:val="none" w:sz="0" w:space="0" w:color="auto"/>
        <w:bottom w:val="none" w:sz="0" w:space="0" w:color="auto"/>
        <w:right w:val="none" w:sz="0" w:space="0" w:color="auto"/>
      </w:divBdr>
    </w:div>
    <w:div w:id="1862278083">
      <w:bodyDiv w:val="1"/>
      <w:marLeft w:val="0"/>
      <w:marRight w:val="0"/>
      <w:marTop w:val="0"/>
      <w:marBottom w:val="0"/>
      <w:divBdr>
        <w:top w:val="none" w:sz="0" w:space="0" w:color="auto"/>
        <w:left w:val="none" w:sz="0" w:space="0" w:color="auto"/>
        <w:bottom w:val="none" w:sz="0" w:space="0" w:color="auto"/>
        <w:right w:val="none" w:sz="0" w:space="0" w:color="auto"/>
      </w:divBdr>
    </w:div>
    <w:div w:id="1889799479">
      <w:bodyDiv w:val="1"/>
      <w:marLeft w:val="0"/>
      <w:marRight w:val="0"/>
      <w:marTop w:val="0"/>
      <w:marBottom w:val="0"/>
      <w:divBdr>
        <w:top w:val="none" w:sz="0" w:space="0" w:color="auto"/>
        <w:left w:val="none" w:sz="0" w:space="0" w:color="auto"/>
        <w:bottom w:val="none" w:sz="0" w:space="0" w:color="auto"/>
        <w:right w:val="none" w:sz="0" w:space="0" w:color="auto"/>
      </w:divBdr>
    </w:div>
    <w:div w:id="1943218856">
      <w:bodyDiv w:val="1"/>
      <w:marLeft w:val="0"/>
      <w:marRight w:val="0"/>
      <w:marTop w:val="0"/>
      <w:marBottom w:val="0"/>
      <w:divBdr>
        <w:top w:val="none" w:sz="0" w:space="0" w:color="auto"/>
        <w:left w:val="none" w:sz="0" w:space="0" w:color="auto"/>
        <w:bottom w:val="none" w:sz="0" w:space="0" w:color="auto"/>
        <w:right w:val="none" w:sz="0" w:space="0" w:color="auto"/>
      </w:divBdr>
    </w:div>
    <w:div w:id="1960527661">
      <w:bodyDiv w:val="1"/>
      <w:marLeft w:val="0"/>
      <w:marRight w:val="0"/>
      <w:marTop w:val="0"/>
      <w:marBottom w:val="0"/>
      <w:divBdr>
        <w:top w:val="none" w:sz="0" w:space="0" w:color="auto"/>
        <w:left w:val="none" w:sz="0" w:space="0" w:color="auto"/>
        <w:bottom w:val="none" w:sz="0" w:space="0" w:color="auto"/>
        <w:right w:val="none" w:sz="0" w:space="0" w:color="auto"/>
      </w:divBdr>
    </w:div>
    <w:div w:id="1983122362">
      <w:bodyDiv w:val="1"/>
      <w:marLeft w:val="0"/>
      <w:marRight w:val="0"/>
      <w:marTop w:val="0"/>
      <w:marBottom w:val="0"/>
      <w:divBdr>
        <w:top w:val="none" w:sz="0" w:space="0" w:color="auto"/>
        <w:left w:val="none" w:sz="0" w:space="0" w:color="auto"/>
        <w:bottom w:val="none" w:sz="0" w:space="0" w:color="auto"/>
        <w:right w:val="none" w:sz="0" w:space="0" w:color="auto"/>
      </w:divBdr>
    </w:div>
    <w:div w:id="2011789331">
      <w:bodyDiv w:val="1"/>
      <w:marLeft w:val="0"/>
      <w:marRight w:val="0"/>
      <w:marTop w:val="0"/>
      <w:marBottom w:val="0"/>
      <w:divBdr>
        <w:top w:val="none" w:sz="0" w:space="0" w:color="auto"/>
        <w:left w:val="none" w:sz="0" w:space="0" w:color="auto"/>
        <w:bottom w:val="none" w:sz="0" w:space="0" w:color="auto"/>
        <w:right w:val="none" w:sz="0" w:space="0" w:color="auto"/>
      </w:divBdr>
    </w:div>
    <w:div w:id="2051956530">
      <w:bodyDiv w:val="1"/>
      <w:marLeft w:val="0"/>
      <w:marRight w:val="0"/>
      <w:marTop w:val="0"/>
      <w:marBottom w:val="0"/>
      <w:divBdr>
        <w:top w:val="none" w:sz="0" w:space="0" w:color="auto"/>
        <w:left w:val="none" w:sz="0" w:space="0" w:color="auto"/>
        <w:bottom w:val="none" w:sz="0" w:space="0" w:color="auto"/>
        <w:right w:val="none" w:sz="0" w:space="0" w:color="auto"/>
      </w:divBdr>
    </w:div>
    <w:div w:id="2098406872">
      <w:bodyDiv w:val="1"/>
      <w:marLeft w:val="0"/>
      <w:marRight w:val="0"/>
      <w:marTop w:val="0"/>
      <w:marBottom w:val="0"/>
      <w:divBdr>
        <w:top w:val="none" w:sz="0" w:space="0" w:color="auto"/>
        <w:left w:val="none" w:sz="0" w:space="0" w:color="auto"/>
        <w:bottom w:val="none" w:sz="0" w:space="0" w:color="auto"/>
        <w:right w:val="none" w:sz="0" w:space="0" w:color="auto"/>
      </w:divBdr>
    </w:div>
    <w:div w:id="21174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header" Target="header1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footer" Target="footer4.xml"/><Relationship Id="rId30" Type="http://schemas.openxmlformats.org/officeDocument/2006/relationships/hyperlink" Target="https://www.gesa.org.au/resources/covid-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B5B622324C3F4480E78E37E1AA447A" ma:contentTypeVersion="8" ma:contentTypeDescription="Create a new document." ma:contentTypeScope="" ma:versionID="9ce37ad58371513cdafb6366cfd3a065">
  <xsd:schema xmlns:xsd="http://www.w3.org/2001/XMLSchema" xmlns:xs="http://www.w3.org/2001/XMLSchema" xmlns:p="http://schemas.microsoft.com/office/2006/metadata/properties" xmlns:ns2="c1bfecf0-ee98-4f9a-8ad0-a84247e270d0" targetNamespace="http://schemas.microsoft.com/office/2006/metadata/properties" ma:root="true" ma:fieldsID="a7728570bc59c0cefb6a5b5e9d09cf4b" ns2:_="">
    <xsd:import namespace="c1bfecf0-ee98-4f9a-8ad0-a84247e270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fecf0-ee98-4f9a-8ad0-a84247e27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66D71A1F-3169-497C-BA3B-0945FAB45CF3}">
  <ds:schemaRefs>
    <ds:schemaRef ds:uri="http://schemas.microsoft.com/sharepoint/v3/contenttype/forms"/>
  </ds:schemaRefs>
</ds:datastoreItem>
</file>

<file path=customXml/itemProps2.xml><?xml version="1.0" encoding="utf-8"?>
<ds:datastoreItem xmlns:ds="http://schemas.openxmlformats.org/officeDocument/2006/customXml" ds:itemID="{3E67B096-8E3C-4794-8E3A-591FA68F3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fecf0-ee98-4f9a-8ad0-a84247e27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221C86-4BDA-4246-B8DF-155CC01DC45C}">
  <ds:schemaRefs>
    <ds:schemaRef ds:uri="http://schemas.microsoft.com/office/2006/metadata/properties"/>
    <ds:schemaRef ds:uri="http://purl.org/dc/terms/"/>
    <ds:schemaRef ds:uri="http://schemas.microsoft.com/office/2006/documentManagement/types"/>
    <ds:schemaRef ds:uri="c1bfecf0-ee98-4f9a-8ad0-a84247e270d0"/>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6AB1D03-A5DB-467D-BA65-1384E7B3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36</Pages>
  <Words>11133</Words>
  <Characters>63461</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Modelled analysis of hypothetical impacts of COVID-19 related disruptions to the National Bowel Cancer Screening Program</vt:lpstr>
    </vt:vector>
  </TitlesOfParts>
  <Company>Cancer Council</Company>
  <LinksUpToDate>false</LinksUpToDate>
  <CharactersWithSpaces>74446</CharactersWithSpaces>
  <SharedDoc>false</SharedDoc>
  <HLinks>
    <vt:vector size="6" baseType="variant">
      <vt:variant>
        <vt:i4>2752631</vt:i4>
      </vt:variant>
      <vt:variant>
        <vt:i4>20</vt:i4>
      </vt:variant>
      <vt:variant>
        <vt:i4>0</vt:i4>
      </vt:variant>
      <vt:variant>
        <vt:i4>5</vt:i4>
      </vt:variant>
      <vt:variant>
        <vt:lpwstr>https://www.gesa.org.au/resources/covid-19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Modelled analysis of hypothetical impacts of COVID-19 related disruptions to the National Bowel Cancer Screening Program</dc:title>
  <dc:subject>Cancer</dc:subject>
  <dc:creator>Australian Government Department of Health and Aged Care</dc:creator>
  <cp:keywords>Cancer; Men's health; Preventive health; Women's health</cp:keywords>
  <dc:description>Worthington J, Lew JB, Canfell K, and Feletto E. Modelled analysis of potential hypothetical impacts of COVID-19 related disruptions on the National Bowel Cancer Screening Program. Report to the Department of Health (May 2020)</dc:description>
  <cp:lastModifiedBy>Elvia</cp:lastModifiedBy>
  <cp:revision>5</cp:revision>
  <cp:lastPrinted>2020-05-01T05:22:00Z</cp:lastPrinted>
  <dcterms:created xsi:type="dcterms:W3CDTF">2022-07-26T01:03:00Z</dcterms:created>
  <dcterms:modified xsi:type="dcterms:W3CDTF">2022-07-26T01:18:00Z</dcterms:modified>
</cp:coreProperties>
</file>