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ED883" w14:textId="2D3D290D" w:rsidR="004F5DC8" w:rsidRPr="004F5DC8" w:rsidRDefault="004F5DC8" w:rsidP="004F5DC8">
      <w:pPr>
        <w:pStyle w:val="Heading1"/>
        <w:rPr>
          <w:sz w:val="36"/>
        </w:rPr>
      </w:pPr>
      <w:r w:rsidRPr="004F5DC8">
        <w:rPr>
          <w:sz w:val="36"/>
        </w:rPr>
        <w:t>Health Based Guidance Values for PFAS</w:t>
      </w:r>
    </w:p>
    <w:p w14:paraId="7048417A" w14:textId="05F351B9" w:rsidR="004F5DC8" w:rsidRPr="0023069E" w:rsidRDefault="004F5DC8" w:rsidP="004F5DC8">
      <w:r>
        <w:t>T</w:t>
      </w:r>
      <w:r w:rsidRPr="00BE5446">
        <w:t>he Department of Health</w:t>
      </w:r>
      <w:r>
        <w:t xml:space="preserve">, </w:t>
      </w:r>
      <w:r w:rsidRPr="00BE5446">
        <w:t>Food Standards Australia New Zealand (FSANZ)</w:t>
      </w:r>
      <w:r>
        <w:t xml:space="preserve"> and the National Medical Research Council (NHMRC)</w:t>
      </w:r>
      <w:r w:rsidRPr="00BE5446">
        <w:t xml:space="preserve"> </w:t>
      </w:r>
      <w:r>
        <w:t xml:space="preserve">have </w:t>
      </w:r>
      <w:r w:rsidRPr="00BE5446">
        <w:t>develop</w:t>
      </w:r>
      <w:r>
        <w:t>ed</w:t>
      </w:r>
      <w:r w:rsidRPr="00BE5446">
        <w:t xml:space="preserve"> health based guidance values for perfluorooctane sulfonate (PFOS), perfluorooctanoic acid (PFOA) and perfluorohexane sulfonate (PFHxS), which </w:t>
      </w:r>
      <w:r>
        <w:t>belong to a group of chemicals</w:t>
      </w:r>
      <w:r w:rsidRPr="00BE5446">
        <w:t xml:space="preserve"> known as per- and poly-fluoroalkyl substances (PFAS).</w:t>
      </w:r>
    </w:p>
    <w:p w14:paraId="1F04D50A" w14:textId="77777777" w:rsidR="004F5DC8" w:rsidRDefault="004F5DC8" w:rsidP="004F5DC8">
      <w:r>
        <w:t xml:space="preserve">These values aim to protect the general community from exposure to PFAS from food, drinking water and recreational water. </w:t>
      </w:r>
    </w:p>
    <w:p w14:paraId="176DB3E2" w14:textId="77777777" w:rsidR="004F5DC8" w:rsidRPr="00C06CEF" w:rsidRDefault="004F5DC8" w:rsidP="004F5DC8">
      <w:r w:rsidRPr="00BE5446">
        <w:t>The</w:t>
      </w:r>
      <w:r>
        <w:t xml:space="preserve"> guidance values are available in</w:t>
      </w:r>
      <w:r w:rsidRPr="00BE5446">
        <w:t xml:space="preserve"> FSANZ’s </w:t>
      </w:r>
      <w:r w:rsidRPr="006F51B8">
        <w:rPr>
          <w:i/>
        </w:rPr>
        <w:t>Hazard Assessment Report – PFOS, PFOA and PFHxS</w:t>
      </w:r>
      <w:r>
        <w:rPr>
          <w:i/>
        </w:rPr>
        <w:t>,</w:t>
      </w:r>
      <w:r>
        <w:t xml:space="preserve"> NHMRC’s </w:t>
      </w:r>
      <w:r w:rsidRPr="00C06CEF">
        <w:rPr>
          <w:i/>
        </w:rPr>
        <w:t>Australian Drinking Water Guidelines</w:t>
      </w:r>
      <w:r>
        <w:t xml:space="preserve"> (2011) and the </w:t>
      </w:r>
      <w:r w:rsidRPr="00C06CEF">
        <w:rPr>
          <w:i/>
        </w:rPr>
        <w:t>Guidelines for Managing Risks in Recreational Water</w:t>
      </w:r>
      <w:r>
        <w:t xml:space="preserve"> (2008).</w:t>
      </w:r>
    </w:p>
    <w:p w14:paraId="669A9102" w14:textId="77777777" w:rsidR="004F5DC8" w:rsidRPr="003C1C27" w:rsidRDefault="004F5DC8" w:rsidP="004F5DC8">
      <w:r>
        <w:t>The health based guidance values are protective of human health; are a precautionary measure for use when conducting site investigations; and are to assist in providing advice to affected communities on how to minimise exposure to PFAS.</w:t>
      </w:r>
    </w:p>
    <w:p w14:paraId="3AC60D57" w14:textId="32EBBA69" w:rsidR="004F5DC8" w:rsidRPr="004F5DC8" w:rsidRDefault="004F5DC8" w:rsidP="004F5DC8">
      <w:pPr>
        <w:pStyle w:val="Heading2"/>
      </w:pPr>
      <w:r>
        <w:t xml:space="preserve">What is a health based guidance value? </w:t>
      </w:r>
    </w:p>
    <w:p w14:paraId="5E15F830" w14:textId="77777777" w:rsidR="004F5DC8" w:rsidRDefault="004F5DC8" w:rsidP="004F5DC8">
      <w:pPr>
        <w:rPr>
          <w:rFonts w:cs="Arial"/>
          <w:szCs w:val="18"/>
        </w:rPr>
      </w:pPr>
      <w:bookmarkStart w:id="0" w:name="_Toc518909317"/>
      <w:r w:rsidRPr="000922BA">
        <w:rPr>
          <w:rFonts w:cs="Arial"/>
          <w:szCs w:val="18"/>
        </w:rPr>
        <w:t>Health based guidance values indicate the amount of a chemical in food or drinking water that a person can consume</w:t>
      </w:r>
      <w:r>
        <w:rPr>
          <w:rFonts w:cs="Arial"/>
          <w:szCs w:val="18"/>
        </w:rPr>
        <w:t xml:space="preserve"> on a regular basis</w:t>
      </w:r>
      <w:r w:rsidRPr="000922BA">
        <w:rPr>
          <w:rFonts w:cs="Arial"/>
          <w:szCs w:val="18"/>
        </w:rPr>
        <w:t xml:space="preserve"> over a lifetime without any significant risk to health. Health based guidance values can be expressed as a tolerable monthly intake (TMI), a tolerable weekly intake (TWI) or a tolerable daily intake (TDI). The choice of whether a TMI, TWI or TDI is set depends on the nature of the chemical.</w:t>
      </w:r>
    </w:p>
    <w:p w14:paraId="0BDF3629" w14:textId="77777777" w:rsidR="004F5DC8" w:rsidRPr="00C06CEF" w:rsidRDefault="004F5DC8" w:rsidP="004F5DC8">
      <w:r>
        <w:t>Health based guidance values can also be used to calculate guideline values for certain exposure scenarios (such as those derived for drinking water or recreational water by NHMRC) to set a level or threshold of a substance that is protective of human health.</w:t>
      </w:r>
    </w:p>
    <w:bookmarkEnd w:id="0"/>
    <w:p w14:paraId="3E709E06" w14:textId="2E025722" w:rsidR="004F5DC8" w:rsidRDefault="004F5DC8" w:rsidP="004F5DC8">
      <w:pPr>
        <w:pStyle w:val="Heading2"/>
      </w:pPr>
      <w:r>
        <w:t>Health based guidance values for use in site investigations in Australia</w:t>
      </w:r>
    </w:p>
    <w:p w14:paraId="016B2340" w14:textId="77777777" w:rsidR="004F5DC8" w:rsidRDefault="004F5DC8" w:rsidP="004F5DC8">
      <w:r w:rsidRPr="00BE5446">
        <w:t xml:space="preserve">FSANZ </w:t>
      </w:r>
      <w:r>
        <w:t xml:space="preserve">has </w:t>
      </w:r>
      <w:r w:rsidRPr="00BE5446">
        <w:t>recommended</w:t>
      </w:r>
      <w:r>
        <w:t xml:space="preserve"> health based guidance values for PFOS and PFOA</w:t>
      </w:r>
      <w:r w:rsidRPr="00BE5446">
        <w:t xml:space="preserve"> in the form of a </w:t>
      </w:r>
      <w:r>
        <w:t>t</w:t>
      </w:r>
      <w:r w:rsidRPr="00BE5446">
        <w:t xml:space="preserve">olerable </w:t>
      </w:r>
      <w:r>
        <w:t>d</w:t>
      </w:r>
      <w:r w:rsidRPr="00BE5446">
        <w:t xml:space="preserve">aily </w:t>
      </w:r>
      <w:r>
        <w:t>i</w:t>
      </w:r>
      <w:r w:rsidRPr="00BE5446">
        <w:t xml:space="preserve">ntake. </w:t>
      </w:r>
      <w:r w:rsidRPr="00DF18E3">
        <w:t>A</w:t>
      </w:r>
      <w:r>
        <w:t xml:space="preserve"> tolerable daily intake </w:t>
      </w:r>
      <w:r w:rsidRPr="00DF18E3">
        <w:t xml:space="preserve">is a level of daily oral exposure over a lifetime that is considered to be without significant health risk for humans. </w:t>
      </w:r>
    </w:p>
    <w:p w14:paraId="06340447" w14:textId="77777777" w:rsidR="004F5DC8" w:rsidRDefault="004F5DC8" w:rsidP="004F5DC8">
      <w:r>
        <w:t>Based on FSANZ’s recommended tolerable daily intake, NHMRC has issued drinking water quality and recreational water quality guideline values for use in site investigations in Australia. These health based guideline values are levels at which the chemicals may be present in drinking or recreational water without presenting a risk to public health.</w:t>
      </w:r>
    </w:p>
    <w:p w14:paraId="7DDE962B" w14:textId="77777777" w:rsidR="00B20C27" w:rsidRDefault="00B20C27">
      <w:pPr>
        <w:spacing w:before="0" w:line="240" w:lineRule="auto"/>
      </w:pPr>
      <w:bookmarkStart w:id="1" w:name="_Toc518909318"/>
      <w:r>
        <w:br w:type="page"/>
      </w:r>
    </w:p>
    <w:p w14:paraId="6F4C1BCB" w14:textId="6BE651D7" w:rsidR="004F5DC8" w:rsidRDefault="004F5DC8" w:rsidP="004F5DC8">
      <w:r>
        <w:lastRenderedPageBreak/>
        <w:t>The health based guidance values</w:t>
      </w:r>
      <w:r w:rsidRPr="00BE5446">
        <w:t xml:space="preserve"> </w:t>
      </w:r>
      <w:r>
        <w:t>for use in site investigations in Australia are:</w:t>
      </w:r>
    </w:p>
    <w:tbl>
      <w:tblPr>
        <w:tblStyle w:val="TableGrid"/>
        <w:tblW w:w="9072" w:type="dxa"/>
        <w:tblInd w:w="108" w:type="dxa"/>
        <w:tblLook w:val="04A0" w:firstRow="1" w:lastRow="0" w:firstColumn="1" w:lastColumn="0" w:noHBand="0" w:noVBand="1"/>
        <w:tblCaption w:val="Health based guidance values table"/>
        <w:tblDescription w:val="Table displays the health based guidance values for site investigations in Australia."/>
      </w:tblPr>
      <w:tblGrid>
        <w:gridCol w:w="2955"/>
        <w:gridCol w:w="1576"/>
        <w:gridCol w:w="1576"/>
        <w:gridCol w:w="1484"/>
        <w:gridCol w:w="1481"/>
      </w:tblGrid>
      <w:tr w:rsidR="004F5DC8" w:rsidRPr="00DB7E38" w14:paraId="4253C45A" w14:textId="77777777" w:rsidTr="001B0948">
        <w:trPr>
          <w:tblHeader/>
        </w:trPr>
        <w:tc>
          <w:tcPr>
            <w:tcW w:w="3024" w:type="dxa"/>
            <w:tcBorders>
              <w:left w:val="nil"/>
              <w:bottom w:val="nil"/>
            </w:tcBorders>
            <w:shd w:val="clear" w:color="auto" w:fill="D9D9D9" w:themeFill="background1" w:themeFillShade="D9"/>
            <w:vAlign w:val="bottom"/>
          </w:tcPr>
          <w:p w14:paraId="55D31F86" w14:textId="77777777" w:rsidR="004F5DC8" w:rsidRPr="00E303BA" w:rsidRDefault="004F5DC8" w:rsidP="001B0948">
            <w:pPr>
              <w:spacing w:before="60" w:after="60"/>
              <w:rPr>
                <w:rFonts w:cs="Arial"/>
              </w:rPr>
            </w:pPr>
            <w:r>
              <w:rPr>
                <w:rFonts w:cs="Arial"/>
              </w:rPr>
              <w:t>Health based</w:t>
            </w:r>
            <w:r w:rsidRPr="00E303BA">
              <w:rPr>
                <w:rFonts w:cs="Arial"/>
              </w:rPr>
              <w:t xml:space="preserve"> </w:t>
            </w:r>
            <w:r>
              <w:rPr>
                <w:rFonts w:cs="Arial"/>
              </w:rPr>
              <w:t>guidance</w:t>
            </w:r>
            <w:r w:rsidRPr="00E303BA">
              <w:rPr>
                <w:rFonts w:cs="Arial"/>
              </w:rPr>
              <w:t xml:space="preserve"> value</w:t>
            </w:r>
          </w:p>
        </w:tc>
        <w:tc>
          <w:tcPr>
            <w:tcW w:w="1512" w:type="dxa"/>
            <w:shd w:val="clear" w:color="auto" w:fill="D9D9D9" w:themeFill="background1" w:themeFillShade="D9"/>
            <w:vAlign w:val="center"/>
          </w:tcPr>
          <w:p w14:paraId="1F6D3D5C" w14:textId="77777777" w:rsidR="004F5DC8" w:rsidRDefault="004F5DC8" w:rsidP="001B0948">
            <w:pPr>
              <w:spacing w:before="60" w:after="60"/>
              <w:jc w:val="center"/>
              <w:rPr>
                <w:rFonts w:cs="Arial"/>
              </w:rPr>
            </w:pPr>
            <w:r>
              <w:rPr>
                <w:rFonts w:cs="Arial"/>
              </w:rPr>
              <w:t>Total</w:t>
            </w:r>
          </w:p>
          <w:p w14:paraId="3CD7B88E" w14:textId="77777777" w:rsidR="004F5DC8" w:rsidRPr="00E303BA" w:rsidRDefault="004F5DC8" w:rsidP="001B0948">
            <w:pPr>
              <w:spacing w:before="60" w:after="60"/>
              <w:jc w:val="center"/>
              <w:rPr>
                <w:rFonts w:cs="Arial"/>
              </w:rPr>
            </w:pPr>
            <w:r w:rsidRPr="00E303BA">
              <w:rPr>
                <w:rFonts w:cs="Arial"/>
              </w:rPr>
              <w:t>PFOS</w:t>
            </w:r>
            <w:r>
              <w:rPr>
                <w:rFonts w:cs="Arial"/>
              </w:rPr>
              <w:t>+</w:t>
            </w:r>
            <w:r w:rsidRPr="00E303BA">
              <w:rPr>
                <w:rFonts w:cs="Arial"/>
              </w:rPr>
              <w:t>PFHxS</w:t>
            </w:r>
          </w:p>
        </w:tc>
        <w:tc>
          <w:tcPr>
            <w:tcW w:w="1512" w:type="dxa"/>
            <w:shd w:val="clear" w:color="auto" w:fill="D9D9D9" w:themeFill="background1" w:themeFillShade="D9"/>
            <w:vAlign w:val="center"/>
          </w:tcPr>
          <w:p w14:paraId="3ACFFA06" w14:textId="77777777" w:rsidR="004F5DC8" w:rsidRPr="00E303BA" w:rsidRDefault="004F5DC8" w:rsidP="001B0948">
            <w:pPr>
              <w:spacing w:before="60" w:after="60"/>
              <w:jc w:val="center"/>
              <w:rPr>
                <w:rFonts w:cs="Arial"/>
              </w:rPr>
            </w:pPr>
            <w:r>
              <w:rPr>
                <w:rFonts w:cs="Arial"/>
              </w:rPr>
              <w:t xml:space="preserve">Total </w:t>
            </w:r>
            <w:r w:rsidRPr="00E303BA">
              <w:rPr>
                <w:rFonts w:cs="Arial"/>
              </w:rPr>
              <w:t>PFOS</w:t>
            </w:r>
            <w:r>
              <w:rPr>
                <w:rFonts w:cs="Arial"/>
              </w:rPr>
              <w:t>+</w:t>
            </w:r>
            <w:r w:rsidRPr="00E303BA">
              <w:rPr>
                <w:rFonts w:cs="Arial"/>
              </w:rPr>
              <w:t>PFHxS</w:t>
            </w:r>
          </w:p>
        </w:tc>
        <w:tc>
          <w:tcPr>
            <w:tcW w:w="1512" w:type="dxa"/>
            <w:tcBorders>
              <w:right w:val="nil"/>
            </w:tcBorders>
            <w:shd w:val="clear" w:color="auto" w:fill="D9D9D9" w:themeFill="background1" w:themeFillShade="D9"/>
            <w:vAlign w:val="center"/>
          </w:tcPr>
          <w:p w14:paraId="57B79B3C" w14:textId="77777777" w:rsidR="004F5DC8" w:rsidRPr="00E303BA" w:rsidRDefault="004F5DC8" w:rsidP="001B0948">
            <w:pPr>
              <w:spacing w:before="60" w:after="60"/>
              <w:jc w:val="center"/>
              <w:rPr>
                <w:rFonts w:cs="Arial"/>
              </w:rPr>
            </w:pPr>
            <w:r w:rsidRPr="00E303BA">
              <w:rPr>
                <w:rFonts w:cs="Arial"/>
              </w:rPr>
              <w:t>PFOA</w:t>
            </w:r>
          </w:p>
        </w:tc>
        <w:tc>
          <w:tcPr>
            <w:tcW w:w="1512" w:type="dxa"/>
            <w:tcBorders>
              <w:right w:val="nil"/>
            </w:tcBorders>
            <w:shd w:val="clear" w:color="auto" w:fill="D9D9D9" w:themeFill="background1" w:themeFillShade="D9"/>
            <w:vAlign w:val="center"/>
          </w:tcPr>
          <w:p w14:paraId="39CB2B95" w14:textId="77777777" w:rsidR="004F5DC8" w:rsidRPr="00E303BA" w:rsidRDefault="004F5DC8" w:rsidP="001B0948">
            <w:pPr>
              <w:spacing w:before="60" w:after="60"/>
              <w:jc w:val="center"/>
              <w:rPr>
                <w:rFonts w:cs="Arial"/>
              </w:rPr>
            </w:pPr>
            <w:r w:rsidRPr="00E303BA">
              <w:rPr>
                <w:rFonts w:cs="Arial"/>
              </w:rPr>
              <w:t>PFOA</w:t>
            </w:r>
          </w:p>
        </w:tc>
      </w:tr>
      <w:tr w:rsidR="004F5DC8" w:rsidRPr="00DB7E38" w14:paraId="0F113AB4" w14:textId="77777777" w:rsidTr="001B0948">
        <w:trPr>
          <w:tblHeader/>
        </w:trPr>
        <w:tc>
          <w:tcPr>
            <w:tcW w:w="3024" w:type="dxa"/>
            <w:tcBorders>
              <w:top w:val="nil"/>
              <w:left w:val="nil"/>
            </w:tcBorders>
            <w:shd w:val="clear" w:color="auto" w:fill="D9D9D9" w:themeFill="background1" w:themeFillShade="D9"/>
            <w:vAlign w:val="center"/>
          </w:tcPr>
          <w:p w14:paraId="22A086A4" w14:textId="77777777" w:rsidR="004F5DC8" w:rsidRPr="00E303BA" w:rsidRDefault="004F5DC8" w:rsidP="001B0948">
            <w:pPr>
              <w:spacing w:before="60" w:after="60"/>
              <w:rPr>
                <w:rFonts w:cs="Arial"/>
              </w:rPr>
            </w:pPr>
          </w:p>
        </w:tc>
        <w:tc>
          <w:tcPr>
            <w:tcW w:w="1512" w:type="dxa"/>
            <w:shd w:val="clear" w:color="auto" w:fill="D9D9D9" w:themeFill="background1" w:themeFillShade="D9"/>
            <w:vAlign w:val="center"/>
          </w:tcPr>
          <w:p w14:paraId="035A022C" w14:textId="77777777" w:rsidR="004F5DC8" w:rsidRPr="00654841" w:rsidRDefault="004F5DC8" w:rsidP="001B0948">
            <w:pPr>
              <w:spacing w:before="60" w:after="60"/>
              <w:jc w:val="center"/>
              <w:rPr>
                <w:rFonts w:cs="Arial"/>
                <w:i/>
              </w:rPr>
            </w:pPr>
            <w:r w:rsidRPr="00654841">
              <w:rPr>
                <w:rFonts w:cs="Arial"/>
                <w:i/>
              </w:rPr>
              <w:t>ng</w:t>
            </w:r>
          </w:p>
        </w:tc>
        <w:tc>
          <w:tcPr>
            <w:tcW w:w="1512" w:type="dxa"/>
            <w:shd w:val="clear" w:color="auto" w:fill="D9D9D9" w:themeFill="background1" w:themeFillShade="D9"/>
            <w:vAlign w:val="center"/>
          </w:tcPr>
          <w:p w14:paraId="2F11F521" w14:textId="77777777" w:rsidR="004F5DC8" w:rsidRPr="00654841" w:rsidRDefault="004F5DC8" w:rsidP="001B0948">
            <w:pPr>
              <w:spacing w:before="60" w:after="60"/>
              <w:jc w:val="center"/>
              <w:rPr>
                <w:rFonts w:cs="Arial"/>
                <w:i/>
              </w:rPr>
            </w:pPr>
            <w:r w:rsidRPr="00654841">
              <w:rPr>
                <w:rFonts w:cs="Arial"/>
                <w:i/>
              </w:rPr>
              <w:t>µg</w:t>
            </w:r>
          </w:p>
        </w:tc>
        <w:tc>
          <w:tcPr>
            <w:tcW w:w="1512" w:type="dxa"/>
            <w:tcBorders>
              <w:right w:val="nil"/>
            </w:tcBorders>
            <w:shd w:val="clear" w:color="auto" w:fill="D9D9D9" w:themeFill="background1" w:themeFillShade="D9"/>
            <w:vAlign w:val="center"/>
          </w:tcPr>
          <w:p w14:paraId="5EF5ADBB" w14:textId="77777777" w:rsidR="004F5DC8" w:rsidRPr="00654841" w:rsidRDefault="004F5DC8" w:rsidP="001B0948">
            <w:pPr>
              <w:spacing w:before="60" w:after="60"/>
              <w:jc w:val="center"/>
              <w:rPr>
                <w:rFonts w:cs="Arial"/>
                <w:i/>
              </w:rPr>
            </w:pPr>
            <w:r w:rsidRPr="00654841">
              <w:rPr>
                <w:rFonts w:cs="Arial"/>
                <w:i/>
              </w:rPr>
              <w:t>ng</w:t>
            </w:r>
          </w:p>
        </w:tc>
        <w:tc>
          <w:tcPr>
            <w:tcW w:w="1512" w:type="dxa"/>
            <w:tcBorders>
              <w:right w:val="nil"/>
            </w:tcBorders>
            <w:shd w:val="clear" w:color="auto" w:fill="D9D9D9" w:themeFill="background1" w:themeFillShade="D9"/>
            <w:vAlign w:val="center"/>
          </w:tcPr>
          <w:p w14:paraId="1216C85C" w14:textId="77777777" w:rsidR="004F5DC8" w:rsidRPr="00654841" w:rsidRDefault="004F5DC8" w:rsidP="001B0948">
            <w:pPr>
              <w:spacing w:before="60" w:after="60"/>
              <w:jc w:val="center"/>
              <w:rPr>
                <w:rFonts w:cs="Arial"/>
                <w:i/>
              </w:rPr>
            </w:pPr>
            <w:r w:rsidRPr="00654841">
              <w:rPr>
                <w:rFonts w:cs="Arial"/>
                <w:i/>
              </w:rPr>
              <w:t>µg</w:t>
            </w:r>
          </w:p>
        </w:tc>
      </w:tr>
      <w:tr w:rsidR="004F5DC8" w:rsidRPr="00DB7E38" w14:paraId="591C728C" w14:textId="77777777" w:rsidTr="001B0948">
        <w:tc>
          <w:tcPr>
            <w:tcW w:w="3024" w:type="dxa"/>
            <w:tcBorders>
              <w:left w:val="nil"/>
            </w:tcBorders>
            <w:vAlign w:val="center"/>
          </w:tcPr>
          <w:p w14:paraId="2305D798" w14:textId="77777777" w:rsidR="004F5DC8" w:rsidRPr="00E303BA" w:rsidRDefault="004F5DC8" w:rsidP="001B0948">
            <w:pPr>
              <w:spacing w:before="60" w:after="60"/>
              <w:rPr>
                <w:rFonts w:cs="Arial"/>
              </w:rPr>
            </w:pPr>
            <w:r w:rsidRPr="00E303BA">
              <w:rPr>
                <w:rFonts w:cs="Arial"/>
              </w:rPr>
              <w:t xml:space="preserve">Tolerable </w:t>
            </w:r>
            <w:r>
              <w:rPr>
                <w:rFonts w:cs="Arial"/>
              </w:rPr>
              <w:t>d</w:t>
            </w:r>
            <w:r w:rsidRPr="00E303BA">
              <w:rPr>
                <w:rFonts w:cs="Arial"/>
              </w:rPr>
              <w:t xml:space="preserve">aily </w:t>
            </w:r>
            <w:r>
              <w:rPr>
                <w:rFonts w:cs="Arial"/>
              </w:rPr>
              <w:t>i</w:t>
            </w:r>
            <w:r w:rsidRPr="00E303BA">
              <w:rPr>
                <w:rFonts w:cs="Arial"/>
              </w:rPr>
              <w:t xml:space="preserve">ntake </w:t>
            </w:r>
          </w:p>
          <w:p w14:paraId="322CB1A5" w14:textId="77777777" w:rsidR="004F5DC8" w:rsidRPr="00E303BA" w:rsidRDefault="004F5DC8" w:rsidP="001B0948">
            <w:pPr>
              <w:spacing w:before="60" w:after="60"/>
              <w:rPr>
                <w:rFonts w:cs="Arial"/>
              </w:rPr>
            </w:pPr>
            <w:r w:rsidRPr="00E303BA">
              <w:rPr>
                <w:rFonts w:cs="Arial"/>
              </w:rPr>
              <w:t>(</w:t>
            </w:r>
            <w:r w:rsidRPr="00654841">
              <w:rPr>
                <w:rFonts w:cs="Arial"/>
                <w:i/>
              </w:rPr>
              <w:t>ng</w:t>
            </w:r>
            <w:r>
              <w:rPr>
                <w:rFonts w:cs="Arial"/>
              </w:rPr>
              <w:t xml:space="preserve"> or </w:t>
            </w:r>
            <w:r w:rsidRPr="00654841">
              <w:rPr>
                <w:rFonts w:cs="Arial"/>
                <w:i/>
              </w:rPr>
              <w:t>µg /kg bw/day</w:t>
            </w:r>
            <w:r w:rsidRPr="00E303BA">
              <w:rPr>
                <w:rFonts w:cs="Arial"/>
              </w:rPr>
              <w:t>)</w:t>
            </w:r>
          </w:p>
        </w:tc>
        <w:tc>
          <w:tcPr>
            <w:tcW w:w="1512" w:type="dxa"/>
            <w:vAlign w:val="center"/>
          </w:tcPr>
          <w:p w14:paraId="77A7CF18" w14:textId="77777777" w:rsidR="004F5DC8" w:rsidRPr="00E303BA" w:rsidRDefault="004F5DC8" w:rsidP="001B0948">
            <w:pPr>
              <w:spacing w:before="60" w:after="60"/>
              <w:jc w:val="center"/>
              <w:rPr>
                <w:rFonts w:cs="Arial"/>
              </w:rPr>
            </w:pPr>
            <w:r>
              <w:rPr>
                <w:rFonts w:cs="Arial"/>
              </w:rPr>
              <w:t>20</w:t>
            </w:r>
          </w:p>
        </w:tc>
        <w:tc>
          <w:tcPr>
            <w:tcW w:w="1512" w:type="dxa"/>
            <w:vAlign w:val="center"/>
          </w:tcPr>
          <w:p w14:paraId="7BC0C8D8" w14:textId="77777777" w:rsidR="004F5DC8" w:rsidRPr="00E303BA" w:rsidRDefault="004F5DC8" w:rsidP="001B0948">
            <w:pPr>
              <w:spacing w:before="60" w:after="60"/>
              <w:jc w:val="center"/>
              <w:rPr>
                <w:rFonts w:cs="Arial"/>
              </w:rPr>
            </w:pPr>
            <w:r>
              <w:rPr>
                <w:rFonts w:cs="Arial"/>
              </w:rPr>
              <w:t>0.02</w:t>
            </w:r>
          </w:p>
        </w:tc>
        <w:tc>
          <w:tcPr>
            <w:tcW w:w="1512" w:type="dxa"/>
            <w:tcBorders>
              <w:right w:val="nil"/>
            </w:tcBorders>
            <w:vAlign w:val="center"/>
          </w:tcPr>
          <w:p w14:paraId="2DE613DC" w14:textId="77777777" w:rsidR="004F5DC8" w:rsidRPr="00E303BA" w:rsidRDefault="004F5DC8" w:rsidP="001B0948">
            <w:pPr>
              <w:spacing w:before="60" w:after="60"/>
              <w:jc w:val="center"/>
              <w:rPr>
                <w:rFonts w:cs="Arial"/>
              </w:rPr>
            </w:pPr>
            <w:r>
              <w:rPr>
                <w:rFonts w:cs="Arial"/>
              </w:rPr>
              <w:t>160</w:t>
            </w:r>
          </w:p>
        </w:tc>
        <w:tc>
          <w:tcPr>
            <w:tcW w:w="1512" w:type="dxa"/>
            <w:tcBorders>
              <w:right w:val="nil"/>
            </w:tcBorders>
            <w:vAlign w:val="center"/>
          </w:tcPr>
          <w:p w14:paraId="6E94AF78" w14:textId="77777777" w:rsidR="004F5DC8" w:rsidRPr="00E303BA" w:rsidRDefault="004F5DC8" w:rsidP="001B0948">
            <w:pPr>
              <w:spacing w:before="60" w:after="60"/>
              <w:jc w:val="center"/>
              <w:rPr>
                <w:rFonts w:cs="Arial"/>
              </w:rPr>
            </w:pPr>
            <w:r>
              <w:rPr>
                <w:rFonts w:cs="Arial"/>
              </w:rPr>
              <w:t>0.</w:t>
            </w:r>
            <w:r w:rsidRPr="00E303BA">
              <w:rPr>
                <w:rFonts w:cs="Arial"/>
              </w:rPr>
              <w:t>16</w:t>
            </w:r>
          </w:p>
        </w:tc>
      </w:tr>
      <w:tr w:rsidR="004F5DC8" w:rsidRPr="00DB7E38" w14:paraId="35DDB860" w14:textId="77777777" w:rsidTr="001B0948">
        <w:tc>
          <w:tcPr>
            <w:tcW w:w="3024" w:type="dxa"/>
            <w:tcBorders>
              <w:left w:val="nil"/>
            </w:tcBorders>
            <w:vAlign w:val="center"/>
          </w:tcPr>
          <w:p w14:paraId="33634AB0" w14:textId="77777777" w:rsidR="004F5DC8" w:rsidRDefault="004F5DC8" w:rsidP="001B0948">
            <w:pPr>
              <w:spacing w:before="60" w:after="60"/>
              <w:rPr>
                <w:rFonts w:cs="Arial"/>
              </w:rPr>
            </w:pPr>
            <w:r w:rsidRPr="00E303BA">
              <w:rPr>
                <w:rFonts w:cs="Arial"/>
              </w:rPr>
              <w:t xml:space="preserve">Drinking </w:t>
            </w:r>
            <w:r>
              <w:rPr>
                <w:rFonts w:cs="Arial"/>
              </w:rPr>
              <w:t>w</w:t>
            </w:r>
            <w:r w:rsidRPr="00E303BA">
              <w:rPr>
                <w:rFonts w:cs="Arial"/>
              </w:rPr>
              <w:t xml:space="preserve">ater </w:t>
            </w:r>
            <w:r>
              <w:rPr>
                <w:rFonts w:cs="Arial"/>
              </w:rPr>
              <w:t>q</w:t>
            </w:r>
            <w:r w:rsidRPr="00E303BA">
              <w:rPr>
                <w:rFonts w:cs="Arial"/>
              </w:rPr>
              <w:t>uality</w:t>
            </w:r>
            <w:r>
              <w:rPr>
                <w:rFonts w:cs="Arial"/>
              </w:rPr>
              <w:t xml:space="preserve"> guideline</w:t>
            </w:r>
            <w:r w:rsidRPr="00E303BA">
              <w:rPr>
                <w:rFonts w:cs="Arial"/>
              </w:rPr>
              <w:t xml:space="preserve"> </w:t>
            </w:r>
            <w:r>
              <w:rPr>
                <w:rFonts w:cs="Arial"/>
              </w:rPr>
              <w:t>value</w:t>
            </w:r>
          </w:p>
          <w:p w14:paraId="03351603" w14:textId="77777777" w:rsidR="004F5DC8" w:rsidRPr="00E303BA" w:rsidRDefault="004F5DC8" w:rsidP="001B0948">
            <w:pPr>
              <w:spacing w:before="60" w:after="60"/>
              <w:rPr>
                <w:rFonts w:cs="Arial"/>
              </w:rPr>
            </w:pPr>
            <w:r w:rsidRPr="00E303BA">
              <w:rPr>
                <w:rFonts w:cs="Arial"/>
              </w:rPr>
              <w:t>(</w:t>
            </w:r>
            <w:r w:rsidRPr="00654841">
              <w:rPr>
                <w:rFonts w:cs="Arial"/>
                <w:i/>
              </w:rPr>
              <w:t>ng</w:t>
            </w:r>
            <w:r>
              <w:rPr>
                <w:rFonts w:cs="Arial"/>
              </w:rPr>
              <w:t xml:space="preserve"> or </w:t>
            </w:r>
            <w:r w:rsidRPr="00654841">
              <w:rPr>
                <w:rFonts w:cs="Arial"/>
                <w:i/>
              </w:rPr>
              <w:t>µg /L</w:t>
            </w:r>
            <w:r w:rsidRPr="00E303BA">
              <w:rPr>
                <w:rFonts w:cs="Arial"/>
              </w:rPr>
              <w:t>)</w:t>
            </w:r>
          </w:p>
        </w:tc>
        <w:tc>
          <w:tcPr>
            <w:tcW w:w="1512" w:type="dxa"/>
            <w:vAlign w:val="center"/>
          </w:tcPr>
          <w:p w14:paraId="269A1CED" w14:textId="77777777" w:rsidR="004F5DC8" w:rsidRPr="00E303BA" w:rsidRDefault="004F5DC8" w:rsidP="001B0948">
            <w:pPr>
              <w:spacing w:before="60" w:after="60"/>
              <w:jc w:val="center"/>
              <w:rPr>
                <w:rFonts w:cs="Arial"/>
              </w:rPr>
            </w:pPr>
            <w:r>
              <w:rPr>
                <w:rFonts w:cs="Arial"/>
              </w:rPr>
              <w:t>70</w:t>
            </w:r>
          </w:p>
        </w:tc>
        <w:tc>
          <w:tcPr>
            <w:tcW w:w="1512" w:type="dxa"/>
            <w:vAlign w:val="center"/>
          </w:tcPr>
          <w:p w14:paraId="01546D8C" w14:textId="77777777" w:rsidR="004F5DC8" w:rsidRPr="00E303BA" w:rsidRDefault="004F5DC8" w:rsidP="001B0948">
            <w:pPr>
              <w:spacing w:before="60" w:after="60"/>
              <w:jc w:val="center"/>
              <w:rPr>
                <w:rFonts w:cs="Arial"/>
              </w:rPr>
            </w:pPr>
            <w:r>
              <w:rPr>
                <w:rFonts w:cs="Arial"/>
              </w:rPr>
              <w:t>0.07</w:t>
            </w:r>
          </w:p>
        </w:tc>
        <w:tc>
          <w:tcPr>
            <w:tcW w:w="1512" w:type="dxa"/>
            <w:tcBorders>
              <w:right w:val="nil"/>
            </w:tcBorders>
            <w:vAlign w:val="center"/>
          </w:tcPr>
          <w:p w14:paraId="1EFB35E1" w14:textId="77777777" w:rsidR="004F5DC8" w:rsidRPr="00E303BA" w:rsidRDefault="004F5DC8" w:rsidP="001B0948">
            <w:pPr>
              <w:spacing w:before="60" w:after="60"/>
              <w:jc w:val="center"/>
              <w:rPr>
                <w:rFonts w:cs="Arial"/>
              </w:rPr>
            </w:pPr>
            <w:r>
              <w:rPr>
                <w:rFonts w:cs="Arial"/>
              </w:rPr>
              <w:t>560</w:t>
            </w:r>
          </w:p>
        </w:tc>
        <w:tc>
          <w:tcPr>
            <w:tcW w:w="1512" w:type="dxa"/>
            <w:tcBorders>
              <w:right w:val="nil"/>
            </w:tcBorders>
            <w:vAlign w:val="center"/>
          </w:tcPr>
          <w:p w14:paraId="264EBE0D" w14:textId="77777777" w:rsidR="004F5DC8" w:rsidRPr="00E303BA" w:rsidRDefault="004F5DC8" w:rsidP="001B0948">
            <w:pPr>
              <w:spacing w:before="60" w:after="60"/>
              <w:jc w:val="center"/>
              <w:rPr>
                <w:rFonts w:cs="Arial"/>
              </w:rPr>
            </w:pPr>
            <w:r>
              <w:rPr>
                <w:rFonts w:cs="Arial"/>
              </w:rPr>
              <w:t>0.56</w:t>
            </w:r>
          </w:p>
        </w:tc>
      </w:tr>
      <w:tr w:rsidR="004F5DC8" w:rsidRPr="00DB7E38" w14:paraId="48DDAE02" w14:textId="77777777" w:rsidTr="001B0948">
        <w:tc>
          <w:tcPr>
            <w:tcW w:w="3024" w:type="dxa"/>
            <w:tcBorders>
              <w:left w:val="nil"/>
            </w:tcBorders>
            <w:vAlign w:val="center"/>
          </w:tcPr>
          <w:p w14:paraId="15F70D30" w14:textId="77777777" w:rsidR="004F5DC8" w:rsidRPr="00E303BA" w:rsidRDefault="004F5DC8" w:rsidP="001B0948">
            <w:pPr>
              <w:spacing w:before="60" w:after="60"/>
              <w:rPr>
                <w:rFonts w:cs="Arial"/>
              </w:rPr>
            </w:pPr>
            <w:r w:rsidRPr="00E303BA">
              <w:rPr>
                <w:rFonts w:cs="Arial"/>
              </w:rPr>
              <w:t xml:space="preserve">Recreational </w:t>
            </w:r>
            <w:r>
              <w:rPr>
                <w:rFonts w:cs="Arial"/>
              </w:rPr>
              <w:t>w</w:t>
            </w:r>
            <w:r w:rsidRPr="00E303BA">
              <w:rPr>
                <w:rFonts w:cs="Arial"/>
              </w:rPr>
              <w:t xml:space="preserve">ater </w:t>
            </w:r>
            <w:r>
              <w:rPr>
                <w:rFonts w:cs="Arial"/>
              </w:rPr>
              <w:t>q</w:t>
            </w:r>
            <w:r w:rsidRPr="00E303BA">
              <w:rPr>
                <w:rFonts w:cs="Arial"/>
              </w:rPr>
              <w:t>uality</w:t>
            </w:r>
            <w:r>
              <w:rPr>
                <w:rFonts w:cs="Arial"/>
              </w:rPr>
              <w:t xml:space="preserve"> guideline</w:t>
            </w:r>
            <w:r w:rsidRPr="00E303BA">
              <w:rPr>
                <w:rFonts w:cs="Arial"/>
              </w:rPr>
              <w:t xml:space="preserve"> </w:t>
            </w:r>
            <w:r>
              <w:rPr>
                <w:rFonts w:cs="Arial"/>
              </w:rPr>
              <w:t>value</w:t>
            </w:r>
            <w:r w:rsidRPr="00E303BA">
              <w:rPr>
                <w:rFonts w:cs="Arial"/>
              </w:rPr>
              <w:t xml:space="preserve"> (</w:t>
            </w:r>
            <w:r w:rsidRPr="00654841">
              <w:rPr>
                <w:rFonts w:cs="Arial"/>
                <w:i/>
              </w:rPr>
              <w:t>ng</w:t>
            </w:r>
            <w:r>
              <w:rPr>
                <w:rFonts w:cs="Arial"/>
              </w:rPr>
              <w:t xml:space="preserve"> or </w:t>
            </w:r>
            <w:r w:rsidRPr="00654841">
              <w:rPr>
                <w:rFonts w:cs="Arial"/>
                <w:i/>
              </w:rPr>
              <w:t>µg /L</w:t>
            </w:r>
            <w:r w:rsidRPr="00E303BA">
              <w:rPr>
                <w:rFonts w:cs="Arial"/>
              </w:rPr>
              <w:t>)</w:t>
            </w:r>
          </w:p>
        </w:tc>
        <w:tc>
          <w:tcPr>
            <w:tcW w:w="1512" w:type="dxa"/>
            <w:vAlign w:val="center"/>
          </w:tcPr>
          <w:p w14:paraId="41C19F30" w14:textId="77777777" w:rsidR="004F5DC8" w:rsidRPr="00E303BA" w:rsidRDefault="004F5DC8" w:rsidP="001B0948">
            <w:pPr>
              <w:spacing w:before="60" w:after="60"/>
              <w:jc w:val="center"/>
              <w:rPr>
                <w:rFonts w:cs="Arial"/>
              </w:rPr>
            </w:pPr>
            <w:r>
              <w:rPr>
                <w:rFonts w:cs="Arial"/>
              </w:rPr>
              <w:t>2,000</w:t>
            </w:r>
          </w:p>
        </w:tc>
        <w:tc>
          <w:tcPr>
            <w:tcW w:w="1512" w:type="dxa"/>
            <w:vAlign w:val="center"/>
          </w:tcPr>
          <w:p w14:paraId="3C04C97B" w14:textId="77777777" w:rsidR="004F5DC8" w:rsidRPr="00E303BA" w:rsidRDefault="004F5DC8" w:rsidP="001B0948">
            <w:pPr>
              <w:spacing w:before="60" w:after="60"/>
              <w:jc w:val="center"/>
              <w:rPr>
                <w:rFonts w:cs="Arial"/>
              </w:rPr>
            </w:pPr>
            <w:r>
              <w:rPr>
                <w:rFonts w:cs="Arial"/>
              </w:rPr>
              <w:t>2.0</w:t>
            </w:r>
          </w:p>
        </w:tc>
        <w:tc>
          <w:tcPr>
            <w:tcW w:w="1512" w:type="dxa"/>
            <w:tcBorders>
              <w:right w:val="nil"/>
            </w:tcBorders>
            <w:vAlign w:val="center"/>
          </w:tcPr>
          <w:p w14:paraId="1EB253BE" w14:textId="77777777" w:rsidR="004F5DC8" w:rsidRPr="00E303BA" w:rsidRDefault="004F5DC8" w:rsidP="001B0948">
            <w:pPr>
              <w:spacing w:before="60" w:after="60"/>
              <w:jc w:val="center"/>
              <w:rPr>
                <w:rFonts w:cs="Arial"/>
              </w:rPr>
            </w:pPr>
            <w:r>
              <w:rPr>
                <w:rFonts w:cs="Arial"/>
              </w:rPr>
              <w:t>10,000</w:t>
            </w:r>
          </w:p>
        </w:tc>
        <w:tc>
          <w:tcPr>
            <w:tcW w:w="1512" w:type="dxa"/>
            <w:tcBorders>
              <w:right w:val="nil"/>
            </w:tcBorders>
            <w:vAlign w:val="center"/>
          </w:tcPr>
          <w:p w14:paraId="3A43749E" w14:textId="77777777" w:rsidR="004F5DC8" w:rsidRPr="00E303BA" w:rsidRDefault="004F5DC8" w:rsidP="001B0948">
            <w:pPr>
              <w:spacing w:before="60" w:after="60"/>
              <w:jc w:val="center"/>
              <w:rPr>
                <w:rFonts w:cs="Arial"/>
              </w:rPr>
            </w:pPr>
            <w:r>
              <w:rPr>
                <w:rFonts w:cs="Arial"/>
              </w:rPr>
              <w:t>10.0</w:t>
            </w:r>
          </w:p>
        </w:tc>
      </w:tr>
    </w:tbl>
    <w:p w14:paraId="7B69700B" w14:textId="77777777" w:rsidR="004F5DC8" w:rsidRDefault="004F5DC8" w:rsidP="004F5DC8">
      <w:pPr>
        <w:rPr>
          <w:rFonts w:cs="Arial"/>
        </w:rPr>
      </w:pPr>
      <w:r w:rsidRPr="007443DB">
        <w:t>Note:  </w:t>
      </w:r>
      <w:r>
        <w:t>b</w:t>
      </w:r>
      <w:r w:rsidRPr="007443DB">
        <w:t>w = body weight, ng = nanograms, µg = micrograms</w:t>
      </w:r>
    </w:p>
    <w:p w14:paraId="7AA7135A" w14:textId="77777777" w:rsidR="004F5DC8" w:rsidRDefault="004F5DC8" w:rsidP="004F5DC8">
      <w:pPr>
        <w:pStyle w:val="Heading2"/>
      </w:pPr>
      <w:r>
        <w:t>How did FSANZ determine the health based guidance values?</w:t>
      </w:r>
    </w:p>
    <w:p w14:paraId="769E5462" w14:textId="77777777" w:rsidR="004F5DC8" w:rsidRDefault="004F5DC8" w:rsidP="004F5DC8">
      <w:r w:rsidRPr="00DF18E3">
        <w:t>The tolerable daily intake for PFOS and PFOA are derived from the results of toxicity studies in laboratory animals</w:t>
      </w:r>
      <w:r>
        <w:t xml:space="preserve">. FSANZ concluded that </w:t>
      </w:r>
      <w:r w:rsidRPr="00B2135B">
        <w:t xml:space="preserve">the </w:t>
      </w:r>
      <w:r>
        <w:t xml:space="preserve">current </w:t>
      </w:r>
      <w:r w:rsidRPr="00B2135B">
        <w:t xml:space="preserve">available epidemiological data on human health </w:t>
      </w:r>
      <w:r>
        <w:t>is</w:t>
      </w:r>
      <w:r w:rsidRPr="00B2135B">
        <w:t xml:space="preserve"> not suitable to support the derivation of </w:t>
      </w:r>
      <w:r>
        <w:t>tolerable daily intake levels</w:t>
      </w:r>
      <w:r w:rsidRPr="00B2135B">
        <w:t xml:space="preserve"> for PFOS and PFOA</w:t>
      </w:r>
      <w:r>
        <w:t xml:space="preserve">. </w:t>
      </w:r>
    </w:p>
    <w:p w14:paraId="33183B00" w14:textId="77777777" w:rsidR="004F5DC8" w:rsidRDefault="004F5DC8" w:rsidP="004F5DC8">
      <w:r>
        <w:t>A pharmacokinetic modelling approach was used to extrapolate data for humans, noting that animal physiology is not the same as human.</w:t>
      </w:r>
    </w:p>
    <w:p w14:paraId="439C2B2B" w14:textId="77777777" w:rsidR="004F5DC8" w:rsidRDefault="004F5DC8" w:rsidP="004F5DC8">
      <w:r w:rsidRPr="00BE5446">
        <w:t>For PFHxS, FSANZ concluded</w:t>
      </w:r>
      <w:r>
        <w:t xml:space="preserve"> that</w:t>
      </w:r>
      <w:r w:rsidRPr="00BE5446">
        <w:t xml:space="preserve"> </w:t>
      </w:r>
      <w:r w:rsidRPr="006F51B8">
        <w:t xml:space="preserve">there was not enough toxicological and epidemiological information to justify establishing a </w:t>
      </w:r>
      <w:r>
        <w:t xml:space="preserve">tolerable daily intake. </w:t>
      </w:r>
      <w:r w:rsidRPr="006F51B8">
        <w:t xml:space="preserve">However, as a precaution, and for the purposes of site investigations, the PFOS </w:t>
      </w:r>
      <w:r>
        <w:t>tolerable daily intake</w:t>
      </w:r>
      <w:r w:rsidRPr="006F51B8" w:rsidDel="00821244">
        <w:t xml:space="preserve"> </w:t>
      </w:r>
      <w:r w:rsidRPr="006F51B8">
        <w:t xml:space="preserve">should apply to PFHxS. In practice, this means that the level of PFHxS exposure should be added to the level of PFOS exposure; and this combined level be compared to the </w:t>
      </w:r>
      <w:r>
        <w:t>tolerable daily intake</w:t>
      </w:r>
      <w:r w:rsidRPr="006F51B8" w:rsidDel="00821244">
        <w:t xml:space="preserve"> </w:t>
      </w:r>
      <w:r w:rsidRPr="006F51B8">
        <w:t>for PFOS.</w:t>
      </w:r>
    </w:p>
    <w:p w14:paraId="5930E4FD" w14:textId="77777777" w:rsidR="004F5DC8" w:rsidRDefault="004F5DC8" w:rsidP="004F5DC8">
      <w:r>
        <w:t xml:space="preserve">The tolerable daily intakes include conservative assumptions to ensure the protection of public health. </w:t>
      </w:r>
    </w:p>
    <w:p w14:paraId="43CDABFB" w14:textId="77777777" w:rsidR="004F5DC8" w:rsidRDefault="004F5DC8" w:rsidP="004F5DC8">
      <w:r>
        <w:t>FSANZ’s report and recommended health based guidance values</w:t>
      </w:r>
      <w:r w:rsidDel="00945B92">
        <w:t xml:space="preserve"> </w:t>
      </w:r>
      <w:r>
        <w:t>have been nationally and internationally peer reviewed.</w:t>
      </w:r>
    </w:p>
    <w:p w14:paraId="444B8F81" w14:textId="77777777" w:rsidR="004F5DC8" w:rsidRPr="008C6011" w:rsidRDefault="004F5DC8" w:rsidP="004F5DC8">
      <w:pPr>
        <w:pStyle w:val="Heading2"/>
      </w:pPr>
      <w:r w:rsidRPr="008C6011">
        <w:t>How did NHMRC determine the guideline values?</w:t>
      </w:r>
    </w:p>
    <w:p w14:paraId="21CD211B" w14:textId="77777777" w:rsidR="004F5DC8" w:rsidRDefault="004F5DC8" w:rsidP="004F5DC8">
      <w:r>
        <w:t xml:space="preserve">NHMRC used the TDIs developed by FSANZ with the methodology outlined in Section 6.3.3 in the </w:t>
      </w:r>
      <w:r w:rsidRPr="00C06CEF">
        <w:rPr>
          <w:i/>
        </w:rPr>
        <w:t>Australian Drinking Water Guidelines</w:t>
      </w:r>
      <w:r>
        <w:t xml:space="preserve"> to calculate the health based guideline values for PFAS in drinking water. </w:t>
      </w:r>
      <w:hyperlink r:id="rId7" w:history="1">
        <w:r w:rsidRPr="00F6368E">
          <w:rPr>
            <w:rStyle w:val="Hyperlink"/>
          </w:rPr>
          <w:t xml:space="preserve">Please refer to the </w:t>
        </w:r>
        <w:r w:rsidRPr="00C06CEF">
          <w:rPr>
            <w:rStyle w:val="Hyperlink"/>
            <w:i/>
          </w:rPr>
          <w:t>Australian Drinking Water Guidelines</w:t>
        </w:r>
        <w:r w:rsidRPr="00F6368E">
          <w:rPr>
            <w:rStyle w:val="Hyperlink"/>
          </w:rPr>
          <w:t xml:space="preserve"> for more detail on the methodology used</w:t>
        </w:r>
      </w:hyperlink>
      <w:r>
        <w:t>.</w:t>
      </w:r>
    </w:p>
    <w:p w14:paraId="557BC919" w14:textId="77777777" w:rsidR="004F5DC8" w:rsidRDefault="004F5DC8" w:rsidP="004F5DC8">
      <w:r>
        <w:t xml:space="preserve">The health based guideline values for PFAS in recreational water were derived using the TDIs developed by FSANZ along with a new methodology that uses current Australian estimates of recreational water use. Please refer to NHMRC’s </w:t>
      </w:r>
      <w:r w:rsidRPr="00C06CEF">
        <w:rPr>
          <w:i/>
        </w:rPr>
        <w:t>Guidance on per- and poly-fluoroalkyl substances (PFAS) in recreational water</w:t>
      </w:r>
      <w:r>
        <w:t xml:space="preserve"> for more information on the methodology used.</w:t>
      </w:r>
    </w:p>
    <w:p w14:paraId="08DE9815" w14:textId="77777777" w:rsidR="004F5DC8" w:rsidRDefault="004F5DC8" w:rsidP="004F5DC8">
      <w:pPr>
        <w:rPr>
          <w:rFonts w:cs="Arial"/>
        </w:rPr>
      </w:pPr>
      <w:r>
        <w:rPr>
          <w:rFonts w:cs="Arial"/>
        </w:rPr>
        <w:lastRenderedPageBreak/>
        <w:t>Recreational water guideline values vary from drinking water guideline values because when people are in contact with water for recreational purposes, for example swimming, they are less likely to consume the water in terms of volume and frequency. This decreases the risk of exposure to recreational water. The recreational water use takes into account current estimates on how often Australians use lakes, rivers and coastal water over the course of a year and how much water people might swallow when participating in these activities.</w:t>
      </w:r>
    </w:p>
    <w:p w14:paraId="5E7D027E" w14:textId="77777777" w:rsidR="004F5DC8" w:rsidRPr="001970BC" w:rsidRDefault="004F5DC8" w:rsidP="004F5DC8">
      <w:r>
        <w:t>Both the recreational water and the drinking water guideline values are precautionary and protective of human health. The guideline</w:t>
      </w:r>
      <w:r w:rsidRPr="00EC6453">
        <w:t xml:space="preserve"> values include a wide safety margin and are expected to be well below the level at which any negative effects could occur</w:t>
      </w:r>
      <w:r>
        <w:t>.</w:t>
      </w:r>
    </w:p>
    <w:p w14:paraId="7CD583B2" w14:textId="77777777" w:rsidR="004F5DC8" w:rsidRPr="00470451" w:rsidRDefault="004F5DC8" w:rsidP="004F5DC8">
      <w:r>
        <w:t xml:space="preserve">NHMRC developed this advice with the </w:t>
      </w:r>
      <w:hyperlink r:id="rId8" w:history="1">
        <w:r w:rsidRPr="00F6368E">
          <w:rPr>
            <w:rStyle w:val="Hyperlink"/>
          </w:rPr>
          <w:t>Water Quality Advisory Committee</w:t>
        </w:r>
      </w:hyperlink>
      <w:r>
        <w:t xml:space="preserve"> and in consultation with the Australian Government Environmental Health Standing Committee (enHealth).</w:t>
      </w:r>
    </w:p>
    <w:p w14:paraId="262A4165" w14:textId="77777777" w:rsidR="004F5DC8" w:rsidRDefault="004F5DC8" w:rsidP="004F5DC8">
      <w:pPr>
        <w:pStyle w:val="Heading2"/>
      </w:pPr>
      <w:r>
        <w:t>How do health based guidance values impact communities affected by PFAS contamination?</w:t>
      </w:r>
    </w:p>
    <w:p w14:paraId="3E1B91BD" w14:textId="77777777" w:rsidR="004F5DC8" w:rsidRDefault="004F5DC8" w:rsidP="004F5DC8">
      <w:r>
        <w:t>Commonwealth a</w:t>
      </w:r>
      <w:r w:rsidRPr="003B635E">
        <w:t xml:space="preserve">gencies and </w:t>
      </w:r>
      <w:r>
        <w:t xml:space="preserve">other </w:t>
      </w:r>
      <w:r w:rsidRPr="003B635E">
        <w:t xml:space="preserve">organisations </w:t>
      </w:r>
      <w:r>
        <w:t xml:space="preserve">that conduct site investigations for PFAS contamination can use the health based guidance values to assist in assessing human health risk. Agencies </w:t>
      </w:r>
      <w:r w:rsidRPr="003B635E">
        <w:t>or</w:t>
      </w:r>
      <w:r>
        <w:t xml:space="preserve"> organisations</w:t>
      </w:r>
      <w:r w:rsidRPr="003B635E">
        <w:t xml:space="preserve"> that have recently conducted </w:t>
      </w:r>
      <w:r>
        <w:t>h</w:t>
      </w:r>
      <w:r w:rsidRPr="003B635E">
        <w:t xml:space="preserve">uman </w:t>
      </w:r>
      <w:r>
        <w:t>h</w:t>
      </w:r>
      <w:r w:rsidRPr="003B635E">
        <w:t xml:space="preserve">ealth </w:t>
      </w:r>
      <w:r>
        <w:t>r</w:t>
      </w:r>
      <w:r w:rsidRPr="003B635E">
        <w:t xml:space="preserve">isk </w:t>
      </w:r>
      <w:r>
        <w:t>a</w:t>
      </w:r>
      <w:r w:rsidRPr="003B635E">
        <w:t xml:space="preserve">ssessments for PFAS contamination may review their assessments and advice based on the </w:t>
      </w:r>
      <w:r>
        <w:t>health based guidance values.</w:t>
      </w:r>
    </w:p>
    <w:p w14:paraId="42B2D587" w14:textId="77777777" w:rsidR="004F5DC8" w:rsidRDefault="004F5DC8" w:rsidP="004F5DC8">
      <w:r w:rsidRPr="003B635E">
        <w:t>Advice on reducing exposure to PFAS will vary with</w:t>
      </w:r>
      <w:r>
        <w:t xml:space="preserve"> each</w:t>
      </w:r>
      <w:r w:rsidRPr="003B635E">
        <w:t xml:space="preserve"> location so you should follow the most current advice provided by </w:t>
      </w:r>
      <w:r>
        <w:t>your state or territory government, and if available, the human health risk assessment for your area conducted by the investigating agency.</w:t>
      </w:r>
    </w:p>
    <w:p w14:paraId="61B67C06" w14:textId="77777777" w:rsidR="004F5DC8" w:rsidRDefault="004F5DC8" w:rsidP="004F5DC8">
      <w:pPr>
        <w:pStyle w:val="Heading2"/>
      </w:pPr>
      <w:r>
        <w:t>Where can I get further information?</w:t>
      </w:r>
    </w:p>
    <w:p w14:paraId="30C0E62C" w14:textId="77777777" w:rsidR="004F5DC8" w:rsidRDefault="004F5DC8" w:rsidP="004F5DC8">
      <w:pPr>
        <w:rPr>
          <w:rStyle w:val="Hyperlink"/>
        </w:rPr>
      </w:pPr>
      <w:r w:rsidRPr="008E52B9">
        <w:t xml:space="preserve">For further information regarding </w:t>
      </w:r>
      <w:r>
        <w:t xml:space="preserve">health based guidance values and </w:t>
      </w:r>
      <w:r w:rsidRPr="008E52B9">
        <w:t xml:space="preserve">the Department of Health’s response to PFAS contamination, please visit the </w:t>
      </w:r>
      <w:hyperlink r:id="rId9" w:history="1">
        <w:r w:rsidRPr="008E52B9">
          <w:rPr>
            <w:rStyle w:val="Hyperlink"/>
          </w:rPr>
          <w:t>Department of Health website</w:t>
        </w:r>
      </w:hyperlink>
      <w:r>
        <w:rPr>
          <w:rStyle w:val="Hyperlink"/>
        </w:rPr>
        <w:t xml:space="preserve"> (health.gov.au/pfas)</w:t>
      </w:r>
    </w:p>
    <w:p w14:paraId="734AE05A" w14:textId="77777777" w:rsidR="004F5DC8" w:rsidRDefault="004F5DC8" w:rsidP="004F5DC8">
      <w:pPr>
        <w:rPr>
          <w:rStyle w:val="Hyperlink"/>
        </w:rPr>
      </w:pPr>
      <w:r>
        <w:rPr>
          <w:rStyle w:val="Hyperlink"/>
        </w:rPr>
        <w:t xml:space="preserve">For further information on PFAS related material from FSANZ, please visit FSANZ’s website here. </w:t>
      </w:r>
    </w:p>
    <w:p w14:paraId="1A8DC9A5" w14:textId="77777777" w:rsidR="004F5DC8" w:rsidRPr="000A7AA6" w:rsidRDefault="004F5DC8" w:rsidP="004F5DC8">
      <w:pPr>
        <w:rPr>
          <w:rStyle w:val="Hyperlink"/>
          <w:color w:val="auto"/>
          <w:u w:val="none"/>
        </w:rPr>
      </w:pPr>
      <w:r>
        <w:rPr>
          <w:rStyle w:val="Hyperlink"/>
        </w:rPr>
        <w:t>For further information on PFAS related material from the NHMRC, please visit NHMRC’s website here.</w:t>
      </w:r>
    </w:p>
    <w:p w14:paraId="21CDDB74" w14:textId="46AB9D3D" w:rsidR="004F5DC8" w:rsidRDefault="004F5DC8" w:rsidP="00B20C27">
      <w:r w:rsidRPr="003B4721">
        <w:rPr>
          <w:rStyle w:val="Hyperlink"/>
          <w:color w:val="000000" w:themeColor="text1"/>
          <w:u w:val="none"/>
        </w:rPr>
        <w:t>Alternatively you can</w:t>
      </w:r>
      <w:r w:rsidRPr="00A647CD">
        <w:rPr>
          <w:rStyle w:val="Hyperlink"/>
          <w:color w:val="000000" w:themeColor="text1"/>
          <w:u w:val="none"/>
        </w:rPr>
        <w:t xml:space="preserve"> </w:t>
      </w:r>
      <w:r>
        <w:t xml:space="preserve">contact the Department of Health by phone on 1800 941 180 or by email: </w:t>
      </w:r>
      <w:hyperlink r:id="rId10" w:history="1">
        <w:r w:rsidRPr="003A0053">
          <w:rPr>
            <w:rStyle w:val="Hyperlink"/>
          </w:rPr>
          <w:t>health.pfas@health.gov.au</w:t>
        </w:r>
      </w:hyperlink>
    </w:p>
    <w:bookmarkEnd w:id="1"/>
    <w:p w14:paraId="457EC7F4" w14:textId="77777777" w:rsidR="00FF381B" w:rsidRDefault="00FF381B" w:rsidP="00FF381B"/>
    <w:sectPr w:rsidR="00FF381B" w:rsidSect="001108B0">
      <w:footerReference w:type="default" r:id="rId11"/>
      <w:headerReference w:type="first" r:id="rId12"/>
      <w:footerReference w:type="first" r:id="rId13"/>
      <w:pgSz w:w="11900" w:h="1684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2990" w14:textId="77777777" w:rsidR="005E683F" w:rsidRDefault="005E683F" w:rsidP="00F15E50">
      <w:pPr>
        <w:spacing w:before="0" w:line="240" w:lineRule="auto"/>
      </w:pPr>
      <w:r>
        <w:separator/>
      </w:r>
    </w:p>
  </w:endnote>
  <w:endnote w:type="continuationSeparator" w:id="0">
    <w:p w14:paraId="3995AA81" w14:textId="77777777" w:rsidR="005E683F" w:rsidRDefault="005E683F" w:rsidP="00F15E5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Times New Roman (Body CS)">
    <w:altName w:val="Arial"/>
    <w:panose1 w:val="020B0604020202020204"/>
    <w:charset w:val="00"/>
    <w:family w:val="roman"/>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B2B7" w14:textId="21B45B37" w:rsidR="00F15E50" w:rsidRPr="00F15E50" w:rsidRDefault="00815B53" w:rsidP="00F15E50">
    <w:pPr>
      <w:pStyle w:val="Footer"/>
      <w:tabs>
        <w:tab w:val="clear" w:pos="4513"/>
        <w:tab w:val="clear" w:pos="9026"/>
        <w:tab w:val="left" w:pos="8505"/>
        <w:tab w:val="right" w:pos="9020"/>
      </w:tabs>
    </w:pPr>
    <w:r>
      <w:rPr>
        <w:sz w:val="20"/>
        <w:szCs w:val="20"/>
      </w:rPr>
      <w:t>Health Based Guidance Values for PFAS</w:t>
    </w:r>
    <w:r w:rsidR="00F15E50">
      <w:rPr>
        <w:sz w:val="20"/>
        <w:szCs w:val="20"/>
      </w:rPr>
      <w:tab/>
    </w:r>
    <w:r w:rsidR="00F15E50">
      <w:rPr>
        <w:sz w:val="20"/>
        <w:szCs w:val="20"/>
      </w:rPr>
      <w:tab/>
    </w:r>
    <w:r w:rsidR="00F15E50" w:rsidRPr="00F15E50">
      <w:rPr>
        <w:sz w:val="20"/>
        <w:szCs w:val="20"/>
      </w:rPr>
      <w:t xml:space="preserve">pg. </w:t>
    </w:r>
    <w:r w:rsidR="00F15E50" w:rsidRPr="00F15E50">
      <w:rPr>
        <w:sz w:val="20"/>
        <w:szCs w:val="20"/>
      </w:rPr>
      <w:fldChar w:fldCharType="begin"/>
    </w:r>
    <w:r w:rsidR="00F15E50" w:rsidRPr="00F15E50">
      <w:rPr>
        <w:sz w:val="20"/>
        <w:szCs w:val="20"/>
      </w:rPr>
      <w:instrText xml:space="preserve"> PAGE  \* Arabic </w:instrText>
    </w:r>
    <w:r w:rsidR="00F15E50" w:rsidRPr="00F15E50">
      <w:rPr>
        <w:sz w:val="20"/>
        <w:szCs w:val="20"/>
      </w:rPr>
      <w:fldChar w:fldCharType="separate"/>
    </w:r>
    <w:r w:rsidR="00A649EF">
      <w:rPr>
        <w:noProof/>
        <w:sz w:val="20"/>
        <w:szCs w:val="20"/>
      </w:rPr>
      <w:t>3</w:t>
    </w:r>
    <w:r w:rsidR="00F15E50" w:rsidRPr="00F15E5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B45A" w14:textId="2DB9C017" w:rsidR="006D1A93" w:rsidRDefault="00815B53" w:rsidP="006D1A93">
    <w:pPr>
      <w:pStyle w:val="Footer"/>
      <w:tabs>
        <w:tab w:val="clear" w:pos="4513"/>
        <w:tab w:val="left" w:pos="8505"/>
      </w:tabs>
    </w:pPr>
    <w:r>
      <w:rPr>
        <w:sz w:val="20"/>
        <w:szCs w:val="20"/>
      </w:rPr>
      <w:t>Health Based Guidance Values for PFAS</w:t>
    </w:r>
    <w:r w:rsidR="006D1A93">
      <w:rPr>
        <w:sz w:val="20"/>
        <w:szCs w:val="20"/>
      </w:rPr>
      <w:tab/>
    </w:r>
    <w:r w:rsidR="006D1A93">
      <w:rPr>
        <w:sz w:val="20"/>
        <w:szCs w:val="20"/>
      </w:rPr>
      <w:tab/>
    </w:r>
    <w:r w:rsidR="006D1A93" w:rsidRPr="00F15E50">
      <w:rPr>
        <w:sz w:val="20"/>
        <w:szCs w:val="20"/>
      </w:rPr>
      <w:t xml:space="preserve">pg. </w:t>
    </w:r>
    <w:r w:rsidR="006D1A93" w:rsidRPr="00F15E50">
      <w:rPr>
        <w:sz w:val="20"/>
        <w:szCs w:val="20"/>
      </w:rPr>
      <w:fldChar w:fldCharType="begin"/>
    </w:r>
    <w:r w:rsidR="006D1A93" w:rsidRPr="00F15E50">
      <w:rPr>
        <w:sz w:val="20"/>
        <w:szCs w:val="20"/>
      </w:rPr>
      <w:instrText xml:space="preserve"> PAGE  \* Arabic </w:instrText>
    </w:r>
    <w:r w:rsidR="006D1A93" w:rsidRPr="00F15E50">
      <w:rPr>
        <w:sz w:val="20"/>
        <w:szCs w:val="20"/>
      </w:rPr>
      <w:fldChar w:fldCharType="separate"/>
    </w:r>
    <w:r w:rsidR="00A649EF">
      <w:rPr>
        <w:noProof/>
        <w:sz w:val="20"/>
        <w:szCs w:val="20"/>
      </w:rPr>
      <w:t>1</w:t>
    </w:r>
    <w:r w:rsidR="006D1A93" w:rsidRPr="00F15E5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6478" w14:textId="77777777" w:rsidR="005E683F" w:rsidRDefault="005E683F" w:rsidP="00F15E50">
      <w:pPr>
        <w:spacing w:before="0" w:line="240" w:lineRule="auto"/>
      </w:pPr>
      <w:r>
        <w:separator/>
      </w:r>
    </w:p>
  </w:footnote>
  <w:footnote w:type="continuationSeparator" w:id="0">
    <w:p w14:paraId="0B0F0969" w14:textId="77777777" w:rsidR="005E683F" w:rsidRDefault="005E683F" w:rsidP="00F15E5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41FB" w14:textId="3D306EBE" w:rsidR="006D1A93" w:rsidRDefault="00A743FB">
    <w:pPr>
      <w:pStyle w:val="Header"/>
    </w:pPr>
    <w:r>
      <w:rPr>
        <w:noProof/>
        <w:lang w:eastAsia="en-AU"/>
      </w:rPr>
      <w:drawing>
        <wp:anchor distT="0" distB="0" distL="114300" distR="114300" simplePos="0" relativeHeight="251659264" behindDoc="0" locked="0" layoutInCell="1" allowOverlap="0" wp14:anchorId="06155036" wp14:editId="6E283AF0">
          <wp:simplePos x="0" y="0"/>
          <wp:positionH relativeFrom="page">
            <wp:align>right</wp:align>
          </wp:positionH>
          <wp:positionV relativeFrom="page">
            <wp:align>top</wp:align>
          </wp:positionV>
          <wp:extent cx="7543800" cy="1472184"/>
          <wp:effectExtent l="0" t="0" r="0" b="0"/>
          <wp:wrapTopAndBottom/>
          <wp:docPr id="4075" name="Picture 4075" descr="Australian Government logo" title="Australian Government logo"/>
          <wp:cNvGraphicFramePr/>
          <a:graphic xmlns:a="http://schemas.openxmlformats.org/drawingml/2006/main">
            <a:graphicData uri="http://schemas.openxmlformats.org/drawingml/2006/picture">
              <pic:pic xmlns:pic="http://schemas.openxmlformats.org/drawingml/2006/picture">
                <pic:nvPicPr>
                  <pic:cNvPr id="4075" name="Picture 4075"/>
                  <pic:cNvPicPr/>
                </pic:nvPicPr>
                <pic:blipFill>
                  <a:blip r:embed="rId1"/>
                  <a:stretch>
                    <a:fillRect/>
                  </a:stretch>
                </pic:blipFill>
                <pic:spPr>
                  <a:xfrm>
                    <a:off x="0" y="0"/>
                    <a:ext cx="7543800" cy="14721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B7828B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87875E6"/>
    <w:lvl w:ilvl="0">
      <w:start w:val="1"/>
      <w:numFmt w:val="decimal"/>
      <w:lvlText w:val="%1."/>
      <w:lvlJc w:val="left"/>
      <w:pPr>
        <w:ind w:left="360" w:hanging="360"/>
      </w:pPr>
      <w:rPr>
        <w:rFonts w:hint="default"/>
        <w:color w:val="005B9B"/>
      </w:rPr>
    </w:lvl>
  </w:abstractNum>
  <w:abstractNum w:abstractNumId="2" w15:restartNumberingAfterBreak="0">
    <w:nsid w:val="FFFFFF89"/>
    <w:multiLevelType w:val="singleLevel"/>
    <w:tmpl w:val="A1C8EA72"/>
    <w:lvl w:ilvl="0">
      <w:start w:val="1"/>
      <w:numFmt w:val="bullet"/>
      <w:lvlText w:val=""/>
      <w:lvlJc w:val="left"/>
      <w:pPr>
        <w:ind w:left="360" w:hanging="360"/>
      </w:pPr>
      <w:rPr>
        <w:rFonts w:ascii="Symbol" w:hAnsi="Symbol" w:hint="default"/>
        <w:color w:val="005B9B"/>
      </w:rPr>
    </w:lvl>
  </w:abstractNum>
  <w:abstractNum w:abstractNumId="3" w15:restartNumberingAfterBreak="0">
    <w:nsid w:val="192A16D7"/>
    <w:multiLevelType w:val="multilevel"/>
    <w:tmpl w:val="857C8D78"/>
    <w:lvl w:ilvl="0">
      <w:start w:val="1"/>
      <w:numFmt w:val="bullet"/>
      <w:lvlText w:val=""/>
      <w:lvlJc w:val="left"/>
      <w:pPr>
        <w:ind w:left="284" w:hanging="284"/>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22427"/>
    <w:multiLevelType w:val="hybridMultilevel"/>
    <w:tmpl w:val="E2EAD356"/>
    <w:lvl w:ilvl="0" w:tplc="64AE04B4">
      <w:start w:val="1"/>
      <w:numFmt w:val="bullet"/>
      <w:pStyle w:val="BulletPoint1"/>
      <w:lvlText w:val=""/>
      <w:lvlJc w:val="left"/>
      <w:pPr>
        <w:ind w:left="360" w:hanging="360"/>
      </w:pPr>
      <w:rPr>
        <w:rFonts w:ascii="Symbol" w:hAnsi="Symbol" w:hint="default"/>
        <w:color w:val="3581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6B6D04"/>
    <w:multiLevelType w:val="hybridMultilevel"/>
    <w:tmpl w:val="5CC6AF52"/>
    <w:lvl w:ilvl="0" w:tplc="37646A60">
      <w:start w:val="1"/>
      <w:numFmt w:val="bullet"/>
      <w:lvlText w:val=""/>
      <w:lvlJc w:val="left"/>
      <w:pPr>
        <w:ind w:left="720" w:hanging="360"/>
      </w:pPr>
      <w:rPr>
        <w:rFonts w:ascii="Symbol" w:hAnsi="Symbol" w:hint="default"/>
        <w:color w:val="005B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84724"/>
    <w:multiLevelType w:val="multilevel"/>
    <w:tmpl w:val="8676EFCC"/>
    <w:lvl w:ilvl="0">
      <w:start w:val="1"/>
      <w:numFmt w:val="bullet"/>
      <w:lvlText w:val=""/>
      <w:lvlJc w:val="left"/>
      <w:pPr>
        <w:ind w:left="284" w:hanging="284"/>
      </w:pPr>
      <w:rPr>
        <w:rFonts w:ascii="Wingdings" w:hAnsi="Wingdings"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3C34827"/>
    <w:multiLevelType w:val="hybridMultilevel"/>
    <w:tmpl w:val="CF66F0B2"/>
    <w:lvl w:ilvl="0" w:tplc="E0DABF2E">
      <w:start w:val="1"/>
      <w:numFmt w:val="bullet"/>
      <w:pStyle w:val="Policystylebullet"/>
      <w:lvlText w:val=""/>
      <w:lvlJc w:val="left"/>
      <w:pPr>
        <w:ind w:left="58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6F5488"/>
    <w:multiLevelType w:val="multilevel"/>
    <w:tmpl w:val="1F266850"/>
    <w:lvl w:ilvl="0">
      <w:start w:val="1"/>
      <w:numFmt w:val="bullet"/>
      <w:lvlText w:val=""/>
      <w:lvlJc w:val="left"/>
      <w:pPr>
        <w:ind w:left="360" w:hanging="360"/>
      </w:pPr>
      <w:rPr>
        <w:rFonts w:ascii="Symbol" w:hAnsi="Symbol"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40186718">
    <w:abstractNumId w:val="2"/>
  </w:num>
  <w:num w:numId="2" w16cid:durableId="3553892">
    <w:abstractNumId w:val="2"/>
  </w:num>
  <w:num w:numId="3" w16cid:durableId="129174657">
    <w:abstractNumId w:val="1"/>
  </w:num>
  <w:num w:numId="4" w16cid:durableId="2089302808">
    <w:abstractNumId w:val="1"/>
  </w:num>
  <w:num w:numId="5" w16cid:durableId="615186479">
    <w:abstractNumId w:val="0"/>
  </w:num>
  <w:num w:numId="6" w16cid:durableId="2102601156">
    <w:abstractNumId w:val="5"/>
  </w:num>
  <w:num w:numId="7" w16cid:durableId="278538037">
    <w:abstractNumId w:val="7"/>
  </w:num>
  <w:num w:numId="8" w16cid:durableId="392626224">
    <w:abstractNumId w:val="3"/>
  </w:num>
  <w:num w:numId="9" w16cid:durableId="1883008396">
    <w:abstractNumId w:val="4"/>
  </w:num>
  <w:num w:numId="10" w16cid:durableId="1728144298">
    <w:abstractNumId w:val="6"/>
  </w:num>
  <w:num w:numId="11" w16cid:durableId="1109593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8333A"/>
    <w:rsid w:val="000F714E"/>
    <w:rsid w:val="001108B0"/>
    <w:rsid w:val="001611D8"/>
    <w:rsid w:val="001D3B66"/>
    <w:rsid w:val="002733B8"/>
    <w:rsid w:val="00280458"/>
    <w:rsid w:val="0028138A"/>
    <w:rsid w:val="002A71B0"/>
    <w:rsid w:val="002B2143"/>
    <w:rsid w:val="002E28C3"/>
    <w:rsid w:val="002E5EA1"/>
    <w:rsid w:val="00326CE3"/>
    <w:rsid w:val="0033600D"/>
    <w:rsid w:val="00340D8E"/>
    <w:rsid w:val="003571BE"/>
    <w:rsid w:val="0041384D"/>
    <w:rsid w:val="00441C2B"/>
    <w:rsid w:val="00445A97"/>
    <w:rsid w:val="00456640"/>
    <w:rsid w:val="0048373F"/>
    <w:rsid w:val="004B402B"/>
    <w:rsid w:val="004F5DC8"/>
    <w:rsid w:val="005305AD"/>
    <w:rsid w:val="00557B05"/>
    <w:rsid w:val="0056770A"/>
    <w:rsid w:val="005E683F"/>
    <w:rsid w:val="005E7A75"/>
    <w:rsid w:val="00616171"/>
    <w:rsid w:val="00625BFA"/>
    <w:rsid w:val="00643318"/>
    <w:rsid w:val="00662E5C"/>
    <w:rsid w:val="006743DA"/>
    <w:rsid w:val="006D1A93"/>
    <w:rsid w:val="00710FA3"/>
    <w:rsid w:val="0075034E"/>
    <w:rsid w:val="007F136F"/>
    <w:rsid w:val="008074D9"/>
    <w:rsid w:val="00815B53"/>
    <w:rsid w:val="00830113"/>
    <w:rsid w:val="00843974"/>
    <w:rsid w:val="008603CF"/>
    <w:rsid w:val="0088314C"/>
    <w:rsid w:val="0094077E"/>
    <w:rsid w:val="00952FE7"/>
    <w:rsid w:val="0095327E"/>
    <w:rsid w:val="009823BB"/>
    <w:rsid w:val="009F57F5"/>
    <w:rsid w:val="00A41839"/>
    <w:rsid w:val="00A63349"/>
    <w:rsid w:val="00A649EF"/>
    <w:rsid w:val="00A743FB"/>
    <w:rsid w:val="00AA29B3"/>
    <w:rsid w:val="00AE00D9"/>
    <w:rsid w:val="00B20C27"/>
    <w:rsid w:val="00B53650"/>
    <w:rsid w:val="00BF16AB"/>
    <w:rsid w:val="00C74007"/>
    <w:rsid w:val="00D265AF"/>
    <w:rsid w:val="00D75349"/>
    <w:rsid w:val="00D96E3A"/>
    <w:rsid w:val="00DA429F"/>
    <w:rsid w:val="00DE7C03"/>
    <w:rsid w:val="00E000A7"/>
    <w:rsid w:val="00E04571"/>
    <w:rsid w:val="00E542CB"/>
    <w:rsid w:val="00EB0E4F"/>
    <w:rsid w:val="00EC34BE"/>
    <w:rsid w:val="00ED136A"/>
    <w:rsid w:val="00ED6834"/>
    <w:rsid w:val="00F15E50"/>
    <w:rsid w:val="00F33CEE"/>
    <w:rsid w:val="00F62ED4"/>
    <w:rsid w:val="00F71068"/>
    <w:rsid w:val="00F81571"/>
    <w:rsid w:val="00FA62E3"/>
    <w:rsid w:val="00FC6E53"/>
    <w:rsid w:val="00FE2CE0"/>
    <w:rsid w:val="00FF381B"/>
    <w:rsid w:val="00FF60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7AAD2"/>
  <w14:defaultImageDpi w14:val="32767"/>
  <w15:docId w15:val="{1E6E0103-D397-4154-938A-9F058D03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E53"/>
    <w:pPr>
      <w:spacing w:before="240" w:line="260" w:lineRule="auto"/>
    </w:pPr>
    <w:rPr>
      <w:rFonts w:ascii="Arial" w:eastAsia="Times New Roman" w:hAnsi="Arial" w:cs="Times New Roman"/>
      <w:sz w:val="21"/>
      <w:lang w:val="en-AU"/>
    </w:rPr>
  </w:style>
  <w:style w:type="paragraph" w:styleId="Heading1">
    <w:name w:val="heading 1"/>
    <w:next w:val="Normal"/>
    <w:link w:val="Heading1Char"/>
    <w:qFormat/>
    <w:rsid w:val="00ED6834"/>
    <w:pPr>
      <w:keepNext/>
      <w:keepLines/>
      <w:spacing w:before="480" w:after="360"/>
      <w:outlineLvl w:val="0"/>
    </w:pPr>
    <w:rPr>
      <w:rFonts w:ascii="Arial" w:eastAsia="MS Gothic" w:hAnsi="Arial" w:cstheme="majorBidi"/>
      <w:color w:val="475C6D"/>
      <w:sz w:val="40"/>
      <w:szCs w:val="36"/>
      <w:lang w:val="en-US" w:eastAsia="en-AU"/>
    </w:rPr>
  </w:style>
  <w:style w:type="paragraph" w:styleId="Heading2">
    <w:name w:val="heading 2"/>
    <w:basedOn w:val="Normal"/>
    <w:next w:val="Normal"/>
    <w:link w:val="Heading2Char"/>
    <w:uiPriority w:val="9"/>
    <w:unhideWhenUsed/>
    <w:qFormat/>
    <w:rsid w:val="00ED6834"/>
    <w:pPr>
      <w:keepNext/>
      <w:keepLines/>
      <w:spacing w:before="360" w:after="120" w:line="281" w:lineRule="auto"/>
      <w:outlineLvl w:val="1"/>
    </w:pPr>
    <w:rPr>
      <w:rFonts w:eastAsia="MS Gothic"/>
      <w:bCs/>
      <w:color w:val="6CBDB7"/>
      <w:sz w:val="24"/>
      <w:szCs w:val="26"/>
      <w:lang w:val="en-US"/>
    </w:rPr>
  </w:style>
  <w:style w:type="paragraph" w:styleId="Heading3">
    <w:name w:val="heading 3"/>
    <w:basedOn w:val="Normal"/>
    <w:next w:val="Normal"/>
    <w:link w:val="Heading3Char"/>
    <w:uiPriority w:val="9"/>
    <w:unhideWhenUsed/>
    <w:qFormat/>
    <w:rsid w:val="00ED6834"/>
    <w:pPr>
      <w:keepNext/>
      <w:keepLines/>
      <w:spacing w:before="360" w:line="271" w:lineRule="auto"/>
      <w:outlineLvl w:val="2"/>
    </w:pPr>
    <w:rPr>
      <w:rFonts w:eastAsia="MS Gothic"/>
      <w:b/>
      <w:color w:val="475C6D"/>
      <w:sz w:val="22"/>
      <w:lang w:val="en-US"/>
    </w:rPr>
  </w:style>
  <w:style w:type="paragraph" w:styleId="Heading4">
    <w:name w:val="heading 4"/>
    <w:basedOn w:val="Normal"/>
    <w:next w:val="Normal"/>
    <w:link w:val="Heading4Char"/>
    <w:uiPriority w:val="9"/>
    <w:unhideWhenUsed/>
    <w:qFormat/>
    <w:rsid w:val="00557B05"/>
    <w:pPr>
      <w:keepNext/>
      <w:keepLines/>
      <w:spacing w:before="360" w:line="259" w:lineRule="auto"/>
      <w:outlineLvl w:val="3"/>
    </w:pPr>
    <w:rPr>
      <w:rFonts w:eastAsia="MS Gothic"/>
      <w:i/>
      <w:iCs/>
      <w:color w:val="358189"/>
      <w:sz w:val="22"/>
      <w:lang w:val="en-US"/>
    </w:rPr>
  </w:style>
  <w:style w:type="paragraph" w:styleId="Heading5">
    <w:name w:val="heading 5"/>
    <w:basedOn w:val="Normal"/>
    <w:next w:val="Normal"/>
    <w:link w:val="Heading5Char"/>
    <w:rsid w:val="002E28C3"/>
    <w:pPr>
      <w:keepNext/>
      <w:spacing w:after="6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834"/>
    <w:rPr>
      <w:rFonts w:ascii="Arial" w:eastAsia="MS Gothic" w:hAnsi="Arial" w:cstheme="majorBidi"/>
      <w:color w:val="475C6D"/>
      <w:sz w:val="40"/>
      <w:szCs w:val="36"/>
      <w:lang w:val="en-US" w:eastAsia="en-AU"/>
    </w:rPr>
  </w:style>
  <w:style w:type="character" w:customStyle="1" w:styleId="Heading2Char">
    <w:name w:val="Heading 2 Char"/>
    <w:basedOn w:val="DefaultParagraphFont"/>
    <w:link w:val="Heading2"/>
    <w:uiPriority w:val="9"/>
    <w:rsid w:val="00ED6834"/>
    <w:rPr>
      <w:rFonts w:ascii="Arial" w:eastAsia="MS Gothic" w:hAnsi="Arial" w:cs="Times New Roman"/>
      <w:bCs/>
      <w:color w:val="6CBDB7"/>
      <w:szCs w:val="26"/>
      <w:lang w:val="en-US"/>
    </w:rPr>
  </w:style>
  <w:style w:type="character" w:customStyle="1" w:styleId="Heading3Char">
    <w:name w:val="Heading 3 Char"/>
    <w:basedOn w:val="DefaultParagraphFont"/>
    <w:link w:val="Heading3"/>
    <w:uiPriority w:val="9"/>
    <w:rsid w:val="00ED6834"/>
    <w:rPr>
      <w:rFonts w:ascii="Arial" w:eastAsia="MS Gothic" w:hAnsi="Arial" w:cs="Times New Roman"/>
      <w:b/>
      <w:color w:val="475C6D"/>
      <w:sz w:val="22"/>
      <w:lang w:val="en-US"/>
    </w:rPr>
  </w:style>
  <w:style w:type="character" w:customStyle="1" w:styleId="Heading4Char">
    <w:name w:val="Heading 4 Char"/>
    <w:basedOn w:val="DefaultParagraphFont"/>
    <w:link w:val="Heading4"/>
    <w:uiPriority w:val="9"/>
    <w:rsid w:val="00557B05"/>
    <w:rPr>
      <w:rFonts w:ascii="Arial" w:eastAsia="MS Gothic" w:hAnsi="Arial" w:cs="Times New Roman"/>
      <w:i/>
      <w:iCs/>
      <w:color w:val="358189"/>
      <w:sz w:val="22"/>
      <w:lang w:val="en-US"/>
    </w:rPr>
  </w:style>
  <w:style w:type="character" w:customStyle="1" w:styleId="Heading5Char">
    <w:name w:val="Heading 5 Char"/>
    <w:basedOn w:val="DefaultParagraphFont"/>
    <w:link w:val="Heading5"/>
    <w:rsid w:val="002E28C3"/>
    <w:rPr>
      <w:rFonts w:ascii="Arial" w:eastAsiaTheme="minorEastAsia" w:hAnsi="Arial"/>
      <w:b/>
      <w:bCs/>
      <w:iCs/>
      <w:color w:val="595959" w:themeColor="text1" w:themeTint="A6"/>
      <w:sz w:val="21"/>
      <w:szCs w:val="26"/>
      <w:lang w:val="en-AU" w:eastAsia="en-AU"/>
    </w:rPr>
  </w:style>
  <w:style w:type="paragraph" w:customStyle="1" w:styleId="IntroPara">
    <w:name w:val="Intro Para"/>
    <w:basedOn w:val="Normal"/>
    <w:qFormat/>
    <w:rsid w:val="002E28C3"/>
    <w:pPr>
      <w:spacing w:after="120" w:line="320" w:lineRule="auto"/>
    </w:pPr>
    <w:rPr>
      <w:rFonts w:cs="Times New Roman (Body CS)"/>
      <w:sz w:val="26"/>
    </w:rPr>
  </w:style>
  <w:style w:type="paragraph" w:styleId="ListBullet">
    <w:name w:val="List Bullet"/>
    <w:basedOn w:val="Normal"/>
    <w:uiPriority w:val="99"/>
    <w:unhideWhenUsed/>
    <w:qFormat/>
    <w:rsid w:val="002E28C3"/>
    <w:pPr>
      <w:spacing w:after="120" w:line="271" w:lineRule="auto"/>
      <w:ind w:left="357" w:hanging="357"/>
    </w:pPr>
    <w:rPr>
      <w:szCs w:val="21"/>
    </w:rPr>
  </w:style>
  <w:style w:type="paragraph" w:styleId="ListNumber">
    <w:name w:val="List Number"/>
    <w:basedOn w:val="Normal"/>
    <w:uiPriority w:val="99"/>
    <w:unhideWhenUsed/>
    <w:qFormat/>
    <w:rsid w:val="002E28C3"/>
    <w:pPr>
      <w:spacing w:after="120"/>
    </w:pPr>
  </w:style>
  <w:style w:type="paragraph" w:styleId="ListNumber2">
    <w:name w:val="List Number 2"/>
    <w:basedOn w:val="Normal"/>
    <w:uiPriority w:val="99"/>
    <w:unhideWhenUsed/>
    <w:qFormat/>
    <w:rsid w:val="002E28C3"/>
    <w:pPr>
      <w:contextualSpacing/>
    </w:pPr>
  </w:style>
  <w:style w:type="paragraph" w:styleId="ListParagraph">
    <w:name w:val="List Paragraph"/>
    <w:basedOn w:val="Normal"/>
    <w:uiPriority w:val="34"/>
    <w:qFormat/>
    <w:rsid w:val="002E28C3"/>
    <w:pPr>
      <w:ind w:left="720"/>
      <w:contextualSpacing/>
    </w:pPr>
  </w:style>
  <w:style w:type="character" w:styleId="Strong">
    <w:name w:val="Strong"/>
    <w:basedOn w:val="DefaultParagraphFont"/>
    <w:rsid w:val="002E28C3"/>
    <w:rPr>
      <w:b/>
      <w:bCs/>
    </w:rPr>
  </w:style>
  <w:style w:type="paragraph" w:styleId="Title">
    <w:name w:val="Title"/>
    <w:basedOn w:val="Normal"/>
    <w:next w:val="Normal"/>
    <w:link w:val="TitleChar"/>
    <w:qFormat/>
    <w:rsid w:val="002E28C3"/>
    <w:pPr>
      <w:pBdr>
        <w:bottom w:val="single" w:sz="8" w:space="4" w:color="4472C4"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2E28C3"/>
    <w:rPr>
      <w:rFonts w:ascii="Arial" w:eastAsiaTheme="majorEastAsia" w:hAnsi="Arial" w:cstheme="majorBidi"/>
      <w:b/>
      <w:color w:val="595959" w:themeColor="text1" w:themeTint="A6"/>
      <w:kern w:val="28"/>
      <w:sz w:val="32"/>
      <w:szCs w:val="52"/>
      <w:lang w:val="en-AU" w:eastAsia="en-AU"/>
    </w:rPr>
  </w:style>
  <w:style w:type="paragraph" w:styleId="IntenseQuote">
    <w:name w:val="Intense Quote"/>
    <w:basedOn w:val="Normal"/>
    <w:next w:val="Normal"/>
    <w:link w:val="IntenseQuoteChar"/>
    <w:autoRedefine/>
    <w:uiPriority w:val="30"/>
    <w:qFormat/>
    <w:rsid w:val="00ED6834"/>
    <w:pPr>
      <w:spacing w:before="480" w:after="240" w:line="400" w:lineRule="exact"/>
      <w:ind w:right="1134"/>
    </w:pPr>
    <w:rPr>
      <w:iCs/>
      <w:color w:val="6CBDB7"/>
      <w:sz w:val="28"/>
    </w:rPr>
  </w:style>
  <w:style w:type="character" w:customStyle="1" w:styleId="IntenseQuoteChar">
    <w:name w:val="Intense Quote Char"/>
    <w:basedOn w:val="DefaultParagraphFont"/>
    <w:link w:val="IntenseQuote"/>
    <w:uiPriority w:val="30"/>
    <w:rsid w:val="00ED6834"/>
    <w:rPr>
      <w:rFonts w:ascii="Arial" w:eastAsia="Times New Roman" w:hAnsi="Arial" w:cs="Times New Roman"/>
      <w:iCs/>
      <w:color w:val="6CBDB7"/>
      <w:sz w:val="28"/>
      <w:lang w:val="en-AU"/>
    </w:rPr>
  </w:style>
  <w:style w:type="paragraph" w:customStyle="1" w:styleId="PolicyStatement">
    <w:name w:val="PolicyStatement"/>
    <w:basedOn w:val="Normal"/>
    <w:qFormat/>
    <w:rsid w:val="00557B05"/>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ind w:left="227" w:right="227"/>
    </w:pPr>
  </w:style>
  <w:style w:type="paragraph" w:customStyle="1" w:styleId="VisionBox">
    <w:name w:val="VisionBox"/>
    <w:basedOn w:val="Normal"/>
    <w:qFormat/>
    <w:rsid w:val="00ED6834"/>
    <w:pPr>
      <w:pBdr>
        <w:top w:val="single" w:sz="4" w:space="15" w:color="358189"/>
        <w:bottom w:val="single" w:sz="4" w:space="10" w:color="358189"/>
      </w:pBdr>
      <w:spacing w:before="360" w:after="360" w:line="340" w:lineRule="exact"/>
    </w:pPr>
    <w:rPr>
      <w:rFonts w:eastAsiaTheme="minorHAnsi"/>
      <w:color w:val="6CBDB7"/>
      <w:sz w:val="22"/>
    </w:rPr>
  </w:style>
  <w:style w:type="paragraph" w:customStyle="1" w:styleId="Policystylebullet">
    <w:name w:val="Policy style bullet"/>
    <w:basedOn w:val="PolicyStatement"/>
    <w:qFormat/>
    <w:rsid w:val="00FF381B"/>
    <w:pPr>
      <w:numPr>
        <w:numId w:val="7"/>
      </w:numPr>
    </w:pPr>
  </w:style>
  <w:style w:type="paragraph" w:customStyle="1" w:styleId="Style1">
    <w:name w:val="Style1"/>
    <w:next w:val="Normal"/>
    <w:qFormat/>
    <w:rsid w:val="00557B05"/>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lang w:val="en"/>
    </w:rPr>
  </w:style>
  <w:style w:type="character" w:customStyle="1" w:styleId="BoldAllCaps">
    <w:name w:val="Bold All Caps"/>
    <w:basedOn w:val="DefaultParagraphFont"/>
    <w:uiPriority w:val="1"/>
    <w:qFormat/>
    <w:rsid w:val="00ED6834"/>
    <w:rPr>
      <w:b/>
      <w:caps/>
      <w:smallCaps w:val="0"/>
      <w:color w:val="6CBDB7"/>
      <w:bdr w:val="none" w:sz="0" w:space="0" w:color="auto"/>
    </w:rPr>
  </w:style>
  <w:style w:type="paragraph" w:customStyle="1" w:styleId="BulletPoint1">
    <w:name w:val="Bullet Point 1"/>
    <w:basedOn w:val="Normal"/>
    <w:qFormat/>
    <w:rsid w:val="00557B05"/>
    <w:pPr>
      <w:numPr>
        <w:numId w:val="9"/>
      </w:numPr>
      <w:spacing w:before="120"/>
    </w:pPr>
    <w:rPr>
      <w:szCs w:val="22"/>
      <w:lang w:val="en-US"/>
    </w:rPr>
  </w:style>
  <w:style w:type="paragraph" w:styleId="Header">
    <w:name w:val="header"/>
    <w:basedOn w:val="Normal"/>
    <w:link w:val="HeaderChar"/>
    <w:uiPriority w:val="99"/>
    <w:unhideWhenUsed/>
    <w:rsid w:val="00F15E5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15E50"/>
    <w:rPr>
      <w:rFonts w:ascii="Arial" w:eastAsia="Times New Roman" w:hAnsi="Arial" w:cs="Times New Roman"/>
      <w:sz w:val="21"/>
      <w:lang w:val="en-AU"/>
    </w:rPr>
  </w:style>
  <w:style w:type="paragraph" w:styleId="Footer">
    <w:name w:val="footer"/>
    <w:basedOn w:val="Normal"/>
    <w:link w:val="FooterChar"/>
    <w:uiPriority w:val="99"/>
    <w:unhideWhenUsed/>
    <w:rsid w:val="00F15E50"/>
    <w:pPr>
      <w:tabs>
        <w:tab w:val="center" w:pos="4513"/>
        <w:tab w:val="right" w:pos="9026"/>
      </w:tabs>
      <w:spacing w:before="0" w:line="240" w:lineRule="auto"/>
    </w:pPr>
    <w:rPr>
      <w:color w:val="358189"/>
    </w:rPr>
  </w:style>
  <w:style w:type="character" w:customStyle="1" w:styleId="FooterChar">
    <w:name w:val="Footer Char"/>
    <w:basedOn w:val="DefaultParagraphFont"/>
    <w:link w:val="Footer"/>
    <w:uiPriority w:val="99"/>
    <w:rsid w:val="00F15E50"/>
    <w:rPr>
      <w:rFonts w:ascii="Arial" w:eastAsia="Times New Roman" w:hAnsi="Arial" w:cs="Times New Roman"/>
      <w:color w:val="358189"/>
      <w:sz w:val="21"/>
      <w:lang w:val="en-AU"/>
    </w:rPr>
  </w:style>
  <w:style w:type="paragraph" w:styleId="BalloonText">
    <w:name w:val="Balloon Text"/>
    <w:basedOn w:val="Normal"/>
    <w:link w:val="BalloonTextChar"/>
    <w:uiPriority w:val="99"/>
    <w:semiHidden/>
    <w:unhideWhenUsed/>
    <w:rsid w:val="00C74007"/>
    <w:pPr>
      <w:spacing w:before="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74007"/>
    <w:rPr>
      <w:rFonts w:ascii="Times New Roman" w:eastAsia="Times New Roman" w:hAnsi="Times New Roman" w:cs="Times New Roman"/>
      <w:sz w:val="18"/>
      <w:szCs w:val="18"/>
      <w:lang w:val="en-AU"/>
    </w:rPr>
  </w:style>
  <w:style w:type="table" w:styleId="TableGrid">
    <w:name w:val="Table Grid"/>
    <w:basedOn w:val="TableNormal"/>
    <w:uiPriority w:val="39"/>
    <w:rsid w:val="004F5DC8"/>
    <w:rPr>
      <w:rFonts w:ascii="Times New Roman" w:eastAsia="Times New Roman" w:hAnsi="Times New Roman" w:cs="Times New Roman"/>
      <w:sz w:val="20"/>
      <w:szCs w:val="20"/>
      <w:lang w:val="en-AU"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F5D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health-advice/water-quality-and-health/water-quality-advisory-committee-wqa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hmrc.gov.au/about-us/publications/australian-drinking-water-guidelin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ealth.pfas@health.gov.au" TargetMode="External"/><Relationship Id="rId4" Type="http://schemas.openxmlformats.org/officeDocument/2006/relationships/webSettings" Target="webSettings.xml"/><Relationship Id="rId9" Type="http://schemas.openxmlformats.org/officeDocument/2006/relationships/hyperlink" Target="http://www.health.gov.au/pfa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1064</Words>
  <Characters>5842</Characters>
  <Application>Microsoft Office Word</Application>
  <DocSecurity>0</DocSecurity>
  <Lines>120</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based guidance values for PFAS for use in site investigations in Australia</dc:title>
  <dc:subject>Environmental health</dc:subject>
  <dc:creator>Department of Health</dc:creator>
  <cp:keywords>environmental health</cp:keywords>
  <dc:description/>
  <cp:lastModifiedBy>emma kennedy</cp:lastModifiedBy>
  <cp:revision>4</cp:revision>
  <cp:lastPrinted>2018-10-09T02:22:00Z</cp:lastPrinted>
  <dcterms:created xsi:type="dcterms:W3CDTF">2019-09-16T01:10:00Z</dcterms:created>
  <dcterms:modified xsi:type="dcterms:W3CDTF">2022-07-22T05:51:00Z</dcterms:modified>
  <cp:category/>
</cp:coreProperties>
</file>