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63AD" w14:textId="0A0E88BE" w:rsidR="005C708A" w:rsidRDefault="00846A82" w:rsidP="00846A82">
      <w:pPr>
        <w:tabs>
          <w:tab w:val="left" w:pos="7650"/>
        </w:tabs>
        <w:rPr>
          <w:rFonts w:ascii="Arial" w:eastAsia="Times New Roman" w:hAnsi="Arial" w:cs="Arial"/>
          <w:color w:val="222222"/>
          <w:sz w:val="22"/>
          <w:szCs w:val="22"/>
          <w:lang w:eastAsia="en-AU"/>
        </w:rPr>
      </w:pPr>
      <w:r>
        <w:rPr>
          <w:rFonts w:ascii="Arial" w:eastAsia="Times New Roman" w:hAnsi="Arial" w:cs="Arial"/>
          <w:color w:val="222222"/>
          <w:sz w:val="22"/>
          <w:szCs w:val="22"/>
          <w:lang w:eastAsia="en-AU"/>
        </w:rPr>
        <w:tab/>
      </w:r>
      <w:r>
        <w:rPr>
          <w:noProof/>
          <w:lang w:eastAsia="en-AU"/>
        </w:rPr>
        <w:drawing>
          <wp:inline distT="0" distB="0" distL="0" distR="0" wp14:anchorId="33C7CDAC" wp14:editId="132A0C24">
            <wp:extent cx="1619250" cy="409575"/>
            <wp:effectExtent l="0" t="0" r="0" b="9525"/>
            <wp:docPr id="6" name="Picture 6" descr="EN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HEALTH"/>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inline>
        </w:drawing>
      </w:r>
    </w:p>
    <w:p w14:paraId="2FB829CA" w14:textId="4CF730DB" w:rsidR="00846A82" w:rsidRPr="006B15A0" w:rsidRDefault="00846A82" w:rsidP="00846A82">
      <w:pPr>
        <w:pStyle w:val="Header"/>
        <w:jc w:val="right"/>
        <w:rPr>
          <w:rFonts w:ascii="Arial" w:hAnsi="Arial" w:cs="Arial"/>
          <w:b/>
          <w:bCs/>
          <w:sz w:val="20"/>
        </w:rPr>
      </w:pPr>
      <w:r>
        <w:rPr>
          <w:rFonts w:ascii="Arial" w:hAnsi="Arial" w:cs="Arial"/>
          <w:b/>
          <w:bCs/>
          <w:sz w:val="20"/>
        </w:rPr>
        <w:t>E</w:t>
      </w:r>
      <w:r w:rsidRPr="006B15A0">
        <w:rPr>
          <w:rFonts w:ascii="Arial" w:hAnsi="Arial" w:cs="Arial"/>
          <w:b/>
          <w:bCs/>
          <w:sz w:val="20"/>
        </w:rPr>
        <w:t>nvironmental Health Standing Committee (enHealth) of the</w:t>
      </w:r>
    </w:p>
    <w:p w14:paraId="47280712" w14:textId="1943F230" w:rsidR="00846A82" w:rsidRPr="006B15A0" w:rsidRDefault="00846A82" w:rsidP="00846A82">
      <w:pPr>
        <w:pStyle w:val="Header"/>
        <w:jc w:val="right"/>
        <w:rPr>
          <w:rFonts w:ascii="Arial" w:hAnsi="Arial" w:cs="Arial"/>
          <w:b/>
          <w:bCs/>
          <w:sz w:val="20"/>
        </w:rPr>
      </w:pPr>
      <w:r w:rsidRPr="006B15A0">
        <w:rPr>
          <w:rFonts w:ascii="Arial" w:hAnsi="Arial" w:cs="Arial"/>
          <w:b/>
          <w:bCs/>
          <w:sz w:val="20"/>
        </w:rPr>
        <w:t>Australian Health Protection Principal Committee</w:t>
      </w:r>
    </w:p>
    <w:p w14:paraId="6AA0A3C8" w14:textId="1CC148B1" w:rsidR="00846A82" w:rsidRDefault="00846A82" w:rsidP="00846A82">
      <w:pPr>
        <w:tabs>
          <w:tab w:val="left" w:pos="7650"/>
        </w:tabs>
        <w:rPr>
          <w:rFonts w:ascii="Arial" w:eastAsia="Times New Roman" w:hAnsi="Arial" w:cs="Arial"/>
          <w:color w:val="222222"/>
          <w:sz w:val="22"/>
          <w:szCs w:val="22"/>
          <w:lang w:eastAsia="en-AU"/>
        </w:rPr>
      </w:pPr>
      <w:r>
        <w:rPr>
          <w:noProof/>
          <w:lang w:eastAsia="en-AU"/>
        </w:rPr>
        <mc:AlternateContent>
          <mc:Choice Requires="wps">
            <w:drawing>
              <wp:anchor distT="0" distB="0" distL="114300" distR="114300" simplePos="0" relativeHeight="251659264" behindDoc="0" locked="0" layoutInCell="1" allowOverlap="1" wp14:anchorId="0A0AAAF8" wp14:editId="3E0E7DA6">
                <wp:simplePos x="0" y="0"/>
                <wp:positionH relativeFrom="margin">
                  <wp:align>right</wp:align>
                </wp:positionH>
                <wp:positionV relativeFrom="page">
                  <wp:posOffset>1677035</wp:posOffset>
                </wp:positionV>
                <wp:extent cx="3957955" cy="4025512"/>
                <wp:effectExtent l="0" t="0" r="4445" b="0"/>
                <wp:wrapNone/>
                <wp:docPr id="467" name="Rectangle 467"/>
                <wp:cNvGraphicFramePr/>
                <a:graphic xmlns:a="http://schemas.openxmlformats.org/drawingml/2006/main">
                  <a:graphicData uri="http://schemas.microsoft.com/office/word/2010/wordprocessingShape">
                    <wps:wsp>
                      <wps:cNvSpPr/>
                      <wps:spPr>
                        <a:xfrm>
                          <a:off x="0" y="0"/>
                          <a:ext cx="3957955" cy="4025512"/>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A63A90" w14:textId="77777777" w:rsidR="00562EFE" w:rsidRPr="007F376C" w:rsidRDefault="00562EFE" w:rsidP="005C708A">
                            <w:pPr>
                              <w:pStyle w:val="T1"/>
                              <w:ind w:left="720"/>
                              <w:rPr>
                                <w:color w:val="000000" w:themeColor="text1"/>
                                <w14:textOutline w14:w="0" w14:cap="flat" w14:cmpd="sng" w14:algn="ctr">
                                  <w14:noFill/>
                                  <w14:prstDash w14:val="solid"/>
                                  <w14:round/>
                                </w14:textOutline>
                              </w:rPr>
                            </w:pPr>
                            <w:r w:rsidRPr="007F376C">
                              <w:rPr>
                                <w:color w:val="000000" w:themeColor="text1"/>
                                <w14:textOutline w14:w="0" w14:cap="flat" w14:cmpd="sng" w14:algn="ctr">
                                  <w14:noFill/>
                                  <w14:prstDash w14:val="solid"/>
                                  <w14:round/>
                                </w14:textOutline>
                              </w:rPr>
                              <w:t>Environmental</w:t>
                            </w:r>
                            <w:r w:rsidRPr="007F376C">
                              <w:rPr>
                                <w:color w:val="000000" w:themeColor="text1"/>
                                <w14:textOutline w14:w="0" w14:cap="flat" w14:cmpd="sng" w14:algn="ctr">
                                  <w14:noFill/>
                                  <w14:prstDash w14:val="solid"/>
                                  <w14:round/>
                                </w14:textOutline>
                              </w:rPr>
                              <w:br/>
                              <w:t>Health</w:t>
                            </w:r>
                            <w:r w:rsidRPr="007F376C">
                              <w:rPr>
                                <w:color w:val="000000" w:themeColor="text1"/>
                                <w14:textOutline w14:w="0" w14:cap="flat" w14:cmpd="sng" w14:algn="ctr">
                                  <w14:noFill/>
                                  <w14:prstDash w14:val="solid"/>
                                  <w14:round/>
                                </w14:textOutline>
                              </w:rPr>
                              <w:br/>
                              <w:t>Standing</w:t>
                            </w:r>
                          </w:p>
                          <w:p w14:paraId="2A219548" w14:textId="77777777" w:rsidR="00562EFE" w:rsidRPr="007F376C" w:rsidRDefault="00562EFE" w:rsidP="005C708A">
                            <w:pPr>
                              <w:pStyle w:val="T1"/>
                              <w:ind w:left="720"/>
                              <w:rPr>
                                <w:color w:val="000000" w:themeColor="text1"/>
                                <w14:textOutline w14:w="0" w14:cap="flat" w14:cmpd="sng" w14:algn="ctr">
                                  <w14:noFill/>
                                  <w14:prstDash w14:val="solid"/>
                                  <w14:round/>
                                </w14:textOutline>
                              </w:rPr>
                            </w:pPr>
                            <w:r w:rsidRPr="007F376C">
                              <w:rPr>
                                <w:color w:val="000000" w:themeColor="text1"/>
                                <w14:textOutline w14:w="0" w14:cap="flat" w14:cmpd="sng" w14:algn="ctr">
                                  <w14:noFill/>
                                  <w14:prstDash w14:val="solid"/>
                                  <w14:round/>
                                </w14:textOutline>
                              </w:rPr>
                              <w:t>Committee (enHealth)</w:t>
                            </w:r>
                          </w:p>
                          <w:p w14:paraId="6568C55E" w14:textId="77777777" w:rsidR="00562EFE" w:rsidRPr="00AD54AF" w:rsidRDefault="00562EFE" w:rsidP="005C708A">
                            <w:pPr>
                              <w:pStyle w:val="T1"/>
                              <w:spacing w:before="240" w:line="400" w:lineRule="exact"/>
                              <w:ind w:left="720"/>
                              <w:rPr>
                                <w:color w:val="FFFFFF" w:themeColor="background1"/>
                                <w:sz w:val="32"/>
                                <w:szCs w:val="32"/>
                              </w:rPr>
                            </w:pPr>
                            <w:r w:rsidRPr="007F376C">
                              <w:rPr>
                                <w:color w:val="000000" w:themeColor="text1"/>
                                <w:sz w:val="32"/>
                                <w:szCs w:val="32"/>
                                <w14:textOutline w14:w="0" w14:cap="flat" w14:cmpd="sng" w14:algn="ctr">
                                  <w14:noFill/>
                                  <w14:prstDash w14:val="solid"/>
                                  <w14:round/>
                                </w14:textOutline>
                              </w:rPr>
                              <w:t>of the Australian Health Protection Principal Committee</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0AAAF8" id="Rectangle 467" o:spid="_x0000_s1026" style="position:absolute;margin-left:260.45pt;margin-top:132.05pt;width:311.65pt;height:316.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" fillcolor="#e2efd9 [665]" stroked="f" strokeweight="1pt">
                <v:textbox inset="14.4pt,14.4pt,14.4pt,28.8pt">
                  <w:txbxContent>
                    <w:p w14:paraId="5EA63A90" w14:textId="77777777" w:rsidR="00562EFE" w:rsidRPr="007F376C" w:rsidRDefault="00562EFE" w:rsidP="005C708A">
                      <w:pPr>
                        <w:pStyle w:val="T1"/>
                        <w:ind w:left="720"/>
                        <w:rPr>
                          <w:color w:val="000000" w:themeColor="text1"/>
                          <w14:textOutline w14:w="0" w14:cap="flat" w14:cmpd="sng" w14:algn="ctr">
                            <w14:noFill/>
                            <w14:prstDash w14:val="solid"/>
                            <w14:round/>
                          </w14:textOutline>
                        </w:rPr>
                      </w:pPr>
                      <w:r w:rsidRPr="007F376C">
                        <w:rPr>
                          <w:color w:val="000000" w:themeColor="text1"/>
                          <w14:textOutline w14:w="0" w14:cap="flat" w14:cmpd="sng" w14:algn="ctr">
                            <w14:noFill/>
                            <w14:prstDash w14:val="solid"/>
                            <w14:round/>
                          </w14:textOutline>
                        </w:rPr>
                        <w:t>Environmental</w:t>
                      </w:r>
                      <w:r w:rsidRPr="007F376C">
                        <w:rPr>
                          <w:color w:val="000000" w:themeColor="text1"/>
                          <w14:textOutline w14:w="0" w14:cap="flat" w14:cmpd="sng" w14:algn="ctr">
                            <w14:noFill/>
                            <w14:prstDash w14:val="solid"/>
                            <w14:round/>
                          </w14:textOutline>
                        </w:rPr>
                        <w:br/>
                        <w:t>Health</w:t>
                      </w:r>
                      <w:r w:rsidRPr="007F376C">
                        <w:rPr>
                          <w:color w:val="000000" w:themeColor="text1"/>
                          <w14:textOutline w14:w="0" w14:cap="flat" w14:cmpd="sng" w14:algn="ctr">
                            <w14:noFill/>
                            <w14:prstDash w14:val="solid"/>
                            <w14:round/>
                          </w14:textOutline>
                        </w:rPr>
                        <w:br/>
                        <w:t>Standing</w:t>
                      </w:r>
                    </w:p>
                    <w:p w14:paraId="2A219548" w14:textId="77777777" w:rsidR="00562EFE" w:rsidRPr="007F376C" w:rsidRDefault="00562EFE" w:rsidP="005C708A">
                      <w:pPr>
                        <w:pStyle w:val="T1"/>
                        <w:ind w:left="720"/>
                        <w:rPr>
                          <w:color w:val="000000" w:themeColor="text1"/>
                          <w14:textOutline w14:w="0" w14:cap="flat" w14:cmpd="sng" w14:algn="ctr">
                            <w14:noFill/>
                            <w14:prstDash w14:val="solid"/>
                            <w14:round/>
                          </w14:textOutline>
                        </w:rPr>
                      </w:pPr>
                      <w:r w:rsidRPr="007F376C">
                        <w:rPr>
                          <w:color w:val="000000" w:themeColor="text1"/>
                          <w14:textOutline w14:w="0" w14:cap="flat" w14:cmpd="sng" w14:algn="ctr">
                            <w14:noFill/>
                            <w14:prstDash w14:val="solid"/>
                            <w14:round/>
                          </w14:textOutline>
                        </w:rPr>
                        <w:t>Committee (enHealth)</w:t>
                      </w:r>
                    </w:p>
                    <w:p w14:paraId="6568C55E" w14:textId="77777777" w:rsidR="00562EFE" w:rsidRPr="00AD54AF" w:rsidRDefault="00562EFE" w:rsidP="005C708A">
                      <w:pPr>
                        <w:pStyle w:val="T1"/>
                        <w:spacing w:before="240" w:line="400" w:lineRule="exact"/>
                        <w:ind w:left="720"/>
                        <w:rPr>
                          <w:color w:val="FFFFFF" w:themeColor="background1"/>
                          <w:sz w:val="32"/>
                          <w:szCs w:val="32"/>
                        </w:rPr>
                      </w:pPr>
                      <w:proofErr w:type="gramStart"/>
                      <w:r w:rsidRPr="007F376C">
                        <w:rPr>
                          <w:color w:val="000000" w:themeColor="text1"/>
                          <w:sz w:val="32"/>
                          <w:szCs w:val="32"/>
                          <w14:textOutline w14:w="0" w14:cap="flat" w14:cmpd="sng" w14:algn="ctr">
                            <w14:noFill/>
                            <w14:prstDash w14:val="solid"/>
                            <w14:round/>
                          </w14:textOutline>
                        </w:rPr>
                        <w:t>of</w:t>
                      </w:r>
                      <w:proofErr w:type="gramEnd"/>
                      <w:r w:rsidRPr="007F376C">
                        <w:rPr>
                          <w:color w:val="000000" w:themeColor="text1"/>
                          <w:sz w:val="32"/>
                          <w:szCs w:val="32"/>
                          <w14:textOutline w14:w="0" w14:cap="flat" w14:cmpd="sng" w14:algn="ctr">
                            <w14:noFill/>
                            <w14:prstDash w14:val="solid"/>
                            <w14:round/>
                          </w14:textOutline>
                        </w:rPr>
                        <w:t xml:space="preserve"> the Australian Health Protection Principal Committee</w:t>
                      </w:r>
                    </w:p>
                  </w:txbxContent>
                </v:textbox>
                <w10:wrap anchorx="margin" anchory="page"/>
              </v:rect>
            </w:pict>
          </mc:Fallback>
        </mc:AlternateContent>
      </w:r>
    </w:p>
    <w:sdt>
      <w:sdtPr>
        <w:id w:val="-1561551373"/>
        <w:docPartObj>
          <w:docPartGallery w:val="Cover Pages"/>
          <w:docPartUnique/>
        </w:docPartObj>
      </w:sdtPr>
      <w:sdtContent>
        <w:p w14:paraId="6B288D8A" w14:textId="0DD660D8" w:rsidR="005C708A" w:rsidRDefault="005C708A" w:rsidP="005C708A">
          <w:r>
            <w:rPr>
              <w:noProof/>
              <w:lang w:eastAsia="en-AU"/>
            </w:rPr>
            <mc:AlternateContent>
              <mc:Choice Requires="wps">
                <w:drawing>
                  <wp:anchor distT="0" distB="0" distL="114300" distR="114300" simplePos="0" relativeHeight="251660288" behindDoc="1" locked="0" layoutInCell="1" allowOverlap="1" wp14:anchorId="3AA9B08B" wp14:editId="227D466A">
                    <wp:simplePos x="0" y="0"/>
                    <wp:positionH relativeFrom="page">
                      <wp:align>center</wp:align>
                    </wp:positionH>
                    <wp:positionV relativeFrom="page">
                      <wp:align>center</wp:align>
                    </wp:positionV>
                    <wp:extent cx="7383780" cy="9555480"/>
                    <wp:effectExtent l="0" t="0" r="0" b="0"/>
                    <wp:wrapNone/>
                    <wp:docPr id="466" name="Rectangle 466" descr="Cover Page" title="enHealth Work Plan 2020-20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solidFill>
                              <a:schemeClr val="accent6"/>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5862D79" w14:textId="77777777" w:rsidR="00562EFE" w:rsidRDefault="00562EFE" w:rsidP="005C708A"/>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AA9B08B" id="Rectangle 466" o:spid="_x0000_s1027" alt="Title: enHealth Work Plan 2020-2023 - Description: Cover Page" style="position:absolute;margin-left:0;margin-top:0;width:581.4pt;height:752.4pt;z-index:-25165619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" fillcolor="#70ad47 [3209]" stroked="f" strokeweight="1pt">
                    <v:path arrowok="t"/>
                    <v:textbox inset="21.6pt,,21.6pt">
                      <w:txbxContent>
                        <w:p w14:paraId="75862D79" w14:textId="77777777" w:rsidR="00562EFE" w:rsidRDefault="00562EFE" w:rsidP="005C708A"/>
                      </w:txbxContent>
                    </v:textbox>
                    <w10:wrap anchorx="page" anchory="page"/>
                  </v:rect>
                </w:pict>
              </mc:Fallback>
            </mc:AlternateContent>
          </w:r>
        </w:p>
        <w:p w14:paraId="0DCADDBF" w14:textId="6E01EADF" w:rsidR="005C708A" w:rsidRDefault="005C708A" w:rsidP="005C708A">
          <w:pPr>
            <w:spacing w:after="200" w:line="276" w:lineRule="auto"/>
          </w:pPr>
          <w:r>
            <w:rPr>
              <w:noProof/>
              <w:lang w:eastAsia="en-AU"/>
            </w:rPr>
            <mc:AlternateContent>
              <mc:Choice Requires="wps">
                <w:drawing>
                  <wp:anchor distT="0" distB="0" distL="114300" distR="114300" simplePos="0" relativeHeight="251661312" behindDoc="0" locked="0" layoutInCell="1" allowOverlap="1" wp14:anchorId="1BDF4038" wp14:editId="376DA838">
                    <wp:simplePos x="0" y="0"/>
                    <wp:positionH relativeFrom="page">
                      <wp:posOffset>3489526</wp:posOffset>
                    </wp:positionH>
                    <wp:positionV relativeFrom="page">
                      <wp:posOffset>6020745</wp:posOffset>
                    </wp:positionV>
                    <wp:extent cx="3401122" cy="267525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3401122" cy="2675255"/>
                            </a:xfrm>
                            <a:prstGeom prst="rect">
                              <a:avLst/>
                            </a:prstGeom>
                            <a:noFill/>
                            <a:ln w="6350">
                              <a:noFill/>
                            </a:ln>
                            <a:effectLst/>
                          </wps:spPr>
                          <wps:txbx>
                            <w:txbxContent>
                              <w:p w14:paraId="7D6B00C7" w14:textId="766B55BE" w:rsidR="00562EFE" w:rsidRPr="006113DE" w:rsidRDefault="00562EFE" w:rsidP="000142DA">
                                <w:pPr>
                                  <w:pStyle w:val="BasicParagraph"/>
                                  <w:jc w:val="center"/>
                                  <w:rPr>
                                    <w:rFonts w:ascii="Myriad Pro Light" w:hAnsi="Myriad Pro Light" w:cs="Myriad Pro Light"/>
                                    <w:sz w:val="60"/>
                                    <w:szCs w:val="60"/>
                                  </w:rPr>
                                </w:pPr>
                                <w:r w:rsidRPr="007F376C">
                                  <w:rPr>
                                    <w:rFonts w:ascii="Myriad Pro Light" w:hAnsi="Myriad Pro Light" w:cs="Myriad Pro Light"/>
                                    <w:color w:val="FFFFFF" w:themeColor="background1"/>
                                    <w:sz w:val="60"/>
                                    <w:szCs w:val="60"/>
                                  </w:rPr>
                                  <w:t xml:space="preserve">Work Plan </w:t>
                                </w:r>
                                <w:r w:rsidRPr="007F376C">
                                  <w:rPr>
                                    <w:rFonts w:ascii="Myriad Pro Light" w:hAnsi="Myriad Pro Light" w:cs="Myriad Pro Light"/>
                                    <w:color w:val="FFFFFF" w:themeColor="background1"/>
                                    <w:sz w:val="60"/>
                                    <w:szCs w:val="60"/>
                                  </w:rPr>
                                  <w:br/>
                                </w:r>
                                <w:r w:rsidRPr="007F376C">
                                  <w:rPr>
                                    <w:rFonts w:ascii="Myriad Pro Light" w:hAnsi="Myriad Pro Light" w:cs="Myriad Pro Light"/>
                                    <w:color w:val="FFFFFF" w:themeColor="background1"/>
                                    <w:sz w:val="40"/>
                                    <w:szCs w:val="40"/>
                                  </w:rPr>
                                  <w:t>2020-2023</w:t>
                                </w:r>
                              </w:p>
                              <w:p w14:paraId="0D09D306" w14:textId="77777777" w:rsidR="00562EFE" w:rsidRDefault="00562EFE" w:rsidP="005C708A">
                                <w:pPr>
                                  <w:pStyle w:val="NoSpacing"/>
                                  <w:rPr>
                                    <w:noProof/>
                                    <w:color w:val="44546A"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BDF4038" id="_x0000_t202" coordsize="21600,21600" o:spt="202" path="m,l,21600r21600,l21600,xe">
                    <v:stroke joinstyle="miter"/>
                    <v:path gradientshapeok="t" o:connecttype="rect"/>
                  </v:shapetype>
                  <v:shape id="Text Box 465" o:spid="_x0000_s1028" type="#_x0000_t202" style="position:absolute;margin-left:274.75pt;margin-top:474.05pt;width:267.8pt;height:210.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" filled="f" stroked="f" strokeweight=".5pt">
                    <v:textbox>
                      <w:txbxContent>
                        <w:p w14:paraId="7D6B00C7" w14:textId="766B55BE" w:rsidR="00562EFE" w:rsidRPr="006113DE" w:rsidRDefault="00562EFE" w:rsidP="000142DA">
                          <w:pPr>
                            <w:pStyle w:val="BasicParagraph"/>
                            <w:jc w:val="center"/>
                            <w:rPr>
                              <w:rFonts w:ascii="Myriad Pro Light" w:hAnsi="Myriad Pro Light" w:cs="Myriad Pro Light"/>
                              <w:sz w:val="60"/>
                              <w:szCs w:val="60"/>
                            </w:rPr>
                          </w:pPr>
                          <w:r w:rsidRPr="007F376C">
                            <w:rPr>
                              <w:rFonts w:ascii="Myriad Pro Light" w:hAnsi="Myriad Pro Light" w:cs="Myriad Pro Light"/>
                              <w:color w:val="FFFFFF" w:themeColor="background1"/>
                              <w:sz w:val="60"/>
                              <w:szCs w:val="60"/>
                            </w:rPr>
                            <w:t xml:space="preserve">Work Plan </w:t>
                          </w:r>
                          <w:r w:rsidRPr="007F376C">
                            <w:rPr>
                              <w:rFonts w:ascii="Myriad Pro Light" w:hAnsi="Myriad Pro Light" w:cs="Myriad Pro Light"/>
                              <w:color w:val="FFFFFF" w:themeColor="background1"/>
                              <w:sz w:val="60"/>
                              <w:szCs w:val="60"/>
                            </w:rPr>
                            <w:br/>
                          </w:r>
                          <w:r w:rsidRPr="007F376C">
                            <w:rPr>
                              <w:rFonts w:ascii="Myriad Pro Light" w:hAnsi="Myriad Pro Light" w:cs="Myriad Pro Light"/>
                              <w:color w:val="FFFFFF" w:themeColor="background1"/>
                              <w:sz w:val="40"/>
                              <w:szCs w:val="40"/>
                            </w:rPr>
                            <w:t>2020-2023</w:t>
                          </w:r>
                        </w:p>
                        <w:p w14:paraId="0D09D306" w14:textId="77777777" w:rsidR="00562EFE" w:rsidRDefault="00562EFE" w:rsidP="005C708A">
                          <w:pPr>
                            <w:pStyle w:val="NoSpacing"/>
                            <w:rPr>
                              <w:noProof/>
                              <w:color w:val="44546A" w:themeColor="text2"/>
                            </w:rPr>
                          </w:pPr>
                        </w:p>
                      </w:txbxContent>
                    </v:textbox>
                    <w10:wrap type="square" anchorx="page" anchory="page"/>
                  </v:shape>
                </w:pict>
              </mc:Fallback>
            </mc:AlternateContent>
          </w:r>
          <w:r>
            <w:br w:type="page"/>
          </w:r>
        </w:p>
      </w:sdtContent>
    </w:sdt>
    <w:p w14:paraId="69D2E944" w14:textId="3F5474F3" w:rsidR="0089044D" w:rsidRPr="007F376C" w:rsidRDefault="0089044D" w:rsidP="007F376C">
      <w:pPr>
        <w:pStyle w:val="Heading1"/>
        <w:pageBreakBefore/>
        <w:numPr>
          <w:ilvl w:val="0"/>
          <w:numId w:val="0"/>
        </w:numPr>
        <w:tabs>
          <w:tab w:val="clear" w:pos="-1440"/>
          <w:tab w:val="clear" w:pos="567"/>
          <w:tab w:val="left" w:pos="851"/>
        </w:tabs>
        <w:spacing w:after="240"/>
        <w:rPr>
          <w:rFonts w:ascii="Arial" w:hAnsi="Arial"/>
          <w:color w:val="70AD47" w:themeColor="accent6"/>
          <w:sz w:val="32"/>
        </w:rPr>
      </w:pPr>
      <w:bookmarkStart w:id="0" w:name="_Toc389384587"/>
      <w:bookmarkStart w:id="1" w:name="_Toc33464112"/>
      <w:r>
        <w:rPr>
          <w:rFonts w:ascii="Arial" w:hAnsi="Arial"/>
          <w:color w:val="70AD47" w:themeColor="accent6"/>
          <w:sz w:val="32"/>
        </w:rPr>
        <w:lastRenderedPageBreak/>
        <w:t>Overview</w:t>
      </w:r>
      <w:bookmarkEnd w:id="0"/>
      <w:bookmarkEnd w:id="1"/>
    </w:p>
    <w:p w14:paraId="11DC4D0B" w14:textId="22C6226F" w:rsidR="009150FF" w:rsidRPr="009150FF" w:rsidRDefault="00AD54AF" w:rsidP="003A51A3">
      <w:pPr>
        <w:spacing w:before="120" w:after="120" w:line="300" w:lineRule="exact"/>
        <w:rPr>
          <w:rFonts w:ascii="Arial" w:eastAsia="Times New Roman" w:hAnsi="Arial" w:cs="Arial"/>
          <w:color w:val="222222"/>
          <w:sz w:val="22"/>
          <w:szCs w:val="22"/>
          <w:lang w:eastAsia="en-AU"/>
        </w:rPr>
      </w:pPr>
      <w:r>
        <w:rPr>
          <w:rFonts w:ascii="Arial" w:eastAsia="Times New Roman" w:hAnsi="Arial" w:cs="Arial"/>
          <w:color w:val="222222"/>
          <w:sz w:val="22"/>
          <w:szCs w:val="22"/>
          <w:lang w:eastAsia="en-AU"/>
        </w:rPr>
        <w:t>This work plan h</w:t>
      </w:r>
      <w:r w:rsidR="001232F0" w:rsidRPr="001232F0">
        <w:rPr>
          <w:rFonts w:ascii="Arial" w:eastAsia="Times New Roman" w:hAnsi="Arial" w:cs="Arial"/>
          <w:color w:val="222222"/>
          <w:sz w:val="22"/>
          <w:szCs w:val="22"/>
          <w:lang w:eastAsia="en-AU"/>
        </w:rPr>
        <w:t xml:space="preserve">as </w:t>
      </w:r>
      <w:r>
        <w:rPr>
          <w:rFonts w:ascii="Arial" w:eastAsia="Times New Roman" w:hAnsi="Arial" w:cs="Arial"/>
          <w:color w:val="222222"/>
          <w:sz w:val="22"/>
          <w:szCs w:val="22"/>
          <w:lang w:eastAsia="en-AU"/>
        </w:rPr>
        <w:t xml:space="preserve">been </w:t>
      </w:r>
      <w:r w:rsidR="001232F0" w:rsidRPr="001232F0">
        <w:rPr>
          <w:rFonts w:ascii="Arial" w:eastAsia="Times New Roman" w:hAnsi="Arial" w:cs="Arial"/>
          <w:color w:val="222222"/>
          <w:sz w:val="22"/>
          <w:szCs w:val="22"/>
          <w:lang w:eastAsia="en-AU"/>
        </w:rPr>
        <w:t xml:space="preserve">developed </w:t>
      </w:r>
      <w:r>
        <w:rPr>
          <w:rFonts w:ascii="Arial" w:eastAsia="Times New Roman" w:hAnsi="Arial" w:cs="Arial"/>
          <w:color w:val="222222"/>
          <w:sz w:val="22"/>
          <w:szCs w:val="22"/>
          <w:lang w:eastAsia="en-AU"/>
        </w:rPr>
        <w:t>to</w:t>
      </w:r>
      <w:r w:rsidR="001232F0" w:rsidRPr="001232F0">
        <w:rPr>
          <w:rFonts w:ascii="Arial" w:eastAsia="Times New Roman" w:hAnsi="Arial" w:cs="Arial"/>
          <w:color w:val="222222"/>
          <w:sz w:val="22"/>
          <w:szCs w:val="22"/>
          <w:lang w:eastAsia="en-AU"/>
        </w:rPr>
        <w:t xml:space="preserve"> be read in conjunction with the </w:t>
      </w:r>
      <w:r w:rsidR="001232F0" w:rsidRPr="007F376C">
        <w:rPr>
          <w:rFonts w:ascii="Arial" w:eastAsia="Times New Roman" w:hAnsi="Arial" w:cs="Arial"/>
          <w:i/>
          <w:color w:val="222222"/>
          <w:sz w:val="22"/>
          <w:szCs w:val="22"/>
          <w:lang w:eastAsia="en-AU"/>
        </w:rPr>
        <w:t>enHealth Strategic Plan 2020-2023</w:t>
      </w:r>
      <w:r w:rsidR="001232F0">
        <w:rPr>
          <w:rFonts w:ascii="Arial" w:eastAsia="Times New Roman" w:hAnsi="Arial" w:cs="Arial"/>
          <w:color w:val="222222"/>
          <w:sz w:val="22"/>
          <w:szCs w:val="22"/>
          <w:lang w:eastAsia="en-AU"/>
        </w:rPr>
        <w:t xml:space="preserve">. The strategic plan identifies three </w:t>
      </w:r>
      <w:r w:rsidR="009150FF" w:rsidRPr="009150FF">
        <w:rPr>
          <w:rFonts w:ascii="Arial" w:eastAsia="Times New Roman" w:hAnsi="Arial" w:cs="Arial"/>
          <w:color w:val="222222"/>
          <w:sz w:val="22"/>
          <w:szCs w:val="22"/>
          <w:lang w:eastAsia="en-AU"/>
        </w:rPr>
        <w:t xml:space="preserve">strategic priorities </w:t>
      </w:r>
      <w:r w:rsidR="001232F0">
        <w:rPr>
          <w:rFonts w:ascii="Arial" w:eastAsia="Times New Roman" w:hAnsi="Arial" w:cs="Arial"/>
          <w:color w:val="222222"/>
          <w:sz w:val="22"/>
          <w:szCs w:val="22"/>
          <w:lang w:eastAsia="en-AU"/>
        </w:rPr>
        <w:t xml:space="preserve">from the </w:t>
      </w:r>
      <w:r w:rsidR="009150FF" w:rsidRPr="00E60EF4">
        <w:rPr>
          <w:rFonts w:ascii="Arial" w:eastAsia="Times New Roman" w:hAnsi="Arial" w:cs="Arial"/>
          <w:i/>
          <w:color w:val="222222"/>
          <w:sz w:val="22"/>
          <w:szCs w:val="22"/>
          <w:lang w:eastAsia="en-AU"/>
        </w:rPr>
        <w:t>AHPPC Strategic Plan 2019-2023</w:t>
      </w:r>
      <w:r w:rsidR="0089044D">
        <w:rPr>
          <w:rFonts w:ascii="Arial" w:eastAsia="Times New Roman" w:hAnsi="Arial" w:cs="Arial"/>
          <w:color w:val="222222"/>
          <w:sz w:val="22"/>
          <w:szCs w:val="22"/>
          <w:lang w:eastAsia="en-AU"/>
        </w:rPr>
        <w:t xml:space="preserve"> that</w:t>
      </w:r>
      <w:r w:rsidR="009150FF" w:rsidRPr="009150FF">
        <w:rPr>
          <w:rFonts w:ascii="Arial" w:eastAsia="Times New Roman" w:hAnsi="Arial" w:cs="Arial"/>
          <w:color w:val="222222"/>
          <w:sz w:val="22"/>
          <w:szCs w:val="22"/>
          <w:lang w:eastAsia="en-AU"/>
        </w:rPr>
        <w:t xml:space="preserve"> </w:t>
      </w:r>
      <w:proofErr w:type="spellStart"/>
      <w:r w:rsidR="00DD6E61" w:rsidRPr="009150FF">
        <w:rPr>
          <w:rFonts w:ascii="Arial" w:eastAsia="Times New Roman" w:hAnsi="Arial" w:cs="Arial"/>
          <w:color w:val="222222"/>
          <w:sz w:val="22"/>
          <w:szCs w:val="22"/>
          <w:lang w:eastAsia="en-AU"/>
        </w:rPr>
        <w:t>enHealth</w:t>
      </w:r>
      <w:r w:rsidR="009150FF" w:rsidRPr="009150FF">
        <w:rPr>
          <w:rFonts w:ascii="Arial" w:eastAsia="Times New Roman" w:hAnsi="Arial" w:cs="Arial"/>
          <w:color w:val="222222"/>
          <w:sz w:val="22"/>
          <w:szCs w:val="22"/>
          <w:lang w:eastAsia="en-AU"/>
        </w:rPr>
        <w:t>’s</w:t>
      </w:r>
      <w:proofErr w:type="spellEnd"/>
      <w:r w:rsidR="00DD6E61" w:rsidRPr="009150FF">
        <w:rPr>
          <w:rFonts w:ascii="Arial" w:eastAsia="Times New Roman" w:hAnsi="Arial" w:cs="Arial"/>
          <w:color w:val="222222"/>
          <w:sz w:val="22"/>
          <w:szCs w:val="22"/>
          <w:lang w:eastAsia="en-AU"/>
        </w:rPr>
        <w:t xml:space="preserve"> work wi</w:t>
      </w:r>
      <w:r w:rsidR="009150FF" w:rsidRPr="009150FF">
        <w:rPr>
          <w:rFonts w:ascii="Arial" w:eastAsia="Times New Roman" w:hAnsi="Arial" w:cs="Arial"/>
          <w:color w:val="222222"/>
          <w:sz w:val="22"/>
          <w:szCs w:val="22"/>
          <w:lang w:eastAsia="en-AU"/>
        </w:rPr>
        <w:t>ll contribute to</w:t>
      </w:r>
      <w:r w:rsidR="003B14EC">
        <w:rPr>
          <w:rFonts w:ascii="Arial" w:eastAsia="Times New Roman" w:hAnsi="Arial" w:cs="Arial"/>
          <w:color w:val="222222"/>
          <w:sz w:val="22"/>
          <w:szCs w:val="22"/>
          <w:lang w:eastAsia="en-AU"/>
        </w:rPr>
        <w:t>,</w:t>
      </w:r>
      <w:r w:rsidR="009150FF" w:rsidRPr="009150FF">
        <w:rPr>
          <w:rFonts w:ascii="Arial" w:eastAsia="Times New Roman" w:hAnsi="Arial" w:cs="Arial"/>
          <w:color w:val="222222"/>
          <w:sz w:val="22"/>
          <w:szCs w:val="22"/>
          <w:lang w:eastAsia="en-AU"/>
        </w:rPr>
        <w:t xml:space="preserve"> and crossover with</w:t>
      </w:r>
      <w:r>
        <w:rPr>
          <w:rFonts w:ascii="Arial" w:eastAsia="Times New Roman" w:hAnsi="Arial" w:cs="Arial"/>
          <w:color w:val="222222"/>
          <w:sz w:val="22"/>
          <w:szCs w:val="22"/>
          <w:lang w:eastAsia="en-AU"/>
        </w:rPr>
        <w:t>, as defined below</w:t>
      </w:r>
      <w:r w:rsidR="001232F0">
        <w:rPr>
          <w:rFonts w:ascii="Arial" w:eastAsia="Times New Roman" w:hAnsi="Arial" w:cs="Arial"/>
          <w:color w:val="222222"/>
          <w:sz w:val="22"/>
          <w:szCs w:val="22"/>
          <w:lang w:eastAsia="en-AU"/>
        </w:rPr>
        <w:t>:</w:t>
      </w:r>
      <w:r w:rsidR="00C205C6">
        <w:rPr>
          <w:rFonts w:ascii="Arial" w:eastAsia="Times New Roman" w:hAnsi="Arial" w:cs="Arial"/>
          <w:color w:val="222222"/>
          <w:sz w:val="22"/>
          <w:szCs w:val="22"/>
          <w:lang w:eastAsia="en-AU"/>
        </w:rPr>
        <w:t xml:space="preserve"> </w:t>
      </w:r>
    </w:p>
    <w:p w14:paraId="4B845B03" w14:textId="77777777" w:rsidR="009150FF" w:rsidRPr="00683967" w:rsidRDefault="009150FF" w:rsidP="003A51A3">
      <w:pPr>
        <w:pStyle w:val="Heading2"/>
        <w:numPr>
          <w:ilvl w:val="0"/>
          <w:numId w:val="0"/>
        </w:numPr>
        <w:spacing w:before="120" w:after="120" w:line="300" w:lineRule="exact"/>
        <w:ind w:left="720" w:hanging="720"/>
        <w:rPr>
          <w:i/>
          <w:color w:val="70AD47" w:themeColor="accent6"/>
        </w:rPr>
      </w:pPr>
      <w:bookmarkStart w:id="2" w:name="_Toc862588"/>
      <w:r w:rsidRPr="00683967">
        <w:rPr>
          <w:i/>
          <w:color w:val="70AD47" w:themeColor="accent6"/>
        </w:rPr>
        <w:t>Environmental health</w:t>
      </w:r>
      <w:bookmarkEnd w:id="2"/>
      <w:r w:rsidR="00652091" w:rsidRPr="00683967">
        <w:rPr>
          <w:i/>
          <w:color w:val="70AD47" w:themeColor="accent6"/>
        </w:rPr>
        <w:t xml:space="preserve"> (EH)</w:t>
      </w:r>
    </w:p>
    <w:p w14:paraId="2FA46EE3" w14:textId="1E00DD6B" w:rsidR="009150FF" w:rsidRDefault="009150FF" w:rsidP="003A51A3">
      <w:pPr>
        <w:spacing w:before="120" w:after="120" w:line="300" w:lineRule="exact"/>
        <w:rPr>
          <w:rFonts w:ascii="Arial" w:hAnsi="Arial" w:cs="Arial"/>
          <w:sz w:val="22"/>
          <w:szCs w:val="22"/>
        </w:rPr>
      </w:pPr>
      <w:r w:rsidRPr="009150FF">
        <w:rPr>
          <w:rFonts w:ascii="Arial" w:hAnsi="Arial" w:cs="Arial"/>
          <w:sz w:val="22"/>
          <w:szCs w:val="22"/>
        </w:rPr>
        <w:t>Environmental health encompasses the assessment and control of physical, chemical and biological factors in the environment that potentially or currently have an impact on health. Improvements in environmental determinants of health such as water quality and food safety, and control of other environmentally-determined diseases are critical to reducing morbidity and mortality. Australia has a robust system for the management of environmental health, however</w:t>
      </w:r>
      <w:r w:rsidR="00FF5ED0">
        <w:rPr>
          <w:rFonts w:ascii="Arial" w:hAnsi="Arial" w:cs="Arial"/>
          <w:sz w:val="22"/>
          <w:szCs w:val="22"/>
        </w:rPr>
        <w:t>,</w:t>
      </w:r>
      <w:r w:rsidRPr="009150FF">
        <w:rPr>
          <w:rFonts w:ascii="Arial" w:hAnsi="Arial" w:cs="Arial"/>
          <w:sz w:val="22"/>
          <w:szCs w:val="22"/>
        </w:rPr>
        <w:t xml:space="preserve"> must continue to be responsive as globalisation, varying land</w:t>
      </w:r>
      <w:r w:rsidR="00FF5ED0">
        <w:rPr>
          <w:rFonts w:ascii="Arial" w:hAnsi="Arial" w:cs="Arial"/>
          <w:sz w:val="22"/>
          <w:szCs w:val="22"/>
        </w:rPr>
        <w:t>-</w:t>
      </w:r>
      <w:r w:rsidRPr="009150FF">
        <w:rPr>
          <w:rFonts w:ascii="Arial" w:hAnsi="Arial" w:cs="Arial"/>
          <w:sz w:val="22"/>
          <w:szCs w:val="22"/>
        </w:rPr>
        <w:t>use patterns and changing environmental conditions all have the potential to accelerate the emergence or re-emergence of threats and risks.</w:t>
      </w:r>
    </w:p>
    <w:p w14:paraId="523ECA6A" w14:textId="77777777" w:rsidR="009150FF" w:rsidRPr="00683967" w:rsidRDefault="009150FF" w:rsidP="003A51A3">
      <w:pPr>
        <w:pStyle w:val="Heading2"/>
        <w:numPr>
          <w:ilvl w:val="0"/>
          <w:numId w:val="0"/>
        </w:numPr>
        <w:spacing w:before="120" w:after="120" w:line="300" w:lineRule="exact"/>
        <w:rPr>
          <w:i/>
          <w:color w:val="70AD47" w:themeColor="accent6"/>
        </w:rPr>
      </w:pPr>
      <w:bookmarkStart w:id="3" w:name="_Toc862590"/>
      <w:r w:rsidRPr="00683967">
        <w:rPr>
          <w:i/>
          <w:color w:val="70AD47" w:themeColor="accent6"/>
        </w:rPr>
        <w:t>Antimicrobial resistance</w:t>
      </w:r>
      <w:bookmarkEnd w:id="3"/>
      <w:r w:rsidR="00652091" w:rsidRPr="00683967">
        <w:rPr>
          <w:i/>
          <w:color w:val="70AD47" w:themeColor="accent6"/>
        </w:rPr>
        <w:t xml:space="preserve"> (AMR)</w:t>
      </w:r>
    </w:p>
    <w:p w14:paraId="4DE81714" w14:textId="45FAE792" w:rsidR="009150FF" w:rsidRPr="009150FF" w:rsidRDefault="009150FF" w:rsidP="003A51A3">
      <w:pPr>
        <w:spacing w:before="120" w:after="120" w:line="300" w:lineRule="exact"/>
        <w:rPr>
          <w:rFonts w:ascii="Arial" w:hAnsi="Arial" w:cs="Arial"/>
          <w:sz w:val="22"/>
          <w:szCs w:val="22"/>
        </w:rPr>
      </w:pPr>
      <w:r w:rsidRPr="009150FF">
        <w:rPr>
          <w:rFonts w:ascii="Arial" w:hAnsi="Arial" w:cs="Arial"/>
          <w:sz w:val="22"/>
          <w:szCs w:val="22"/>
        </w:rPr>
        <w:t>The rise of antimicrobial resistance (AMR) represents a serious threat to population health in Australia and globally. In 2018, the COAG Health Council reaffirmed AMR as a significant population health and patient safety issue that requires a coordinated national response across all levels of government. Australia has one of the highest antibiotic prescribing rates in the world and despite concerted effort, AMR rates are continuing to increase. The emergence of multi-drug resistant organisms also represents a significant challenge in health care, aged care</w:t>
      </w:r>
      <w:r w:rsidR="00532A32">
        <w:rPr>
          <w:rFonts w:ascii="Arial" w:hAnsi="Arial" w:cs="Arial"/>
          <w:sz w:val="22"/>
          <w:szCs w:val="22"/>
        </w:rPr>
        <w:t>,</w:t>
      </w:r>
      <w:r w:rsidRPr="009150FF">
        <w:rPr>
          <w:rFonts w:ascii="Arial" w:hAnsi="Arial" w:cs="Arial"/>
          <w:sz w:val="22"/>
          <w:szCs w:val="22"/>
        </w:rPr>
        <w:t xml:space="preserve"> community</w:t>
      </w:r>
      <w:r w:rsidR="00532A32">
        <w:rPr>
          <w:rFonts w:ascii="Arial" w:hAnsi="Arial" w:cs="Arial"/>
          <w:sz w:val="22"/>
          <w:szCs w:val="22"/>
        </w:rPr>
        <w:t>, and environmental</w:t>
      </w:r>
      <w:r w:rsidRPr="009150FF">
        <w:rPr>
          <w:rFonts w:ascii="Arial" w:hAnsi="Arial" w:cs="Arial"/>
          <w:sz w:val="22"/>
          <w:szCs w:val="22"/>
        </w:rPr>
        <w:t xml:space="preserve"> settings. </w:t>
      </w:r>
    </w:p>
    <w:p w14:paraId="5BCA3A8C" w14:textId="77777777" w:rsidR="009150FF" w:rsidRPr="00683967" w:rsidRDefault="009150FF" w:rsidP="003A51A3">
      <w:pPr>
        <w:pStyle w:val="Heading2"/>
        <w:numPr>
          <w:ilvl w:val="0"/>
          <w:numId w:val="0"/>
        </w:numPr>
        <w:spacing w:before="120" w:after="120" w:line="300" w:lineRule="exact"/>
        <w:rPr>
          <w:i/>
          <w:color w:val="70AD47" w:themeColor="accent6"/>
        </w:rPr>
      </w:pPr>
      <w:bookmarkStart w:id="4" w:name="_Toc862591"/>
      <w:r w:rsidRPr="00683967">
        <w:rPr>
          <w:i/>
          <w:color w:val="70AD47" w:themeColor="accent6"/>
        </w:rPr>
        <w:t>Climate change</w:t>
      </w:r>
      <w:bookmarkEnd w:id="4"/>
      <w:r w:rsidR="00652091" w:rsidRPr="00683967">
        <w:rPr>
          <w:i/>
          <w:color w:val="70AD47" w:themeColor="accent6"/>
        </w:rPr>
        <w:t xml:space="preserve"> (CC)</w:t>
      </w:r>
    </w:p>
    <w:p w14:paraId="7834F65B" w14:textId="0F45B8A5" w:rsidR="009150FF" w:rsidRDefault="009150FF" w:rsidP="003A51A3">
      <w:pPr>
        <w:spacing w:before="120" w:after="120" w:line="300" w:lineRule="exact"/>
        <w:rPr>
          <w:rFonts w:ascii="Arial" w:hAnsi="Arial" w:cs="Arial"/>
          <w:sz w:val="22"/>
          <w:szCs w:val="22"/>
        </w:rPr>
      </w:pPr>
      <w:r w:rsidRPr="009150FF">
        <w:rPr>
          <w:rFonts w:ascii="Arial" w:hAnsi="Arial" w:cs="Arial"/>
          <w:sz w:val="22"/>
          <w:szCs w:val="22"/>
        </w:rPr>
        <w:t>The AHPPC has identified climate change as an emerging priority, noting the intersection between health protection risk factors and climate change. Increasing numbers of natural disasters, rising temperatures, sea-level rises and altered rainfall patterns all have the potential to adversely impact health. The direct impacts of climate change on health include heat related morbidity and mortality, increased respiratory illnesses and rising injuries and fatalities due to extreme weather events. Changing patterns of vectors, water or food borne infectious diseases and reduced nutritional value of foods may also indirectly impact population health outcomes.</w:t>
      </w:r>
    </w:p>
    <w:p w14:paraId="00C94545" w14:textId="6FFC4B1D" w:rsidR="0089044D" w:rsidRDefault="00AD54AF" w:rsidP="003A51A3">
      <w:pPr>
        <w:spacing w:before="120" w:after="120" w:line="300" w:lineRule="exact"/>
        <w:rPr>
          <w:rFonts w:ascii="Arial" w:hAnsi="Arial" w:cs="Arial"/>
          <w:sz w:val="22"/>
          <w:szCs w:val="22"/>
        </w:rPr>
      </w:pPr>
      <w:r>
        <w:rPr>
          <w:rFonts w:ascii="Arial" w:eastAsia="Times New Roman" w:hAnsi="Arial" w:cs="Arial"/>
          <w:color w:val="222222"/>
          <w:sz w:val="22"/>
          <w:szCs w:val="22"/>
          <w:lang w:eastAsia="en-AU"/>
        </w:rPr>
        <w:t>T</w:t>
      </w:r>
      <w:r w:rsidR="0089044D">
        <w:rPr>
          <w:rFonts w:ascii="Arial" w:eastAsia="Times New Roman" w:hAnsi="Arial" w:cs="Arial"/>
          <w:color w:val="222222"/>
          <w:sz w:val="22"/>
          <w:szCs w:val="22"/>
          <w:lang w:eastAsia="en-AU"/>
        </w:rPr>
        <w:t xml:space="preserve">he principles, objectives and enablers developed in the </w:t>
      </w:r>
      <w:r w:rsidR="0089044D" w:rsidRPr="00E60EF4">
        <w:rPr>
          <w:rFonts w:ascii="Arial" w:eastAsia="Times New Roman" w:hAnsi="Arial" w:cs="Arial"/>
          <w:i/>
          <w:color w:val="222222"/>
          <w:sz w:val="22"/>
          <w:szCs w:val="22"/>
          <w:lang w:eastAsia="en-AU"/>
        </w:rPr>
        <w:t>enHealth Strategic Plan 2020-23</w:t>
      </w:r>
      <w:r>
        <w:rPr>
          <w:rFonts w:ascii="Arial" w:eastAsia="Times New Roman" w:hAnsi="Arial" w:cs="Arial"/>
          <w:color w:val="222222"/>
          <w:sz w:val="22"/>
          <w:szCs w:val="22"/>
          <w:lang w:eastAsia="en-AU"/>
        </w:rPr>
        <w:t xml:space="preserve"> follow:</w:t>
      </w:r>
    </w:p>
    <w:p w14:paraId="46D0D566" w14:textId="6A8CFD97" w:rsidR="00627743" w:rsidRPr="000D1F84" w:rsidRDefault="00627743" w:rsidP="003A51A3">
      <w:pPr>
        <w:spacing w:before="120" w:after="120" w:line="300" w:lineRule="exact"/>
        <w:rPr>
          <w:rFonts w:ascii="Arial" w:hAnsi="Arial" w:cs="Arial"/>
          <w:sz w:val="22"/>
          <w:szCs w:val="22"/>
        </w:rPr>
      </w:pPr>
      <w:r w:rsidRPr="00E60EF4">
        <w:rPr>
          <w:rFonts w:ascii="Arial" w:hAnsi="Arial" w:cs="Arial"/>
          <w:b/>
          <w:color w:val="70AD47" w:themeColor="accent6"/>
          <w:sz w:val="22"/>
          <w:szCs w:val="22"/>
        </w:rPr>
        <w:t>Principles</w:t>
      </w:r>
    </w:p>
    <w:p w14:paraId="545E331B" w14:textId="77777777" w:rsidR="00627743" w:rsidRPr="000D1F84" w:rsidRDefault="00627743" w:rsidP="00627743">
      <w:pPr>
        <w:pStyle w:val="BodyText1"/>
        <w:spacing w:line="276" w:lineRule="auto"/>
        <w:ind w:left="0"/>
        <w:rPr>
          <w:rFonts w:ascii="Arial" w:eastAsia="Batang" w:hAnsi="Arial" w:cs="Arial"/>
          <w:szCs w:val="22"/>
        </w:rPr>
      </w:pPr>
      <w:r w:rsidRPr="000D1F84">
        <w:rPr>
          <w:rFonts w:ascii="Arial" w:eastAsia="Batang" w:hAnsi="Arial" w:cs="Arial"/>
          <w:b/>
          <w:szCs w:val="22"/>
        </w:rPr>
        <w:t>All hazards approach</w:t>
      </w:r>
      <w:r w:rsidRPr="000D1F84">
        <w:rPr>
          <w:rFonts w:ascii="Arial" w:eastAsia="Batang" w:hAnsi="Arial" w:cs="Arial"/>
          <w:szCs w:val="22"/>
        </w:rPr>
        <w:t xml:space="preserve"> – health protection work led by the AHPPC and aided in delivery by enHealth needs to account for all health protection threats and hazards.</w:t>
      </w:r>
    </w:p>
    <w:p w14:paraId="3CDB79D6" w14:textId="77777777" w:rsidR="00627743" w:rsidRPr="000D1F84" w:rsidRDefault="00627743" w:rsidP="00627743">
      <w:pPr>
        <w:pStyle w:val="BodyText1"/>
        <w:spacing w:line="276" w:lineRule="auto"/>
        <w:ind w:left="0"/>
        <w:rPr>
          <w:rFonts w:ascii="Arial" w:eastAsia="Batang" w:hAnsi="Arial" w:cs="Arial"/>
          <w:szCs w:val="22"/>
        </w:rPr>
      </w:pPr>
      <w:r w:rsidRPr="000D1F84">
        <w:rPr>
          <w:rFonts w:ascii="Arial" w:eastAsia="Batang" w:hAnsi="Arial" w:cs="Arial"/>
          <w:b/>
          <w:szCs w:val="22"/>
        </w:rPr>
        <w:t>Risk based approach</w:t>
      </w:r>
      <w:r w:rsidRPr="000D1F84">
        <w:rPr>
          <w:rFonts w:ascii="Arial" w:eastAsia="Batang" w:hAnsi="Arial" w:cs="Arial"/>
          <w:szCs w:val="22"/>
        </w:rPr>
        <w:t xml:space="preserve"> – management of health protection issues follows a standardised approach to the classification, identification and management of environmental health risks, with clear delineation of risk mitigation responsibilities.</w:t>
      </w:r>
    </w:p>
    <w:p w14:paraId="4ADDD737" w14:textId="77777777" w:rsidR="00627743" w:rsidRPr="000D1F84" w:rsidRDefault="00627743" w:rsidP="00627743">
      <w:pPr>
        <w:pStyle w:val="BodyText1"/>
        <w:spacing w:line="276" w:lineRule="auto"/>
        <w:ind w:left="0"/>
        <w:rPr>
          <w:rFonts w:ascii="Arial" w:eastAsia="Batang" w:hAnsi="Arial" w:cs="Arial"/>
          <w:szCs w:val="22"/>
        </w:rPr>
      </w:pPr>
      <w:r w:rsidRPr="000D1F84">
        <w:rPr>
          <w:rFonts w:ascii="Arial" w:eastAsia="Batang" w:hAnsi="Arial" w:cs="Arial"/>
          <w:b/>
          <w:szCs w:val="22"/>
        </w:rPr>
        <w:t>Principle of prevention</w:t>
      </w:r>
      <w:r w:rsidRPr="000D1F84">
        <w:rPr>
          <w:rFonts w:ascii="Arial" w:eastAsia="Batang" w:hAnsi="Arial" w:cs="Arial"/>
          <w:szCs w:val="22"/>
        </w:rPr>
        <w:t xml:space="preserve"> – to the extent possible, emergent environmental health risks and threats are better mitigated through hazard minimisation and exposure reduction strategies – requiring a commensurate focus on prevention as well as preparedness, response and recovery.</w:t>
      </w:r>
    </w:p>
    <w:p w14:paraId="3B9635F8" w14:textId="77777777" w:rsidR="00627743" w:rsidRPr="000D1F84" w:rsidRDefault="00627743" w:rsidP="00627743">
      <w:pPr>
        <w:pStyle w:val="BodyText1"/>
        <w:spacing w:line="276" w:lineRule="auto"/>
        <w:ind w:left="0"/>
        <w:rPr>
          <w:rFonts w:ascii="Arial" w:eastAsia="Batang" w:hAnsi="Arial" w:cs="Arial"/>
          <w:szCs w:val="22"/>
        </w:rPr>
      </w:pPr>
      <w:r w:rsidRPr="000D1F84">
        <w:rPr>
          <w:rFonts w:ascii="Arial" w:eastAsia="Batang" w:hAnsi="Arial" w:cs="Arial"/>
          <w:b/>
          <w:szCs w:val="22"/>
        </w:rPr>
        <w:t>Shared responsibility</w:t>
      </w:r>
      <w:r w:rsidRPr="000D1F84">
        <w:rPr>
          <w:rFonts w:ascii="Arial" w:eastAsia="Batang" w:hAnsi="Arial" w:cs="Arial"/>
          <w:szCs w:val="22"/>
        </w:rPr>
        <w:t xml:space="preserve"> – environmental health is managed across jurisdictions, other agencies, and between the state and national division of responsibility, with an emphasis on the importance of inter</w:t>
      </w:r>
      <w:r w:rsidRPr="000D1F84">
        <w:rPr>
          <w:rFonts w:ascii="Arial" w:eastAsia="Batang" w:hAnsi="Arial" w:cs="Arial"/>
          <w:szCs w:val="22"/>
        </w:rPr>
        <w:noBreakHyphen/>
        <w:t>dependencies to deliver improved environmental health protection outcomes for all Australians.</w:t>
      </w:r>
    </w:p>
    <w:p w14:paraId="750B7A42" w14:textId="0CA12E88" w:rsidR="00627743" w:rsidRPr="000D1F84" w:rsidRDefault="00627743" w:rsidP="00627743">
      <w:pPr>
        <w:spacing w:before="120" w:after="120" w:line="300" w:lineRule="exact"/>
        <w:rPr>
          <w:rFonts w:ascii="Arial" w:hAnsi="Arial" w:cs="Arial"/>
          <w:sz w:val="22"/>
          <w:szCs w:val="22"/>
        </w:rPr>
      </w:pPr>
      <w:r w:rsidRPr="00E60EF4">
        <w:rPr>
          <w:rFonts w:ascii="Arial" w:eastAsia="Batang" w:hAnsi="Arial" w:cs="Arial"/>
          <w:b/>
          <w:sz w:val="22"/>
          <w:szCs w:val="22"/>
        </w:rPr>
        <w:t>Improving Aboriginal and Torres Strait Islander health</w:t>
      </w:r>
      <w:r w:rsidRPr="00E60EF4">
        <w:rPr>
          <w:rFonts w:ascii="Arial" w:eastAsia="Batang" w:hAnsi="Arial" w:cs="Arial"/>
          <w:sz w:val="22"/>
          <w:szCs w:val="22"/>
        </w:rPr>
        <w:t xml:space="preserve"> – this principle highlights a focus of enHealth on promoting improved environmental health conditions and outcomes for Aboriginal and Torres Strait Islander communities within the scope of </w:t>
      </w:r>
      <w:proofErr w:type="spellStart"/>
      <w:r w:rsidRPr="00E60EF4">
        <w:rPr>
          <w:rFonts w:ascii="Arial" w:eastAsia="Batang" w:hAnsi="Arial" w:cs="Arial"/>
          <w:sz w:val="22"/>
          <w:szCs w:val="22"/>
        </w:rPr>
        <w:t>enHealth’s</w:t>
      </w:r>
      <w:proofErr w:type="spellEnd"/>
      <w:r w:rsidRPr="00E60EF4">
        <w:rPr>
          <w:rFonts w:ascii="Arial" w:eastAsia="Batang" w:hAnsi="Arial" w:cs="Arial"/>
          <w:sz w:val="22"/>
          <w:szCs w:val="22"/>
        </w:rPr>
        <w:t xml:space="preserve"> Terms of Reference, including through the Expert Reference Panel on Aboriginal and Torres Strait Islander Environmental Health (ERPATSIEH).</w:t>
      </w:r>
    </w:p>
    <w:p w14:paraId="110DC102" w14:textId="4305C18D" w:rsidR="00627743" w:rsidRPr="00E60EF4" w:rsidRDefault="00627743" w:rsidP="00627743">
      <w:pPr>
        <w:spacing w:before="120" w:after="120" w:line="300" w:lineRule="exact"/>
        <w:rPr>
          <w:rFonts w:ascii="Arial" w:hAnsi="Arial" w:cs="Arial"/>
          <w:b/>
          <w:color w:val="70AD47" w:themeColor="accent6"/>
          <w:sz w:val="22"/>
          <w:szCs w:val="22"/>
        </w:rPr>
      </w:pPr>
      <w:r w:rsidRPr="00E60EF4">
        <w:rPr>
          <w:rFonts w:ascii="Arial" w:hAnsi="Arial" w:cs="Arial"/>
          <w:b/>
          <w:color w:val="70AD47" w:themeColor="accent6"/>
          <w:sz w:val="22"/>
          <w:szCs w:val="22"/>
        </w:rPr>
        <w:lastRenderedPageBreak/>
        <w:t>Objectives</w:t>
      </w:r>
    </w:p>
    <w:p w14:paraId="780C5E6E" w14:textId="0D8FABFB" w:rsidR="00627743" w:rsidRPr="000D1F84" w:rsidRDefault="00627743" w:rsidP="003A51A3">
      <w:pPr>
        <w:spacing w:before="120" w:after="120" w:line="300" w:lineRule="exact"/>
        <w:rPr>
          <w:rFonts w:ascii="Arial" w:hAnsi="Arial" w:cs="Arial"/>
          <w:sz w:val="22"/>
          <w:szCs w:val="22"/>
        </w:rPr>
      </w:pPr>
      <w:r w:rsidRPr="00E60EF4">
        <w:rPr>
          <w:rFonts w:ascii="Arial" w:hAnsi="Arial" w:cs="Arial"/>
          <w:sz w:val="22"/>
          <w:szCs w:val="22"/>
        </w:rPr>
        <w:t>enHealth seeks to provide strategic direction to the management of environmental health matters in Australia across the spectrum of prevention, preparedness, response and recovery (the ‘PPRR’ framework). In doing so, enHealth leads and promotes coordination across jurisdictions to deliver national consistency in approaches to environmental health matters.</w:t>
      </w:r>
    </w:p>
    <w:p w14:paraId="011B41D5" w14:textId="77777777" w:rsidR="003B14EC" w:rsidRPr="00E60EF4" w:rsidRDefault="003B14EC" w:rsidP="003A51A3">
      <w:pPr>
        <w:spacing w:before="120" w:after="120" w:line="300" w:lineRule="exact"/>
        <w:rPr>
          <w:rFonts w:ascii="Arial" w:hAnsi="Arial" w:cs="Arial"/>
          <w:b/>
          <w:color w:val="70AD47" w:themeColor="accent6"/>
          <w:sz w:val="22"/>
          <w:szCs w:val="22"/>
        </w:rPr>
      </w:pPr>
      <w:r w:rsidRPr="00E60EF4">
        <w:rPr>
          <w:rFonts w:ascii="Arial" w:hAnsi="Arial" w:cs="Arial"/>
          <w:b/>
          <w:color w:val="70AD47" w:themeColor="accent6"/>
          <w:sz w:val="22"/>
          <w:szCs w:val="22"/>
        </w:rPr>
        <w:t>Enablers</w:t>
      </w:r>
    </w:p>
    <w:p w14:paraId="0DB93890" w14:textId="1101E057" w:rsidR="003B14EC" w:rsidRPr="00477F27" w:rsidRDefault="003B14EC" w:rsidP="003A51A3">
      <w:pPr>
        <w:pStyle w:val="ListParagraph"/>
        <w:numPr>
          <w:ilvl w:val="0"/>
          <w:numId w:val="5"/>
        </w:numPr>
        <w:spacing w:before="120" w:after="120" w:line="300" w:lineRule="exact"/>
        <w:ind w:left="357" w:hanging="357"/>
        <w:rPr>
          <w:rFonts w:ascii="Arial" w:hAnsi="Arial" w:cs="Arial"/>
          <w:szCs w:val="22"/>
        </w:rPr>
      </w:pPr>
      <w:r w:rsidRPr="00477F27">
        <w:rPr>
          <w:rFonts w:ascii="Arial" w:hAnsi="Arial" w:cs="Arial"/>
          <w:b/>
          <w:szCs w:val="22"/>
        </w:rPr>
        <w:t>Strong governance and leadership</w:t>
      </w:r>
      <w:r w:rsidRPr="00477F27">
        <w:rPr>
          <w:rFonts w:ascii="Arial" w:hAnsi="Arial" w:cs="Arial"/>
          <w:szCs w:val="22"/>
        </w:rPr>
        <w:t xml:space="preserve"> – enHealth will </w:t>
      </w:r>
      <w:r w:rsidR="00DD5D09">
        <w:rPr>
          <w:rFonts w:ascii="Arial" w:hAnsi="Arial" w:cs="Arial"/>
          <w:szCs w:val="22"/>
        </w:rPr>
        <w:t>support</w:t>
      </w:r>
      <w:r w:rsidRPr="00477F27">
        <w:rPr>
          <w:rFonts w:ascii="Arial" w:hAnsi="Arial" w:cs="Arial"/>
          <w:szCs w:val="22"/>
        </w:rPr>
        <w:t xml:space="preserve"> strengthening the alignment of planning through AHPPC and its </w:t>
      </w:r>
      <w:r w:rsidR="00FF5ED0">
        <w:rPr>
          <w:rFonts w:ascii="Arial" w:hAnsi="Arial" w:cs="Arial"/>
          <w:szCs w:val="22"/>
        </w:rPr>
        <w:t>s</w:t>
      </w:r>
      <w:r w:rsidRPr="00477F27">
        <w:rPr>
          <w:rFonts w:ascii="Arial" w:hAnsi="Arial" w:cs="Arial"/>
          <w:szCs w:val="22"/>
        </w:rPr>
        <w:t xml:space="preserve">tanding </w:t>
      </w:r>
      <w:r w:rsidR="00FF5ED0">
        <w:rPr>
          <w:rFonts w:ascii="Arial" w:hAnsi="Arial" w:cs="Arial"/>
          <w:szCs w:val="22"/>
        </w:rPr>
        <w:t>c</w:t>
      </w:r>
      <w:r w:rsidRPr="00477F27">
        <w:rPr>
          <w:rFonts w:ascii="Arial" w:hAnsi="Arial" w:cs="Arial"/>
          <w:szCs w:val="22"/>
        </w:rPr>
        <w:t>ommittees, and between the Commonwealth and jurisdictions to facilitate nationally consistent approaches to environmental health threats and risks.</w:t>
      </w:r>
    </w:p>
    <w:p w14:paraId="15BB97ED" w14:textId="77777777" w:rsidR="003B14EC" w:rsidRPr="00477F27" w:rsidRDefault="003B14EC" w:rsidP="003A51A3">
      <w:pPr>
        <w:pStyle w:val="ListParagraph"/>
        <w:numPr>
          <w:ilvl w:val="0"/>
          <w:numId w:val="5"/>
        </w:numPr>
        <w:spacing w:before="120" w:after="120" w:line="300" w:lineRule="exact"/>
        <w:ind w:left="357" w:hanging="357"/>
        <w:rPr>
          <w:rFonts w:ascii="Arial" w:hAnsi="Arial" w:cs="Arial"/>
          <w:szCs w:val="22"/>
        </w:rPr>
      </w:pPr>
      <w:r w:rsidRPr="00477F27">
        <w:rPr>
          <w:rFonts w:ascii="Arial" w:hAnsi="Arial" w:cs="Arial"/>
          <w:b/>
          <w:szCs w:val="22"/>
        </w:rPr>
        <w:t>Collaborative partnerships</w:t>
      </w:r>
      <w:r w:rsidRPr="00477F27">
        <w:rPr>
          <w:rFonts w:ascii="Arial" w:hAnsi="Arial" w:cs="Arial"/>
          <w:szCs w:val="22"/>
        </w:rPr>
        <w:t xml:space="preserve"> – enHealth will focus on strengthening engagement with environmental health stakeholders, both within and outside of government, to facilitate the timely sharing of information and resources.</w:t>
      </w:r>
    </w:p>
    <w:p w14:paraId="58C01322" w14:textId="77777777" w:rsidR="003B14EC" w:rsidRPr="00477F27" w:rsidRDefault="003B14EC" w:rsidP="003A51A3">
      <w:pPr>
        <w:pStyle w:val="ListParagraph"/>
        <w:numPr>
          <w:ilvl w:val="0"/>
          <w:numId w:val="5"/>
        </w:numPr>
        <w:spacing w:before="120" w:after="120" w:line="300" w:lineRule="exact"/>
        <w:ind w:left="357" w:hanging="357"/>
        <w:rPr>
          <w:rFonts w:ascii="Arial" w:hAnsi="Arial" w:cs="Arial"/>
          <w:szCs w:val="22"/>
        </w:rPr>
      </w:pPr>
      <w:r w:rsidRPr="00477F27">
        <w:rPr>
          <w:rFonts w:ascii="Arial" w:hAnsi="Arial" w:cs="Arial"/>
          <w:b/>
          <w:szCs w:val="22"/>
        </w:rPr>
        <w:t>Effective communications</w:t>
      </w:r>
      <w:r w:rsidRPr="00477F27">
        <w:rPr>
          <w:rFonts w:ascii="Arial" w:hAnsi="Arial" w:cs="Arial"/>
          <w:szCs w:val="22"/>
        </w:rPr>
        <w:t xml:space="preserve"> – enHealth will support national coordination of messaging to ensure consistent, timely and evidence-informed communication around environmental health issues, tailored to diverse community and professional groups. In addition, enHealth will support effective communication between jurisdictions and with non-government stakeholders, including multilateral agencies.</w:t>
      </w:r>
    </w:p>
    <w:p w14:paraId="5BAAF21A" w14:textId="77777777" w:rsidR="003B14EC" w:rsidRPr="00477F27" w:rsidRDefault="003B14EC" w:rsidP="003A51A3">
      <w:pPr>
        <w:pStyle w:val="ListParagraph"/>
        <w:numPr>
          <w:ilvl w:val="0"/>
          <w:numId w:val="5"/>
        </w:numPr>
        <w:spacing w:before="120" w:after="120" w:line="300" w:lineRule="exact"/>
        <w:ind w:left="357" w:hanging="357"/>
        <w:rPr>
          <w:rFonts w:ascii="Arial" w:hAnsi="Arial" w:cs="Arial"/>
          <w:szCs w:val="22"/>
        </w:rPr>
      </w:pPr>
      <w:r w:rsidRPr="00477F27">
        <w:rPr>
          <w:rFonts w:ascii="Arial" w:hAnsi="Arial" w:cs="Arial"/>
          <w:b/>
          <w:szCs w:val="22"/>
        </w:rPr>
        <w:t xml:space="preserve">Coordinated and timely response </w:t>
      </w:r>
      <w:r w:rsidRPr="00477F27">
        <w:rPr>
          <w:rFonts w:ascii="Arial" w:hAnsi="Arial" w:cs="Arial"/>
          <w:szCs w:val="22"/>
        </w:rPr>
        <w:t>–</w:t>
      </w:r>
      <w:r w:rsidRPr="00477F27">
        <w:rPr>
          <w:rFonts w:ascii="Arial" w:hAnsi="Arial" w:cs="Arial"/>
          <w:b/>
          <w:szCs w:val="22"/>
        </w:rPr>
        <w:t xml:space="preserve"> </w:t>
      </w:r>
      <w:r w:rsidRPr="00477F27">
        <w:rPr>
          <w:rFonts w:ascii="Arial" w:hAnsi="Arial" w:cs="Arial"/>
          <w:szCs w:val="22"/>
        </w:rPr>
        <w:t>enHealth will work with the Commonwealth and jurisdictions to strengthen procedures and protocols for responding to environmental health threats and risks, for known and unknown issues. This will include horizon scanning to identify emerging risks and regular review and updating of existing advice and publications.</w:t>
      </w:r>
    </w:p>
    <w:p w14:paraId="4816C36F" w14:textId="2C61C14A" w:rsidR="003B14EC" w:rsidRPr="00477F27" w:rsidRDefault="003B14EC" w:rsidP="003A51A3">
      <w:pPr>
        <w:pStyle w:val="ListParagraph"/>
        <w:numPr>
          <w:ilvl w:val="0"/>
          <w:numId w:val="5"/>
        </w:numPr>
        <w:spacing w:before="120" w:after="120" w:line="300" w:lineRule="exact"/>
        <w:ind w:left="357" w:hanging="357"/>
        <w:rPr>
          <w:rFonts w:ascii="Arial" w:hAnsi="Arial"/>
          <w:b/>
          <w:szCs w:val="22"/>
        </w:rPr>
      </w:pPr>
      <w:r w:rsidRPr="00477F27">
        <w:rPr>
          <w:rFonts w:ascii="Arial" w:hAnsi="Arial" w:cs="Arial"/>
          <w:b/>
          <w:szCs w:val="22"/>
        </w:rPr>
        <w:t>Strengthening research capacity</w:t>
      </w:r>
      <w:r w:rsidRPr="00477F27">
        <w:rPr>
          <w:rFonts w:ascii="Arial" w:hAnsi="Arial" w:cs="Arial"/>
          <w:szCs w:val="22"/>
        </w:rPr>
        <w:t xml:space="preserve"> – enHealth will contribute to research on environmental health through the provision of advice and guidance on the direction of research </w:t>
      </w:r>
      <w:r w:rsidR="00DD5D09">
        <w:rPr>
          <w:rFonts w:ascii="Arial" w:hAnsi="Arial" w:cs="Arial"/>
          <w:szCs w:val="22"/>
        </w:rPr>
        <w:t xml:space="preserve">and data </w:t>
      </w:r>
      <w:r w:rsidRPr="00477F27">
        <w:rPr>
          <w:rFonts w:ascii="Arial" w:hAnsi="Arial" w:cs="Arial"/>
          <w:szCs w:val="22"/>
        </w:rPr>
        <w:t>needs.</w:t>
      </w:r>
    </w:p>
    <w:p w14:paraId="2C545A0F" w14:textId="4F68668D" w:rsidR="00540E6C" w:rsidRDefault="003B14EC" w:rsidP="003A51A3">
      <w:pPr>
        <w:pStyle w:val="ListParagraph"/>
        <w:numPr>
          <w:ilvl w:val="0"/>
          <w:numId w:val="5"/>
        </w:numPr>
        <w:spacing w:before="120" w:after="120" w:line="300" w:lineRule="exact"/>
        <w:ind w:left="357" w:hanging="357"/>
        <w:rPr>
          <w:rFonts w:ascii="Arial" w:hAnsi="Arial" w:cs="Arial"/>
          <w:szCs w:val="22"/>
        </w:rPr>
      </w:pPr>
      <w:r w:rsidRPr="00477F27">
        <w:rPr>
          <w:rFonts w:ascii="Arial" w:hAnsi="Arial" w:cs="Arial"/>
          <w:b/>
          <w:szCs w:val="22"/>
        </w:rPr>
        <w:t>Skilled workforce</w:t>
      </w:r>
      <w:r w:rsidRPr="00477F27">
        <w:rPr>
          <w:rFonts w:ascii="Arial" w:hAnsi="Arial" w:cs="Arial"/>
          <w:szCs w:val="22"/>
        </w:rPr>
        <w:t xml:space="preserve"> – enHealth will focus on addressing critical gaps in the environmental health workforce including but not limited to, access to expertise, training opportunities and workforce capability and capacity.</w:t>
      </w:r>
    </w:p>
    <w:p w14:paraId="2B392F4B" w14:textId="077E3147" w:rsidR="00AD54AF" w:rsidRPr="00AD54AF" w:rsidRDefault="00AD54AF" w:rsidP="007F376C">
      <w:pPr>
        <w:pStyle w:val="Heading1"/>
        <w:numPr>
          <w:ilvl w:val="0"/>
          <w:numId w:val="0"/>
        </w:numPr>
        <w:ind w:left="720" w:hanging="720"/>
      </w:pPr>
      <w:r>
        <w:rPr>
          <w:color w:val="70AD47" w:themeColor="accent6"/>
          <w:sz w:val="32"/>
        </w:rPr>
        <w:t>KEY FOCUS AREAS</w:t>
      </w:r>
    </w:p>
    <w:p w14:paraId="07349F0D" w14:textId="478E3E6C" w:rsidR="005430CE" w:rsidRPr="00AD54AF" w:rsidRDefault="00DD5D09" w:rsidP="009F5C08">
      <w:pPr>
        <w:pStyle w:val="BodyText"/>
        <w:spacing w:before="120" w:after="120" w:line="300" w:lineRule="exact"/>
        <w:rPr>
          <w:rFonts w:ascii="Arial" w:eastAsiaTheme="minorHAnsi" w:hAnsi="Arial" w:cs="Arial"/>
          <w:b w:val="0"/>
          <w:bCs w:val="0"/>
          <w:sz w:val="22"/>
          <w:szCs w:val="22"/>
          <w:lang w:eastAsia="en-US" w:bidi="ar-SA"/>
        </w:rPr>
      </w:pPr>
      <w:r w:rsidRPr="00AD54AF">
        <w:rPr>
          <w:rFonts w:ascii="Arial" w:eastAsiaTheme="minorHAnsi" w:hAnsi="Arial" w:cs="Arial"/>
          <w:b w:val="0"/>
          <w:bCs w:val="0"/>
          <w:sz w:val="22"/>
          <w:szCs w:val="22"/>
          <w:lang w:eastAsia="en-US" w:bidi="ar-SA"/>
        </w:rPr>
        <w:t>The strategic priorities and enablers have been used to develop eight key focus areas for enHealth. The</w:t>
      </w:r>
      <w:r w:rsidR="00AD54AF" w:rsidRPr="007F376C">
        <w:rPr>
          <w:rFonts w:ascii="Arial" w:eastAsiaTheme="minorHAnsi" w:hAnsi="Arial" w:cs="Arial"/>
          <w:b w:val="0"/>
          <w:bCs w:val="0"/>
          <w:sz w:val="22"/>
          <w:szCs w:val="22"/>
          <w:lang w:eastAsia="en-US" w:bidi="ar-SA"/>
        </w:rPr>
        <w:t xml:space="preserve"> </w:t>
      </w:r>
      <w:r w:rsidR="00540E6C" w:rsidRPr="00AD54AF">
        <w:rPr>
          <w:rFonts w:ascii="Arial" w:eastAsiaTheme="minorHAnsi" w:hAnsi="Arial" w:cs="Arial"/>
          <w:b w:val="0"/>
          <w:bCs w:val="0"/>
          <w:sz w:val="22"/>
          <w:szCs w:val="22"/>
          <w:lang w:eastAsia="en-US" w:bidi="ar-SA"/>
        </w:rPr>
        <w:t>work directly contributes to the AHPPC’s objectives and strategic priorities, through actions across the following key focus areas:</w:t>
      </w:r>
    </w:p>
    <w:p w14:paraId="60AD385A" w14:textId="611A7B1B" w:rsidR="00DD5D09" w:rsidRPr="00E60EF4" w:rsidRDefault="00DD5D09">
      <w:pPr>
        <w:pStyle w:val="BodyText"/>
        <w:numPr>
          <w:ilvl w:val="0"/>
          <w:numId w:val="4"/>
        </w:numPr>
        <w:spacing w:before="120" w:after="120" w:line="300" w:lineRule="exact"/>
        <w:rPr>
          <w:rFonts w:ascii="Arial" w:hAnsi="Arial" w:cs="Arial"/>
          <w:b w:val="0"/>
          <w:sz w:val="22"/>
          <w:szCs w:val="22"/>
        </w:rPr>
      </w:pPr>
      <w:r w:rsidRPr="00E60EF4">
        <w:rPr>
          <w:rFonts w:ascii="Arial" w:hAnsi="Arial" w:cs="Arial"/>
          <w:b w:val="0"/>
          <w:sz w:val="22"/>
          <w:szCs w:val="22"/>
        </w:rPr>
        <w:t xml:space="preserve">Timely, coordinated, and evidence-based response to </w:t>
      </w:r>
      <w:r w:rsidR="005430CE">
        <w:rPr>
          <w:rFonts w:ascii="Arial" w:hAnsi="Arial" w:cs="Arial"/>
          <w:b w:val="0"/>
          <w:sz w:val="22"/>
          <w:szCs w:val="22"/>
        </w:rPr>
        <w:t xml:space="preserve">emerging </w:t>
      </w:r>
      <w:r w:rsidRPr="00E60EF4">
        <w:rPr>
          <w:rFonts w:ascii="Arial" w:hAnsi="Arial" w:cs="Arial"/>
          <w:b w:val="0"/>
          <w:sz w:val="22"/>
          <w:szCs w:val="22"/>
        </w:rPr>
        <w:t xml:space="preserve">environmental health issues of national concern. </w:t>
      </w:r>
    </w:p>
    <w:p w14:paraId="7057AF81" w14:textId="1547C2CF" w:rsidR="00DD5D09" w:rsidRPr="00E60EF4" w:rsidRDefault="004C1783" w:rsidP="00DD5D09">
      <w:pPr>
        <w:pStyle w:val="BodyText"/>
        <w:numPr>
          <w:ilvl w:val="0"/>
          <w:numId w:val="4"/>
        </w:numPr>
        <w:spacing w:before="120" w:line="300" w:lineRule="exact"/>
        <w:ind w:left="357" w:hanging="357"/>
        <w:rPr>
          <w:rFonts w:ascii="Arial" w:hAnsi="Arial" w:cs="Arial"/>
          <w:b w:val="0"/>
          <w:sz w:val="22"/>
          <w:szCs w:val="22"/>
        </w:rPr>
      </w:pPr>
      <w:r>
        <w:rPr>
          <w:rFonts w:ascii="Arial" w:hAnsi="Arial" w:cs="Arial"/>
          <w:b w:val="0"/>
          <w:sz w:val="22"/>
          <w:szCs w:val="22"/>
        </w:rPr>
        <w:t>N</w:t>
      </w:r>
      <w:r w:rsidR="00DD5D09" w:rsidRPr="00E60EF4">
        <w:rPr>
          <w:rFonts w:ascii="Arial" w:hAnsi="Arial" w:cs="Arial"/>
          <w:b w:val="0"/>
          <w:sz w:val="22"/>
          <w:szCs w:val="22"/>
        </w:rPr>
        <w:t xml:space="preserve">ationally consistent </w:t>
      </w:r>
      <w:r>
        <w:rPr>
          <w:rFonts w:ascii="Arial" w:hAnsi="Arial" w:cs="Arial"/>
          <w:b w:val="0"/>
          <w:sz w:val="22"/>
          <w:szCs w:val="22"/>
        </w:rPr>
        <w:t xml:space="preserve">evidence base for </w:t>
      </w:r>
      <w:r w:rsidR="00DD5D09" w:rsidRPr="00E60EF4">
        <w:rPr>
          <w:rFonts w:ascii="Arial" w:hAnsi="Arial" w:cs="Arial"/>
          <w:b w:val="0"/>
          <w:sz w:val="22"/>
          <w:szCs w:val="22"/>
        </w:rPr>
        <w:t xml:space="preserve">risk </w:t>
      </w:r>
      <w:r w:rsidR="00D6243A">
        <w:rPr>
          <w:rFonts w:ascii="Arial" w:hAnsi="Arial" w:cs="Arial"/>
          <w:b w:val="0"/>
          <w:sz w:val="22"/>
          <w:szCs w:val="22"/>
        </w:rPr>
        <w:t xml:space="preserve">assessment, </w:t>
      </w:r>
      <w:r w:rsidR="00DD5D09" w:rsidRPr="00E60EF4">
        <w:rPr>
          <w:rFonts w:ascii="Arial" w:hAnsi="Arial" w:cs="Arial"/>
          <w:b w:val="0"/>
          <w:sz w:val="22"/>
          <w:szCs w:val="22"/>
        </w:rPr>
        <w:t>communication and management of significant environmental health issues of concern to the community.</w:t>
      </w:r>
    </w:p>
    <w:p w14:paraId="6EF4EDC2" w14:textId="77777777" w:rsidR="00DD5D09" w:rsidRPr="00E60EF4" w:rsidRDefault="00DD5D09" w:rsidP="00DD5D09">
      <w:pPr>
        <w:pStyle w:val="BodyText"/>
        <w:numPr>
          <w:ilvl w:val="0"/>
          <w:numId w:val="4"/>
        </w:numPr>
        <w:spacing w:before="120" w:line="300" w:lineRule="exact"/>
        <w:ind w:left="357" w:hanging="357"/>
        <w:rPr>
          <w:rFonts w:ascii="Arial" w:hAnsi="Arial" w:cs="Arial"/>
          <w:b w:val="0"/>
          <w:sz w:val="22"/>
          <w:szCs w:val="22"/>
        </w:rPr>
      </w:pPr>
      <w:r w:rsidRPr="00E60EF4">
        <w:rPr>
          <w:rFonts w:ascii="Arial" w:hAnsi="Arial" w:cs="Arial"/>
          <w:b w:val="0"/>
          <w:sz w:val="22"/>
          <w:szCs w:val="22"/>
        </w:rPr>
        <w:t xml:space="preserve">National science policy and practice frameworks for environmental health. </w:t>
      </w:r>
    </w:p>
    <w:p w14:paraId="45521C18" w14:textId="77777777" w:rsidR="00DD5D09" w:rsidRPr="00E60EF4" w:rsidRDefault="00DD5D09" w:rsidP="00DD5D09">
      <w:pPr>
        <w:pStyle w:val="BodyText"/>
        <w:numPr>
          <w:ilvl w:val="0"/>
          <w:numId w:val="4"/>
        </w:numPr>
        <w:spacing w:before="120" w:line="300" w:lineRule="exact"/>
        <w:ind w:left="357" w:hanging="357"/>
        <w:rPr>
          <w:rFonts w:ascii="Arial" w:hAnsi="Arial" w:cs="Arial"/>
          <w:b w:val="0"/>
          <w:sz w:val="22"/>
          <w:szCs w:val="22"/>
        </w:rPr>
      </w:pPr>
      <w:r w:rsidRPr="00E60EF4">
        <w:rPr>
          <w:rFonts w:ascii="Arial" w:hAnsi="Arial" w:cs="Arial"/>
          <w:b w:val="0"/>
          <w:sz w:val="22"/>
          <w:szCs w:val="22"/>
        </w:rPr>
        <w:t xml:space="preserve">Sufficient and appropriately skilled workforce to address future environmental health challenges. </w:t>
      </w:r>
    </w:p>
    <w:p w14:paraId="7A0C9EDB" w14:textId="48CBB533" w:rsidR="00DD5D09" w:rsidRPr="00E60EF4" w:rsidRDefault="00D71ED2">
      <w:pPr>
        <w:pStyle w:val="BodyText"/>
        <w:numPr>
          <w:ilvl w:val="0"/>
          <w:numId w:val="4"/>
        </w:numPr>
        <w:spacing w:before="120" w:line="300" w:lineRule="exact"/>
        <w:ind w:left="357" w:hanging="357"/>
        <w:rPr>
          <w:rFonts w:ascii="Arial" w:hAnsi="Arial" w:cs="Arial"/>
          <w:b w:val="0"/>
          <w:sz w:val="22"/>
          <w:szCs w:val="22"/>
        </w:rPr>
      </w:pPr>
      <w:r w:rsidRPr="00E60EF4">
        <w:rPr>
          <w:rFonts w:ascii="Arial" w:hAnsi="Arial" w:cs="Arial"/>
          <w:b w:val="0"/>
          <w:sz w:val="22"/>
          <w:szCs w:val="22"/>
        </w:rPr>
        <w:t>Promoting improved environmental health conditions and outcomes for Aboriginal and Torres Strait Islander communities</w:t>
      </w:r>
      <w:r w:rsidR="00121CDA">
        <w:rPr>
          <w:rFonts w:ascii="Arial" w:hAnsi="Arial" w:cs="Arial"/>
          <w:b w:val="0"/>
          <w:sz w:val="22"/>
          <w:szCs w:val="22"/>
        </w:rPr>
        <w:t xml:space="preserve"> </w:t>
      </w:r>
      <w:r w:rsidR="00121CDA" w:rsidRPr="00121CDA">
        <w:rPr>
          <w:rFonts w:ascii="Arial" w:hAnsi="Arial" w:cs="Arial"/>
          <w:b w:val="0"/>
          <w:sz w:val="22"/>
          <w:szCs w:val="22"/>
        </w:rPr>
        <w:t>(refer also to the ERPATSIEH Action Plan 2019-2023</w:t>
      </w:r>
      <w:r w:rsidR="00121CDA">
        <w:rPr>
          <w:rFonts w:ascii="Arial" w:hAnsi="Arial" w:cs="Arial"/>
          <w:b w:val="0"/>
          <w:sz w:val="22"/>
          <w:szCs w:val="22"/>
        </w:rPr>
        <w:t>)</w:t>
      </w:r>
      <w:r w:rsidRPr="00E60EF4">
        <w:rPr>
          <w:rFonts w:ascii="Arial" w:hAnsi="Arial" w:cs="Arial"/>
          <w:b w:val="0"/>
          <w:sz w:val="22"/>
          <w:szCs w:val="22"/>
        </w:rPr>
        <w:t>.</w:t>
      </w:r>
    </w:p>
    <w:p w14:paraId="5137251A" w14:textId="77777777" w:rsidR="00DD5D09" w:rsidRPr="00E60EF4" w:rsidRDefault="00DD5D09" w:rsidP="00DD5D09">
      <w:pPr>
        <w:pStyle w:val="BodyText"/>
        <w:numPr>
          <w:ilvl w:val="0"/>
          <w:numId w:val="4"/>
        </w:numPr>
        <w:spacing w:before="120" w:line="300" w:lineRule="exact"/>
        <w:ind w:left="357" w:hanging="357"/>
        <w:rPr>
          <w:rFonts w:ascii="Arial" w:hAnsi="Arial" w:cs="Arial"/>
          <w:b w:val="0"/>
          <w:sz w:val="22"/>
          <w:szCs w:val="22"/>
        </w:rPr>
      </w:pPr>
      <w:r w:rsidRPr="00E60EF4">
        <w:rPr>
          <w:rFonts w:ascii="Arial" w:hAnsi="Arial" w:cs="Arial"/>
          <w:b w:val="0"/>
          <w:sz w:val="22"/>
          <w:szCs w:val="22"/>
        </w:rPr>
        <w:t>Nationally consistent frameworks for public and environmental health regulation.</w:t>
      </w:r>
    </w:p>
    <w:p w14:paraId="4B9745DD" w14:textId="77777777" w:rsidR="00DD5D09" w:rsidRPr="00E60EF4" w:rsidRDefault="00DD5D09" w:rsidP="00DD5D09">
      <w:pPr>
        <w:pStyle w:val="BodyText"/>
        <w:numPr>
          <w:ilvl w:val="0"/>
          <w:numId w:val="4"/>
        </w:numPr>
        <w:spacing w:before="120" w:after="120" w:line="300" w:lineRule="exact"/>
        <w:ind w:left="357" w:hanging="357"/>
        <w:rPr>
          <w:rFonts w:ascii="Arial" w:hAnsi="Arial" w:cs="Arial"/>
          <w:b w:val="0"/>
          <w:sz w:val="22"/>
          <w:szCs w:val="22"/>
        </w:rPr>
      </w:pPr>
      <w:r w:rsidRPr="00E60EF4">
        <w:rPr>
          <w:rFonts w:ascii="Arial" w:hAnsi="Arial" w:cs="Arial"/>
          <w:b w:val="0"/>
          <w:sz w:val="22"/>
          <w:szCs w:val="22"/>
        </w:rPr>
        <w:t>Effective networking and partnerships with stakeholders to ensure a coordinated approach to addressing environmental risks to health.</w:t>
      </w:r>
    </w:p>
    <w:p w14:paraId="05600CF3" w14:textId="464DB68D" w:rsidR="00DD5D09" w:rsidRPr="00E60EF4" w:rsidRDefault="00DD5D09" w:rsidP="00DD5D09">
      <w:pPr>
        <w:pStyle w:val="BodyText"/>
        <w:numPr>
          <w:ilvl w:val="0"/>
          <w:numId w:val="4"/>
        </w:numPr>
        <w:spacing w:before="120" w:after="120" w:line="300" w:lineRule="exact"/>
        <w:ind w:left="357" w:hanging="357"/>
        <w:rPr>
          <w:rFonts w:ascii="Arial" w:hAnsi="Arial" w:cs="Arial"/>
          <w:b w:val="0"/>
          <w:sz w:val="22"/>
          <w:szCs w:val="22"/>
        </w:rPr>
      </w:pPr>
      <w:r w:rsidRPr="00E60EF4">
        <w:rPr>
          <w:rFonts w:ascii="Arial" w:hAnsi="Arial" w:cs="Arial"/>
          <w:b w:val="0"/>
          <w:sz w:val="22"/>
          <w:szCs w:val="22"/>
        </w:rPr>
        <w:t xml:space="preserve">Strengthened research and data capacity, </w:t>
      </w:r>
      <w:r w:rsidR="00F16803">
        <w:rPr>
          <w:rFonts w:ascii="Arial" w:hAnsi="Arial" w:cs="Arial"/>
          <w:b w:val="0"/>
          <w:sz w:val="22"/>
          <w:szCs w:val="22"/>
        </w:rPr>
        <w:t>to assist</w:t>
      </w:r>
      <w:r w:rsidRPr="00E60EF4">
        <w:rPr>
          <w:rFonts w:ascii="Arial" w:hAnsi="Arial" w:cs="Arial"/>
          <w:b w:val="0"/>
          <w:sz w:val="22"/>
          <w:szCs w:val="22"/>
        </w:rPr>
        <w:t xml:space="preserve"> translation of research and data to environmental health policy and interventions.</w:t>
      </w:r>
    </w:p>
    <w:p w14:paraId="7304EBA0" w14:textId="3781497D" w:rsidR="002652BB" w:rsidRDefault="00FE160B" w:rsidP="003A51A3">
      <w:pPr>
        <w:pStyle w:val="BodyText"/>
        <w:spacing w:before="120" w:after="120" w:line="300" w:lineRule="exact"/>
        <w:rPr>
          <w:rFonts w:ascii="Arial" w:eastAsiaTheme="minorHAnsi" w:hAnsi="Arial" w:cs="Arial"/>
          <w:b w:val="0"/>
          <w:bCs w:val="0"/>
          <w:sz w:val="22"/>
          <w:szCs w:val="22"/>
          <w:lang w:eastAsia="en-US" w:bidi="ar-SA"/>
        </w:rPr>
        <w:sectPr w:rsidR="002652BB" w:rsidSect="00A4457D">
          <w:headerReference w:type="default" r:id="rId13"/>
          <w:headerReference w:type="first" r:id="rId14"/>
          <w:pgSz w:w="11906" w:h="16838"/>
          <w:pgMar w:top="567" w:right="680" w:bottom="567" w:left="680" w:header="397" w:footer="567" w:gutter="0"/>
          <w:cols w:space="708"/>
          <w:titlePg/>
          <w:docGrid w:linePitch="360"/>
        </w:sectPr>
      </w:pPr>
      <w:r w:rsidRPr="00FE160B">
        <w:rPr>
          <w:rFonts w:ascii="Arial" w:eastAsiaTheme="minorHAnsi" w:hAnsi="Arial" w:cs="Arial"/>
          <w:b w:val="0"/>
          <w:bCs w:val="0"/>
          <w:sz w:val="22"/>
          <w:szCs w:val="22"/>
          <w:lang w:eastAsia="en-US" w:bidi="ar-SA"/>
        </w:rPr>
        <w:t>These Key Focus Areas have associated strategies</w:t>
      </w:r>
      <w:r w:rsidR="00556BAD">
        <w:rPr>
          <w:rFonts w:ascii="Arial" w:eastAsiaTheme="minorHAnsi" w:hAnsi="Arial" w:cs="Arial"/>
          <w:b w:val="0"/>
          <w:bCs w:val="0"/>
          <w:sz w:val="22"/>
          <w:szCs w:val="22"/>
          <w:lang w:eastAsia="en-US" w:bidi="ar-SA"/>
        </w:rPr>
        <w:t xml:space="preserve">, including </w:t>
      </w:r>
      <w:r w:rsidRPr="00FE160B">
        <w:rPr>
          <w:rFonts w:ascii="Arial" w:eastAsiaTheme="minorHAnsi" w:hAnsi="Arial" w:cs="Arial"/>
          <w:b w:val="0"/>
          <w:bCs w:val="0"/>
          <w:sz w:val="22"/>
          <w:szCs w:val="22"/>
          <w:lang w:eastAsia="en-US" w:bidi="ar-SA"/>
        </w:rPr>
        <w:t xml:space="preserve">‘how we do this’ and ‘how we measure success’ as </w:t>
      </w:r>
      <w:r>
        <w:rPr>
          <w:rFonts w:ascii="Arial" w:eastAsiaTheme="minorHAnsi" w:hAnsi="Arial" w:cs="Arial"/>
          <w:b w:val="0"/>
          <w:bCs w:val="0"/>
          <w:sz w:val="22"/>
          <w:szCs w:val="22"/>
          <w:lang w:eastAsia="en-US" w:bidi="ar-SA"/>
        </w:rPr>
        <w:t xml:space="preserve">shown in the table on the following pages. </w:t>
      </w:r>
      <w:bookmarkStart w:id="5" w:name="_Toc18073081"/>
      <w:bookmarkStart w:id="6" w:name="_Toc18074607"/>
      <w:bookmarkEnd w:id="5"/>
      <w:bookmarkEnd w:id="6"/>
    </w:p>
    <w:p w14:paraId="586198B3" w14:textId="220E1BFC" w:rsidR="00CA275F" w:rsidRPr="00E60EF4" w:rsidRDefault="00CA275F" w:rsidP="007F376C">
      <w:pPr>
        <w:tabs>
          <w:tab w:val="left" w:pos="4380"/>
        </w:tabs>
        <w:rPr>
          <w:rFonts w:ascii="Arial" w:hAnsi="Arial" w:cs="Arial"/>
          <w:sz w:val="16"/>
          <w:szCs w:val="16"/>
        </w:rPr>
      </w:pPr>
    </w:p>
    <w:tbl>
      <w:tblPr>
        <w:tblStyle w:val="TableGrid1"/>
        <w:tblW w:w="15511" w:type="dxa"/>
        <w:tblLook w:val="04A0" w:firstRow="1" w:lastRow="0" w:firstColumn="1" w:lastColumn="0" w:noHBand="0" w:noVBand="1"/>
        <w:tblCaption w:val="Key Focus Areas"/>
        <w:tblDescription w:val="This table outlines enHealth's key focus areas and the strategic priorities and enablers have been used to develop them. "/>
      </w:tblPr>
      <w:tblGrid>
        <w:gridCol w:w="3681"/>
        <w:gridCol w:w="6095"/>
        <w:gridCol w:w="5735"/>
      </w:tblGrid>
      <w:tr w:rsidR="00CA275F" w:rsidRPr="00EC1EF8" w14:paraId="1AB25B04" w14:textId="77777777" w:rsidTr="005E15D2">
        <w:trPr>
          <w:trHeight w:val="189"/>
          <w:tblHeader/>
        </w:trPr>
        <w:tc>
          <w:tcPr>
            <w:tcW w:w="3681" w:type="dxa"/>
            <w:shd w:val="clear" w:color="auto" w:fill="A6A6A6"/>
          </w:tcPr>
          <w:p w14:paraId="332BE192" w14:textId="77777777" w:rsidR="00CA275F" w:rsidRPr="00EC1EF8" w:rsidRDefault="00CA275F" w:rsidP="009F5C08">
            <w:pPr>
              <w:jc w:val="center"/>
              <w:rPr>
                <w:rFonts w:ascii="Calibri" w:eastAsia="Calibri" w:hAnsi="Calibri" w:cs="Calibri"/>
                <w:b/>
                <w:sz w:val="22"/>
                <w:szCs w:val="22"/>
              </w:rPr>
            </w:pPr>
            <w:r w:rsidRPr="00EC1EF8">
              <w:rPr>
                <w:rFonts w:ascii="Calibri" w:eastAsia="Calibri" w:hAnsi="Calibri" w:cs="Calibri"/>
                <w:b/>
                <w:sz w:val="22"/>
                <w:szCs w:val="22"/>
              </w:rPr>
              <w:t>Key focus area</w:t>
            </w:r>
          </w:p>
        </w:tc>
        <w:tc>
          <w:tcPr>
            <w:tcW w:w="6095" w:type="dxa"/>
            <w:shd w:val="clear" w:color="auto" w:fill="D9D9D9"/>
          </w:tcPr>
          <w:p w14:paraId="35797003" w14:textId="77777777" w:rsidR="00CA275F" w:rsidRPr="00EC1EF8" w:rsidRDefault="00CA275F" w:rsidP="009F5C08">
            <w:pPr>
              <w:jc w:val="center"/>
              <w:rPr>
                <w:rFonts w:ascii="Calibri" w:eastAsia="Calibri" w:hAnsi="Calibri" w:cs="Calibri"/>
                <w:b/>
                <w:sz w:val="22"/>
                <w:szCs w:val="22"/>
              </w:rPr>
            </w:pPr>
            <w:r w:rsidRPr="00EC1EF8">
              <w:rPr>
                <w:rFonts w:ascii="Calibri" w:eastAsia="Calibri" w:hAnsi="Calibri" w:cs="Calibri"/>
                <w:b/>
                <w:sz w:val="22"/>
                <w:szCs w:val="22"/>
              </w:rPr>
              <w:t>How we do this</w:t>
            </w:r>
          </w:p>
        </w:tc>
        <w:tc>
          <w:tcPr>
            <w:tcW w:w="5735" w:type="dxa"/>
            <w:shd w:val="clear" w:color="auto" w:fill="F2F2F2"/>
          </w:tcPr>
          <w:p w14:paraId="0ECAF1FE" w14:textId="77777777" w:rsidR="00CA275F" w:rsidRPr="00EC1EF8" w:rsidRDefault="00CA275F" w:rsidP="009F5C08">
            <w:pPr>
              <w:jc w:val="center"/>
              <w:rPr>
                <w:rFonts w:ascii="Calibri" w:eastAsia="Calibri" w:hAnsi="Calibri" w:cs="Calibri"/>
                <w:b/>
                <w:sz w:val="22"/>
                <w:szCs w:val="22"/>
              </w:rPr>
            </w:pPr>
            <w:r w:rsidRPr="00EC1EF8">
              <w:rPr>
                <w:rFonts w:ascii="Calibri" w:eastAsia="Calibri" w:hAnsi="Calibri" w:cs="Calibri"/>
                <w:b/>
                <w:sz w:val="22"/>
                <w:szCs w:val="22"/>
              </w:rPr>
              <w:t>How we measure success</w:t>
            </w:r>
          </w:p>
        </w:tc>
      </w:tr>
      <w:tr w:rsidR="00CA275F" w:rsidRPr="00EC1EF8" w14:paraId="74625EA4" w14:textId="77777777" w:rsidTr="009F5C08">
        <w:trPr>
          <w:trHeight w:val="189"/>
        </w:trPr>
        <w:tc>
          <w:tcPr>
            <w:tcW w:w="15511" w:type="dxa"/>
            <w:gridSpan w:val="3"/>
            <w:shd w:val="clear" w:color="auto" w:fill="538135" w:themeFill="accent6" w:themeFillShade="BF"/>
          </w:tcPr>
          <w:p w14:paraId="475A75B4" w14:textId="77777777" w:rsidR="00CA275F" w:rsidRPr="00EC1EF8" w:rsidRDefault="00CA275F" w:rsidP="009F5C08">
            <w:pPr>
              <w:numPr>
                <w:ilvl w:val="0"/>
                <w:numId w:val="29"/>
              </w:numPr>
              <w:contextualSpacing/>
              <w:rPr>
                <w:rFonts w:ascii="Calibri" w:eastAsia="Calibri" w:hAnsi="Calibri" w:cs="Calibri"/>
                <w:b/>
                <w:color w:val="FFFFFF"/>
                <w:sz w:val="22"/>
                <w:szCs w:val="22"/>
              </w:rPr>
            </w:pPr>
            <w:r w:rsidRPr="00EC1EF8">
              <w:rPr>
                <w:rFonts w:ascii="Calibri" w:eastAsia="Calibri" w:hAnsi="Calibri" w:cs="Calibri"/>
                <w:b/>
                <w:color w:val="FFFFFF"/>
                <w:sz w:val="22"/>
                <w:szCs w:val="22"/>
              </w:rPr>
              <w:t>Timely, coordinated, and evidence-based response to emerging environmental health issues of national concern.</w:t>
            </w:r>
          </w:p>
        </w:tc>
      </w:tr>
      <w:tr w:rsidR="00CA275F" w:rsidRPr="00EC1EF8" w14:paraId="4E7251B7" w14:textId="77777777" w:rsidTr="007F4CC9">
        <w:trPr>
          <w:trHeight w:val="1710"/>
        </w:trPr>
        <w:tc>
          <w:tcPr>
            <w:tcW w:w="3681" w:type="dxa"/>
            <w:shd w:val="clear" w:color="auto" w:fill="A8D08D" w:themeFill="accent6" w:themeFillTint="99"/>
          </w:tcPr>
          <w:p w14:paraId="7CD5BB20" w14:textId="680EECB3" w:rsidR="00CA275F" w:rsidRPr="00EC1EF8" w:rsidRDefault="00CA275F" w:rsidP="009F5C08">
            <w:pPr>
              <w:rPr>
                <w:rFonts w:eastAsia="Calibri"/>
                <w:b/>
              </w:rPr>
            </w:pPr>
            <w:r w:rsidRPr="00EC1EF8">
              <w:rPr>
                <w:rFonts w:ascii="Calibri" w:eastAsia="Calibri" w:hAnsi="Calibri" w:cs="Calibri"/>
                <w:b/>
                <w:color w:val="000000"/>
                <w:sz w:val="21"/>
                <w:szCs w:val="21"/>
              </w:rPr>
              <w:t xml:space="preserve">A.1 </w:t>
            </w:r>
            <w:r w:rsidRPr="00EC1EF8">
              <w:rPr>
                <w:rFonts w:ascii="Calibri" w:eastAsia="Calibri" w:hAnsi="Calibri" w:cs="Calibri"/>
                <w:b/>
                <w:sz w:val="21"/>
                <w:szCs w:val="21"/>
                <w:lang w:bidi="en-AU"/>
              </w:rPr>
              <w:t xml:space="preserve">Ensure that enHealth and AHPPC governance mechanisms are flexible enough to </w:t>
            </w:r>
            <w:r w:rsidR="003965DD">
              <w:rPr>
                <w:rFonts w:ascii="Calibri" w:eastAsia="Calibri" w:hAnsi="Calibri" w:cs="Calibri"/>
                <w:b/>
                <w:sz w:val="21"/>
                <w:szCs w:val="21"/>
                <w:lang w:bidi="en-AU"/>
              </w:rPr>
              <w:t xml:space="preserve">allow for </w:t>
            </w:r>
            <w:proofErr w:type="spellStart"/>
            <w:r w:rsidRPr="00EC1EF8">
              <w:rPr>
                <w:rFonts w:ascii="Calibri" w:eastAsia="Calibri" w:hAnsi="Calibri" w:cs="Calibri"/>
                <w:b/>
                <w:sz w:val="21"/>
                <w:szCs w:val="21"/>
                <w:lang w:bidi="en-AU"/>
              </w:rPr>
              <w:t>enHealth's</w:t>
            </w:r>
            <w:proofErr w:type="spellEnd"/>
            <w:r w:rsidRPr="00EC1EF8">
              <w:rPr>
                <w:rFonts w:ascii="Calibri" w:eastAsia="Calibri" w:hAnsi="Calibri" w:cs="Calibri"/>
                <w:b/>
                <w:sz w:val="21"/>
                <w:szCs w:val="21"/>
                <w:lang w:bidi="en-AU"/>
              </w:rPr>
              <w:t xml:space="preserve"> advice </w:t>
            </w:r>
            <w:r w:rsidR="003965DD">
              <w:rPr>
                <w:rFonts w:ascii="Calibri" w:eastAsia="Calibri" w:hAnsi="Calibri" w:cs="Calibri"/>
                <w:b/>
                <w:sz w:val="21"/>
                <w:szCs w:val="21"/>
                <w:lang w:bidi="en-AU"/>
              </w:rPr>
              <w:t>to</w:t>
            </w:r>
            <w:r w:rsidRPr="00EC1EF8">
              <w:rPr>
                <w:rFonts w:ascii="Calibri" w:eastAsia="Calibri" w:hAnsi="Calibri" w:cs="Calibri"/>
                <w:b/>
                <w:sz w:val="21"/>
                <w:szCs w:val="21"/>
                <w:lang w:bidi="en-AU"/>
              </w:rPr>
              <w:t xml:space="preserve"> be developed and approved rapidly to ensure relevance.</w:t>
            </w:r>
          </w:p>
        </w:tc>
        <w:tc>
          <w:tcPr>
            <w:tcW w:w="6095" w:type="dxa"/>
            <w:shd w:val="clear" w:color="auto" w:fill="C5E0B3" w:themeFill="accent6" w:themeFillTint="66"/>
          </w:tcPr>
          <w:p w14:paraId="17ABECEE" w14:textId="1F9B76E1" w:rsidR="003965DD" w:rsidRDefault="00CA275F" w:rsidP="007F376C">
            <w:pPr>
              <w:pStyle w:val="ListParagraph"/>
              <w:numPr>
                <w:ilvl w:val="0"/>
                <w:numId w:val="31"/>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 xml:space="preserve">Develop and implement the </w:t>
            </w:r>
            <w:r w:rsidRPr="007F376C">
              <w:rPr>
                <w:rFonts w:ascii="Calibri" w:eastAsia="Calibri" w:hAnsi="Calibri" w:cs="Calibri"/>
                <w:i/>
                <w:color w:val="000000"/>
                <w:sz w:val="21"/>
                <w:szCs w:val="21"/>
              </w:rPr>
              <w:t>Environmental Health Incident Management Framework</w:t>
            </w:r>
            <w:r w:rsidRPr="007F376C">
              <w:rPr>
                <w:rFonts w:ascii="Calibri" w:eastAsia="Calibri" w:hAnsi="Calibri" w:cs="Calibri"/>
                <w:color w:val="000000"/>
                <w:sz w:val="21"/>
                <w:szCs w:val="21"/>
              </w:rPr>
              <w:t>, including formalising the mechanism for establishing a Rapid Assessment Team.</w:t>
            </w:r>
          </w:p>
          <w:p w14:paraId="68FA64E1" w14:textId="0F24F3DC" w:rsidR="00CA275F" w:rsidRPr="00EC1EF8" w:rsidRDefault="00CA275F" w:rsidP="007F376C">
            <w:pPr>
              <w:pStyle w:val="ListParagraph"/>
              <w:numPr>
                <w:ilvl w:val="0"/>
                <w:numId w:val="31"/>
              </w:numPr>
              <w:spacing w:after="0"/>
              <w:rPr>
                <w:rFonts w:ascii="Calibri" w:eastAsia="Calibri" w:hAnsi="Calibri" w:cs="Calibri"/>
                <w:color w:val="000000"/>
                <w:sz w:val="21"/>
                <w:szCs w:val="21"/>
              </w:rPr>
            </w:pPr>
            <w:r w:rsidRPr="00EC1EF8">
              <w:rPr>
                <w:rFonts w:ascii="Calibri" w:eastAsia="Calibri" w:hAnsi="Calibri" w:cs="Calibri"/>
                <w:color w:val="000000"/>
                <w:sz w:val="21"/>
                <w:szCs w:val="21"/>
              </w:rPr>
              <w:t>Develop timely advice on hot topics in environmental health via AHPPC mechanisms.</w:t>
            </w:r>
          </w:p>
        </w:tc>
        <w:tc>
          <w:tcPr>
            <w:tcW w:w="5735" w:type="dxa"/>
            <w:shd w:val="clear" w:color="auto" w:fill="E2EFD9" w:themeFill="accent6" w:themeFillTint="33"/>
          </w:tcPr>
          <w:p w14:paraId="68FD09EA" w14:textId="77777777" w:rsidR="00CA275F" w:rsidRPr="007F376C" w:rsidRDefault="00CA275F" w:rsidP="007F376C">
            <w:pPr>
              <w:pStyle w:val="ListParagraph"/>
              <w:numPr>
                <w:ilvl w:val="0"/>
                <w:numId w:val="31"/>
              </w:numPr>
              <w:tabs>
                <w:tab w:val="left" w:pos="1055"/>
              </w:tabs>
              <w:spacing w:after="0"/>
              <w:rPr>
                <w:rFonts w:ascii="Calibri" w:eastAsia="Calibri" w:hAnsi="Calibri" w:cs="Calibri"/>
                <w:color w:val="000000"/>
                <w:sz w:val="21"/>
                <w:szCs w:val="21"/>
              </w:rPr>
            </w:pPr>
            <w:r w:rsidRPr="007F376C">
              <w:rPr>
                <w:rFonts w:ascii="Calibri" w:eastAsia="Calibri" w:hAnsi="Calibri" w:cs="Calibri"/>
                <w:color w:val="000000"/>
                <w:sz w:val="21"/>
                <w:szCs w:val="21"/>
              </w:rPr>
              <w:t>Mechanisms for advice development, peer review and approval for public release are developed and implemented.</w:t>
            </w:r>
          </w:p>
        </w:tc>
      </w:tr>
      <w:tr w:rsidR="00CA275F" w:rsidRPr="00EC1EF8" w14:paraId="31441866" w14:textId="77777777" w:rsidTr="007F4CC9">
        <w:trPr>
          <w:trHeight w:val="3605"/>
        </w:trPr>
        <w:tc>
          <w:tcPr>
            <w:tcW w:w="3681" w:type="dxa"/>
            <w:shd w:val="clear" w:color="auto" w:fill="A8D08D" w:themeFill="accent6" w:themeFillTint="99"/>
          </w:tcPr>
          <w:p w14:paraId="12B5AF0D" w14:textId="77777777" w:rsidR="00CA275F" w:rsidRPr="00EC1EF8" w:rsidRDefault="00CA275F" w:rsidP="009F5C08">
            <w:pPr>
              <w:rPr>
                <w:rFonts w:ascii="Calibri" w:eastAsia="Calibri" w:hAnsi="Calibri" w:cs="Calibri"/>
                <w:b/>
                <w:sz w:val="21"/>
                <w:szCs w:val="21"/>
              </w:rPr>
            </w:pPr>
            <w:r w:rsidRPr="00EC1EF8">
              <w:rPr>
                <w:rFonts w:ascii="Calibri" w:eastAsia="Calibri" w:hAnsi="Calibri" w:cs="Calibri"/>
                <w:b/>
                <w:color w:val="000000"/>
                <w:sz w:val="21"/>
                <w:szCs w:val="21"/>
              </w:rPr>
              <w:t xml:space="preserve">A.2 </w:t>
            </w:r>
            <w:r w:rsidRPr="00EC1EF8">
              <w:rPr>
                <w:rFonts w:ascii="Calibri" w:eastAsia="Calibri" w:hAnsi="Calibri" w:cs="Calibri"/>
                <w:b/>
                <w:bCs/>
                <w:color w:val="000000"/>
                <w:sz w:val="21"/>
                <w:szCs w:val="21"/>
                <w:lang w:bidi="en-AU"/>
              </w:rPr>
              <w:t>Ensure that enHealth and AHPPC are seen as Australia’s definitive source of information on environmental health issues.</w:t>
            </w:r>
          </w:p>
        </w:tc>
        <w:tc>
          <w:tcPr>
            <w:tcW w:w="6095" w:type="dxa"/>
            <w:shd w:val="clear" w:color="auto" w:fill="C5E0B3" w:themeFill="accent6" w:themeFillTint="66"/>
          </w:tcPr>
          <w:p w14:paraId="780AB25E" w14:textId="045722BD" w:rsidR="003965DD" w:rsidRDefault="00CA275F" w:rsidP="007F376C">
            <w:pPr>
              <w:pStyle w:val="ListParagraph"/>
              <w:numPr>
                <w:ilvl w:val="0"/>
                <w:numId w:val="32"/>
              </w:numPr>
              <w:spacing w:after="0"/>
              <w:rPr>
                <w:rFonts w:ascii="Calibri" w:eastAsia="Calibri" w:hAnsi="Calibri" w:cs="Calibri"/>
                <w:sz w:val="21"/>
                <w:szCs w:val="21"/>
              </w:rPr>
            </w:pPr>
            <w:r w:rsidRPr="007F376C">
              <w:rPr>
                <w:rFonts w:ascii="Calibri" w:eastAsia="Calibri" w:hAnsi="Calibri" w:cs="Calibri"/>
                <w:sz w:val="21"/>
                <w:szCs w:val="21"/>
              </w:rPr>
              <w:t>Rapid development of advice on health risks associated with emerging environmental health issues of concern across Australia for use by AHPPC and jurisdictions, other agencies, industry and the community.</w:t>
            </w:r>
          </w:p>
          <w:p w14:paraId="28F362F8" w14:textId="1DDC4DDB" w:rsidR="003965DD" w:rsidRPr="009F5C08" w:rsidRDefault="00CA275F" w:rsidP="007F376C">
            <w:pPr>
              <w:pStyle w:val="ListParagraph"/>
              <w:numPr>
                <w:ilvl w:val="0"/>
                <w:numId w:val="32"/>
              </w:numPr>
              <w:spacing w:after="0"/>
              <w:rPr>
                <w:rFonts w:ascii="Calibri" w:eastAsia="Calibri" w:hAnsi="Calibri" w:cs="Calibri"/>
                <w:sz w:val="21"/>
                <w:szCs w:val="21"/>
              </w:rPr>
            </w:pPr>
            <w:r w:rsidRPr="009F5C08">
              <w:rPr>
                <w:rFonts w:ascii="Calibri" w:eastAsia="Calibri" w:hAnsi="Calibri" w:cs="Calibri"/>
                <w:sz w:val="21"/>
                <w:szCs w:val="21"/>
              </w:rPr>
              <w:t>Ensure that information and advice developed by enHealth is readily understood by, and accessible to, the jurisdictions, other agencies, industry and the Australian community.</w:t>
            </w:r>
          </w:p>
          <w:p w14:paraId="7C096432" w14:textId="27A38FF2" w:rsidR="003965DD" w:rsidRPr="007F376C" w:rsidRDefault="00CA275F" w:rsidP="007F376C">
            <w:pPr>
              <w:pStyle w:val="ListParagraph"/>
              <w:numPr>
                <w:ilvl w:val="0"/>
                <w:numId w:val="32"/>
              </w:numPr>
              <w:spacing w:after="0"/>
              <w:rPr>
                <w:rFonts w:ascii="Calibri" w:eastAsia="Calibri" w:hAnsi="Calibri" w:cs="Calibri"/>
                <w:sz w:val="21"/>
                <w:szCs w:val="21"/>
              </w:rPr>
            </w:pPr>
            <w:r w:rsidRPr="007F376C">
              <w:rPr>
                <w:rFonts w:ascii="Calibri" w:eastAsia="Calibri" w:hAnsi="Calibri" w:cs="Calibri"/>
                <w:sz w:val="21"/>
                <w:szCs w:val="21"/>
              </w:rPr>
              <w:t>Provide inter-jurisdictional assistance to assess human health risks and provide guidance to AHPPC, governments and the community on how to manage them.</w:t>
            </w:r>
          </w:p>
          <w:p w14:paraId="4B41BE9D" w14:textId="77777777" w:rsidR="00CA275F" w:rsidRPr="007F376C" w:rsidRDefault="00CA275F" w:rsidP="007F376C">
            <w:pPr>
              <w:pStyle w:val="ListParagraph"/>
              <w:numPr>
                <w:ilvl w:val="0"/>
                <w:numId w:val="32"/>
              </w:numPr>
              <w:spacing w:after="0"/>
              <w:rPr>
                <w:rFonts w:ascii="Calibri" w:eastAsia="Calibri" w:hAnsi="Calibri" w:cs="Calibri"/>
                <w:sz w:val="21"/>
                <w:szCs w:val="21"/>
              </w:rPr>
            </w:pPr>
            <w:r w:rsidRPr="007F376C">
              <w:rPr>
                <w:rFonts w:ascii="Calibri" w:eastAsia="Calibri" w:hAnsi="Calibri" w:cs="Calibri"/>
                <w:sz w:val="21"/>
                <w:szCs w:val="21"/>
              </w:rPr>
              <w:t>Develop and strengthen the capability of environmental health testing in laboratories.</w:t>
            </w:r>
          </w:p>
          <w:p w14:paraId="343A6141" w14:textId="77777777" w:rsidR="00CA275F" w:rsidRPr="00EC1EF8" w:rsidRDefault="00CA275F" w:rsidP="009F5C08">
            <w:pPr>
              <w:rPr>
                <w:rFonts w:ascii="Calibri" w:eastAsia="Calibri" w:hAnsi="Calibri" w:cs="Calibri"/>
                <w:sz w:val="21"/>
                <w:szCs w:val="21"/>
              </w:rPr>
            </w:pPr>
          </w:p>
        </w:tc>
        <w:tc>
          <w:tcPr>
            <w:tcW w:w="5735" w:type="dxa"/>
            <w:shd w:val="clear" w:color="auto" w:fill="E2EFD9" w:themeFill="accent6" w:themeFillTint="33"/>
          </w:tcPr>
          <w:p w14:paraId="3BE2D002" w14:textId="48D5F208" w:rsidR="003965DD" w:rsidRPr="007F376C" w:rsidRDefault="00CA275F" w:rsidP="007F376C">
            <w:pPr>
              <w:pStyle w:val="ListParagraph"/>
              <w:numPr>
                <w:ilvl w:val="0"/>
                <w:numId w:val="32"/>
              </w:numPr>
              <w:spacing w:after="0"/>
              <w:rPr>
                <w:rFonts w:ascii="Calibri" w:eastAsia="Calibri" w:hAnsi="Calibri" w:cs="Calibri"/>
                <w:sz w:val="21"/>
                <w:szCs w:val="21"/>
              </w:rPr>
            </w:pPr>
            <w:r w:rsidRPr="007F376C">
              <w:rPr>
                <w:rFonts w:ascii="Calibri" w:eastAsia="Calibri" w:hAnsi="Calibri" w:cs="Calibri"/>
                <w:sz w:val="21"/>
                <w:szCs w:val="21"/>
              </w:rPr>
              <w:t>Adoption of advice on specific risks and issues by AHPPC.</w:t>
            </w:r>
          </w:p>
          <w:p w14:paraId="57EFD403" w14:textId="52B302CF" w:rsidR="003965DD" w:rsidRPr="007F376C" w:rsidRDefault="00CA275F" w:rsidP="007F376C">
            <w:pPr>
              <w:pStyle w:val="ListParagraph"/>
              <w:numPr>
                <w:ilvl w:val="0"/>
                <w:numId w:val="32"/>
              </w:numPr>
              <w:spacing w:after="0"/>
              <w:rPr>
                <w:rFonts w:ascii="Calibri" w:eastAsia="Calibri" w:hAnsi="Calibri" w:cs="Calibri"/>
                <w:sz w:val="21"/>
                <w:szCs w:val="21"/>
              </w:rPr>
            </w:pPr>
            <w:r w:rsidRPr="007F376C">
              <w:rPr>
                <w:rFonts w:ascii="Calibri" w:eastAsia="Calibri" w:hAnsi="Calibri" w:cs="Calibri"/>
                <w:sz w:val="21"/>
                <w:szCs w:val="21"/>
              </w:rPr>
              <w:t>Resource sharing arrangements are established to support response to incidents.</w:t>
            </w:r>
          </w:p>
          <w:p w14:paraId="6AE38545" w14:textId="387F9A3D" w:rsidR="003965DD" w:rsidRPr="007F376C" w:rsidRDefault="00CA275F" w:rsidP="007F376C">
            <w:pPr>
              <w:pStyle w:val="ListParagraph"/>
              <w:numPr>
                <w:ilvl w:val="0"/>
                <w:numId w:val="32"/>
              </w:numPr>
              <w:spacing w:after="0"/>
              <w:rPr>
                <w:rFonts w:ascii="Calibri" w:eastAsia="Calibri" w:hAnsi="Calibri" w:cs="Calibri"/>
                <w:sz w:val="21"/>
                <w:szCs w:val="21"/>
              </w:rPr>
            </w:pPr>
            <w:r w:rsidRPr="007F376C">
              <w:rPr>
                <w:rFonts w:ascii="Calibri" w:eastAsia="Calibri" w:hAnsi="Calibri" w:cs="Calibri"/>
                <w:sz w:val="21"/>
                <w:szCs w:val="21"/>
              </w:rPr>
              <w:t>Availability and use of AHPPC and enHealth developed guidelines, publications and communications.</w:t>
            </w:r>
          </w:p>
          <w:p w14:paraId="1E4752E7" w14:textId="77777777" w:rsidR="00CA275F" w:rsidRPr="007F376C" w:rsidRDefault="00CA275F" w:rsidP="007F376C">
            <w:pPr>
              <w:pStyle w:val="ListParagraph"/>
              <w:numPr>
                <w:ilvl w:val="0"/>
                <w:numId w:val="32"/>
              </w:numPr>
              <w:spacing w:after="0"/>
              <w:rPr>
                <w:rFonts w:ascii="Calibri" w:eastAsia="Calibri" w:hAnsi="Calibri" w:cs="Calibri"/>
                <w:sz w:val="21"/>
                <w:szCs w:val="21"/>
              </w:rPr>
            </w:pPr>
            <w:r w:rsidRPr="007F376C">
              <w:rPr>
                <w:rFonts w:ascii="Calibri" w:eastAsia="Calibri" w:hAnsi="Calibri" w:cs="Calibri"/>
                <w:sz w:val="21"/>
                <w:szCs w:val="21"/>
              </w:rPr>
              <w:t>Coordination with Public Health Laboratories Network (PHLN) regarding the capability for environmental health related testing in laboratories.</w:t>
            </w:r>
          </w:p>
        </w:tc>
      </w:tr>
      <w:tr w:rsidR="00CA275F" w:rsidRPr="00EC1EF8" w14:paraId="0E0792D8" w14:textId="77777777" w:rsidTr="007F4CC9">
        <w:trPr>
          <w:trHeight w:val="2532"/>
        </w:trPr>
        <w:tc>
          <w:tcPr>
            <w:tcW w:w="3681" w:type="dxa"/>
            <w:shd w:val="clear" w:color="auto" w:fill="A8D08D" w:themeFill="accent6" w:themeFillTint="99"/>
          </w:tcPr>
          <w:p w14:paraId="1C68C88A" w14:textId="77777777" w:rsidR="00CA275F" w:rsidRPr="00EC1EF8" w:rsidRDefault="00CA275F" w:rsidP="009F5C08">
            <w:pPr>
              <w:rPr>
                <w:rFonts w:ascii="Calibri" w:eastAsia="Calibri" w:hAnsi="Calibri" w:cs="Calibri"/>
                <w:b/>
                <w:sz w:val="21"/>
                <w:szCs w:val="21"/>
              </w:rPr>
            </w:pPr>
            <w:r w:rsidRPr="00EC1EF8">
              <w:rPr>
                <w:rFonts w:ascii="Calibri" w:eastAsia="Calibri" w:hAnsi="Calibri" w:cs="Calibri"/>
                <w:b/>
                <w:color w:val="000000"/>
                <w:sz w:val="21"/>
                <w:szCs w:val="21"/>
              </w:rPr>
              <w:t xml:space="preserve">A.3 </w:t>
            </w:r>
            <w:r w:rsidRPr="00EC1EF8">
              <w:rPr>
                <w:rFonts w:ascii="Calibri" w:eastAsia="Calibri" w:hAnsi="Calibri" w:cs="Calibri"/>
                <w:b/>
                <w:bCs/>
                <w:sz w:val="21"/>
                <w:szCs w:val="21"/>
                <w:lang w:bidi="en-AU"/>
              </w:rPr>
              <w:t>Maintain timely, coordinated and evidence-based responses to environmental health issues of national relevance and concern.</w:t>
            </w:r>
          </w:p>
        </w:tc>
        <w:tc>
          <w:tcPr>
            <w:tcW w:w="6095" w:type="dxa"/>
            <w:shd w:val="clear" w:color="auto" w:fill="C5E0B3" w:themeFill="accent6" w:themeFillTint="66"/>
          </w:tcPr>
          <w:p w14:paraId="6BC05F6F" w14:textId="2ADCB5FA" w:rsidR="003965DD" w:rsidRDefault="00CA275F" w:rsidP="007F376C">
            <w:pPr>
              <w:pStyle w:val="ListParagraph"/>
              <w:numPr>
                <w:ilvl w:val="0"/>
                <w:numId w:val="33"/>
              </w:numPr>
              <w:spacing w:after="0"/>
              <w:rPr>
                <w:rFonts w:ascii="Calibri" w:eastAsia="Calibri" w:hAnsi="Calibri" w:cs="Calibri"/>
                <w:sz w:val="21"/>
                <w:szCs w:val="21"/>
              </w:rPr>
            </w:pPr>
            <w:r w:rsidRPr="007F376C">
              <w:rPr>
                <w:rFonts w:ascii="Calibri" w:eastAsia="Calibri" w:hAnsi="Calibri" w:cs="Calibri"/>
                <w:sz w:val="21"/>
                <w:szCs w:val="21"/>
              </w:rPr>
              <w:t xml:space="preserve">Along with provision of the guidelines for </w:t>
            </w:r>
            <w:r w:rsidRPr="007F376C">
              <w:rPr>
                <w:rFonts w:ascii="Calibri" w:eastAsia="Calibri" w:hAnsi="Calibri" w:cs="Calibri"/>
                <w:i/>
                <w:sz w:val="21"/>
                <w:szCs w:val="21"/>
              </w:rPr>
              <w:t>Disaster and Emergency Management for Environmental Health Practitioners</w:t>
            </w:r>
            <w:r w:rsidRPr="007F376C">
              <w:rPr>
                <w:rFonts w:ascii="Calibri" w:eastAsia="Calibri" w:hAnsi="Calibri" w:cs="Calibri"/>
                <w:sz w:val="21"/>
                <w:szCs w:val="21"/>
              </w:rPr>
              <w:t>, enHealth maintains timely, coordinated and evidence-based responses to environmental health issues of national concern such as chemical contamination and air, soil and water quality.</w:t>
            </w:r>
          </w:p>
          <w:p w14:paraId="4E3B2476" w14:textId="6121E0F7" w:rsidR="00CA275F" w:rsidRPr="009F5C08" w:rsidRDefault="00CA275F" w:rsidP="007F376C">
            <w:pPr>
              <w:pStyle w:val="ListParagraph"/>
              <w:numPr>
                <w:ilvl w:val="0"/>
                <w:numId w:val="33"/>
              </w:numPr>
              <w:spacing w:after="0"/>
              <w:rPr>
                <w:rFonts w:ascii="Calibri" w:eastAsia="Calibri" w:hAnsi="Calibri" w:cs="Calibri"/>
                <w:sz w:val="21"/>
                <w:szCs w:val="21"/>
              </w:rPr>
            </w:pPr>
            <w:r w:rsidRPr="009F5C08">
              <w:rPr>
                <w:rFonts w:ascii="Calibri" w:eastAsia="Calibri" w:hAnsi="Calibri" w:cs="Calibri"/>
                <w:sz w:val="21"/>
                <w:szCs w:val="21"/>
              </w:rPr>
              <w:t>This may include review of updated evidence and national coordination of revised responses and updated guidance, publications and communications.</w:t>
            </w:r>
          </w:p>
          <w:p w14:paraId="4DF2A865" w14:textId="77777777" w:rsidR="00CA275F" w:rsidRPr="00EC1EF8" w:rsidRDefault="00CA275F" w:rsidP="009F5C08">
            <w:pPr>
              <w:rPr>
                <w:rFonts w:ascii="Calibri" w:eastAsia="Calibri" w:hAnsi="Calibri" w:cs="Calibri"/>
                <w:sz w:val="21"/>
                <w:szCs w:val="21"/>
              </w:rPr>
            </w:pPr>
          </w:p>
        </w:tc>
        <w:tc>
          <w:tcPr>
            <w:tcW w:w="5735" w:type="dxa"/>
            <w:shd w:val="clear" w:color="auto" w:fill="E2EFD9" w:themeFill="accent6" w:themeFillTint="33"/>
          </w:tcPr>
          <w:p w14:paraId="78201511" w14:textId="703E0C09" w:rsidR="003965DD" w:rsidRDefault="00CA275F" w:rsidP="007F376C">
            <w:pPr>
              <w:pStyle w:val="ListParagraph"/>
              <w:numPr>
                <w:ilvl w:val="0"/>
                <w:numId w:val="33"/>
              </w:numPr>
              <w:spacing w:after="0"/>
              <w:rPr>
                <w:rFonts w:ascii="Calibri" w:eastAsia="Calibri" w:hAnsi="Calibri" w:cs="Calibri"/>
                <w:sz w:val="21"/>
                <w:szCs w:val="21"/>
              </w:rPr>
            </w:pPr>
            <w:r w:rsidRPr="007F376C">
              <w:rPr>
                <w:rFonts w:ascii="Calibri" w:eastAsia="Calibri" w:hAnsi="Calibri" w:cs="Calibri"/>
                <w:sz w:val="21"/>
                <w:szCs w:val="21"/>
              </w:rPr>
              <w:t>Advice from AHPPC, enHealth and health agencies is adopted when managing critical environmental issues.</w:t>
            </w:r>
          </w:p>
          <w:p w14:paraId="65DC1D04" w14:textId="77777777" w:rsidR="003965DD" w:rsidRDefault="00CA275F" w:rsidP="007F376C">
            <w:pPr>
              <w:pStyle w:val="ListParagraph"/>
              <w:numPr>
                <w:ilvl w:val="0"/>
                <w:numId w:val="33"/>
              </w:numPr>
              <w:spacing w:after="0"/>
              <w:rPr>
                <w:rFonts w:ascii="Calibri" w:eastAsia="Calibri" w:hAnsi="Calibri" w:cs="Calibri"/>
                <w:sz w:val="21"/>
                <w:szCs w:val="21"/>
              </w:rPr>
            </w:pPr>
            <w:r w:rsidRPr="009F5C08">
              <w:rPr>
                <w:rFonts w:ascii="Calibri" w:eastAsia="Calibri" w:hAnsi="Calibri" w:cs="Calibri"/>
                <w:sz w:val="21"/>
                <w:szCs w:val="21"/>
              </w:rPr>
              <w:t>Development and uptake of revised national guidance, publications and communications where needed.</w:t>
            </w:r>
          </w:p>
          <w:p w14:paraId="4DF6BEEE" w14:textId="265A00C4" w:rsidR="003965DD" w:rsidRPr="007F376C" w:rsidRDefault="003965DD" w:rsidP="007F376C">
            <w:pPr>
              <w:pStyle w:val="ListParagraph"/>
              <w:numPr>
                <w:ilvl w:val="0"/>
                <w:numId w:val="33"/>
              </w:numPr>
              <w:spacing w:after="0"/>
              <w:rPr>
                <w:rFonts w:ascii="Calibri" w:eastAsia="Calibri" w:hAnsi="Calibri" w:cs="Calibri"/>
                <w:sz w:val="21"/>
                <w:szCs w:val="21"/>
              </w:rPr>
            </w:pPr>
            <w:r w:rsidRPr="007F376C">
              <w:rPr>
                <w:rFonts w:ascii="Calibri" w:eastAsia="Calibri" w:hAnsi="Calibri" w:cs="Calibri"/>
                <w:sz w:val="21"/>
                <w:szCs w:val="21"/>
              </w:rPr>
              <w:t>enHealth is consistently identified as a key source of authoritative advice in environmental health incidents and issues</w:t>
            </w:r>
          </w:p>
        </w:tc>
      </w:tr>
      <w:tr w:rsidR="00CA275F" w:rsidRPr="00EC1EF8" w14:paraId="2EC755A0" w14:textId="77777777" w:rsidTr="007F4CC9">
        <w:trPr>
          <w:trHeight w:val="1644"/>
        </w:trPr>
        <w:tc>
          <w:tcPr>
            <w:tcW w:w="3681" w:type="dxa"/>
            <w:shd w:val="clear" w:color="auto" w:fill="A8D08D" w:themeFill="accent6" w:themeFillTint="99"/>
          </w:tcPr>
          <w:p w14:paraId="53992EE7" w14:textId="77777777" w:rsidR="00CA275F" w:rsidRPr="00EC1EF8" w:rsidRDefault="00CA275F" w:rsidP="009F5C08">
            <w:pPr>
              <w:rPr>
                <w:rFonts w:ascii="Calibri" w:eastAsia="Calibri" w:hAnsi="Calibri" w:cs="Calibri"/>
                <w:b/>
                <w:color w:val="000000"/>
                <w:sz w:val="21"/>
                <w:szCs w:val="21"/>
              </w:rPr>
            </w:pPr>
            <w:r w:rsidRPr="00EC1EF8">
              <w:rPr>
                <w:rFonts w:ascii="Calibri" w:eastAsia="Calibri" w:hAnsi="Calibri" w:cs="Calibri"/>
                <w:b/>
                <w:color w:val="000000"/>
                <w:sz w:val="21"/>
                <w:szCs w:val="21"/>
              </w:rPr>
              <w:t xml:space="preserve">A.4 </w:t>
            </w:r>
            <w:r w:rsidRPr="00EC1EF8">
              <w:rPr>
                <w:rFonts w:ascii="Calibri" w:eastAsia="Calibri" w:hAnsi="Calibri" w:cs="Calibri"/>
                <w:b/>
                <w:bCs/>
                <w:sz w:val="21"/>
                <w:szCs w:val="21"/>
                <w:lang w:bidi="en-AU"/>
              </w:rPr>
              <w:t>Ensure that enHealth is involved in meeting international obligations related to environmental health issues.</w:t>
            </w:r>
          </w:p>
        </w:tc>
        <w:tc>
          <w:tcPr>
            <w:tcW w:w="6095" w:type="dxa"/>
            <w:shd w:val="clear" w:color="auto" w:fill="C5E0B3" w:themeFill="accent6" w:themeFillTint="66"/>
          </w:tcPr>
          <w:p w14:paraId="36A923DE" w14:textId="77777777" w:rsidR="00CA275F" w:rsidRPr="007F376C" w:rsidRDefault="00CA275F" w:rsidP="007F376C">
            <w:pPr>
              <w:pStyle w:val="ListParagraph"/>
              <w:numPr>
                <w:ilvl w:val="0"/>
                <w:numId w:val="34"/>
              </w:numPr>
              <w:spacing w:after="0"/>
              <w:rPr>
                <w:rFonts w:ascii="Calibri" w:eastAsia="Calibri" w:hAnsi="Calibri" w:cs="Calibri"/>
                <w:sz w:val="21"/>
                <w:szCs w:val="21"/>
              </w:rPr>
            </w:pPr>
            <w:r w:rsidRPr="007F376C">
              <w:rPr>
                <w:rFonts w:ascii="Calibri" w:eastAsia="Calibri" w:hAnsi="Calibri" w:cs="Calibri"/>
                <w:sz w:val="21"/>
                <w:szCs w:val="21"/>
              </w:rPr>
              <w:t>Maintain enHealth as a key stakeholder, as appropriate, in work and projects related to addressing the recommendation of the Joint External Evaluation (JEE) via the National Action Plan for Health Security 2019-2023 (NAPHS).</w:t>
            </w:r>
          </w:p>
          <w:p w14:paraId="11D1CE39" w14:textId="77777777" w:rsidR="00CA275F" w:rsidRPr="00EC1EF8" w:rsidRDefault="00CA275F" w:rsidP="009F5C08">
            <w:pPr>
              <w:rPr>
                <w:rFonts w:ascii="Calibri" w:eastAsia="Calibri" w:hAnsi="Calibri" w:cs="Calibri"/>
                <w:sz w:val="21"/>
                <w:szCs w:val="21"/>
              </w:rPr>
            </w:pPr>
          </w:p>
        </w:tc>
        <w:tc>
          <w:tcPr>
            <w:tcW w:w="5735" w:type="dxa"/>
            <w:shd w:val="clear" w:color="auto" w:fill="E2EFD9" w:themeFill="accent6" w:themeFillTint="33"/>
          </w:tcPr>
          <w:p w14:paraId="38E11AA1" w14:textId="77777777" w:rsidR="00CA275F" w:rsidRPr="007F376C" w:rsidRDefault="00CA275F" w:rsidP="007F376C">
            <w:pPr>
              <w:pStyle w:val="ListParagraph"/>
              <w:numPr>
                <w:ilvl w:val="0"/>
                <w:numId w:val="34"/>
              </w:numPr>
              <w:spacing w:after="0"/>
              <w:rPr>
                <w:rFonts w:ascii="Calibri" w:eastAsia="Calibri" w:hAnsi="Calibri" w:cs="Calibri"/>
                <w:sz w:val="21"/>
                <w:szCs w:val="21"/>
              </w:rPr>
            </w:pPr>
            <w:r w:rsidRPr="007F376C">
              <w:rPr>
                <w:rFonts w:ascii="Calibri" w:eastAsia="Calibri" w:hAnsi="Calibri" w:cs="Calibri"/>
                <w:sz w:val="21"/>
                <w:szCs w:val="21"/>
              </w:rPr>
              <w:t>NAPHS related work and projects involving enHealth as a key stakeholder are progressed in coordination with other stakeholders and leads.</w:t>
            </w:r>
          </w:p>
        </w:tc>
      </w:tr>
      <w:tr w:rsidR="00CA275F" w:rsidRPr="00EC1EF8" w14:paraId="3CB749F5" w14:textId="77777777" w:rsidTr="009F5C08">
        <w:trPr>
          <w:trHeight w:val="201"/>
        </w:trPr>
        <w:tc>
          <w:tcPr>
            <w:tcW w:w="15511" w:type="dxa"/>
            <w:gridSpan w:val="3"/>
            <w:shd w:val="clear" w:color="auto" w:fill="943634"/>
            <w:vAlign w:val="center"/>
          </w:tcPr>
          <w:p w14:paraId="302CAB60" w14:textId="77777777" w:rsidR="00CA275F" w:rsidRPr="00EC1EF8" w:rsidRDefault="00CA275F" w:rsidP="009F5C08">
            <w:pPr>
              <w:rPr>
                <w:rFonts w:eastAsia="Calibri"/>
                <w:sz w:val="22"/>
                <w:szCs w:val="22"/>
              </w:rPr>
            </w:pPr>
            <w:r w:rsidRPr="00EC1EF8">
              <w:rPr>
                <w:rFonts w:ascii="Calibri" w:eastAsia="Calibri" w:hAnsi="Calibri" w:cs="Calibri"/>
                <w:b/>
                <w:color w:val="FFFFFF"/>
                <w:sz w:val="22"/>
                <w:szCs w:val="22"/>
              </w:rPr>
              <w:lastRenderedPageBreak/>
              <w:t>B.  Nationally consistent evidence base for risk assessment, communication and management of significant environmental health issues of concern to the community.</w:t>
            </w:r>
          </w:p>
        </w:tc>
      </w:tr>
      <w:tr w:rsidR="00CA275F" w:rsidRPr="00EC1EF8" w14:paraId="58408AE2" w14:textId="77777777" w:rsidTr="009F5C08">
        <w:trPr>
          <w:trHeight w:val="1042"/>
        </w:trPr>
        <w:tc>
          <w:tcPr>
            <w:tcW w:w="3681" w:type="dxa"/>
            <w:shd w:val="clear" w:color="auto" w:fill="D99594"/>
          </w:tcPr>
          <w:p w14:paraId="5E9D0BCD" w14:textId="77777777" w:rsidR="00CA275F" w:rsidRPr="00EC1EF8" w:rsidRDefault="00CA275F" w:rsidP="009F5C08">
            <w:pPr>
              <w:rPr>
                <w:rFonts w:eastAsia="Calibri"/>
                <w:b/>
              </w:rPr>
            </w:pPr>
            <w:r w:rsidRPr="00EC1EF8">
              <w:rPr>
                <w:rFonts w:ascii="Calibri" w:eastAsia="Calibri" w:hAnsi="Calibri" w:cs="Calibri"/>
                <w:b/>
                <w:sz w:val="21"/>
                <w:szCs w:val="21"/>
              </w:rPr>
              <w:t xml:space="preserve">B.1 </w:t>
            </w:r>
            <w:r w:rsidRPr="00EC1EF8">
              <w:rPr>
                <w:rFonts w:ascii="Calibri" w:eastAsia="Calibri" w:hAnsi="Calibri" w:cs="Calibri"/>
                <w:b/>
                <w:bCs/>
                <w:sz w:val="21"/>
                <w:szCs w:val="21"/>
                <w:lang w:bidi="en-AU"/>
              </w:rPr>
              <w:t>Develop and maintain a suite of practical and evidence-based guidelines to support nationally consistent risk assessment, communication and management of common and significant environmental health issues of concern.</w:t>
            </w:r>
          </w:p>
        </w:tc>
        <w:tc>
          <w:tcPr>
            <w:tcW w:w="6095" w:type="dxa"/>
            <w:shd w:val="clear" w:color="auto" w:fill="E5B8B7"/>
          </w:tcPr>
          <w:p w14:paraId="49DAA278" w14:textId="041CF501" w:rsidR="00CA275F" w:rsidRPr="00031423" w:rsidRDefault="00CA275F" w:rsidP="007F376C">
            <w:pPr>
              <w:pStyle w:val="ListParagraph"/>
              <w:numPr>
                <w:ilvl w:val="0"/>
                <w:numId w:val="38"/>
              </w:numPr>
              <w:spacing w:after="0"/>
              <w:rPr>
                <w:rFonts w:ascii="Calibri" w:eastAsia="Calibri" w:hAnsi="Calibri" w:cs="Calibri"/>
                <w:color w:val="000000"/>
                <w:sz w:val="21"/>
                <w:szCs w:val="21"/>
              </w:rPr>
            </w:pPr>
            <w:r w:rsidRPr="00031423">
              <w:rPr>
                <w:rFonts w:ascii="Calibri" w:eastAsia="Calibri" w:hAnsi="Calibri" w:cs="Calibri"/>
                <w:color w:val="000000"/>
                <w:sz w:val="21"/>
                <w:szCs w:val="21"/>
              </w:rPr>
              <w:t xml:space="preserve">Develop an annual program for development </w:t>
            </w:r>
            <w:r w:rsidR="003965DD" w:rsidRPr="00031423">
              <w:rPr>
                <w:rFonts w:ascii="Calibri" w:eastAsia="Calibri" w:hAnsi="Calibri" w:cs="Calibri"/>
                <w:color w:val="000000"/>
                <w:sz w:val="21"/>
                <w:szCs w:val="21"/>
              </w:rPr>
              <w:t xml:space="preserve">and review </w:t>
            </w:r>
            <w:r w:rsidRPr="00031423">
              <w:rPr>
                <w:rFonts w:ascii="Calibri" w:eastAsia="Calibri" w:hAnsi="Calibri" w:cs="Calibri"/>
                <w:color w:val="000000"/>
                <w:sz w:val="21"/>
                <w:szCs w:val="21"/>
              </w:rPr>
              <w:t>of evidence based practice guidelines on specific environmental hazards. Such guidelines include:</w:t>
            </w:r>
          </w:p>
          <w:p w14:paraId="6397BE1E" w14:textId="77777777" w:rsidR="00CA275F" w:rsidRPr="00031423" w:rsidRDefault="00CA275F" w:rsidP="007F376C">
            <w:pPr>
              <w:numPr>
                <w:ilvl w:val="0"/>
                <w:numId w:val="39"/>
              </w:numPr>
              <w:rPr>
                <w:rFonts w:ascii="Calibri" w:eastAsia="Calibri" w:hAnsi="Calibri" w:cs="Calibri"/>
                <w:color w:val="000000"/>
                <w:sz w:val="21"/>
                <w:szCs w:val="21"/>
              </w:rPr>
            </w:pPr>
            <w:r w:rsidRPr="00031423">
              <w:rPr>
                <w:rFonts w:ascii="Calibri" w:eastAsia="Calibri" w:hAnsi="Calibri" w:cs="Calibri"/>
                <w:color w:val="000000"/>
                <w:sz w:val="21"/>
                <w:szCs w:val="21"/>
              </w:rPr>
              <w:t>Australian Guidelines for Water Recycling</w:t>
            </w:r>
          </w:p>
          <w:p w14:paraId="4F656DA6" w14:textId="77777777" w:rsidR="00CA275F" w:rsidRPr="00031423" w:rsidRDefault="00CA275F" w:rsidP="007F376C">
            <w:pPr>
              <w:numPr>
                <w:ilvl w:val="0"/>
                <w:numId w:val="39"/>
              </w:numPr>
              <w:rPr>
                <w:rFonts w:ascii="Calibri" w:eastAsia="Calibri" w:hAnsi="Calibri" w:cs="Calibri"/>
                <w:color w:val="000000"/>
                <w:sz w:val="21"/>
                <w:szCs w:val="21"/>
              </w:rPr>
            </w:pPr>
            <w:r w:rsidRPr="00031423">
              <w:rPr>
                <w:rFonts w:ascii="Calibri" w:eastAsia="Calibri" w:hAnsi="Calibri" w:cs="Calibri"/>
                <w:color w:val="000000"/>
                <w:sz w:val="21"/>
                <w:szCs w:val="21"/>
              </w:rPr>
              <w:t>Guidance on the use of Rainwater Tanks</w:t>
            </w:r>
          </w:p>
          <w:p w14:paraId="012C509A" w14:textId="77777777" w:rsidR="00CA275F" w:rsidRPr="00031423" w:rsidRDefault="00CA275F" w:rsidP="007F376C">
            <w:pPr>
              <w:numPr>
                <w:ilvl w:val="0"/>
                <w:numId w:val="39"/>
              </w:numPr>
              <w:rPr>
                <w:rFonts w:ascii="Calibri" w:eastAsia="Calibri" w:hAnsi="Calibri" w:cs="Calibri"/>
                <w:color w:val="000000"/>
                <w:sz w:val="21"/>
                <w:szCs w:val="21"/>
              </w:rPr>
            </w:pPr>
            <w:r w:rsidRPr="00031423">
              <w:rPr>
                <w:rFonts w:ascii="Calibri" w:eastAsia="Calibri" w:hAnsi="Calibri" w:cs="Calibri"/>
                <w:color w:val="000000"/>
                <w:sz w:val="21"/>
                <w:szCs w:val="21"/>
              </w:rPr>
              <w:t>Clandestine laboratories and methamphetamine contaminated homes</w:t>
            </w:r>
          </w:p>
          <w:p w14:paraId="1C1CC883" w14:textId="77777777" w:rsidR="00CA275F" w:rsidRPr="00031423" w:rsidRDefault="00CA275F" w:rsidP="007F376C">
            <w:pPr>
              <w:numPr>
                <w:ilvl w:val="0"/>
                <w:numId w:val="39"/>
              </w:numPr>
              <w:rPr>
                <w:rFonts w:ascii="Calibri" w:eastAsia="Calibri" w:hAnsi="Calibri" w:cs="Calibri"/>
                <w:color w:val="000000"/>
                <w:sz w:val="21"/>
                <w:szCs w:val="21"/>
              </w:rPr>
            </w:pPr>
            <w:r w:rsidRPr="00031423">
              <w:rPr>
                <w:rFonts w:ascii="Calibri" w:eastAsia="Calibri" w:hAnsi="Calibri" w:cs="Calibri"/>
                <w:color w:val="000000"/>
                <w:sz w:val="21"/>
                <w:szCs w:val="21"/>
              </w:rPr>
              <w:t>Managing risks associated with vapour intrusion</w:t>
            </w:r>
          </w:p>
          <w:p w14:paraId="174515A5" w14:textId="77777777" w:rsidR="00CA275F" w:rsidRPr="00031423" w:rsidRDefault="00CA275F" w:rsidP="007F376C">
            <w:pPr>
              <w:numPr>
                <w:ilvl w:val="0"/>
                <w:numId w:val="39"/>
              </w:numPr>
              <w:rPr>
                <w:rFonts w:ascii="Calibri" w:eastAsia="Calibri" w:hAnsi="Calibri" w:cs="Calibri"/>
                <w:color w:val="000000"/>
                <w:sz w:val="21"/>
                <w:szCs w:val="21"/>
              </w:rPr>
            </w:pPr>
            <w:r w:rsidRPr="00031423">
              <w:rPr>
                <w:rFonts w:ascii="Calibri" w:eastAsia="Calibri" w:hAnsi="Calibri" w:cs="Calibri"/>
                <w:color w:val="000000"/>
                <w:sz w:val="21"/>
                <w:szCs w:val="21"/>
              </w:rPr>
              <w:t>National air quality framework</w:t>
            </w:r>
          </w:p>
          <w:p w14:paraId="505C27EE" w14:textId="77777777" w:rsidR="00CA275F" w:rsidRPr="00031423" w:rsidRDefault="00CA275F" w:rsidP="007F376C">
            <w:pPr>
              <w:numPr>
                <w:ilvl w:val="0"/>
                <w:numId w:val="39"/>
              </w:numPr>
              <w:rPr>
                <w:rFonts w:ascii="Calibri" w:eastAsia="Calibri" w:hAnsi="Calibri" w:cs="Calibri"/>
                <w:color w:val="000000"/>
                <w:sz w:val="21"/>
                <w:szCs w:val="21"/>
              </w:rPr>
            </w:pPr>
            <w:r w:rsidRPr="00031423">
              <w:rPr>
                <w:rFonts w:ascii="Calibri" w:eastAsia="Calibri" w:hAnsi="Calibri" w:cs="Calibri"/>
                <w:color w:val="000000"/>
                <w:sz w:val="21"/>
                <w:szCs w:val="21"/>
              </w:rPr>
              <w:t>Managing risks associated with tattoo inks</w:t>
            </w:r>
          </w:p>
          <w:p w14:paraId="7A74B481" w14:textId="1760BBC5" w:rsidR="00CA275F" w:rsidRPr="00031423" w:rsidRDefault="00CA275F" w:rsidP="007F376C">
            <w:pPr>
              <w:numPr>
                <w:ilvl w:val="0"/>
                <w:numId w:val="39"/>
              </w:numPr>
              <w:rPr>
                <w:rFonts w:ascii="Calibri" w:eastAsia="Calibri" w:hAnsi="Calibri" w:cs="Calibri"/>
                <w:color w:val="000000"/>
                <w:sz w:val="21"/>
                <w:szCs w:val="21"/>
              </w:rPr>
            </w:pPr>
            <w:r w:rsidRPr="00031423">
              <w:rPr>
                <w:rFonts w:ascii="Calibri" w:eastAsia="Calibri" w:hAnsi="Calibri" w:cs="Calibri"/>
                <w:color w:val="000000"/>
                <w:sz w:val="21"/>
                <w:szCs w:val="21"/>
              </w:rPr>
              <w:t xml:space="preserve">Reducing exposure to metals in </w:t>
            </w:r>
            <w:r w:rsidR="00E208CC" w:rsidRPr="00031423">
              <w:rPr>
                <w:rFonts w:ascii="Calibri" w:eastAsia="Calibri" w:hAnsi="Calibri" w:cs="Calibri"/>
                <w:color w:val="000000"/>
                <w:sz w:val="21"/>
                <w:szCs w:val="21"/>
              </w:rPr>
              <w:t>drinking water</w:t>
            </w:r>
          </w:p>
        </w:tc>
        <w:tc>
          <w:tcPr>
            <w:tcW w:w="5735" w:type="dxa"/>
            <w:shd w:val="clear" w:color="auto" w:fill="F2DBDB"/>
          </w:tcPr>
          <w:p w14:paraId="3F8C03FD" w14:textId="481407FE" w:rsidR="00E208CC" w:rsidRPr="00031423" w:rsidRDefault="00E208CC" w:rsidP="005E4831">
            <w:pPr>
              <w:pStyle w:val="ListParagraph"/>
              <w:numPr>
                <w:ilvl w:val="0"/>
                <w:numId w:val="49"/>
              </w:numPr>
              <w:spacing w:after="0"/>
              <w:rPr>
                <w:rFonts w:ascii="Calibri" w:eastAsia="Calibri" w:hAnsi="Calibri" w:cs="Calibri"/>
                <w:color w:val="000000"/>
                <w:sz w:val="21"/>
                <w:szCs w:val="21"/>
              </w:rPr>
            </w:pPr>
            <w:r w:rsidRPr="00031423">
              <w:rPr>
                <w:rFonts w:ascii="Calibri" w:eastAsia="Calibri" w:hAnsi="Calibri" w:cs="Calibri"/>
                <w:color w:val="000000"/>
                <w:sz w:val="21"/>
                <w:szCs w:val="21"/>
              </w:rPr>
              <w:t>New and updated enHealth guidelines are developed.</w:t>
            </w:r>
          </w:p>
          <w:p w14:paraId="43837FE7" w14:textId="4AC62F44" w:rsidR="00E208CC" w:rsidRPr="00031423" w:rsidRDefault="00E208CC" w:rsidP="005E4831">
            <w:pPr>
              <w:pStyle w:val="ListParagraph"/>
              <w:numPr>
                <w:ilvl w:val="0"/>
                <w:numId w:val="49"/>
              </w:numPr>
              <w:spacing w:after="0"/>
              <w:rPr>
                <w:rFonts w:ascii="Calibri" w:eastAsia="Calibri" w:hAnsi="Calibri" w:cs="Calibri"/>
                <w:color w:val="000000"/>
                <w:sz w:val="21"/>
                <w:szCs w:val="21"/>
              </w:rPr>
            </w:pPr>
            <w:r w:rsidRPr="00031423">
              <w:rPr>
                <w:rFonts w:ascii="Calibri" w:eastAsia="Calibri" w:hAnsi="Calibri" w:cs="Calibri"/>
                <w:color w:val="000000"/>
                <w:sz w:val="21"/>
                <w:szCs w:val="21"/>
              </w:rPr>
              <w:t>The number, currency and uptake of enHealth guidelines.</w:t>
            </w:r>
          </w:p>
          <w:p w14:paraId="3B7DE5B7" w14:textId="77777777" w:rsidR="005E4831" w:rsidRPr="00031423" w:rsidRDefault="005E4831" w:rsidP="005E4831">
            <w:pPr>
              <w:pStyle w:val="ListParagraph"/>
              <w:numPr>
                <w:ilvl w:val="0"/>
                <w:numId w:val="49"/>
              </w:numPr>
              <w:spacing w:after="0"/>
              <w:rPr>
                <w:color w:val="000000"/>
                <w:sz w:val="21"/>
                <w:szCs w:val="21"/>
              </w:rPr>
            </w:pPr>
            <w:r w:rsidRPr="00031423">
              <w:rPr>
                <w:color w:val="000000"/>
                <w:sz w:val="21"/>
                <w:szCs w:val="21"/>
              </w:rPr>
              <w:t>Best practice and transparent processes for evidence evaluation and guideline development are undertaken.</w:t>
            </w:r>
          </w:p>
          <w:p w14:paraId="30101FB7" w14:textId="77777777" w:rsidR="005E4831" w:rsidRPr="00031423" w:rsidRDefault="005E4831" w:rsidP="00016A02">
            <w:pPr>
              <w:pStyle w:val="ListParagraph"/>
              <w:spacing w:after="0"/>
              <w:ind w:left="360"/>
              <w:rPr>
                <w:rFonts w:ascii="Calibri" w:eastAsia="Calibri" w:hAnsi="Calibri" w:cs="Calibri"/>
                <w:color w:val="000000"/>
                <w:sz w:val="21"/>
                <w:szCs w:val="21"/>
              </w:rPr>
            </w:pPr>
          </w:p>
          <w:p w14:paraId="5C7038D1" w14:textId="1304E06D" w:rsidR="00CA275F" w:rsidRPr="00031423" w:rsidRDefault="00CA275F" w:rsidP="00C55507">
            <w:pPr>
              <w:rPr>
                <w:rFonts w:eastAsia="Calibri"/>
              </w:rPr>
            </w:pPr>
          </w:p>
        </w:tc>
      </w:tr>
      <w:tr w:rsidR="00CA275F" w:rsidRPr="00EC1EF8" w14:paraId="7D4277F5" w14:textId="77777777" w:rsidTr="007F376C">
        <w:trPr>
          <w:trHeight w:val="851"/>
        </w:trPr>
        <w:tc>
          <w:tcPr>
            <w:tcW w:w="3681" w:type="dxa"/>
            <w:shd w:val="clear" w:color="auto" w:fill="D99594"/>
          </w:tcPr>
          <w:p w14:paraId="51210160" w14:textId="3D227151" w:rsidR="00CA275F" w:rsidRPr="00EC1EF8" w:rsidRDefault="00CA275F">
            <w:pPr>
              <w:rPr>
                <w:rFonts w:eastAsia="Calibri"/>
                <w:b/>
              </w:rPr>
            </w:pPr>
            <w:r w:rsidRPr="00EC1EF8">
              <w:rPr>
                <w:rFonts w:ascii="Calibri" w:eastAsia="Calibri" w:hAnsi="Calibri" w:cs="Calibri"/>
                <w:b/>
                <w:sz w:val="21"/>
                <w:szCs w:val="21"/>
              </w:rPr>
              <w:t xml:space="preserve">B.2 </w:t>
            </w:r>
            <w:r w:rsidRPr="00EC1EF8">
              <w:rPr>
                <w:rFonts w:ascii="Calibri" w:eastAsia="Calibri" w:hAnsi="Calibri" w:cs="Calibri"/>
                <w:b/>
                <w:sz w:val="21"/>
                <w:szCs w:val="21"/>
                <w:lang w:bidi="en-AU"/>
              </w:rPr>
              <w:t>Regular review of enHealth publications to ensure an up-to-date and relevant evidence base</w:t>
            </w:r>
            <w:r w:rsidRPr="00EC1EF8">
              <w:rPr>
                <w:rFonts w:ascii="Calibri" w:eastAsia="Calibri" w:hAnsi="Calibri" w:cs="Calibri"/>
                <w:b/>
                <w:sz w:val="21"/>
                <w:szCs w:val="21"/>
              </w:rPr>
              <w:t>.</w:t>
            </w:r>
          </w:p>
        </w:tc>
        <w:tc>
          <w:tcPr>
            <w:tcW w:w="6095" w:type="dxa"/>
            <w:shd w:val="clear" w:color="auto" w:fill="E5B8B7"/>
          </w:tcPr>
          <w:p w14:paraId="02592871" w14:textId="6D620159" w:rsidR="003965DD" w:rsidRPr="007F376C" w:rsidRDefault="00CA275F" w:rsidP="007F376C">
            <w:pPr>
              <w:pStyle w:val="ListParagraph"/>
              <w:numPr>
                <w:ilvl w:val="0"/>
                <w:numId w:val="35"/>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 xml:space="preserve">Reviewing publications listed on the enHealth website annually to ensure they are up-to-date and relevant. </w:t>
            </w:r>
          </w:p>
          <w:p w14:paraId="5233A9C4" w14:textId="63DA93C3" w:rsidR="00CA275F" w:rsidRPr="007F376C" w:rsidRDefault="00CA275F" w:rsidP="007F376C">
            <w:pPr>
              <w:pStyle w:val="ListParagraph"/>
              <w:numPr>
                <w:ilvl w:val="0"/>
                <w:numId w:val="35"/>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Sharing lessons learned in responding to various incidents.</w:t>
            </w:r>
          </w:p>
        </w:tc>
        <w:tc>
          <w:tcPr>
            <w:tcW w:w="5735" w:type="dxa"/>
            <w:shd w:val="clear" w:color="auto" w:fill="F2DBDB"/>
          </w:tcPr>
          <w:p w14:paraId="089B86CB" w14:textId="53639759" w:rsidR="003965DD" w:rsidRPr="007F376C" w:rsidRDefault="00CA275F" w:rsidP="007F376C">
            <w:pPr>
              <w:pStyle w:val="ListParagraph"/>
              <w:numPr>
                <w:ilvl w:val="0"/>
                <w:numId w:val="35"/>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Publications are identified for review and updating.</w:t>
            </w:r>
          </w:p>
          <w:p w14:paraId="06BC34CE" w14:textId="77777777" w:rsidR="00CA275F" w:rsidRPr="007F376C" w:rsidRDefault="00CA275F" w:rsidP="007F376C">
            <w:pPr>
              <w:pStyle w:val="ListParagraph"/>
              <w:numPr>
                <w:ilvl w:val="0"/>
                <w:numId w:val="35"/>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Successful sharing of case studies.</w:t>
            </w:r>
          </w:p>
        </w:tc>
      </w:tr>
      <w:tr w:rsidR="00CA275F" w:rsidRPr="00EC1EF8" w14:paraId="10199B49" w14:textId="77777777" w:rsidTr="009F5C08">
        <w:trPr>
          <w:trHeight w:val="201"/>
        </w:trPr>
        <w:tc>
          <w:tcPr>
            <w:tcW w:w="15511" w:type="dxa"/>
            <w:gridSpan w:val="3"/>
            <w:shd w:val="clear" w:color="auto" w:fill="365F91"/>
            <w:vAlign w:val="center"/>
          </w:tcPr>
          <w:p w14:paraId="7A00E9E3" w14:textId="77777777" w:rsidR="00CA275F" w:rsidRPr="00EC1EF8" w:rsidRDefault="00CA275F" w:rsidP="009F5C08">
            <w:pPr>
              <w:rPr>
                <w:rFonts w:ascii="Calibri" w:eastAsia="Calibri" w:hAnsi="Calibri" w:cs="Calibri"/>
                <w:color w:val="000000"/>
                <w:sz w:val="22"/>
                <w:szCs w:val="22"/>
              </w:rPr>
            </w:pPr>
            <w:r w:rsidRPr="00EC1EF8">
              <w:rPr>
                <w:rFonts w:ascii="Calibri" w:eastAsia="Calibri" w:hAnsi="Calibri" w:cs="Calibri"/>
                <w:b/>
                <w:color w:val="FFFFFF"/>
                <w:sz w:val="22"/>
                <w:szCs w:val="22"/>
              </w:rPr>
              <w:t>C. National science policy and practice frameworks for environmental health.</w:t>
            </w:r>
          </w:p>
        </w:tc>
      </w:tr>
      <w:tr w:rsidR="00CA275F" w:rsidRPr="00EC1EF8" w14:paraId="361669A9" w14:textId="77777777" w:rsidTr="009F5C08">
        <w:trPr>
          <w:trHeight w:val="1042"/>
        </w:trPr>
        <w:tc>
          <w:tcPr>
            <w:tcW w:w="3681" w:type="dxa"/>
            <w:shd w:val="clear" w:color="auto" w:fill="95B3D7"/>
          </w:tcPr>
          <w:p w14:paraId="4166EFB3" w14:textId="77777777" w:rsidR="00CA275F" w:rsidRPr="00EC1EF8" w:rsidRDefault="00CA275F" w:rsidP="009F5C08">
            <w:pPr>
              <w:rPr>
                <w:rFonts w:ascii="Calibri" w:eastAsia="Calibri" w:hAnsi="Calibri" w:cs="Calibri"/>
                <w:b/>
                <w:color w:val="000000"/>
                <w:sz w:val="21"/>
                <w:szCs w:val="21"/>
              </w:rPr>
            </w:pPr>
            <w:r w:rsidRPr="00EC1EF8">
              <w:rPr>
                <w:rFonts w:ascii="Calibri" w:eastAsia="Calibri" w:hAnsi="Calibri" w:cs="Calibri"/>
                <w:b/>
                <w:color w:val="000000"/>
                <w:sz w:val="21"/>
                <w:szCs w:val="21"/>
              </w:rPr>
              <w:t xml:space="preserve">C.1 </w:t>
            </w:r>
            <w:r w:rsidRPr="00EC1EF8">
              <w:rPr>
                <w:rFonts w:ascii="Calibri" w:eastAsia="Calibri" w:hAnsi="Calibri" w:cs="Calibri"/>
                <w:b/>
                <w:color w:val="000000"/>
                <w:sz w:val="21"/>
                <w:szCs w:val="21"/>
                <w:lang w:bidi="en-AU"/>
              </w:rPr>
              <w:t>Promote valid and consistent environmental health decision making on novel risks</w:t>
            </w:r>
            <w:r w:rsidRPr="00EC1EF8">
              <w:rPr>
                <w:rFonts w:ascii="Calibri" w:eastAsia="Calibri" w:hAnsi="Calibri" w:cs="Calibri"/>
                <w:b/>
                <w:color w:val="000000"/>
                <w:sz w:val="21"/>
                <w:szCs w:val="21"/>
              </w:rPr>
              <w:t>.</w:t>
            </w:r>
          </w:p>
        </w:tc>
        <w:tc>
          <w:tcPr>
            <w:tcW w:w="6095" w:type="dxa"/>
            <w:shd w:val="clear" w:color="auto" w:fill="B8CCE4"/>
          </w:tcPr>
          <w:p w14:paraId="25067800" w14:textId="3955DE50" w:rsidR="00CA275F" w:rsidRPr="007F376C" w:rsidRDefault="00CA275F" w:rsidP="007F376C">
            <w:pPr>
              <w:pStyle w:val="ListParagraph"/>
              <w:numPr>
                <w:ilvl w:val="0"/>
                <w:numId w:val="36"/>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Development and maintenance of a suite of documents to guide nationally consistent approaches to risk assessment and risk management decision making.</w:t>
            </w:r>
            <w:r w:rsidR="009F5C08">
              <w:rPr>
                <w:rFonts w:ascii="Calibri" w:eastAsia="Calibri" w:hAnsi="Calibri" w:cs="Calibri"/>
                <w:color w:val="000000"/>
                <w:sz w:val="21"/>
                <w:szCs w:val="21"/>
              </w:rPr>
              <w:t xml:space="preserve"> Such documents include the Environmental Health Risk Assessment Guidelines.</w:t>
            </w:r>
          </w:p>
        </w:tc>
        <w:tc>
          <w:tcPr>
            <w:tcW w:w="5735" w:type="dxa"/>
            <w:shd w:val="clear" w:color="auto" w:fill="DBE5F1"/>
          </w:tcPr>
          <w:p w14:paraId="043666E7" w14:textId="77777777" w:rsidR="00CA275F" w:rsidRPr="007F376C" w:rsidRDefault="00CA275F" w:rsidP="007F376C">
            <w:pPr>
              <w:pStyle w:val="ListParagraph"/>
              <w:numPr>
                <w:ilvl w:val="0"/>
                <w:numId w:val="36"/>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These documents are developed, maintained, up-to-date and widely used.</w:t>
            </w:r>
          </w:p>
        </w:tc>
      </w:tr>
      <w:tr w:rsidR="00CA275F" w:rsidRPr="00EC1EF8" w14:paraId="6C2D14C8" w14:textId="77777777" w:rsidTr="009F5C08">
        <w:trPr>
          <w:trHeight w:val="876"/>
        </w:trPr>
        <w:tc>
          <w:tcPr>
            <w:tcW w:w="3681" w:type="dxa"/>
            <w:shd w:val="clear" w:color="auto" w:fill="95B3D7"/>
          </w:tcPr>
          <w:p w14:paraId="14E045A6" w14:textId="77777777" w:rsidR="00CA275F" w:rsidRPr="00EC1EF8" w:rsidRDefault="00CA275F" w:rsidP="009F5C08">
            <w:pPr>
              <w:rPr>
                <w:rFonts w:ascii="Calibri" w:eastAsia="Calibri" w:hAnsi="Calibri" w:cs="Calibri"/>
                <w:b/>
                <w:color w:val="000000"/>
                <w:sz w:val="21"/>
                <w:szCs w:val="21"/>
              </w:rPr>
            </w:pPr>
            <w:r w:rsidRPr="00EC1EF8">
              <w:rPr>
                <w:rFonts w:ascii="Calibri" w:eastAsia="Calibri" w:hAnsi="Calibri" w:cs="Calibri"/>
                <w:b/>
                <w:color w:val="000000"/>
                <w:sz w:val="21"/>
                <w:szCs w:val="21"/>
              </w:rPr>
              <w:t xml:space="preserve">C.2 </w:t>
            </w:r>
            <w:r w:rsidRPr="00EC1EF8">
              <w:rPr>
                <w:rFonts w:ascii="Calibri" w:eastAsia="Calibri" w:hAnsi="Calibri" w:cs="Calibri"/>
                <w:b/>
                <w:color w:val="000000"/>
                <w:sz w:val="21"/>
                <w:szCs w:val="21"/>
                <w:lang w:bidi="en-AU"/>
              </w:rPr>
              <w:t>Support effective management of community engagement and risk communication due to environmental health incidents, issues and community concerns.</w:t>
            </w:r>
          </w:p>
        </w:tc>
        <w:tc>
          <w:tcPr>
            <w:tcW w:w="6095" w:type="dxa"/>
            <w:shd w:val="clear" w:color="auto" w:fill="B8CCE4"/>
          </w:tcPr>
          <w:p w14:paraId="7ADCAF31" w14:textId="77777777" w:rsidR="00CA275F" w:rsidRPr="007F376C" w:rsidRDefault="00CA275F" w:rsidP="007F376C">
            <w:pPr>
              <w:pStyle w:val="ListParagraph"/>
              <w:numPr>
                <w:ilvl w:val="0"/>
                <w:numId w:val="37"/>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Update and enhance enHealth guidance on community engagement and risk communication.</w:t>
            </w:r>
          </w:p>
        </w:tc>
        <w:tc>
          <w:tcPr>
            <w:tcW w:w="5735" w:type="dxa"/>
            <w:shd w:val="clear" w:color="auto" w:fill="DBE5F1"/>
          </w:tcPr>
          <w:p w14:paraId="7F39EC59" w14:textId="77777777" w:rsidR="00CA275F" w:rsidRPr="007F376C" w:rsidRDefault="00CA275F" w:rsidP="007F376C">
            <w:pPr>
              <w:pStyle w:val="ListParagraph"/>
              <w:numPr>
                <w:ilvl w:val="0"/>
                <w:numId w:val="37"/>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enHealth guidance on community engagement and risk communication is developed, maintained, up-to-date and widely used.</w:t>
            </w:r>
          </w:p>
        </w:tc>
      </w:tr>
      <w:tr w:rsidR="00CA275F" w:rsidRPr="00EC1EF8" w14:paraId="7961881A" w14:textId="77777777" w:rsidTr="009F5C08">
        <w:trPr>
          <w:trHeight w:val="177"/>
        </w:trPr>
        <w:tc>
          <w:tcPr>
            <w:tcW w:w="15511" w:type="dxa"/>
            <w:gridSpan w:val="3"/>
            <w:shd w:val="clear" w:color="auto" w:fill="5F497A"/>
          </w:tcPr>
          <w:p w14:paraId="18831FA4" w14:textId="77777777" w:rsidR="00CA275F" w:rsidRPr="00EC1EF8" w:rsidRDefault="00CA275F" w:rsidP="009F5C08">
            <w:pPr>
              <w:rPr>
                <w:rFonts w:ascii="Calibri" w:eastAsia="Calibri" w:hAnsi="Calibri" w:cs="Calibri"/>
                <w:color w:val="FFFFFF"/>
                <w:sz w:val="22"/>
                <w:szCs w:val="21"/>
              </w:rPr>
            </w:pPr>
            <w:r w:rsidRPr="00EC1EF8">
              <w:rPr>
                <w:rFonts w:ascii="Calibri" w:eastAsia="Calibri" w:hAnsi="Calibri" w:cs="Calibri"/>
                <w:b/>
                <w:color w:val="FFFFFF"/>
                <w:sz w:val="22"/>
                <w:szCs w:val="21"/>
              </w:rPr>
              <w:t>D. Sufficient and appropriately skilled workforce to address future environmental health challenges.</w:t>
            </w:r>
          </w:p>
        </w:tc>
      </w:tr>
      <w:tr w:rsidR="00CA275F" w:rsidRPr="00EC1EF8" w14:paraId="4B6EAF57" w14:textId="77777777" w:rsidTr="009F5C08">
        <w:trPr>
          <w:trHeight w:val="1042"/>
        </w:trPr>
        <w:tc>
          <w:tcPr>
            <w:tcW w:w="3681" w:type="dxa"/>
            <w:shd w:val="clear" w:color="auto" w:fill="B2A1C7"/>
          </w:tcPr>
          <w:p w14:paraId="2DAF501F" w14:textId="77777777" w:rsidR="00CA275F" w:rsidRPr="00EC1EF8" w:rsidRDefault="00CA275F" w:rsidP="009F5C08">
            <w:pPr>
              <w:rPr>
                <w:rFonts w:eastAsia="Calibri"/>
                <w:b/>
              </w:rPr>
            </w:pPr>
            <w:r w:rsidRPr="00EC1EF8">
              <w:rPr>
                <w:rFonts w:ascii="Calibri" w:eastAsia="Calibri" w:hAnsi="Calibri" w:cs="Calibri"/>
                <w:b/>
                <w:color w:val="000000"/>
                <w:sz w:val="21"/>
                <w:szCs w:val="21"/>
              </w:rPr>
              <w:t xml:space="preserve">D.1 </w:t>
            </w:r>
            <w:r w:rsidRPr="00EC1EF8">
              <w:rPr>
                <w:rFonts w:ascii="Calibri" w:eastAsia="Calibri" w:hAnsi="Calibri" w:cs="Calibri"/>
                <w:b/>
                <w:sz w:val="21"/>
                <w:szCs w:val="21"/>
                <w:lang w:bidi="en-AU"/>
              </w:rPr>
              <w:t>Protect the health of the Australian community by building the capacity of a sufficient and appropriately skilled environmental health workforce.</w:t>
            </w:r>
          </w:p>
        </w:tc>
        <w:tc>
          <w:tcPr>
            <w:tcW w:w="6095" w:type="dxa"/>
            <w:shd w:val="clear" w:color="auto" w:fill="CCC0D9"/>
          </w:tcPr>
          <w:p w14:paraId="0327B61C" w14:textId="2EB226AC" w:rsidR="009F5C08" w:rsidRPr="007F376C" w:rsidRDefault="00CA275F" w:rsidP="007F376C">
            <w:pPr>
              <w:pStyle w:val="ListParagraph"/>
              <w:numPr>
                <w:ilvl w:val="0"/>
                <w:numId w:val="40"/>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 xml:space="preserve">Assess the competencies, demand for and supply of the regulatory science workforce. </w:t>
            </w:r>
          </w:p>
          <w:p w14:paraId="704AE6D4" w14:textId="03825933" w:rsidR="009F5C08" w:rsidRPr="007F376C" w:rsidRDefault="00CA275F" w:rsidP="007F376C">
            <w:pPr>
              <w:pStyle w:val="ListParagraph"/>
              <w:numPr>
                <w:ilvl w:val="0"/>
                <w:numId w:val="40"/>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 xml:space="preserve">Develop strategies to address regulatory science supply challenges. </w:t>
            </w:r>
          </w:p>
          <w:p w14:paraId="5A9153D5" w14:textId="3AA49C4B" w:rsidR="009F5C08" w:rsidRPr="007F376C" w:rsidRDefault="00CA275F" w:rsidP="007F376C">
            <w:pPr>
              <w:pStyle w:val="ListParagraph"/>
              <w:numPr>
                <w:ilvl w:val="0"/>
                <w:numId w:val="40"/>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Agree on and promote the essential skills and knowledge required by the Australian environmental health workforce.</w:t>
            </w:r>
          </w:p>
          <w:p w14:paraId="112405FF" w14:textId="580CCDE0" w:rsidR="009F5C08" w:rsidRPr="007F376C" w:rsidRDefault="00CA275F" w:rsidP="007F376C">
            <w:pPr>
              <w:pStyle w:val="ListParagraph"/>
              <w:numPr>
                <w:ilvl w:val="0"/>
                <w:numId w:val="40"/>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Supporting education and industry bodies to promote and develop the environmental health workforce capacity</w:t>
            </w:r>
            <w:r w:rsidR="009F5C08">
              <w:rPr>
                <w:rFonts w:ascii="Calibri" w:eastAsia="Calibri" w:hAnsi="Calibri" w:cs="Calibri"/>
                <w:color w:val="000000"/>
                <w:sz w:val="21"/>
                <w:szCs w:val="21"/>
              </w:rPr>
              <w:t>.</w:t>
            </w:r>
            <w:r w:rsidRPr="007F376C">
              <w:rPr>
                <w:rFonts w:ascii="Calibri" w:eastAsia="Calibri" w:hAnsi="Calibri" w:cs="Calibri"/>
                <w:color w:val="000000"/>
                <w:sz w:val="21"/>
                <w:szCs w:val="21"/>
              </w:rPr>
              <w:t xml:space="preserve"> </w:t>
            </w:r>
          </w:p>
          <w:p w14:paraId="67AA03CC" w14:textId="7E42E20A" w:rsidR="009F5C08" w:rsidRPr="007F376C" w:rsidRDefault="00CA275F" w:rsidP="007F376C">
            <w:pPr>
              <w:pStyle w:val="ListParagraph"/>
              <w:numPr>
                <w:ilvl w:val="0"/>
                <w:numId w:val="40"/>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Maintain national expertise and experience in environmental health risk assessment and management</w:t>
            </w:r>
            <w:r w:rsidR="00815799">
              <w:rPr>
                <w:rFonts w:ascii="Calibri" w:eastAsia="Calibri" w:hAnsi="Calibri" w:cs="Calibri"/>
                <w:color w:val="000000"/>
                <w:sz w:val="21"/>
                <w:szCs w:val="21"/>
              </w:rPr>
              <w:t>.</w:t>
            </w:r>
          </w:p>
          <w:p w14:paraId="0DF3428F" w14:textId="77777777" w:rsidR="00CA275F" w:rsidRPr="007F376C" w:rsidRDefault="00CA275F" w:rsidP="007F376C">
            <w:pPr>
              <w:pStyle w:val="ListParagraph"/>
              <w:numPr>
                <w:ilvl w:val="0"/>
                <w:numId w:val="40"/>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lastRenderedPageBreak/>
              <w:t>Develop a strategic approach to strengthen contemporary environmental health functions in Australia and support jurisdictional representation and expertise.</w:t>
            </w:r>
          </w:p>
        </w:tc>
        <w:tc>
          <w:tcPr>
            <w:tcW w:w="5735" w:type="dxa"/>
            <w:shd w:val="clear" w:color="auto" w:fill="E5DFEC"/>
          </w:tcPr>
          <w:p w14:paraId="55ED7704" w14:textId="66E68767" w:rsidR="009F5C08" w:rsidRPr="007F376C" w:rsidRDefault="00CA275F" w:rsidP="007F376C">
            <w:pPr>
              <w:pStyle w:val="ListParagraph"/>
              <w:numPr>
                <w:ilvl w:val="0"/>
                <w:numId w:val="40"/>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lastRenderedPageBreak/>
              <w:t>Needs, supply and demand assessment of regulatory science roles completed.</w:t>
            </w:r>
          </w:p>
          <w:p w14:paraId="3F7E55CE" w14:textId="34E5584E" w:rsidR="009F5C08" w:rsidRPr="007F376C" w:rsidRDefault="00CA275F" w:rsidP="007F376C">
            <w:pPr>
              <w:pStyle w:val="ListParagraph"/>
              <w:numPr>
                <w:ilvl w:val="0"/>
                <w:numId w:val="40"/>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Opportunities to address supply issues identified.</w:t>
            </w:r>
          </w:p>
          <w:p w14:paraId="2856F4C7" w14:textId="5D7972AA" w:rsidR="009F5C08" w:rsidRPr="007F376C" w:rsidRDefault="00CA275F" w:rsidP="007F376C">
            <w:pPr>
              <w:pStyle w:val="ListParagraph"/>
              <w:numPr>
                <w:ilvl w:val="0"/>
                <w:numId w:val="40"/>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Maintenance of the environmental health practitioner guidelines and skills and knowledge matrix.</w:t>
            </w:r>
          </w:p>
          <w:p w14:paraId="40E4A2B3" w14:textId="1730C4CB" w:rsidR="009F5C08" w:rsidRPr="007F376C" w:rsidRDefault="00CA275F" w:rsidP="007F376C">
            <w:pPr>
              <w:pStyle w:val="ListParagraph"/>
              <w:numPr>
                <w:ilvl w:val="0"/>
                <w:numId w:val="40"/>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Relevant guidance to support the addressing of key strategic priorities.</w:t>
            </w:r>
          </w:p>
          <w:p w14:paraId="0C7BD10E" w14:textId="44FA5BD7" w:rsidR="009F5C08" w:rsidRPr="007F376C" w:rsidRDefault="00CA275F" w:rsidP="007F376C">
            <w:pPr>
              <w:pStyle w:val="ListParagraph"/>
              <w:numPr>
                <w:ilvl w:val="0"/>
                <w:numId w:val="40"/>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Workforce demand and supply determined based on needs assessment.</w:t>
            </w:r>
          </w:p>
          <w:p w14:paraId="73A63C92" w14:textId="77777777" w:rsidR="00CA275F" w:rsidRPr="007F376C" w:rsidRDefault="00CA275F" w:rsidP="007F376C">
            <w:pPr>
              <w:pStyle w:val="ListParagraph"/>
              <w:numPr>
                <w:ilvl w:val="0"/>
                <w:numId w:val="40"/>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 xml:space="preserve">Broad jurisdictional representation on Expert Reference Panel on Environmental Health (ERPEH), Water Quality </w:t>
            </w:r>
            <w:r w:rsidRPr="007F376C">
              <w:rPr>
                <w:rFonts w:ascii="Calibri" w:eastAsia="Calibri" w:hAnsi="Calibri" w:cs="Calibri"/>
                <w:color w:val="000000"/>
                <w:sz w:val="21"/>
                <w:szCs w:val="21"/>
              </w:rPr>
              <w:lastRenderedPageBreak/>
              <w:t>Expert Reference Panel (WQERP) and Radiation Health Expert Reference Panel (RHERP).</w:t>
            </w:r>
          </w:p>
        </w:tc>
      </w:tr>
      <w:tr w:rsidR="00CA275F" w:rsidRPr="00EC1EF8" w14:paraId="24DE3AF0" w14:textId="77777777" w:rsidTr="009F5C08">
        <w:trPr>
          <w:trHeight w:val="864"/>
        </w:trPr>
        <w:tc>
          <w:tcPr>
            <w:tcW w:w="3681" w:type="dxa"/>
            <w:shd w:val="clear" w:color="auto" w:fill="B2A1C7"/>
          </w:tcPr>
          <w:p w14:paraId="704971A5" w14:textId="77777777" w:rsidR="00CA275F" w:rsidRPr="00EC1EF8" w:rsidRDefault="00CA275F" w:rsidP="009F5C08">
            <w:pPr>
              <w:rPr>
                <w:rFonts w:ascii="Calibri" w:eastAsia="Calibri" w:hAnsi="Calibri" w:cs="Calibri"/>
                <w:b/>
                <w:sz w:val="21"/>
                <w:szCs w:val="21"/>
              </w:rPr>
            </w:pPr>
            <w:r w:rsidRPr="00EC1EF8">
              <w:rPr>
                <w:rFonts w:ascii="Calibri" w:eastAsia="Calibri" w:hAnsi="Calibri" w:cs="Calibri"/>
                <w:b/>
                <w:color w:val="000000"/>
                <w:sz w:val="21"/>
                <w:szCs w:val="21"/>
              </w:rPr>
              <w:lastRenderedPageBreak/>
              <w:t xml:space="preserve">D.2 </w:t>
            </w:r>
            <w:r w:rsidRPr="00EC1EF8">
              <w:rPr>
                <w:rFonts w:ascii="Calibri" w:eastAsia="Calibri" w:hAnsi="Calibri" w:cs="Calibri"/>
                <w:b/>
                <w:color w:val="000000"/>
                <w:sz w:val="21"/>
                <w:szCs w:val="21"/>
                <w:lang w:bidi="en-AU"/>
              </w:rPr>
              <w:t>Support the effective deployment of environmental health technical capacity across Australia to protect the health of the community.</w:t>
            </w:r>
          </w:p>
        </w:tc>
        <w:tc>
          <w:tcPr>
            <w:tcW w:w="6095" w:type="dxa"/>
            <w:shd w:val="clear" w:color="auto" w:fill="CCC0D9"/>
          </w:tcPr>
          <w:p w14:paraId="3184B406" w14:textId="53A21481" w:rsidR="009F5C08" w:rsidRPr="007F376C" w:rsidRDefault="00CA275F" w:rsidP="007F376C">
            <w:pPr>
              <w:pStyle w:val="ListParagraph"/>
              <w:numPr>
                <w:ilvl w:val="0"/>
                <w:numId w:val="41"/>
              </w:numPr>
              <w:spacing w:after="0"/>
              <w:rPr>
                <w:rFonts w:ascii="Calibri" w:eastAsia="Calibri" w:hAnsi="Calibri" w:cs="Calibri"/>
                <w:sz w:val="21"/>
                <w:szCs w:val="21"/>
              </w:rPr>
            </w:pPr>
            <w:r w:rsidRPr="007F376C">
              <w:rPr>
                <w:rFonts w:ascii="Calibri" w:eastAsia="Calibri" w:hAnsi="Calibri" w:cs="Calibri"/>
                <w:sz w:val="21"/>
                <w:szCs w:val="21"/>
              </w:rPr>
              <w:t>Facilitating the sharing of expertise to respond to environmental health incidents and emergencies.</w:t>
            </w:r>
          </w:p>
          <w:p w14:paraId="43683D87" w14:textId="77777777" w:rsidR="00CA275F" w:rsidRPr="007F376C" w:rsidRDefault="00CA275F" w:rsidP="007F376C">
            <w:pPr>
              <w:pStyle w:val="ListParagraph"/>
              <w:numPr>
                <w:ilvl w:val="0"/>
                <w:numId w:val="41"/>
              </w:numPr>
              <w:spacing w:after="0"/>
              <w:rPr>
                <w:rFonts w:ascii="Calibri" w:eastAsia="Calibri" w:hAnsi="Calibri" w:cs="Calibri"/>
                <w:sz w:val="21"/>
                <w:szCs w:val="21"/>
              </w:rPr>
            </w:pPr>
            <w:r w:rsidRPr="007F376C">
              <w:rPr>
                <w:rFonts w:ascii="Calibri" w:eastAsia="Calibri" w:hAnsi="Calibri" w:cs="Calibri"/>
                <w:sz w:val="21"/>
                <w:szCs w:val="21"/>
              </w:rPr>
              <w:t>Assisting with surge capacity or where a jurisdiction’s resources are overwhelmed.</w:t>
            </w:r>
          </w:p>
        </w:tc>
        <w:tc>
          <w:tcPr>
            <w:tcW w:w="5735" w:type="dxa"/>
            <w:shd w:val="clear" w:color="auto" w:fill="E5DFEC"/>
          </w:tcPr>
          <w:p w14:paraId="38D922C5" w14:textId="0BF98B0F" w:rsidR="009F5C08" w:rsidRPr="007F376C" w:rsidRDefault="00CA275F" w:rsidP="007F376C">
            <w:pPr>
              <w:pStyle w:val="ListParagraph"/>
              <w:numPr>
                <w:ilvl w:val="0"/>
                <w:numId w:val="41"/>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Broad jurisdictional representation on the Expert Reference Panel on Environmental Health (ERPEH), Water Quality Expert Reference Panel (WQERP) and Radiation Health Expert Reference Panel (RHERP).</w:t>
            </w:r>
          </w:p>
          <w:p w14:paraId="468CDBEF" w14:textId="77777777" w:rsidR="00CA275F" w:rsidRPr="007F376C" w:rsidRDefault="00CA275F" w:rsidP="007F376C">
            <w:pPr>
              <w:pStyle w:val="ListParagraph"/>
              <w:numPr>
                <w:ilvl w:val="0"/>
                <w:numId w:val="41"/>
              </w:numPr>
              <w:spacing w:after="0"/>
              <w:rPr>
                <w:rFonts w:ascii="Calibri" w:eastAsia="Calibri" w:hAnsi="Calibri" w:cs="Calibri"/>
                <w:color w:val="000000"/>
                <w:sz w:val="21"/>
                <w:szCs w:val="21"/>
              </w:rPr>
            </w:pPr>
            <w:r w:rsidRPr="007F376C">
              <w:rPr>
                <w:rFonts w:ascii="Calibri" w:eastAsia="Calibri" w:hAnsi="Calibri" w:cs="Calibri"/>
                <w:color w:val="000000"/>
                <w:sz w:val="21"/>
                <w:szCs w:val="21"/>
              </w:rPr>
              <w:t>Instigation of the Environmental Health Incident Management Framework and Rapid Assessment Teams, if necessary.</w:t>
            </w:r>
          </w:p>
        </w:tc>
      </w:tr>
      <w:tr w:rsidR="00CA275F" w:rsidRPr="00EC1EF8" w14:paraId="03655D7F" w14:textId="77777777" w:rsidTr="009F5C08">
        <w:trPr>
          <w:trHeight w:val="177"/>
        </w:trPr>
        <w:tc>
          <w:tcPr>
            <w:tcW w:w="15511" w:type="dxa"/>
            <w:gridSpan w:val="3"/>
            <w:shd w:val="clear" w:color="auto" w:fill="31849B"/>
          </w:tcPr>
          <w:p w14:paraId="7C87DE3A" w14:textId="77777777" w:rsidR="00CA275F" w:rsidRPr="00EC1EF8" w:rsidRDefault="00CA275F" w:rsidP="009F5C08">
            <w:pPr>
              <w:rPr>
                <w:rFonts w:ascii="Calibri" w:eastAsia="Calibri" w:hAnsi="Calibri" w:cs="Calibri"/>
                <w:color w:val="000000"/>
                <w:sz w:val="22"/>
                <w:szCs w:val="22"/>
              </w:rPr>
            </w:pPr>
            <w:r w:rsidRPr="00EC1EF8">
              <w:rPr>
                <w:rFonts w:ascii="Calibri" w:eastAsia="Calibri" w:hAnsi="Calibri" w:cs="Calibri"/>
                <w:b/>
                <w:color w:val="FFFFFF"/>
                <w:sz w:val="22"/>
                <w:szCs w:val="22"/>
              </w:rPr>
              <w:t>E. Promoting improved environmental health conditions and outcomes for Aboriginal and Torres Strait Islander communities</w:t>
            </w:r>
          </w:p>
        </w:tc>
      </w:tr>
      <w:tr w:rsidR="00CA275F" w:rsidRPr="00EC1EF8" w14:paraId="6F8640C9" w14:textId="77777777" w:rsidTr="009F5C08">
        <w:trPr>
          <w:trHeight w:val="887"/>
        </w:trPr>
        <w:tc>
          <w:tcPr>
            <w:tcW w:w="3681" w:type="dxa"/>
            <w:shd w:val="clear" w:color="auto" w:fill="92CDDC"/>
          </w:tcPr>
          <w:p w14:paraId="62C07F84" w14:textId="77777777" w:rsidR="00CA275F" w:rsidRPr="00EC1EF8" w:rsidRDefault="00CA275F" w:rsidP="009F5C08">
            <w:pPr>
              <w:rPr>
                <w:rFonts w:ascii="Calibri" w:eastAsia="Calibri" w:hAnsi="Calibri" w:cs="Calibri"/>
                <w:b/>
                <w:sz w:val="21"/>
                <w:szCs w:val="21"/>
              </w:rPr>
            </w:pPr>
            <w:r w:rsidRPr="00EC1EF8">
              <w:rPr>
                <w:rFonts w:ascii="Calibri" w:eastAsia="Calibri" w:hAnsi="Calibri" w:cs="Calibri"/>
                <w:b/>
                <w:sz w:val="21"/>
                <w:szCs w:val="21"/>
              </w:rPr>
              <w:t xml:space="preserve">E.1 </w:t>
            </w:r>
            <w:r w:rsidRPr="00EC1EF8">
              <w:rPr>
                <w:rFonts w:ascii="Calibri" w:eastAsia="Calibri" w:hAnsi="Calibri" w:cs="Calibri"/>
                <w:b/>
                <w:sz w:val="21"/>
                <w:szCs w:val="21"/>
                <w:lang w:bidi="en-AU"/>
              </w:rPr>
              <w:t>Improve networking and professional development of the indigenous environmental health workforce</w:t>
            </w:r>
            <w:r w:rsidRPr="00EC1EF8">
              <w:rPr>
                <w:rFonts w:ascii="Calibri" w:eastAsia="Calibri" w:hAnsi="Calibri" w:cs="Calibri"/>
                <w:b/>
                <w:sz w:val="21"/>
                <w:szCs w:val="21"/>
              </w:rPr>
              <w:t>.</w:t>
            </w:r>
          </w:p>
        </w:tc>
        <w:tc>
          <w:tcPr>
            <w:tcW w:w="6095" w:type="dxa"/>
            <w:shd w:val="clear" w:color="auto" w:fill="B6DDE8"/>
          </w:tcPr>
          <w:p w14:paraId="10C66947" w14:textId="7F586B07" w:rsidR="009F5C08" w:rsidRPr="007F376C" w:rsidRDefault="00CA275F" w:rsidP="007F376C">
            <w:pPr>
              <w:pStyle w:val="ListParagraph"/>
              <w:numPr>
                <w:ilvl w:val="0"/>
                <w:numId w:val="42"/>
              </w:numPr>
              <w:spacing w:after="0"/>
              <w:rPr>
                <w:rFonts w:ascii="Calibri" w:eastAsia="Calibri" w:hAnsi="Calibri" w:cs="Calibri"/>
                <w:sz w:val="21"/>
                <w:szCs w:val="21"/>
              </w:rPr>
            </w:pPr>
            <w:r w:rsidRPr="007F376C">
              <w:rPr>
                <w:rFonts w:ascii="Calibri" w:eastAsia="Calibri" w:hAnsi="Calibri" w:cs="Calibri"/>
                <w:sz w:val="21"/>
                <w:szCs w:val="21"/>
              </w:rPr>
              <w:t>Biennial National Aboriginal and Torres Strait Islander Environmental Health (NATSIEH) Conference</w:t>
            </w:r>
            <w:r w:rsidR="00815799">
              <w:rPr>
                <w:rFonts w:ascii="Calibri" w:eastAsia="Calibri" w:hAnsi="Calibri" w:cs="Calibri"/>
                <w:sz w:val="21"/>
                <w:szCs w:val="21"/>
              </w:rPr>
              <w:t>.</w:t>
            </w:r>
            <w:r w:rsidRPr="007F376C">
              <w:rPr>
                <w:rFonts w:ascii="Calibri" w:eastAsia="Calibri" w:hAnsi="Calibri" w:cs="Calibri"/>
                <w:sz w:val="21"/>
                <w:szCs w:val="21"/>
              </w:rPr>
              <w:t xml:space="preserve"> </w:t>
            </w:r>
          </w:p>
          <w:p w14:paraId="38537494" w14:textId="77777777" w:rsidR="00CA275F" w:rsidRPr="007F376C" w:rsidRDefault="00CA275F" w:rsidP="007F376C">
            <w:pPr>
              <w:pStyle w:val="ListParagraph"/>
              <w:numPr>
                <w:ilvl w:val="0"/>
                <w:numId w:val="42"/>
              </w:numPr>
              <w:spacing w:after="0"/>
              <w:rPr>
                <w:rFonts w:ascii="Calibri" w:eastAsia="Calibri" w:hAnsi="Calibri" w:cs="Calibri"/>
                <w:sz w:val="21"/>
                <w:szCs w:val="21"/>
              </w:rPr>
            </w:pPr>
            <w:r w:rsidRPr="007F376C">
              <w:rPr>
                <w:rFonts w:ascii="Calibri" w:eastAsia="Calibri" w:hAnsi="Calibri" w:cs="Calibri"/>
                <w:sz w:val="21"/>
                <w:szCs w:val="21"/>
              </w:rPr>
              <w:t xml:space="preserve">Sponsorship of the Indigenous Environmental Health Practitioners (IEHPs) Portal and Yarning Place of </w:t>
            </w:r>
            <w:proofErr w:type="spellStart"/>
            <w:r w:rsidRPr="007F376C">
              <w:rPr>
                <w:rFonts w:ascii="Calibri" w:eastAsia="Calibri" w:hAnsi="Calibri" w:cs="Calibri"/>
                <w:sz w:val="21"/>
                <w:szCs w:val="21"/>
              </w:rPr>
              <w:t>HealthInfoNet</w:t>
            </w:r>
            <w:proofErr w:type="spellEnd"/>
            <w:r w:rsidRPr="007F376C">
              <w:rPr>
                <w:rFonts w:ascii="Calibri" w:eastAsia="Calibri" w:hAnsi="Calibri" w:cs="Calibri"/>
                <w:sz w:val="21"/>
                <w:szCs w:val="21"/>
              </w:rPr>
              <w:t>.</w:t>
            </w:r>
          </w:p>
        </w:tc>
        <w:tc>
          <w:tcPr>
            <w:tcW w:w="5735" w:type="dxa"/>
            <w:shd w:val="clear" w:color="auto" w:fill="DAEEF3"/>
          </w:tcPr>
          <w:p w14:paraId="3174234A" w14:textId="7E0EEEAA" w:rsidR="009F5C08" w:rsidRDefault="00CA275F" w:rsidP="007F376C">
            <w:pPr>
              <w:pStyle w:val="ListParagraph"/>
              <w:numPr>
                <w:ilvl w:val="0"/>
                <w:numId w:val="42"/>
              </w:numPr>
              <w:spacing w:after="0"/>
              <w:rPr>
                <w:rFonts w:ascii="Calibri" w:eastAsia="Calibri" w:hAnsi="Calibri" w:cs="Calibri"/>
                <w:sz w:val="21"/>
                <w:szCs w:val="21"/>
              </w:rPr>
            </w:pPr>
            <w:r w:rsidRPr="007F376C">
              <w:rPr>
                <w:rFonts w:ascii="Calibri" w:eastAsia="Calibri" w:hAnsi="Calibri" w:cs="Calibri"/>
                <w:sz w:val="21"/>
                <w:szCs w:val="21"/>
              </w:rPr>
              <w:t>Participation and success of the biennial NATSIEH Conferences.</w:t>
            </w:r>
          </w:p>
          <w:p w14:paraId="0C4288C9" w14:textId="46C29252" w:rsidR="00CA275F" w:rsidRPr="00EC1EF8" w:rsidRDefault="00CA275F" w:rsidP="007F376C">
            <w:pPr>
              <w:pStyle w:val="ListParagraph"/>
              <w:numPr>
                <w:ilvl w:val="0"/>
                <w:numId w:val="42"/>
              </w:numPr>
              <w:spacing w:after="0"/>
              <w:rPr>
                <w:rFonts w:ascii="Calibri" w:eastAsia="Calibri" w:hAnsi="Calibri" w:cs="Calibri"/>
                <w:sz w:val="21"/>
                <w:szCs w:val="21"/>
              </w:rPr>
            </w:pPr>
            <w:r w:rsidRPr="00EC1EF8">
              <w:rPr>
                <w:rFonts w:ascii="Calibri" w:eastAsia="Calibri" w:hAnsi="Calibri" w:cs="Calibri"/>
                <w:sz w:val="21"/>
                <w:szCs w:val="21"/>
              </w:rPr>
              <w:t xml:space="preserve">Uptake of the </w:t>
            </w:r>
            <w:proofErr w:type="spellStart"/>
            <w:r w:rsidRPr="00EC1EF8">
              <w:rPr>
                <w:rFonts w:ascii="Calibri" w:eastAsia="Calibri" w:hAnsi="Calibri" w:cs="Calibri"/>
                <w:sz w:val="21"/>
                <w:szCs w:val="21"/>
              </w:rPr>
              <w:t>Health</w:t>
            </w:r>
            <w:r w:rsidRPr="00EC1EF8">
              <w:rPr>
                <w:rFonts w:ascii="Calibri" w:eastAsia="Calibri" w:hAnsi="Calibri" w:cs="Calibri"/>
                <w:i/>
                <w:sz w:val="21"/>
                <w:szCs w:val="21"/>
              </w:rPr>
              <w:t>Info</w:t>
            </w:r>
            <w:r w:rsidRPr="00EC1EF8">
              <w:rPr>
                <w:rFonts w:ascii="Calibri" w:eastAsia="Calibri" w:hAnsi="Calibri" w:cs="Calibri"/>
                <w:sz w:val="21"/>
                <w:szCs w:val="21"/>
              </w:rPr>
              <w:t>Net</w:t>
            </w:r>
            <w:proofErr w:type="spellEnd"/>
            <w:r w:rsidRPr="00EC1EF8">
              <w:rPr>
                <w:rFonts w:ascii="Calibri" w:eastAsia="Calibri" w:hAnsi="Calibri" w:cs="Calibri"/>
                <w:sz w:val="21"/>
                <w:szCs w:val="21"/>
              </w:rPr>
              <w:t xml:space="preserve"> Indigenous Environmental Health Practitioners Portal and Yarning Place.</w:t>
            </w:r>
          </w:p>
        </w:tc>
      </w:tr>
      <w:tr w:rsidR="00CA275F" w:rsidRPr="00EC1EF8" w14:paraId="2F26A829" w14:textId="77777777" w:rsidTr="009F5C08">
        <w:trPr>
          <w:trHeight w:val="1219"/>
        </w:trPr>
        <w:tc>
          <w:tcPr>
            <w:tcW w:w="3681" w:type="dxa"/>
            <w:shd w:val="clear" w:color="auto" w:fill="92CDDC"/>
          </w:tcPr>
          <w:p w14:paraId="0C7060F3" w14:textId="77777777" w:rsidR="00CA275F" w:rsidRPr="00EC1EF8" w:rsidRDefault="00CA275F" w:rsidP="009F5C08">
            <w:pPr>
              <w:rPr>
                <w:rFonts w:ascii="Calibri" w:eastAsia="Calibri" w:hAnsi="Calibri" w:cs="Calibri"/>
                <w:b/>
                <w:color w:val="000000"/>
                <w:sz w:val="21"/>
                <w:szCs w:val="21"/>
              </w:rPr>
            </w:pPr>
            <w:r w:rsidRPr="00EC1EF8">
              <w:rPr>
                <w:rFonts w:ascii="Calibri" w:eastAsia="Calibri" w:hAnsi="Calibri" w:cs="Calibri"/>
                <w:b/>
                <w:color w:val="000000"/>
                <w:sz w:val="21"/>
                <w:szCs w:val="21"/>
              </w:rPr>
              <w:t xml:space="preserve">E.2 </w:t>
            </w:r>
            <w:r w:rsidRPr="00EC1EF8">
              <w:rPr>
                <w:rFonts w:ascii="Calibri" w:eastAsia="Calibri" w:hAnsi="Calibri" w:cs="Calibri"/>
                <w:b/>
                <w:color w:val="000000"/>
                <w:sz w:val="21"/>
                <w:szCs w:val="21"/>
                <w:lang w:bidi="en-AU"/>
              </w:rPr>
              <w:t>Enhance environmental health conditions for Aboriginal and Torres Strait Islander communities.</w:t>
            </w:r>
          </w:p>
        </w:tc>
        <w:tc>
          <w:tcPr>
            <w:tcW w:w="6095" w:type="dxa"/>
            <w:shd w:val="clear" w:color="auto" w:fill="B6DDE8"/>
          </w:tcPr>
          <w:p w14:paraId="4E43FC8E" w14:textId="1DE6EB2B" w:rsidR="00CA275F" w:rsidRPr="007F376C" w:rsidRDefault="00CA275F" w:rsidP="007F376C">
            <w:pPr>
              <w:pStyle w:val="ListParagraph"/>
              <w:numPr>
                <w:ilvl w:val="0"/>
                <w:numId w:val="43"/>
              </w:numPr>
              <w:spacing w:after="0"/>
              <w:rPr>
                <w:rFonts w:ascii="Calibri" w:eastAsia="Calibri" w:hAnsi="Calibri" w:cs="Calibri"/>
                <w:sz w:val="21"/>
                <w:szCs w:val="21"/>
              </w:rPr>
            </w:pPr>
            <w:r w:rsidRPr="007F376C">
              <w:rPr>
                <w:rFonts w:ascii="Calibri" w:eastAsia="Calibri" w:hAnsi="Calibri" w:cs="Calibri"/>
                <w:sz w:val="21"/>
                <w:szCs w:val="21"/>
              </w:rPr>
              <w:t>Provide advice on management of environmental health risks relevant to national Aboriginal and Torres Strait Islander initiatives. This in</w:t>
            </w:r>
            <w:r w:rsidR="009F5C08" w:rsidRPr="007F376C">
              <w:rPr>
                <w:rFonts w:ascii="Calibri" w:eastAsia="Calibri" w:hAnsi="Calibri" w:cs="Calibri"/>
                <w:sz w:val="21"/>
                <w:szCs w:val="21"/>
              </w:rPr>
              <w:t>cludes</w:t>
            </w:r>
            <w:r w:rsidRPr="007F376C">
              <w:rPr>
                <w:rFonts w:ascii="Calibri" w:eastAsia="Calibri" w:hAnsi="Calibri" w:cs="Calibri"/>
                <w:sz w:val="21"/>
                <w:szCs w:val="21"/>
              </w:rPr>
              <w:t xml:space="preserve"> linking with primary health care and related programs including acute rheumatic fever, rheumatic heart disease, trachoma and healthy living programs.</w:t>
            </w:r>
          </w:p>
        </w:tc>
        <w:tc>
          <w:tcPr>
            <w:tcW w:w="5735" w:type="dxa"/>
            <w:shd w:val="clear" w:color="auto" w:fill="DAEEF3"/>
          </w:tcPr>
          <w:p w14:paraId="213CA8DB" w14:textId="77777777" w:rsidR="00CA275F" w:rsidRPr="007F376C" w:rsidRDefault="00CA275F" w:rsidP="007F376C">
            <w:pPr>
              <w:pStyle w:val="ListParagraph"/>
              <w:numPr>
                <w:ilvl w:val="0"/>
                <w:numId w:val="43"/>
              </w:numPr>
              <w:spacing w:after="0"/>
              <w:rPr>
                <w:rFonts w:ascii="Calibri" w:eastAsia="Calibri" w:hAnsi="Calibri" w:cs="Calibri"/>
                <w:sz w:val="21"/>
                <w:szCs w:val="21"/>
              </w:rPr>
            </w:pPr>
            <w:r w:rsidRPr="007F376C">
              <w:rPr>
                <w:rFonts w:ascii="Calibri" w:eastAsia="Calibri" w:hAnsi="Calibri" w:cs="Calibri"/>
                <w:sz w:val="21"/>
                <w:szCs w:val="21"/>
              </w:rPr>
              <w:t>Uptake of advice and programs aimed at the management of environmental health risks in communities as part of primary health care initiatives.</w:t>
            </w:r>
          </w:p>
        </w:tc>
      </w:tr>
      <w:tr w:rsidR="00CA275F" w:rsidRPr="00EC1EF8" w14:paraId="7E9F7D7D" w14:textId="77777777" w:rsidTr="009F5C08">
        <w:trPr>
          <w:trHeight w:val="1219"/>
        </w:trPr>
        <w:tc>
          <w:tcPr>
            <w:tcW w:w="3681" w:type="dxa"/>
            <w:shd w:val="clear" w:color="auto" w:fill="92CDDC"/>
          </w:tcPr>
          <w:p w14:paraId="790DF51F" w14:textId="77777777" w:rsidR="00CA275F" w:rsidRPr="00EC1EF8" w:rsidRDefault="00CA275F" w:rsidP="009F5C08">
            <w:pPr>
              <w:rPr>
                <w:rFonts w:ascii="Calibri" w:eastAsia="Calibri" w:hAnsi="Calibri" w:cs="Calibri"/>
                <w:b/>
                <w:color w:val="000000"/>
                <w:sz w:val="21"/>
                <w:szCs w:val="21"/>
              </w:rPr>
            </w:pPr>
            <w:r w:rsidRPr="00EC1EF8">
              <w:rPr>
                <w:rFonts w:ascii="Calibri" w:eastAsia="Calibri" w:hAnsi="Calibri" w:cs="Calibri"/>
                <w:b/>
                <w:color w:val="000000"/>
                <w:sz w:val="21"/>
                <w:szCs w:val="21"/>
              </w:rPr>
              <w:t xml:space="preserve">E.3 </w:t>
            </w:r>
            <w:r w:rsidRPr="00EC1EF8">
              <w:rPr>
                <w:rFonts w:ascii="Calibri" w:eastAsia="Calibri" w:hAnsi="Calibri" w:cs="Calibri"/>
                <w:b/>
                <w:color w:val="000000"/>
                <w:sz w:val="21"/>
                <w:szCs w:val="21"/>
                <w:lang w:bidi="en-AU"/>
              </w:rPr>
              <w:t>Provide intelligence on environmental health conditions in communities</w:t>
            </w:r>
            <w:r w:rsidRPr="00EC1EF8">
              <w:rPr>
                <w:rFonts w:ascii="Calibri" w:eastAsia="Calibri" w:hAnsi="Calibri" w:cs="Calibri"/>
                <w:b/>
                <w:color w:val="000000"/>
                <w:sz w:val="21"/>
                <w:szCs w:val="21"/>
              </w:rPr>
              <w:t>.</w:t>
            </w:r>
          </w:p>
        </w:tc>
        <w:tc>
          <w:tcPr>
            <w:tcW w:w="6095" w:type="dxa"/>
            <w:shd w:val="clear" w:color="auto" w:fill="B6DDE8"/>
          </w:tcPr>
          <w:p w14:paraId="2781AA5D" w14:textId="77777777" w:rsidR="00CA275F" w:rsidRPr="007F376C" w:rsidRDefault="00CA275F" w:rsidP="007F376C">
            <w:pPr>
              <w:pStyle w:val="ListParagraph"/>
              <w:numPr>
                <w:ilvl w:val="0"/>
                <w:numId w:val="44"/>
              </w:numPr>
              <w:spacing w:after="0"/>
              <w:rPr>
                <w:rFonts w:ascii="Calibri" w:eastAsia="Calibri" w:hAnsi="Calibri" w:cs="Calibri"/>
                <w:sz w:val="21"/>
                <w:szCs w:val="21"/>
              </w:rPr>
            </w:pPr>
            <w:r w:rsidRPr="007F376C">
              <w:rPr>
                <w:rFonts w:ascii="Calibri" w:eastAsia="Calibri" w:hAnsi="Calibri" w:cs="Calibri"/>
                <w:sz w:val="21"/>
                <w:szCs w:val="21"/>
              </w:rPr>
              <w:t>Develop national report(s) based on data generated by jurisdictions using HCAT and other similar tools.</w:t>
            </w:r>
          </w:p>
        </w:tc>
        <w:tc>
          <w:tcPr>
            <w:tcW w:w="5735" w:type="dxa"/>
            <w:shd w:val="clear" w:color="auto" w:fill="DAEEF3"/>
          </w:tcPr>
          <w:p w14:paraId="34716E41" w14:textId="77777777" w:rsidR="00CA275F" w:rsidRPr="007F376C" w:rsidRDefault="00CA275F" w:rsidP="007F376C">
            <w:pPr>
              <w:pStyle w:val="ListParagraph"/>
              <w:numPr>
                <w:ilvl w:val="0"/>
                <w:numId w:val="44"/>
              </w:numPr>
              <w:spacing w:after="0"/>
              <w:rPr>
                <w:rFonts w:ascii="Calibri" w:eastAsia="Calibri" w:hAnsi="Calibri" w:cs="Calibri"/>
                <w:sz w:val="21"/>
                <w:szCs w:val="21"/>
              </w:rPr>
            </w:pPr>
            <w:r w:rsidRPr="007F376C">
              <w:rPr>
                <w:rFonts w:ascii="Calibri" w:eastAsia="Calibri" w:hAnsi="Calibri" w:cs="Calibri"/>
                <w:sz w:val="21"/>
                <w:szCs w:val="21"/>
              </w:rPr>
              <w:t>Uptake and use of national report(s) to provide data on environmental health conditions in communities and analyse the success of programs/initiatives.</w:t>
            </w:r>
          </w:p>
        </w:tc>
      </w:tr>
      <w:tr w:rsidR="00CA275F" w:rsidRPr="00EC1EF8" w14:paraId="197F2651" w14:textId="77777777" w:rsidTr="009F5C08">
        <w:trPr>
          <w:trHeight w:val="79"/>
        </w:trPr>
        <w:tc>
          <w:tcPr>
            <w:tcW w:w="15511" w:type="dxa"/>
            <w:gridSpan w:val="3"/>
            <w:shd w:val="clear" w:color="auto" w:fill="E36C0A"/>
          </w:tcPr>
          <w:p w14:paraId="479E285C" w14:textId="77777777" w:rsidR="00CA275F" w:rsidRPr="00EC1EF8" w:rsidRDefault="00CA275F" w:rsidP="009F5C08">
            <w:pPr>
              <w:rPr>
                <w:rFonts w:ascii="Calibri" w:eastAsia="Calibri" w:hAnsi="Calibri" w:cs="Calibri"/>
                <w:b/>
                <w:color w:val="FFFFFF"/>
                <w:sz w:val="22"/>
                <w:szCs w:val="22"/>
              </w:rPr>
            </w:pPr>
            <w:r w:rsidRPr="00EC1EF8">
              <w:rPr>
                <w:rFonts w:ascii="Calibri" w:eastAsia="Calibri" w:hAnsi="Calibri" w:cs="Calibri"/>
                <w:b/>
                <w:color w:val="FFFFFF"/>
                <w:sz w:val="22"/>
                <w:szCs w:val="22"/>
              </w:rPr>
              <w:t>F. Nationally consistent frameworks for public and environmental health regulation.</w:t>
            </w:r>
          </w:p>
        </w:tc>
      </w:tr>
      <w:tr w:rsidR="00CA275F" w:rsidRPr="00EC1EF8" w14:paraId="37F70F0B" w14:textId="77777777" w:rsidTr="009F5C08">
        <w:trPr>
          <w:trHeight w:val="997"/>
        </w:trPr>
        <w:tc>
          <w:tcPr>
            <w:tcW w:w="3681" w:type="dxa"/>
            <w:shd w:val="clear" w:color="auto" w:fill="FABF8F"/>
          </w:tcPr>
          <w:p w14:paraId="3DEDC38C" w14:textId="77777777" w:rsidR="00CA275F" w:rsidRPr="00EC1EF8" w:rsidRDefault="00CA275F" w:rsidP="009F5C08">
            <w:pPr>
              <w:rPr>
                <w:rFonts w:ascii="Calibri" w:eastAsia="Calibri" w:hAnsi="Calibri" w:cs="Calibri"/>
                <w:b/>
                <w:color w:val="FFFFFF"/>
                <w:sz w:val="22"/>
                <w:szCs w:val="22"/>
              </w:rPr>
            </w:pPr>
            <w:r w:rsidRPr="00EC1EF8">
              <w:rPr>
                <w:rFonts w:ascii="Calibri" w:eastAsia="Calibri" w:hAnsi="Calibri" w:cs="Calibri"/>
                <w:b/>
                <w:sz w:val="21"/>
                <w:szCs w:val="21"/>
              </w:rPr>
              <w:t xml:space="preserve">F.1 </w:t>
            </w:r>
            <w:r w:rsidRPr="00EC1EF8">
              <w:rPr>
                <w:rFonts w:ascii="Calibri" w:eastAsia="Calibri" w:hAnsi="Calibri" w:cs="Calibri"/>
                <w:b/>
                <w:sz w:val="21"/>
                <w:szCs w:val="21"/>
                <w:lang w:bidi="en-AU"/>
              </w:rPr>
              <w:t>Setting best practice standards in key environmental health areas.</w:t>
            </w:r>
          </w:p>
        </w:tc>
        <w:tc>
          <w:tcPr>
            <w:tcW w:w="6095" w:type="dxa"/>
            <w:shd w:val="clear" w:color="auto" w:fill="FBD4B4"/>
          </w:tcPr>
          <w:p w14:paraId="6573AEB2" w14:textId="77777777" w:rsidR="00CA275F" w:rsidRPr="007F376C" w:rsidRDefault="00CA275F" w:rsidP="007F376C">
            <w:pPr>
              <w:pStyle w:val="ListParagraph"/>
              <w:numPr>
                <w:ilvl w:val="0"/>
                <w:numId w:val="45"/>
              </w:numPr>
              <w:spacing w:after="0"/>
              <w:rPr>
                <w:rFonts w:ascii="Calibri" w:eastAsia="Calibri" w:hAnsi="Calibri" w:cs="Calibri"/>
                <w:sz w:val="21"/>
                <w:szCs w:val="21"/>
              </w:rPr>
            </w:pPr>
            <w:r w:rsidRPr="007F376C">
              <w:rPr>
                <w:rFonts w:ascii="Calibri" w:eastAsia="Calibri" w:hAnsi="Calibri" w:cs="Calibri"/>
                <w:sz w:val="21"/>
                <w:szCs w:val="21"/>
              </w:rPr>
              <w:t>Promoting consistency across regulations in states and territories on recycled water, aquatic facilities, metals in drinking water and other areas identified.</w:t>
            </w:r>
          </w:p>
        </w:tc>
        <w:tc>
          <w:tcPr>
            <w:tcW w:w="5735" w:type="dxa"/>
            <w:shd w:val="clear" w:color="auto" w:fill="FDE9D9"/>
          </w:tcPr>
          <w:p w14:paraId="2201BE87" w14:textId="77777777" w:rsidR="00CA275F" w:rsidRPr="007F376C" w:rsidRDefault="00CA275F" w:rsidP="007F376C">
            <w:pPr>
              <w:pStyle w:val="ListParagraph"/>
              <w:numPr>
                <w:ilvl w:val="0"/>
                <w:numId w:val="45"/>
              </w:numPr>
              <w:spacing w:after="0"/>
              <w:rPr>
                <w:rFonts w:ascii="Calibri" w:eastAsia="Calibri" w:hAnsi="Calibri" w:cs="Calibri"/>
                <w:sz w:val="21"/>
                <w:szCs w:val="21"/>
              </w:rPr>
            </w:pPr>
            <w:r w:rsidRPr="007F376C">
              <w:rPr>
                <w:rFonts w:ascii="Calibri" w:eastAsia="Calibri" w:hAnsi="Calibri" w:cs="Calibri"/>
                <w:sz w:val="21"/>
                <w:szCs w:val="21"/>
              </w:rPr>
              <w:t>Best practice standards are consistently applied across jurisdictions.</w:t>
            </w:r>
          </w:p>
        </w:tc>
      </w:tr>
      <w:tr w:rsidR="00CA275F" w:rsidRPr="00EC1EF8" w14:paraId="4C5D8880" w14:textId="77777777" w:rsidTr="009F5C08">
        <w:trPr>
          <w:trHeight w:val="1219"/>
        </w:trPr>
        <w:tc>
          <w:tcPr>
            <w:tcW w:w="3681" w:type="dxa"/>
            <w:shd w:val="clear" w:color="auto" w:fill="FABF8F"/>
          </w:tcPr>
          <w:p w14:paraId="1C08F636" w14:textId="77777777" w:rsidR="00CA275F" w:rsidRPr="00EC1EF8" w:rsidRDefault="00CA275F" w:rsidP="009F5C08">
            <w:pPr>
              <w:rPr>
                <w:rFonts w:ascii="Calibri" w:eastAsia="Calibri" w:hAnsi="Calibri" w:cs="Calibri"/>
                <w:b/>
                <w:sz w:val="21"/>
                <w:szCs w:val="21"/>
              </w:rPr>
            </w:pPr>
            <w:r w:rsidRPr="00EC1EF8">
              <w:rPr>
                <w:rFonts w:ascii="Calibri" w:eastAsia="Calibri" w:hAnsi="Calibri" w:cs="Calibri"/>
                <w:b/>
                <w:sz w:val="21"/>
                <w:szCs w:val="21"/>
              </w:rPr>
              <w:t xml:space="preserve">F.2 </w:t>
            </w:r>
            <w:r w:rsidRPr="00EC1EF8">
              <w:rPr>
                <w:rFonts w:ascii="Calibri" w:eastAsia="Calibri" w:hAnsi="Calibri" w:cs="Calibri"/>
                <w:b/>
                <w:sz w:val="21"/>
                <w:szCs w:val="21"/>
                <w:lang w:bidi="en-AU"/>
              </w:rPr>
              <w:t>Nationally consistent regulation of key environmental health matters across jurisdictions.</w:t>
            </w:r>
          </w:p>
        </w:tc>
        <w:tc>
          <w:tcPr>
            <w:tcW w:w="6095" w:type="dxa"/>
            <w:shd w:val="clear" w:color="auto" w:fill="FBD4B4"/>
          </w:tcPr>
          <w:p w14:paraId="322DD1FA" w14:textId="3ED88A64" w:rsidR="00CA275F" w:rsidRPr="00C55507" w:rsidRDefault="00CA275F" w:rsidP="007F376C">
            <w:pPr>
              <w:pStyle w:val="ListParagraph"/>
              <w:numPr>
                <w:ilvl w:val="0"/>
                <w:numId w:val="46"/>
              </w:numPr>
              <w:spacing w:after="0"/>
              <w:rPr>
                <w:rFonts w:ascii="Calibri" w:eastAsia="Calibri" w:hAnsi="Calibri" w:cs="Calibri"/>
                <w:sz w:val="21"/>
                <w:szCs w:val="21"/>
              </w:rPr>
            </w:pPr>
            <w:r w:rsidRPr="007F376C">
              <w:rPr>
                <w:rFonts w:ascii="Calibri" w:eastAsia="Calibri" w:hAnsi="Calibri" w:cs="Calibri"/>
                <w:sz w:val="21"/>
                <w:szCs w:val="21"/>
              </w:rPr>
              <w:t>Liaising with agricultural agencies to promote national consistency in licensing of pest management technicians.</w:t>
            </w:r>
          </w:p>
          <w:p w14:paraId="1D5C8504" w14:textId="1441F9E5" w:rsidR="00CA275F" w:rsidRPr="00C55507" w:rsidRDefault="00CA275F" w:rsidP="007F376C">
            <w:pPr>
              <w:pStyle w:val="ListParagraph"/>
              <w:numPr>
                <w:ilvl w:val="0"/>
                <w:numId w:val="46"/>
              </w:numPr>
              <w:spacing w:after="0"/>
              <w:rPr>
                <w:rFonts w:ascii="Calibri" w:eastAsia="Calibri" w:hAnsi="Calibri" w:cs="Calibri"/>
                <w:sz w:val="21"/>
                <w:szCs w:val="21"/>
              </w:rPr>
            </w:pPr>
            <w:r w:rsidRPr="007F376C">
              <w:rPr>
                <w:rFonts w:ascii="Calibri" w:eastAsia="Calibri" w:hAnsi="Calibri" w:cs="Calibri"/>
                <w:sz w:val="21"/>
                <w:szCs w:val="21"/>
              </w:rPr>
              <w:t>Assessing current limitations and opportunities for improvements in national consistency of chemical regulation in Australia</w:t>
            </w:r>
            <w:r w:rsidR="00815799">
              <w:rPr>
                <w:rFonts w:ascii="Calibri" w:eastAsia="Calibri" w:hAnsi="Calibri" w:cs="Calibri"/>
                <w:sz w:val="21"/>
                <w:szCs w:val="21"/>
              </w:rPr>
              <w:t>,</w:t>
            </w:r>
            <w:r w:rsidRPr="007F376C">
              <w:rPr>
                <w:rFonts w:ascii="Calibri" w:eastAsia="Calibri" w:hAnsi="Calibri" w:cs="Calibri"/>
                <w:sz w:val="21"/>
                <w:szCs w:val="21"/>
              </w:rPr>
              <w:t xml:space="preserve"> including poisons information centres. </w:t>
            </w:r>
          </w:p>
          <w:p w14:paraId="0167AFEA" w14:textId="77777777" w:rsidR="00CA275F" w:rsidRPr="007F376C" w:rsidRDefault="00CA275F" w:rsidP="007F376C">
            <w:pPr>
              <w:pStyle w:val="ListParagraph"/>
              <w:numPr>
                <w:ilvl w:val="0"/>
                <w:numId w:val="46"/>
              </w:numPr>
              <w:spacing w:after="0"/>
              <w:rPr>
                <w:rFonts w:ascii="Calibri" w:eastAsia="Calibri" w:hAnsi="Calibri" w:cs="Calibri"/>
                <w:sz w:val="21"/>
                <w:szCs w:val="21"/>
              </w:rPr>
            </w:pPr>
            <w:r w:rsidRPr="007F376C">
              <w:rPr>
                <w:rFonts w:ascii="Calibri" w:eastAsia="Calibri" w:hAnsi="Calibri" w:cs="Calibri"/>
                <w:sz w:val="21"/>
                <w:szCs w:val="21"/>
              </w:rPr>
              <w:t>Reviewing current arrangements for regulating the beauty/personal services industry in Australia, including ongoing tattoo inks work.</w:t>
            </w:r>
          </w:p>
        </w:tc>
        <w:tc>
          <w:tcPr>
            <w:tcW w:w="5735" w:type="dxa"/>
            <w:shd w:val="clear" w:color="auto" w:fill="FDE9D9"/>
          </w:tcPr>
          <w:p w14:paraId="01D46619" w14:textId="77777777" w:rsidR="00CA275F" w:rsidRPr="007F376C" w:rsidRDefault="00CA275F" w:rsidP="007F376C">
            <w:pPr>
              <w:pStyle w:val="ListParagraph"/>
              <w:numPr>
                <w:ilvl w:val="0"/>
                <w:numId w:val="46"/>
              </w:numPr>
              <w:spacing w:after="0"/>
              <w:rPr>
                <w:rFonts w:ascii="Calibri" w:eastAsia="Calibri" w:hAnsi="Calibri" w:cs="Calibri"/>
                <w:sz w:val="21"/>
                <w:szCs w:val="21"/>
              </w:rPr>
            </w:pPr>
            <w:r w:rsidRPr="007F376C">
              <w:rPr>
                <w:rFonts w:ascii="Calibri" w:eastAsia="Calibri" w:hAnsi="Calibri" w:cs="Calibri"/>
                <w:sz w:val="21"/>
                <w:szCs w:val="21"/>
              </w:rPr>
              <w:t>Improved national consistency in regulation of key environmental health matters is achieved.</w:t>
            </w:r>
          </w:p>
        </w:tc>
      </w:tr>
      <w:tr w:rsidR="00CA275F" w:rsidRPr="00EC1EF8" w14:paraId="4A514932" w14:textId="77777777" w:rsidTr="009F5C08">
        <w:trPr>
          <w:trHeight w:val="975"/>
        </w:trPr>
        <w:tc>
          <w:tcPr>
            <w:tcW w:w="3681" w:type="dxa"/>
            <w:shd w:val="clear" w:color="auto" w:fill="FABF8F"/>
          </w:tcPr>
          <w:p w14:paraId="3B4A7D6A" w14:textId="77777777" w:rsidR="00CA275F" w:rsidRPr="00EC1EF8" w:rsidRDefault="00CA275F" w:rsidP="009F5C08">
            <w:pPr>
              <w:rPr>
                <w:rFonts w:ascii="Calibri" w:eastAsia="Calibri" w:hAnsi="Calibri" w:cs="Calibri"/>
                <w:b/>
                <w:sz w:val="21"/>
                <w:szCs w:val="21"/>
              </w:rPr>
            </w:pPr>
            <w:r w:rsidRPr="00EC1EF8">
              <w:rPr>
                <w:rFonts w:ascii="Calibri" w:eastAsia="Calibri" w:hAnsi="Calibri" w:cs="Calibri"/>
                <w:b/>
                <w:sz w:val="21"/>
                <w:szCs w:val="21"/>
              </w:rPr>
              <w:lastRenderedPageBreak/>
              <w:t xml:space="preserve">F.3 </w:t>
            </w:r>
            <w:r w:rsidRPr="00EC1EF8">
              <w:rPr>
                <w:rFonts w:ascii="Calibri" w:eastAsia="Calibri" w:hAnsi="Calibri" w:cs="Calibri"/>
                <w:b/>
                <w:sz w:val="21"/>
                <w:szCs w:val="21"/>
                <w:lang w:bidi="en-AU"/>
              </w:rPr>
              <w:t>Development of national uniformity in radiation protection and nuclear safety in Australia.</w:t>
            </w:r>
          </w:p>
        </w:tc>
        <w:tc>
          <w:tcPr>
            <w:tcW w:w="6095" w:type="dxa"/>
            <w:shd w:val="clear" w:color="auto" w:fill="FBD4B4"/>
          </w:tcPr>
          <w:p w14:paraId="33BA0DBF" w14:textId="20A4E11B" w:rsidR="00CA275F" w:rsidRPr="007F376C" w:rsidRDefault="009F5C08" w:rsidP="007F376C">
            <w:pPr>
              <w:pStyle w:val="ListParagraph"/>
              <w:numPr>
                <w:ilvl w:val="0"/>
                <w:numId w:val="47"/>
              </w:numPr>
              <w:spacing w:after="0"/>
              <w:rPr>
                <w:rFonts w:ascii="Calibri" w:eastAsia="Calibri" w:hAnsi="Calibri" w:cs="Calibri"/>
                <w:sz w:val="21"/>
                <w:szCs w:val="21"/>
              </w:rPr>
            </w:pPr>
            <w:r w:rsidRPr="007F376C">
              <w:rPr>
                <w:rFonts w:ascii="Calibri" w:eastAsia="Calibri" w:hAnsi="Calibri" w:cs="Calibri"/>
                <w:sz w:val="21"/>
                <w:szCs w:val="21"/>
              </w:rPr>
              <w:t>D</w:t>
            </w:r>
            <w:r w:rsidR="00CA275F" w:rsidRPr="007F376C">
              <w:rPr>
                <w:rFonts w:ascii="Calibri" w:eastAsia="Calibri" w:hAnsi="Calibri" w:cs="Calibri"/>
                <w:iCs/>
                <w:sz w:val="21"/>
                <w:szCs w:val="21"/>
              </w:rPr>
              <w:t>evelop a national strategy for radiation protection and nuclear safety in Australia</w:t>
            </w:r>
            <w:r w:rsidR="00CA275F" w:rsidRPr="007F376C">
              <w:rPr>
                <w:rFonts w:ascii="Calibri" w:eastAsia="Calibri" w:hAnsi="Calibri" w:cs="Calibri"/>
                <w:sz w:val="21"/>
                <w:szCs w:val="21"/>
              </w:rPr>
              <w:t xml:space="preserve"> to a</w:t>
            </w:r>
            <w:r w:rsidRPr="007F376C">
              <w:rPr>
                <w:rFonts w:ascii="Calibri" w:eastAsia="Calibri" w:hAnsi="Calibri" w:cs="Calibri"/>
                <w:sz w:val="21"/>
                <w:szCs w:val="21"/>
              </w:rPr>
              <w:t>chieve consistency in regulatory outcomes</w:t>
            </w:r>
            <w:r w:rsidR="00CA275F" w:rsidRPr="007F376C">
              <w:rPr>
                <w:rFonts w:ascii="Calibri" w:eastAsia="Calibri" w:hAnsi="Calibri" w:cs="Calibri"/>
                <w:sz w:val="21"/>
                <w:szCs w:val="21"/>
              </w:rPr>
              <w:t>.</w:t>
            </w:r>
          </w:p>
        </w:tc>
        <w:tc>
          <w:tcPr>
            <w:tcW w:w="5735" w:type="dxa"/>
            <w:shd w:val="clear" w:color="auto" w:fill="FDE9D9"/>
          </w:tcPr>
          <w:p w14:paraId="03AE21BF" w14:textId="673AD058" w:rsidR="00CA275F" w:rsidRPr="007F376C" w:rsidRDefault="00CA275F" w:rsidP="007F376C">
            <w:pPr>
              <w:pStyle w:val="ListParagraph"/>
              <w:numPr>
                <w:ilvl w:val="0"/>
                <w:numId w:val="47"/>
              </w:numPr>
              <w:spacing w:after="0"/>
              <w:rPr>
                <w:rFonts w:ascii="Calibri" w:eastAsia="Calibri" w:hAnsi="Calibri" w:cs="Calibri"/>
                <w:sz w:val="21"/>
                <w:szCs w:val="21"/>
              </w:rPr>
            </w:pPr>
            <w:r w:rsidRPr="007F376C">
              <w:rPr>
                <w:rFonts w:ascii="Calibri" w:eastAsia="Calibri" w:hAnsi="Calibri" w:cs="Calibri"/>
                <w:sz w:val="21"/>
                <w:szCs w:val="21"/>
              </w:rPr>
              <w:t xml:space="preserve">A national strategy is agreed and </w:t>
            </w:r>
            <w:r w:rsidR="009F5C08" w:rsidRPr="007F376C">
              <w:rPr>
                <w:rFonts w:ascii="Calibri" w:eastAsia="Calibri" w:hAnsi="Calibri" w:cs="Calibri"/>
                <w:sz w:val="21"/>
                <w:szCs w:val="21"/>
              </w:rPr>
              <w:t xml:space="preserve">implementation </w:t>
            </w:r>
            <w:r w:rsidRPr="007F376C">
              <w:rPr>
                <w:rFonts w:ascii="Calibri" w:eastAsia="Calibri" w:hAnsi="Calibri" w:cs="Calibri"/>
                <w:sz w:val="21"/>
                <w:szCs w:val="21"/>
              </w:rPr>
              <w:t>steps are taken to address inconsistency in radiation protection and nuclear safety in Australia.</w:t>
            </w:r>
          </w:p>
        </w:tc>
      </w:tr>
      <w:tr w:rsidR="00CA275F" w:rsidRPr="00EC1EF8" w14:paraId="2A47C742" w14:textId="77777777" w:rsidTr="009F5C08">
        <w:trPr>
          <w:trHeight w:val="1219"/>
        </w:trPr>
        <w:tc>
          <w:tcPr>
            <w:tcW w:w="3681" w:type="dxa"/>
            <w:shd w:val="clear" w:color="auto" w:fill="FABF8F"/>
          </w:tcPr>
          <w:p w14:paraId="2B71CE78" w14:textId="77777777" w:rsidR="00CA275F" w:rsidRPr="00EC1EF8" w:rsidRDefault="00CA275F" w:rsidP="009F5C08">
            <w:pPr>
              <w:rPr>
                <w:rFonts w:ascii="Calibri" w:eastAsia="Calibri" w:hAnsi="Calibri" w:cs="Calibri"/>
                <w:b/>
                <w:sz w:val="21"/>
                <w:szCs w:val="21"/>
              </w:rPr>
            </w:pPr>
            <w:r w:rsidRPr="00EC1EF8">
              <w:rPr>
                <w:rFonts w:ascii="Calibri" w:eastAsia="Calibri" w:hAnsi="Calibri" w:cs="Calibri"/>
                <w:b/>
                <w:sz w:val="21"/>
                <w:szCs w:val="21"/>
              </w:rPr>
              <w:t xml:space="preserve">F.4 </w:t>
            </w:r>
            <w:r w:rsidRPr="00EC1EF8">
              <w:rPr>
                <w:rFonts w:ascii="Calibri" w:eastAsia="Calibri" w:hAnsi="Calibri" w:cs="Calibri"/>
                <w:b/>
                <w:sz w:val="21"/>
                <w:szCs w:val="21"/>
                <w:lang w:bidi="en-AU"/>
              </w:rPr>
              <w:t>Improve public health regulatory practice and build capacity.</w:t>
            </w:r>
          </w:p>
        </w:tc>
        <w:tc>
          <w:tcPr>
            <w:tcW w:w="6095" w:type="dxa"/>
            <w:shd w:val="clear" w:color="auto" w:fill="FBD4B4"/>
          </w:tcPr>
          <w:p w14:paraId="480A9A20" w14:textId="77777777" w:rsidR="00CA275F" w:rsidRPr="007F376C" w:rsidRDefault="00CA275F" w:rsidP="007F376C">
            <w:pPr>
              <w:spacing w:before="120" w:after="120"/>
              <w:rPr>
                <w:rFonts w:ascii="Arial" w:eastAsia="Calibri" w:hAnsi="Arial" w:cs="Arial"/>
              </w:rPr>
            </w:pPr>
            <w:r w:rsidRPr="007F376C">
              <w:rPr>
                <w:rFonts w:ascii="Arial" w:eastAsia="Calibri" w:hAnsi="Arial" w:cs="Arial"/>
              </w:rPr>
              <w:t>Develop guidance documents on the effective implementation of public health regulation:</w:t>
            </w:r>
          </w:p>
          <w:p w14:paraId="59C790DE" w14:textId="77777777" w:rsidR="00CA275F" w:rsidRPr="00EC1EF8" w:rsidRDefault="00CA275F" w:rsidP="009F5C08">
            <w:pPr>
              <w:numPr>
                <w:ilvl w:val="0"/>
                <w:numId w:val="12"/>
              </w:numPr>
              <w:spacing w:before="120" w:after="120"/>
              <w:ind w:left="227" w:hanging="227"/>
              <w:rPr>
                <w:rFonts w:ascii="Arial" w:eastAsia="Calibri" w:hAnsi="Arial" w:cs="Arial"/>
              </w:rPr>
            </w:pPr>
            <w:r w:rsidRPr="00EC1EF8">
              <w:rPr>
                <w:rFonts w:ascii="Arial" w:eastAsia="Calibri" w:hAnsi="Arial" w:cs="Arial"/>
              </w:rPr>
              <w:t>National framework for response and recovery from bushfire smoke and other events impacting air quality, including health advice in response to bushfire smoke</w:t>
            </w:r>
          </w:p>
          <w:p w14:paraId="580D8D48" w14:textId="77777777" w:rsidR="00CA275F" w:rsidRPr="00EC1EF8" w:rsidRDefault="00CA275F" w:rsidP="009F5C08">
            <w:pPr>
              <w:numPr>
                <w:ilvl w:val="0"/>
                <w:numId w:val="12"/>
              </w:numPr>
              <w:spacing w:before="120" w:after="120"/>
              <w:ind w:left="227" w:hanging="227"/>
              <w:rPr>
                <w:rFonts w:ascii="Arial" w:eastAsia="Calibri" w:hAnsi="Arial" w:cs="Arial"/>
              </w:rPr>
            </w:pPr>
            <w:r w:rsidRPr="00EC1EF8">
              <w:rPr>
                <w:rFonts w:ascii="Arial" w:eastAsia="Calibri" w:hAnsi="Arial" w:cs="Arial"/>
              </w:rPr>
              <w:t>Managing risks associated with vapour intrusions</w:t>
            </w:r>
          </w:p>
          <w:p w14:paraId="1AF1EDEF" w14:textId="77777777" w:rsidR="00CA275F" w:rsidRPr="00EC1EF8" w:rsidRDefault="00CA275F" w:rsidP="009F5C08">
            <w:pPr>
              <w:numPr>
                <w:ilvl w:val="0"/>
                <w:numId w:val="12"/>
              </w:numPr>
              <w:spacing w:before="120" w:after="120"/>
              <w:ind w:left="227" w:hanging="227"/>
              <w:rPr>
                <w:rFonts w:ascii="Arial" w:eastAsia="Calibri" w:hAnsi="Arial" w:cs="Arial"/>
              </w:rPr>
            </w:pPr>
            <w:r w:rsidRPr="00EC1EF8">
              <w:rPr>
                <w:rFonts w:ascii="Arial" w:eastAsia="Calibri" w:hAnsi="Arial" w:cs="Arial"/>
              </w:rPr>
              <w:t>Managing risks associated with certain sports events and mass gatherings.</w:t>
            </w:r>
          </w:p>
          <w:p w14:paraId="4E419715" w14:textId="77777777" w:rsidR="00CA275F" w:rsidRPr="007F376C" w:rsidRDefault="00CA275F" w:rsidP="00C55507">
            <w:pPr>
              <w:spacing w:before="120" w:after="120"/>
              <w:rPr>
                <w:rFonts w:ascii="Arial" w:eastAsia="Calibri" w:hAnsi="Arial" w:cs="Arial"/>
              </w:rPr>
            </w:pPr>
            <w:r w:rsidRPr="007F376C">
              <w:rPr>
                <w:rFonts w:ascii="Arial" w:eastAsia="Calibri" w:hAnsi="Arial" w:cs="Arial"/>
              </w:rPr>
              <w:t>Update existing guidelines/regulatory practice to reflect current evidence. Priorities include:</w:t>
            </w:r>
          </w:p>
          <w:p w14:paraId="454DCF61" w14:textId="77777777" w:rsidR="00CA275F" w:rsidRPr="00EC1EF8" w:rsidRDefault="00CA275F" w:rsidP="009F5C08">
            <w:pPr>
              <w:numPr>
                <w:ilvl w:val="0"/>
                <w:numId w:val="13"/>
              </w:numPr>
              <w:spacing w:before="120" w:after="120"/>
              <w:ind w:left="227" w:hanging="227"/>
              <w:contextualSpacing/>
              <w:rPr>
                <w:rFonts w:ascii="Arial" w:eastAsia="Calibri" w:hAnsi="Arial" w:cs="Arial"/>
              </w:rPr>
            </w:pPr>
            <w:r w:rsidRPr="00EC1EF8">
              <w:rPr>
                <w:rFonts w:ascii="Arial" w:eastAsia="Calibri" w:hAnsi="Arial" w:cs="Arial"/>
              </w:rPr>
              <w:t>Australian guidelines on water recycling.</w:t>
            </w:r>
          </w:p>
          <w:p w14:paraId="55199268" w14:textId="77777777" w:rsidR="00CA275F" w:rsidRPr="00EC1EF8" w:rsidRDefault="00CA275F" w:rsidP="009F5C08">
            <w:pPr>
              <w:numPr>
                <w:ilvl w:val="0"/>
                <w:numId w:val="13"/>
              </w:numPr>
              <w:spacing w:before="120" w:after="120"/>
              <w:ind w:left="227" w:hanging="227"/>
              <w:contextualSpacing/>
              <w:rPr>
                <w:rFonts w:ascii="Arial" w:eastAsia="Calibri" w:hAnsi="Arial" w:cs="Arial"/>
              </w:rPr>
            </w:pPr>
            <w:r w:rsidRPr="00EC1EF8">
              <w:rPr>
                <w:rFonts w:ascii="Arial" w:eastAsia="Calibri" w:hAnsi="Arial" w:cs="Arial"/>
              </w:rPr>
              <w:t>Regulation of lead in plumbing products.</w:t>
            </w:r>
          </w:p>
          <w:p w14:paraId="51127546" w14:textId="6E2A9117" w:rsidR="00CA275F" w:rsidRPr="00EC1EF8" w:rsidRDefault="00CA275F" w:rsidP="009F5C08">
            <w:pPr>
              <w:numPr>
                <w:ilvl w:val="0"/>
                <w:numId w:val="13"/>
              </w:numPr>
              <w:spacing w:before="120" w:after="120"/>
              <w:ind w:left="227" w:hanging="227"/>
              <w:contextualSpacing/>
              <w:rPr>
                <w:rFonts w:ascii="Arial" w:eastAsia="Calibri" w:hAnsi="Arial" w:cs="Arial"/>
              </w:rPr>
            </w:pPr>
            <w:r w:rsidRPr="00EC1EF8">
              <w:rPr>
                <w:rFonts w:ascii="Arial" w:eastAsia="Calibri" w:hAnsi="Arial" w:cs="Arial"/>
              </w:rPr>
              <w:t>Heat stress and building codes</w:t>
            </w:r>
            <w:r w:rsidR="00815799">
              <w:rPr>
                <w:rFonts w:ascii="Arial" w:eastAsia="Calibri" w:hAnsi="Arial" w:cs="Arial"/>
              </w:rPr>
              <w:t>.</w:t>
            </w:r>
          </w:p>
          <w:p w14:paraId="4C29E1EF" w14:textId="705C904A" w:rsidR="00CA275F" w:rsidRDefault="00815799" w:rsidP="009F5C08">
            <w:pPr>
              <w:numPr>
                <w:ilvl w:val="0"/>
                <w:numId w:val="13"/>
              </w:numPr>
              <w:spacing w:before="120" w:after="120"/>
              <w:ind w:left="227" w:hanging="227"/>
              <w:contextualSpacing/>
              <w:rPr>
                <w:rFonts w:ascii="Arial" w:eastAsia="Calibri" w:hAnsi="Arial" w:cs="Arial"/>
              </w:rPr>
            </w:pPr>
            <w:r>
              <w:rPr>
                <w:rFonts w:ascii="Arial" w:eastAsia="Calibri" w:hAnsi="Arial" w:cs="Arial"/>
              </w:rPr>
              <w:t>Qualifications of a</w:t>
            </w:r>
            <w:r w:rsidR="00CA275F" w:rsidRPr="00EC1EF8">
              <w:rPr>
                <w:rFonts w:ascii="Arial" w:eastAsia="Calibri" w:hAnsi="Arial" w:cs="Arial"/>
              </w:rPr>
              <w:t>ssessors for clandestine laboratories and methamphetamine contaminated homes</w:t>
            </w:r>
            <w:r>
              <w:rPr>
                <w:rFonts w:ascii="Arial" w:eastAsia="Calibri" w:hAnsi="Arial" w:cs="Arial"/>
              </w:rPr>
              <w:t>.</w:t>
            </w:r>
          </w:p>
          <w:p w14:paraId="7DCD700D" w14:textId="77777777" w:rsidR="00CA275F" w:rsidRPr="00EC1EF8" w:rsidRDefault="00CA275F" w:rsidP="009F5C08">
            <w:pPr>
              <w:spacing w:before="120" w:after="120"/>
              <w:ind w:left="227"/>
              <w:contextualSpacing/>
              <w:rPr>
                <w:rFonts w:ascii="Arial" w:eastAsia="Calibri" w:hAnsi="Arial" w:cs="Arial"/>
              </w:rPr>
            </w:pPr>
          </w:p>
        </w:tc>
        <w:tc>
          <w:tcPr>
            <w:tcW w:w="5735" w:type="dxa"/>
            <w:shd w:val="clear" w:color="auto" w:fill="FDE9D9"/>
          </w:tcPr>
          <w:p w14:paraId="4D50A7F2" w14:textId="2CD6E4C3" w:rsidR="00CA275F" w:rsidRPr="007F376C" w:rsidRDefault="00CA275F" w:rsidP="007F376C">
            <w:pPr>
              <w:pStyle w:val="ListParagraph"/>
              <w:numPr>
                <w:ilvl w:val="0"/>
                <w:numId w:val="13"/>
              </w:numPr>
              <w:spacing w:after="0"/>
              <w:rPr>
                <w:rFonts w:ascii="Calibri" w:eastAsia="Calibri" w:hAnsi="Calibri" w:cs="Calibri"/>
                <w:sz w:val="21"/>
                <w:szCs w:val="21"/>
              </w:rPr>
            </w:pPr>
            <w:r w:rsidRPr="007F376C">
              <w:rPr>
                <w:rFonts w:ascii="Calibri" w:eastAsia="Calibri" w:hAnsi="Calibri" w:cs="Calibri"/>
                <w:sz w:val="21"/>
                <w:szCs w:val="21"/>
              </w:rPr>
              <w:t>Guidance documents and regulatory practice are developed</w:t>
            </w:r>
            <w:r w:rsidR="000D1F55">
              <w:rPr>
                <w:rFonts w:ascii="Calibri" w:eastAsia="Calibri" w:hAnsi="Calibri" w:cs="Calibri"/>
                <w:sz w:val="21"/>
                <w:szCs w:val="21"/>
              </w:rPr>
              <w:t xml:space="preserve"> or </w:t>
            </w:r>
            <w:r w:rsidRPr="007F376C">
              <w:rPr>
                <w:rFonts w:ascii="Calibri" w:eastAsia="Calibri" w:hAnsi="Calibri" w:cs="Calibri"/>
                <w:sz w:val="21"/>
                <w:szCs w:val="21"/>
              </w:rPr>
              <w:t>updated to improve effective implementation of public health regulatory practice and build capacity.</w:t>
            </w:r>
          </w:p>
        </w:tc>
      </w:tr>
      <w:tr w:rsidR="00CA275F" w:rsidRPr="00EC1EF8" w14:paraId="76E66398" w14:textId="77777777" w:rsidTr="007F376C">
        <w:trPr>
          <w:trHeight w:val="396"/>
        </w:trPr>
        <w:tc>
          <w:tcPr>
            <w:tcW w:w="15511" w:type="dxa"/>
            <w:gridSpan w:val="3"/>
            <w:shd w:val="clear" w:color="auto" w:fill="17365D"/>
          </w:tcPr>
          <w:p w14:paraId="1EB3E860" w14:textId="77777777" w:rsidR="00CA275F" w:rsidRPr="00EC1EF8" w:rsidRDefault="00CA275F" w:rsidP="009F5C08">
            <w:pPr>
              <w:rPr>
                <w:rFonts w:ascii="Calibri" w:eastAsia="Calibri" w:hAnsi="Calibri" w:cs="Calibri"/>
                <w:b/>
                <w:color w:val="FFFFFF"/>
                <w:sz w:val="22"/>
                <w:szCs w:val="22"/>
              </w:rPr>
            </w:pPr>
            <w:r w:rsidRPr="00EC1EF8">
              <w:rPr>
                <w:rFonts w:ascii="Calibri" w:eastAsia="Calibri" w:hAnsi="Calibri" w:cs="Calibri"/>
                <w:b/>
                <w:color w:val="FFFFFF"/>
                <w:sz w:val="22"/>
                <w:szCs w:val="22"/>
              </w:rPr>
              <w:t>G. Effective networking and partnerships with stakeholders to ensure a coordinated approach to addressing environmental risks to health.</w:t>
            </w:r>
          </w:p>
        </w:tc>
      </w:tr>
      <w:tr w:rsidR="00CA275F" w:rsidRPr="00EC1EF8" w14:paraId="1A9B4FE1" w14:textId="77777777" w:rsidTr="009F5C08">
        <w:trPr>
          <w:trHeight w:val="1297"/>
        </w:trPr>
        <w:tc>
          <w:tcPr>
            <w:tcW w:w="3681" w:type="dxa"/>
            <w:shd w:val="clear" w:color="auto" w:fill="548DD4"/>
          </w:tcPr>
          <w:p w14:paraId="7F87AB50" w14:textId="77777777" w:rsidR="00CA275F" w:rsidRPr="00EC1EF8" w:rsidRDefault="00CA275F" w:rsidP="009F5C08">
            <w:pPr>
              <w:rPr>
                <w:rFonts w:ascii="Calibri" w:eastAsia="Calibri" w:hAnsi="Calibri" w:cs="Calibri"/>
                <w:b/>
                <w:sz w:val="21"/>
                <w:szCs w:val="21"/>
              </w:rPr>
            </w:pPr>
            <w:r w:rsidRPr="00EC1EF8">
              <w:rPr>
                <w:rFonts w:ascii="Calibri" w:eastAsia="Calibri" w:hAnsi="Calibri" w:cs="Calibri"/>
                <w:b/>
                <w:sz w:val="21"/>
                <w:szCs w:val="21"/>
              </w:rPr>
              <w:t xml:space="preserve">G.1 </w:t>
            </w:r>
            <w:r w:rsidRPr="00EC1EF8">
              <w:rPr>
                <w:rFonts w:ascii="Calibri" w:eastAsia="Calibri" w:hAnsi="Calibri" w:cs="Calibri"/>
                <w:b/>
                <w:sz w:val="21"/>
                <w:szCs w:val="21"/>
                <w:lang w:bidi="en-AU"/>
              </w:rPr>
              <w:t>Support local government’s role as a key provider of environmental health services.</w:t>
            </w:r>
          </w:p>
        </w:tc>
        <w:tc>
          <w:tcPr>
            <w:tcW w:w="6095" w:type="dxa"/>
            <w:shd w:val="clear" w:color="auto" w:fill="8DB3E2"/>
          </w:tcPr>
          <w:p w14:paraId="12C407E3" w14:textId="77777777" w:rsidR="00CA275F" w:rsidRPr="007F376C" w:rsidRDefault="00CA275F" w:rsidP="007F376C">
            <w:pPr>
              <w:pStyle w:val="ListParagraph"/>
              <w:numPr>
                <w:ilvl w:val="0"/>
                <w:numId w:val="53"/>
              </w:numPr>
              <w:spacing w:after="0"/>
              <w:rPr>
                <w:rFonts w:ascii="Calibri" w:eastAsia="Calibri" w:hAnsi="Calibri" w:cs="Calibri"/>
                <w:sz w:val="21"/>
                <w:szCs w:val="21"/>
              </w:rPr>
            </w:pPr>
            <w:r w:rsidRPr="007F376C">
              <w:rPr>
                <w:rFonts w:ascii="Calibri" w:eastAsia="Calibri" w:hAnsi="Calibri" w:cs="Calibri"/>
                <w:sz w:val="21"/>
                <w:szCs w:val="21"/>
              </w:rPr>
              <w:t>Engagement with local government authorities through the Australian Local Government Association and State and Territory Local Government Associations on environmental health issues, particularly workforce.</w:t>
            </w:r>
          </w:p>
        </w:tc>
        <w:tc>
          <w:tcPr>
            <w:tcW w:w="5735" w:type="dxa"/>
            <w:shd w:val="clear" w:color="auto" w:fill="C6D9F1"/>
          </w:tcPr>
          <w:p w14:paraId="056F51A1" w14:textId="77777777" w:rsidR="00CA275F" w:rsidRPr="007F376C" w:rsidRDefault="00CA275F" w:rsidP="007F376C">
            <w:pPr>
              <w:pStyle w:val="ListParagraph"/>
              <w:numPr>
                <w:ilvl w:val="0"/>
                <w:numId w:val="53"/>
              </w:numPr>
              <w:spacing w:after="0"/>
              <w:rPr>
                <w:rFonts w:ascii="Calibri" w:eastAsia="Calibri" w:hAnsi="Calibri" w:cs="Calibri"/>
                <w:sz w:val="21"/>
                <w:szCs w:val="21"/>
              </w:rPr>
            </w:pPr>
            <w:r w:rsidRPr="007F376C">
              <w:rPr>
                <w:rFonts w:ascii="Calibri" w:eastAsia="Calibri" w:hAnsi="Calibri" w:cs="Calibri"/>
                <w:sz w:val="21"/>
                <w:szCs w:val="21"/>
              </w:rPr>
              <w:t>Local government participation in the development of and use of enHealth and expert reference panel projects affecting them.</w:t>
            </w:r>
          </w:p>
        </w:tc>
      </w:tr>
      <w:tr w:rsidR="00CA275F" w:rsidRPr="00EC1EF8" w14:paraId="1794A989" w14:textId="77777777" w:rsidTr="009F5C08">
        <w:trPr>
          <w:trHeight w:val="2589"/>
        </w:trPr>
        <w:tc>
          <w:tcPr>
            <w:tcW w:w="3681" w:type="dxa"/>
            <w:shd w:val="clear" w:color="auto" w:fill="548DD4"/>
          </w:tcPr>
          <w:p w14:paraId="53541BAA" w14:textId="77777777" w:rsidR="00CA275F" w:rsidRPr="00EC1EF8" w:rsidRDefault="00CA275F" w:rsidP="009F5C08">
            <w:pPr>
              <w:rPr>
                <w:rFonts w:ascii="Calibri" w:eastAsia="Calibri" w:hAnsi="Calibri" w:cs="Calibri"/>
                <w:b/>
                <w:sz w:val="21"/>
                <w:szCs w:val="21"/>
              </w:rPr>
            </w:pPr>
            <w:r w:rsidRPr="00EC1EF8">
              <w:rPr>
                <w:rFonts w:ascii="Calibri" w:eastAsia="Calibri" w:hAnsi="Calibri" w:cs="Calibri"/>
                <w:b/>
                <w:sz w:val="21"/>
                <w:szCs w:val="21"/>
              </w:rPr>
              <w:t xml:space="preserve">G.2 </w:t>
            </w:r>
            <w:r w:rsidRPr="00EC1EF8">
              <w:rPr>
                <w:rFonts w:ascii="Calibri" w:eastAsia="Calibri" w:hAnsi="Calibri" w:cs="Calibri"/>
                <w:b/>
                <w:sz w:val="21"/>
                <w:szCs w:val="21"/>
                <w:lang w:bidi="en-AU"/>
              </w:rPr>
              <w:t>Improve links with other key committees and agencies, including strategic policy bodies and research institutions.</w:t>
            </w:r>
          </w:p>
        </w:tc>
        <w:tc>
          <w:tcPr>
            <w:tcW w:w="6095" w:type="dxa"/>
            <w:shd w:val="clear" w:color="auto" w:fill="8DB3E2"/>
          </w:tcPr>
          <w:p w14:paraId="03BB22CD" w14:textId="2A184BAA" w:rsidR="00E208CC" w:rsidRDefault="00CA275F" w:rsidP="007F376C">
            <w:pPr>
              <w:pStyle w:val="ListParagraph"/>
              <w:numPr>
                <w:ilvl w:val="0"/>
                <w:numId w:val="51"/>
              </w:numPr>
              <w:spacing w:after="0"/>
              <w:rPr>
                <w:rFonts w:ascii="Calibri" w:eastAsia="Calibri" w:hAnsi="Calibri" w:cs="Calibri"/>
                <w:sz w:val="21"/>
                <w:szCs w:val="21"/>
              </w:rPr>
            </w:pPr>
            <w:r w:rsidRPr="007F376C">
              <w:rPr>
                <w:rFonts w:ascii="Calibri" w:eastAsia="Calibri" w:hAnsi="Calibri" w:cs="Calibri"/>
                <w:sz w:val="21"/>
                <w:szCs w:val="21"/>
              </w:rPr>
              <w:t>Invite external experts to participate, present or observe at enHealth meetings.</w:t>
            </w:r>
          </w:p>
          <w:p w14:paraId="1700E723" w14:textId="011B7814" w:rsidR="00E208CC" w:rsidRPr="00C55507" w:rsidRDefault="00CA275F" w:rsidP="007F376C">
            <w:pPr>
              <w:pStyle w:val="ListParagraph"/>
              <w:numPr>
                <w:ilvl w:val="0"/>
                <w:numId w:val="51"/>
              </w:numPr>
              <w:spacing w:after="0"/>
              <w:rPr>
                <w:rFonts w:ascii="Calibri" w:eastAsia="Calibri" w:hAnsi="Calibri" w:cs="Calibri"/>
                <w:sz w:val="21"/>
                <w:szCs w:val="21"/>
              </w:rPr>
            </w:pPr>
            <w:r w:rsidRPr="00C55507">
              <w:rPr>
                <w:rFonts w:ascii="Calibri" w:eastAsia="Calibri" w:hAnsi="Calibri" w:cs="Calibri"/>
                <w:sz w:val="21"/>
                <w:szCs w:val="21"/>
              </w:rPr>
              <w:t>Establish mechanisms for liaison with other key committees and agencies, including the Communicable Disease Network of Australia (CDNA), the National Health Emergency Management Standing Committee (NHEMS).</w:t>
            </w:r>
          </w:p>
          <w:p w14:paraId="399F23C8" w14:textId="77777777" w:rsidR="00CA275F" w:rsidRPr="007F376C" w:rsidRDefault="00CA275F" w:rsidP="007F376C">
            <w:pPr>
              <w:pStyle w:val="ListParagraph"/>
              <w:numPr>
                <w:ilvl w:val="0"/>
                <w:numId w:val="51"/>
              </w:numPr>
              <w:spacing w:after="0"/>
              <w:rPr>
                <w:rFonts w:ascii="Calibri" w:eastAsia="Calibri" w:hAnsi="Calibri" w:cs="Calibri"/>
                <w:sz w:val="21"/>
                <w:szCs w:val="21"/>
              </w:rPr>
            </w:pPr>
            <w:r w:rsidRPr="007F376C">
              <w:rPr>
                <w:rFonts w:ascii="Calibri" w:eastAsia="Calibri" w:hAnsi="Calibri" w:cs="Calibri"/>
                <w:sz w:val="21"/>
                <w:szCs w:val="21"/>
              </w:rPr>
              <w:t>Broker relationships with environment agencies, water agencies, utility companies and any other agencies, departments or institutions that have an interest in environmental health issues.</w:t>
            </w:r>
          </w:p>
        </w:tc>
        <w:tc>
          <w:tcPr>
            <w:tcW w:w="5735" w:type="dxa"/>
            <w:shd w:val="clear" w:color="auto" w:fill="C6D9F1"/>
          </w:tcPr>
          <w:p w14:paraId="31B63146" w14:textId="15DA370A" w:rsidR="00E208CC" w:rsidRDefault="00CA275F" w:rsidP="007F376C">
            <w:pPr>
              <w:pStyle w:val="ListParagraph"/>
              <w:numPr>
                <w:ilvl w:val="0"/>
                <w:numId w:val="51"/>
              </w:numPr>
              <w:spacing w:after="0"/>
              <w:rPr>
                <w:rFonts w:ascii="Calibri" w:eastAsia="Calibri" w:hAnsi="Calibri" w:cs="Calibri"/>
                <w:sz w:val="21"/>
                <w:szCs w:val="21"/>
              </w:rPr>
            </w:pPr>
            <w:r w:rsidRPr="007F376C">
              <w:rPr>
                <w:rFonts w:ascii="Calibri" w:eastAsia="Calibri" w:hAnsi="Calibri" w:cs="Calibri"/>
                <w:sz w:val="21"/>
                <w:szCs w:val="21"/>
              </w:rPr>
              <w:t>The number of external experts invited to participate, present or observe at enHealth or expert reference panel meetings.</w:t>
            </w:r>
          </w:p>
          <w:p w14:paraId="40E53044" w14:textId="6F7E2EB5" w:rsidR="00E208CC" w:rsidRPr="00C55507" w:rsidRDefault="00CA275F" w:rsidP="007F376C">
            <w:pPr>
              <w:pStyle w:val="ListParagraph"/>
              <w:numPr>
                <w:ilvl w:val="0"/>
                <w:numId w:val="51"/>
              </w:numPr>
              <w:spacing w:after="0"/>
              <w:rPr>
                <w:rFonts w:ascii="Calibri" w:eastAsia="Calibri" w:hAnsi="Calibri" w:cs="Calibri"/>
                <w:sz w:val="21"/>
                <w:szCs w:val="21"/>
              </w:rPr>
            </w:pPr>
            <w:r w:rsidRPr="00C55507">
              <w:rPr>
                <w:rFonts w:ascii="Calibri" w:eastAsia="Calibri" w:hAnsi="Calibri" w:cs="Calibri"/>
                <w:sz w:val="21"/>
                <w:szCs w:val="21"/>
              </w:rPr>
              <w:t>Joint annual enHealth and other AHPPC standing committees meetings are held.</w:t>
            </w:r>
          </w:p>
          <w:p w14:paraId="5568265D" w14:textId="77777777" w:rsidR="00CA275F" w:rsidRPr="007F376C" w:rsidRDefault="00CA275F" w:rsidP="007F376C">
            <w:pPr>
              <w:pStyle w:val="ListParagraph"/>
              <w:numPr>
                <w:ilvl w:val="0"/>
                <w:numId w:val="51"/>
              </w:numPr>
              <w:spacing w:after="0"/>
              <w:rPr>
                <w:rFonts w:ascii="Calibri" w:eastAsia="Calibri" w:hAnsi="Calibri" w:cs="Calibri"/>
                <w:sz w:val="21"/>
                <w:szCs w:val="21"/>
              </w:rPr>
            </w:pPr>
            <w:r w:rsidRPr="007F376C">
              <w:rPr>
                <w:rFonts w:ascii="Calibri" w:eastAsia="Calibri" w:hAnsi="Calibri" w:cs="Calibri"/>
                <w:sz w:val="21"/>
                <w:szCs w:val="21"/>
              </w:rPr>
              <w:t>The level of coordination of environmental health related work with other agencies and departments that have an interest in particular linked issues.</w:t>
            </w:r>
          </w:p>
        </w:tc>
      </w:tr>
      <w:tr w:rsidR="00CA275F" w:rsidRPr="00EC1EF8" w14:paraId="1DCE8984" w14:textId="77777777" w:rsidTr="009F5C08">
        <w:trPr>
          <w:trHeight w:val="730"/>
        </w:trPr>
        <w:tc>
          <w:tcPr>
            <w:tcW w:w="3681" w:type="dxa"/>
            <w:shd w:val="clear" w:color="auto" w:fill="548DD4"/>
          </w:tcPr>
          <w:p w14:paraId="3D38A7E3" w14:textId="77777777" w:rsidR="00CA275F" w:rsidRPr="00EC1EF8" w:rsidRDefault="00CA275F" w:rsidP="009F5C08">
            <w:pPr>
              <w:rPr>
                <w:rFonts w:ascii="Calibri" w:eastAsia="Calibri" w:hAnsi="Calibri" w:cs="Calibri"/>
                <w:b/>
                <w:sz w:val="21"/>
                <w:szCs w:val="21"/>
              </w:rPr>
            </w:pPr>
            <w:r w:rsidRPr="00EC1EF8">
              <w:rPr>
                <w:rFonts w:ascii="Calibri" w:eastAsia="Calibri" w:hAnsi="Calibri" w:cs="Calibri"/>
                <w:b/>
                <w:sz w:val="21"/>
                <w:szCs w:val="21"/>
              </w:rPr>
              <w:lastRenderedPageBreak/>
              <w:t xml:space="preserve">G.3 </w:t>
            </w:r>
            <w:r w:rsidRPr="00EC1EF8">
              <w:rPr>
                <w:rFonts w:ascii="Calibri" w:eastAsia="Calibri" w:hAnsi="Calibri" w:cs="Calibri"/>
                <w:b/>
                <w:sz w:val="21"/>
                <w:szCs w:val="21"/>
                <w:lang w:bidi="en-AU"/>
              </w:rPr>
              <w:t>Evaluate effectiveness and use of guidelines by stakeholders.</w:t>
            </w:r>
          </w:p>
        </w:tc>
        <w:tc>
          <w:tcPr>
            <w:tcW w:w="6095" w:type="dxa"/>
            <w:shd w:val="clear" w:color="auto" w:fill="8DB3E2"/>
          </w:tcPr>
          <w:p w14:paraId="418D955E" w14:textId="77777777" w:rsidR="00CA275F" w:rsidRPr="007F376C" w:rsidRDefault="00CA275F" w:rsidP="007F376C">
            <w:pPr>
              <w:pStyle w:val="ListParagraph"/>
              <w:numPr>
                <w:ilvl w:val="0"/>
                <w:numId w:val="52"/>
              </w:numPr>
              <w:spacing w:after="0"/>
              <w:rPr>
                <w:rFonts w:ascii="Calibri" w:eastAsia="Calibri" w:hAnsi="Calibri" w:cs="Calibri"/>
                <w:sz w:val="21"/>
                <w:szCs w:val="21"/>
              </w:rPr>
            </w:pPr>
            <w:r w:rsidRPr="007F376C">
              <w:rPr>
                <w:rFonts w:ascii="Calibri" w:eastAsia="Calibri" w:hAnsi="Calibri" w:cs="Calibri"/>
                <w:sz w:val="21"/>
                <w:szCs w:val="21"/>
              </w:rPr>
              <w:t>Follow up with relevant stakeholders on the effectiveness and use of guidelines.</w:t>
            </w:r>
          </w:p>
        </w:tc>
        <w:tc>
          <w:tcPr>
            <w:tcW w:w="5735" w:type="dxa"/>
            <w:shd w:val="clear" w:color="auto" w:fill="C6D9F1"/>
          </w:tcPr>
          <w:p w14:paraId="6FA8122F" w14:textId="77777777" w:rsidR="00CA275F" w:rsidRPr="007F376C" w:rsidRDefault="00CA275F" w:rsidP="007F376C">
            <w:pPr>
              <w:pStyle w:val="ListParagraph"/>
              <w:numPr>
                <w:ilvl w:val="0"/>
                <w:numId w:val="52"/>
              </w:numPr>
              <w:spacing w:after="0"/>
              <w:rPr>
                <w:rFonts w:ascii="Calibri" w:eastAsia="Calibri" w:hAnsi="Calibri" w:cs="Calibri"/>
                <w:sz w:val="21"/>
                <w:szCs w:val="21"/>
              </w:rPr>
            </w:pPr>
            <w:r w:rsidRPr="007F376C">
              <w:rPr>
                <w:rFonts w:ascii="Calibri" w:eastAsia="Calibri" w:hAnsi="Calibri" w:cs="Calibri"/>
                <w:sz w:val="21"/>
                <w:szCs w:val="21"/>
              </w:rPr>
              <w:t>Guidelines are widely used and effective for stakeholders or reviewed and updated if not.</w:t>
            </w:r>
          </w:p>
        </w:tc>
      </w:tr>
      <w:tr w:rsidR="00CA275F" w:rsidRPr="00EC1EF8" w14:paraId="7C02A87B" w14:textId="77777777" w:rsidTr="009F5C08">
        <w:trPr>
          <w:trHeight w:val="1219"/>
        </w:trPr>
        <w:tc>
          <w:tcPr>
            <w:tcW w:w="3681" w:type="dxa"/>
            <w:shd w:val="clear" w:color="auto" w:fill="548DD4"/>
          </w:tcPr>
          <w:p w14:paraId="177E4AEC" w14:textId="77777777" w:rsidR="00CA275F" w:rsidRPr="00EC1EF8" w:rsidRDefault="00CA275F" w:rsidP="009F5C08">
            <w:pPr>
              <w:rPr>
                <w:rFonts w:ascii="Calibri" w:eastAsia="Calibri" w:hAnsi="Calibri" w:cs="Calibri"/>
                <w:b/>
                <w:sz w:val="21"/>
                <w:szCs w:val="21"/>
              </w:rPr>
            </w:pPr>
            <w:r w:rsidRPr="00EC1EF8">
              <w:rPr>
                <w:rFonts w:ascii="Calibri" w:eastAsia="Calibri" w:hAnsi="Calibri" w:cs="Calibri"/>
                <w:b/>
                <w:sz w:val="21"/>
                <w:szCs w:val="21"/>
              </w:rPr>
              <w:t xml:space="preserve">G.4 </w:t>
            </w:r>
            <w:r w:rsidRPr="00EC1EF8">
              <w:rPr>
                <w:rFonts w:ascii="Calibri" w:eastAsia="Calibri" w:hAnsi="Calibri" w:cs="Calibri"/>
                <w:b/>
                <w:sz w:val="21"/>
                <w:szCs w:val="21"/>
                <w:lang w:bidi="en-AU"/>
              </w:rPr>
              <w:t>Contribute and link to climate change and health work and priorities from an environmental health perspective.</w:t>
            </w:r>
          </w:p>
        </w:tc>
        <w:tc>
          <w:tcPr>
            <w:tcW w:w="6095" w:type="dxa"/>
            <w:shd w:val="clear" w:color="auto" w:fill="8DB3E2"/>
          </w:tcPr>
          <w:p w14:paraId="67D88A36" w14:textId="77777777" w:rsidR="000D1F55" w:rsidRDefault="00CA275F" w:rsidP="009F5C08">
            <w:pPr>
              <w:pStyle w:val="ListParagraph"/>
              <w:numPr>
                <w:ilvl w:val="0"/>
                <w:numId w:val="54"/>
              </w:numPr>
              <w:spacing w:after="0"/>
              <w:rPr>
                <w:rFonts w:ascii="Calibri" w:eastAsia="Calibri" w:hAnsi="Calibri" w:cs="Calibri"/>
                <w:sz w:val="21"/>
                <w:szCs w:val="21"/>
              </w:rPr>
            </w:pPr>
            <w:r w:rsidRPr="000D1F55">
              <w:rPr>
                <w:rFonts w:ascii="Calibri" w:eastAsia="Calibri" w:hAnsi="Calibri" w:cs="Calibri"/>
                <w:sz w:val="21"/>
                <w:szCs w:val="21"/>
              </w:rPr>
              <w:t>Work with other stakeholders to provide up to date guidance on the health implications of climate change.</w:t>
            </w:r>
          </w:p>
          <w:p w14:paraId="474A4F23" w14:textId="77777777" w:rsidR="000D1F55" w:rsidRDefault="00CA275F" w:rsidP="009F5C08">
            <w:pPr>
              <w:pStyle w:val="ListParagraph"/>
              <w:numPr>
                <w:ilvl w:val="0"/>
                <w:numId w:val="54"/>
              </w:numPr>
              <w:spacing w:after="0"/>
              <w:rPr>
                <w:rFonts w:ascii="Calibri" w:eastAsia="Calibri" w:hAnsi="Calibri" w:cs="Calibri"/>
                <w:sz w:val="21"/>
                <w:szCs w:val="21"/>
              </w:rPr>
            </w:pPr>
            <w:r w:rsidRPr="000D1F55">
              <w:rPr>
                <w:rFonts w:ascii="Calibri" w:eastAsia="Calibri" w:hAnsi="Calibri" w:cs="Calibri"/>
                <w:sz w:val="21"/>
                <w:szCs w:val="21"/>
              </w:rPr>
              <w:t>Provide guidance on the management of public health risks associated with natural disasters, heat and food safety.</w:t>
            </w:r>
          </w:p>
          <w:p w14:paraId="159637BC" w14:textId="77777777" w:rsidR="000D1F55" w:rsidRDefault="00CA275F" w:rsidP="009F5C08">
            <w:pPr>
              <w:pStyle w:val="ListParagraph"/>
              <w:numPr>
                <w:ilvl w:val="0"/>
                <w:numId w:val="54"/>
              </w:numPr>
              <w:spacing w:after="0"/>
              <w:rPr>
                <w:rFonts w:ascii="Calibri" w:eastAsia="Calibri" w:hAnsi="Calibri" w:cs="Calibri"/>
                <w:sz w:val="21"/>
                <w:szCs w:val="21"/>
              </w:rPr>
            </w:pPr>
            <w:r w:rsidRPr="000D1F55">
              <w:rPr>
                <w:rFonts w:ascii="Calibri" w:eastAsia="Calibri" w:hAnsi="Calibri" w:cs="Calibri"/>
                <w:sz w:val="21"/>
                <w:szCs w:val="21"/>
              </w:rPr>
              <w:t>Build workforce capacity to manage incidents, the frequency of which is increasing due to climate change.</w:t>
            </w:r>
          </w:p>
          <w:p w14:paraId="4F08F229" w14:textId="1CA23349" w:rsidR="00CA275F" w:rsidRPr="000D1F55" w:rsidRDefault="00CA275F" w:rsidP="009F5C08">
            <w:pPr>
              <w:pStyle w:val="ListParagraph"/>
              <w:numPr>
                <w:ilvl w:val="0"/>
                <w:numId w:val="54"/>
              </w:numPr>
              <w:spacing w:after="0"/>
              <w:rPr>
                <w:rFonts w:ascii="Calibri" w:eastAsia="Calibri" w:hAnsi="Calibri" w:cs="Calibri"/>
                <w:sz w:val="21"/>
                <w:szCs w:val="21"/>
              </w:rPr>
            </w:pPr>
            <w:r w:rsidRPr="000D1F55">
              <w:rPr>
                <w:rFonts w:ascii="Calibri" w:eastAsia="Calibri" w:hAnsi="Calibri" w:cs="Calibri"/>
                <w:sz w:val="21"/>
                <w:szCs w:val="21"/>
              </w:rPr>
              <w:t>Link to energy efficiency measures and environmental health research related to climate change.</w:t>
            </w:r>
          </w:p>
        </w:tc>
        <w:tc>
          <w:tcPr>
            <w:tcW w:w="5735" w:type="dxa"/>
            <w:shd w:val="clear" w:color="auto" w:fill="C6D9F1"/>
          </w:tcPr>
          <w:p w14:paraId="253EF9D2" w14:textId="77777777" w:rsidR="00CA275F" w:rsidRPr="000D1F55" w:rsidRDefault="00CA275F" w:rsidP="000D1F55">
            <w:pPr>
              <w:pStyle w:val="ListParagraph"/>
              <w:numPr>
                <w:ilvl w:val="0"/>
                <w:numId w:val="54"/>
              </w:numPr>
              <w:spacing w:after="0"/>
              <w:rPr>
                <w:rFonts w:ascii="Calibri" w:eastAsia="Calibri" w:hAnsi="Calibri" w:cs="Calibri"/>
                <w:sz w:val="21"/>
                <w:szCs w:val="21"/>
              </w:rPr>
            </w:pPr>
            <w:r w:rsidRPr="000D1F55">
              <w:rPr>
                <w:rFonts w:ascii="Calibri" w:eastAsia="Calibri" w:hAnsi="Calibri" w:cs="Calibri"/>
                <w:sz w:val="21"/>
                <w:szCs w:val="21"/>
              </w:rPr>
              <w:t>enHealth have contributed to and established links to climate change and health work priorities providing and developing guidance on related issues, workforce capacity, mitigation, adaptation and co-design measures from an environmental health perspective.</w:t>
            </w:r>
          </w:p>
        </w:tc>
      </w:tr>
      <w:tr w:rsidR="00CA275F" w:rsidRPr="00EC1EF8" w14:paraId="2C8222AA" w14:textId="77777777" w:rsidTr="009F5C08">
        <w:trPr>
          <w:trHeight w:val="1219"/>
        </w:trPr>
        <w:tc>
          <w:tcPr>
            <w:tcW w:w="3681" w:type="dxa"/>
            <w:shd w:val="clear" w:color="auto" w:fill="548DD4"/>
          </w:tcPr>
          <w:p w14:paraId="0D06638F" w14:textId="77777777" w:rsidR="00CA275F" w:rsidRPr="00EC1EF8" w:rsidRDefault="00CA275F" w:rsidP="009F5C08">
            <w:pPr>
              <w:rPr>
                <w:rFonts w:ascii="Calibri" w:eastAsia="Calibri" w:hAnsi="Calibri" w:cs="Calibri"/>
                <w:b/>
                <w:sz w:val="21"/>
                <w:szCs w:val="21"/>
              </w:rPr>
            </w:pPr>
            <w:r w:rsidRPr="00EC1EF8">
              <w:rPr>
                <w:rFonts w:ascii="Calibri" w:eastAsia="Calibri" w:hAnsi="Calibri" w:cs="Calibri"/>
                <w:b/>
                <w:sz w:val="21"/>
                <w:szCs w:val="21"/>
              </w:rPr>
              <w:t xml:space="preserve">G.5 </w:t>
            </w:r>
            <w:r w:rsidRPr="00EC1EF8">
              <w:rPr>
                <w:rFonts w:ascii="Calibri" w:eastAsia="Calibri" w:hAnsi="Calibri" w:cs="Calibri"/>
                <w:b/>
                <w:sz w:val="21"/>
                <w:szCs w:val="21"/>
                <w:lang w:bidi="en-AU"/>
              </w:rPr>
              <w:t>Identify and exploit opportunities for national leadership of stakeholders in areas of environmental health importance.</w:t>
            </w:r>
          </w:p>
        </w:tc>
        <w:tc>
          <w:tcPr>
            <w:tcW w:w="6095" w:type="dxa"/>
            <w:shd w:val="clear" w:color="auto" w:fill="8DB3E2"/>
          </w:tcPr>
          <w:p w14:paraId="4466E574" w14:textId="77777777" w:rsidR="000D1F55" w:rsidRDefault="00CA275F" w:rsidP="009F5C08">
            <w:pPr>
              <w:pStyle w:val="ListParagraph"/>
              <w:numPr>
                <w:ilvl w:val="0"/>
                <w:numId w:val="55"/>
              </w:numPr>
              <w:spacing w:after="0"/>
              <w:rPr>
                <w:rFonts w:ascii="Calibri" w:eastAsia="Calibri" w:hAnsi="Calibri" w:cs="Calibri"/>
                <w:sz w:val="21"/>
                <w:szCs w:val="21"/>
              </w:rPr>
            </w:pPr>
            <w:r w:rsidRPr="000D1F55">
              <w:rPr>
                <w:rFonts w:ascii="Calibri" w:eastAsia="Calibri" w:hAnsi="Calibri" w:cs="Calibri"/>
                <w:sz w:val="21"/>
                <w:szCs w:val="21"/>
              </w:rPr>
              <w:t>Establish relationships with existing non-health bodies tasked with managing key environmental health issues.</w:t>
            </w:r>
          </w:p>
          <w:p w14:paraId="5516A42F" w14:textId="07362CF2" w:rsidR="00CA275F" w:rsidRPr="000D1F55" w:rsidRDefault="00CA275F" w:rsidP="009F5C08">
            <w:pPr>
              <w:pStyle w:val="ListParagraph"/>
              <w:numPr>
                <w:ilvl w:val="0"/>
                <w:numId w:val="55"/>
              </w:numPr>
              <w:spacing w:after="0"/>
              <w:rPr>
                <w:rFonts w:ascii="Calibri" w:eastAsia="Calibri" w:hAnsi="Calibri" w:cs="Calibri"/>
                <w:sz w:val="21"/>
                <w:szCs w:val="21"/>
              </w:rPr>
            </w:pPr>
            <w:r w:rsidRPr="000D1F55">
              <w:rPr>
                <w:rFonts w:ascii="Calibri" w:eastAsia="Calibri" w:hAnsi="Calibri" w:cs="Calibri"/>
                <w:sz w:val="21"/>
                <w:szCs w:val="21"/>
              </w:rPr>
              <w:t>Identify opportunities for more formalised connection with entities responsible for water regulation, operation and research.</w:t>
            </w:r>
          </w:p>
        </w:tc>
        <w:tc>
          <w:tcPr>
            <w:tcW w:w="5735" w:type="dxa"/>
            <w:shd w:val="clear" w:color="auto" w:fill="C6D9F1"/>
          </w:tcPr>
          <w:p w14:paraId="4783F606" w14:textId="29A6C863" w:rsidR="00CA275F" w:rsidRPr="000D1F55" w:rsidRDefault="00CA275F" w:rsidP="009F5C08">
            <w:pPr>
              <w:pStyle w:val="ListParagraph"/>
              <w:numPr>
                <w:ilvl w:val="0"/>
                <w:numId w:val="55"/>
              </w:numPr>
              <w:spacing w:after="0"/>
              <w:rPr>
                <w:rFonts w:ascii="Calibri" w:eastAsia="Calibri" w:hAnsi="Calibri" w:cs="Calibri"/>
                <w:sz w:val="21"/>
                <w:szCs w:val="21"/>
              </w:rPr>
            </w:pPr>
            <w:r w:rsidRPr="000D1F55">
              <w:rPr>
                <w:rFonts w:ascii="Calibri" w:eastAsia="Calibri" w:hAnsi="Calibri" w:cs="Calibri"/>
                <w:sz w:val="21"/>
                <w:szCs w:val="21"/>
              </w:rPr>
              <w:t>Links to water regulators, operation and research are established via the Water Quality Expert Reference Panel (WQERP).</w:t>
            </w:r>
          </w:p>
        </w:tc>
      </w:tr>
      <w:tr w:rsidR="00CA275F" w:rsidRPr="00EC1EF8" w14:paraId="0BF07506" w14:textId="77777777" w:rsidTr="009F5C08">
        <w:trPr>
          <w:trHeight w:val="472"/>
        </w:trPr>
        <w:tc>
          <w:tcPr>
            <w:tcW w:w="15511" w:type="dxa"/>
            <w:gridSpan w:val="3"/>
            <w:shd w:val="clear" w:color="auto" w:fill="538135" w:themeFill="accent6" w:themeFillShade="BF"/>
          </w:tcPr>
          <w:p w14:paraId="1778AF79" w14:textId="77777777" w:rsidR="00CA275F" w:rsidRPr="00EC1EF8" w:rsidRDefault="00CA275F" w:rsidP="009F5C08">
            <w:pPr>
              <w:numPr>
                <w:ilvl w:val="0"/>
                <w:numId w:val="28"/>
              </w:numPr>
              <w:contextualSpacing/>
              <w:rPr>
                <w:rFonts w:ascii="Calibri" w:eastAsia="Calibri" w:hAnsi="Calibri" w:cs="Calibri"/>
                <w:b/>
                <w:color w:val="FFFFFF"/>
                <w:sz w:val="22"/>
                <w:szCs w:val="22"/>
              </w:rPr>
            </w:pPr>
            <w:r w:rsidRPr="00EC1EF8">
              <w:rPr>
                <w:rFonts w:ascii="Calibri" w:eastAsia="Calibri" w:hAnsi="Calibri" w:cs="Calibri"/>
                <w:b/>
                <w:bCs/>
                <w:color w:val="FFFFFF"/>
                <w:sz w:val="22"/>
                <w:szCs w:val="22"/>
                <w:lang w:bidi="en-AU"/>
              </w:rPr>
              <w:t>Strengthened research and data capacity, to assist translation of research and data to environmental health policy and interventions.</w:t>
            </w:r>
          </w:p>
        </w:tc>
      </w:tr>
      <w:tr w:rsidR="00CA275F" w:rsidRPr="00EC1EF8" w14:paraId="04E7E846" w14:textId="77777777" w:rsidTr="007F4CC9">
        <w:trPr>
          <w:trHeight w:val="1219"/>
        </w:trPr>
        <w:tc>
          <w:tcPr>
            <w:tcW w:w="3681" w:type="dxa"/>
            <w:shd w:val="clear" w:color="auto" w:fill="A8D08D" w:themeFill="accent6" w:themeFillTint="99"/>
          </w:tcPr>
          <w:p w14:paraId="22C62645" w14:textId="77777777" w:rsidR="00CA275F" w:rsidRPr="00EC1EF8" w:rsidRDefault="00CA275F" w:rsidP="009F5C08">
            <w:pPr>
              <w:rPr>
                <w:rFonts w:ascii="Calibri" w:eastAsia="Calibri" w:hAnsi="Calibri" w:cs="Calibri"/>
                <w:b/>
                <w:sz w:val="21"/>
                <w:szCs w:val="21"/>
              </w:rPr>
            </w:pPr>
            <w:r w:rsidRPr="00EC1EF8">
              <w:rPr>
                <w:rFonts w:ascii="Calibri" w:eastAsia="Calibri" w:hAnsi="Calibri" w:cs="Calibri"/>
                <w:b/>
                <w:sz w:val="21"/>
                <w:szCs w:val="21"/>
              </w:rPr>
              <w:t xml:space="preserve">H.1 </w:t>
            </w:r>
            <w:r w:rsidRPr="00EC1EF8">
              <w:rPr>
                <w:rFonts w:ascii="Calibri" w:eastAsia="Calibri" w:hAnsi="Calibri" w:cs="Calibri"/>
                <w:b/>
                <w:sz w:val="21"/>
                <w:szCs w:val="21"/>
                <w:lang w:bidi="en-AU"/>
              </w:rPr>
              <w:t>Contribute to the setting of the national agenda in applied environmental health research.</w:t>
            </w:r>
          </w:p>
        </w:tc>
        <w:tc>
          <w:tcPr>
            <w:tcW w:w="6095" w:type="dxa"/>
            <w:shd w:val="clear" w:color="auto" w:fill="C5E0B3" w:themeFill="accent6" w:themeFillTint="66"/>
          </w:tcPr>
          <w:p w14:paraId="2096EA1E" w14:textId="77777777" w:rsidR="000D1F55" w:rsidRDefault="00CA275F" w:rsidP="009F5C08">
            <w:pPr>
              <w:pStyle w:val="ListParagraph"/>
              <w:numPr>
                <w:ilvl w:val="0"/>
                <w:numId w:val="56"/>
              </w:numPr>
              <w:spacing w:after="0"/>
              <w:rPr>
                <w:rFonts w:ascii="Calibri" w:eastAsia="Calibri" w:hAnsi="Calibri" w:cs="Calibri"/>
                <w:sz w:val="21"/>
                <w:szCs w:val="21"/>
              </w:rPr>
            </w:pPr>
            <w:r w:rsidRPr="000D1F55">
              <w:rPr>
                <w:rFonts w:ascii="Calibri" w:eastAsia="Calibri" w:hAnsi="Calibri" w:cs="Calibri"/>
                <w:sz w:val="21"/>
                <w:szCs w:val="21"/>
              </w:rPr>
              <w:t>Identifying environmental health research priorities.</w:t>
            </w:r>
          </w:p>
          <w:p w14:paraId="3B1FBF74" w14:textId="77777777" w:rsidR="000D1F55" w:rsidRDefault="00CA275F" w:rsidP="009F5C08">
            <w:pPr>
              <w:pStyle w:val="ListParagraph"/>
              <w:numPr>
                <w:ilvl w:val="0"/>
                <w:numId w:val="56"/>
              </w:numPr>
              <w:spacing w:after="0"/>
              <w:rPr>
                <w:rFonts w:ascii="Calibri" w:eastAsia="Calibri" w:hAnsi="Calibri" w:cs="Calibri"/>
                <w:sz w:val="21"/>
                <w:szCs w:val="21"/>
              </w:rPr>
            </w:pPr>
            <w:r w:rsidRPr="000D1F55">
              <w:rPr>
                <w:rFonts w:ascii="Calibri" w:eastAsia="Calibri" w:hAnsi="Calibri" w:cs="Calibri"/>
                <w:sz w:val="21"/>
                <w:szCs w:val="21"/>
              </w:rPr>
              <w:t>Advocating for and influencing the research agenda.</w:t>
            </w:r>
          </w:p>
          <w:p w14:paraId="208B9050" w14:textId="4C2ED149" w:rsidR="00CA275F" w:rsidRPr="000D1F55" w:rsidRDefault="00CA275F" w:rsidP="009F5C08">
            <w:pPr>
              <w:pStyle w:val="ListParagraph"/>
              <w:numPr>
                <w:ilvl w:val="0"/>
                <w:numId w:val="56"/>
              </w:numPr>
              <w:spacing w:after="0"/>
              <w:rPr>
                <w:rFonts w:ascii="Calibri" w:eastAsia="Calibri" w:hAnsi="Calibri" w:cs="Calibri"/>
                <w:sz w:val="21"/>
                <w:szCs w:val="21"/>
              </w:rPr>
            </w:pPr>
            <w:r w:rsidRPr="000D1F55">
              <w:rPr>
                <w:rFonts w:ascii="Calibri" w:eastAsia="Calibri" w:hAnsi="Calibri" w:cs="Calibri"/>
                <w:sz w:val="21"/>
                <w:szCs w:val="21"/>
              </w:rPr>
              <w:t>Building relationships and identifying opportunities to partner with key research institutions and funding bodies.</w:t>
            </w:r>
          </w:p>
        </w:tc>
        <w:tc>
          <w:tcPr>
            <w:tcW w:w="5735" w:type="dxa"/>
            <w:shd w:val="clear" w:color="auto" w:fill="E2EFD9" w:themeFill="accent6" w:themeFillTint="33"/>
          </w:tcPr>
          <w:p w14:paraId="72F27488" w14:textId="77777777" w:rsidR="000D1F55" w:rsidRDefault="00CA275F" w:rsidP="009F5C08">
            <w:pPr>
              <w:pStyle w:val="ListParagraph"/>
              <w:numPr>
                <w:ilvl w:val="0"/>
                <w:numId w:val="56"/>
              </w:numPr>
              <w:spacing w:after="0"/>
              <w:rPr>
                <w:rFonts w:ascii="Calibri" w:eastAsia="Calibri" w:hAnsi="Calibri" w:cs="Calibri"/>
                <w:sz w:val="21"/>
                <w:szCs w:val="21"/>
              </w:rPr>
            </w:pPr>
            <w:r w:rsidRPr="000D1F55">
              <w:rPr>
                <w:rFonts w:ascii="Calibri" w:eastAsia="Calibri" w:hAnsi="Calibri" w:cs="Calibri"/>
                <w:sz w:val="21"/>
                <w:szCs w:val="21"/>
              </w:rPr>
              <w:t>Number of priority environmental health research projects commenced.</w:t>
            </w:r>
          </w:p>
          <w:p w14:paraId="6C6760B7" w14:textId="77777777" w:rsidR="000D1F55" w:rsidRDefault="00CA275F" w:rsidP="009F5C08">
            <w:pPr>
              <w:pStyle w:val="ListParagraph"/>
              <w:numPr>
                <w:ilvl w:val="0"/>
                <w:numId w:val="56"/>
              </w:numPr>
              <w:spacing w:after="0"/>
              <w:rPr>
                <w:rFonts w:ascii="Calibri" w:eastAsia="Calibri" w:hAnsi="Calibri" w:cs="Calibri"/>
                <w:sz w:val="21"/>
                <w:szCs w:val="21"/>
              </w:rPr>
            </w:pPr>
            <w:r w:rsidRPr="000D1F55">
              <w:rPr>
                <w:rFonts w:ascii="Calibri" w:eastAsia="Calibri" w:hAnsi="Calibri" w:cs="Calibri"/>
                <w:sz w:val="21"/>
                <w:szCs w:val="21"/>
              </w:rPr>
              <w:t>Publication of a national environmental health research priority list and research into key issues is undertaken.</w:t>
            </w:r>
          </w:p>
          <w:p w14:paraId="45AC7A98" w14:textId="26E2F896" w:rsidR="00CA275F" w:rsidRPr="000D1F55" w:rsidRDefault="00CA275F" w:rsidP="009F5C08">
            <w:pPr>
              <w:pStyle w:val="ListParagraph"/>
              <w:numPr>
                <w:ilvl w:val="0"/>
                <w:numId w:val="56"/>
              </w:numPr>
              <w:spacing w:after="0"/>
              <w:rPr>
                <w:rFonts w:ascii="Calibri" w:eastAsia="Calibri" w:hAnsi="Calibri" w:cs="Calibri"/>
                <w:sz w:val="21"/>
                <w:szCs w:val="21"/>
              </w:rPr>
            </w:pPr>
            <w:r w:rsidRPr="000D1F55">
              <w:rPr>
                <w:rFonts w:ascii="Calibri" w:eastAsia="Calibri" w:hAnsi="Calibri" w:cs="Calibri"/>
                <w:sz w:val="21"/>
                <w:szCs w:val="21"/>
              </w:rPr>
              <w:t>Established partnerships with key research institutions and funding mechanisms.</w:t>
            </w:r>
          </w:p>
        </w:tc>
      </w:tr>
      <w:tr w:rsidR="00CA275F" w:rsidRPr="00EC1EF8" w14:paraId="1B14DE79" w14:textId="77777777" w:rsidTr="007F4CC9">
        <w:trPr>
          <w:trHeight w:val="1219"/>
        </w:trPr>
        <w:tc>
          <w:tcPr>
            <w:tcW w:w="3681" w:type="dxa"/>
            <w:shd w:val="clear" w:color="auto" w:fill="A8D08D" w:themeFill="accent6" w:themeFillTint="99"/>
          </w:tcPr>
          <w:p w14:paraId="4FC66ABE" w14:textId="77777777" w:rsidR="00CA275F" w:rsidRPr="00EC1EF8" w:rsidRDefault="00CA275F" w:rsidP="009F5C08">
            <w:pPr>
              <w:rPr>
                <w:rFonts w:ascii="Calibri" w:eastAsia="Calibri" w:hAnsi="Calibri" w:cs="Calibri"/>
                <w:b/>
                <w:sz w:val="21"/>
                <w:szCs w:val="21"/>
              </w:rPr>
            </w:pPr>
            <w:r w:rsidRPr="00EC1EF8">
              <w:rPr>
                <w:rFonts w:ascii="Calibri" w:eastAsia="Calibri" w:hAnsi="Calibri" w:cs="Calibri"/>
                <w:b/>
                <w:sz w:val="21"/>
                <w:szCs w:val="21"/>
              </w:rPr>
              <w:t xml:space="preserve">H.2 </w:t>
            </w:r>
            <w:r w:rsidRPr="00EC1EF8">
              <w:rPr>
                <w:rFonts w:ascii="Calibri" w:eastAsia="Calibri" w:hAnsi="Calibri" w:cs="Calibri"/>
                <w:b/>
                <w:sz w:val="21"/>
                <w:szCs w:val="21"/>
                <w:lang w:bidi="en-AU"/>
              </w:rPr>
              <w:t>Facilitating the collection of data and analysis to support environmental health decision making.</w:t>
            </w:r>
          </w:p>
        </w:tc>
        <w:tc>
          <w:tcPr>
            <w:tcW w:w="6095" w:type="dxa"/>
            <w:shd w:val="clear" w:color="auto" w:fill="C5E0B3" w:themeFill="accent6" w:themeFillTint="66"/>
          </w:tcPr>
          <w:p w14:paraId="6FBB2A38" w14:textId="77777777" w:rsidR="000D1F55" w:rsidRDefault="00CA275F" w:rsidP="009F5C08">
            <w:pPr>
              <w:pStyle w:val="ListParagraph"/>
              <w:numPr>
                <w:ilvl w:val="0"/>
                <w:numId w:val="57"/>
              </w:numPr>
              <w:spacing w:after="0"/>
              <w:rPr>
                <w:rFonts w:ascii="Calibri" w:eastAsia="Calibri" w:hAnsi="Calibri" w:cs="Calibri"/>
                <w:sz w:val="21"/>
                <w:szCs w:val="21"/>
              </w:rPr>
            </w:pPr>
            <w:r w:rsidRPr="000D1F55">
              <w:rPr>
                <w:rFonts w:ascii="Calibri" w:eastAsia="Calibri" w:hAnsi="Calibri" w:cs="Calibri"/>
                <w:sz w:val="21"/>
                <w:szCs w:val="21"/>
              </w:rPr>
              <w:t xml:space="preserve">Development of a national human biomonitoring program. The recently completed </w:t>
            </w:r>
            <w:r w:rsidRPr="000D1F55">
              <w:rPr>
                <w:rFonts w:ascii="Calibri" w:eastAsia="Calibri" w:hAnsi="Calibri" w:cs="Calibri"/>
                <w:i/>
                <w:sz w:val="21"/>
                <w:szCs w:val="21"/>
              </w:rPr>
              <w:t>Feasibility Study of an Australian National Biomonitoring Program</w:t>
            </w:r>
            <w:r w:rsidRPr="000D1F55">
              <w:rPr>
                <w:rFonts w:ascii="Calibri" w:eastAsia="Calibri" w:hAnsi="Calibri" w:cs="Calibri"/>
                <w:sz w:val="21"/>
                <w:szCs w:val="21"/>
              </w:rPr>
              <w:t xml:space="preserve"> will be used to inform and progress this work.</w:t>
            </w:r>
          </w:p>
          <w:p w14:paraId="530895B2" w14:textId="4F46F1E8" w:rsidR="00CA275F" w:rsidRPr="000D1F55" w:rsidRDefault="00CA275F" w:rsidP="009F5C08">
            <w:pPr>
              <w:pStyle w:val="ListParagraph"/>
              <w:numPr>
                <w:ilvl w:val="0"/>
                <w:numId w:val="57"/>
              </w:numPr>
              <w:spacing w:after="0"/>
              <w:rPr>
                <w:rFonts w:ascii="Calibri" w:eastAsia="Calibri" w:hAnsi="Calibri" w:cs="Calibri"/>
                <w:sz w:val="21"/>
                <w:szCs w:val="21"/>
              </w:rPr>
            </w:pPr>
            <w:r w:rsidRPr="000D1F55">
              <w:rPr>
                <w:rFonts w:ascii="Calibri" w:eastAsia="Calibri" w:hAnsi="Calibri" w:cs="Calibri"/>
                <w:sz w:val="21"/>
                <w:szCs w:val="21"/>
              </w:rPr>
              <w:t>Establishing other mechanisms to collect environmental health data and build the evidence base, such as a national environmental health tracking and surveillance system.</w:t>
            </w:r>
          </w:p>
        </w:tc>
        <w:tc>
          <w:tcPr>
            <w:tcW w:w="5735" w:type="dxa"/>
            <w:shd w:val="clear" w:color="auto" w:fill="E2EFD9" w:themeFill="accent6" w:themeFillTint="33"/>
          </w:tcPr>
          <w:p w14:paraId="73D888FC" w14:textId="77777777" w:rsidR="000D1F55" w:rsidRDefault="00CA275F" w:rsidP="009F5C08">
            <w:pPr>
              <w:pStyle w:val="ListParagraph"/>
              <w:numPr>
                <w:ilvl w:val="0"/>
                <w:numId w:val="57"/>
              </w:numPr>
              <w:spacing w:after="0"/>
              <w:rPr>
                <w:rFonts w:ascii="Calibri" w:eastAsia="Calibri" w:hAnsi="Calibri" w:cs="Calibri"/>
                <w:sz w:val="21"/>
                <w:szCs w:val="21"/>
              </w:rPr>
            </w:pPr>
            <w:r w:rsidRPr="000D1F55">
              <w:rPr>
                <w:rFonts w:ascii="Calibri" w:eastAsia="Calibri" w:hAnsi="Calibri" w:cs="Calibri"/>
                <w:sz w:val="21"/>
                <w:szCs w:val="21"/>
              </w:rPr>
              <w:t>Progress is made on a national human biomonitoring program.</w:t>
            </w:r>
          </w:p>
          <w:p w14:paraId="08435B5E" w14:textId="1EBDD672" w:rsidR="00CA275F" w:rsidRPr="000D1F55" w:rsidRDefault="00CA275F" w:rsidP="009F5C08">
            <w:pPr>
              <w:pStyle w:val="ListParagraph"/>
              <w:numPr>
                <w:ilvl w:val="0"/>
                <w:numId w:val="57"/>
              </w:numPr>
              <w:spacing w:after="0"/>
              <w:rPr>
                <w:rFonts w:ascii="Calibri" w:eastAsia="Calibri" w:hAnsi="Calibri" w:cs="Calibri"/>
                <w:sz w:val="21"/>
                <w:szCs w:val="21"/>
              </w:rPr>
            </w:pPr>
            <w:r w:rsidRPr="000D1F55">
              <w:rPr>
                <w:rFonts w:ascii="Calibri" w:eastAsia="Calibri" w:hAnsi="Calibri" w:cs="Calibri"/>
                <w:sz w:val="21"/>
                <w:szCs w:val="21"/>
              </w:rPr>
              <w:t>Other mechanisms for collecting data are established, such as environmental health tracking and surveillance systems.</w:t>
            </w:r>
          </w:p>
        </w:tc>
      </w:tr>
      <w:tr w:rsidR="00CA275F" w:rsidRPr="00EC1EF8" w14:paraId="0883281C" w14:textId="77777777" w:rsidTr="007F4CC9">
        <w:trPr>
          <w:trHeight w:val="1219"/>
        </w:trPr>
        <w:tc>
          <w:tcPr>
            <w:tcW w:w="3681" w:type="dxa"/>
            <w:shd w:val="clear" w:color="auto" w:fill="A8D08D" w:themeFill="accent6" w:themeFillTint="99"/>
          </w:tcPr>
          <w:p w14:paraId="0AA779B7" w14:textId="77777777" w:rsidR="00CA275F" w:rsidRPr="00EC1EF8" w:rsidRDefault="00CA275F" w:rsidP="009F5C08">
            <w:pPr>
              <w:rPr>
                <w:rFonts w:ascii="Calibri" w:eastAsia="Calibri" w:hAnsi="Calibri" w:cs="Calibri"/>
                <w:b/>
                <w:sz w:val="21"/>
                <w:szCs w:val="21"/>
              </w:rPr>
            </w:pPr>
            <w:r w:rsidRPr="00EC1EF8">
              <w:rPr>
                <w:rFonts w:ascii="Calibri" w:eastAsia="Calibri" w:hAnsi="Calibri" w:cs="Calibri"/>
                <w:b/>
                <w:sz w:val="21"/>
                <w:szCs w:val="21"/>
              </w:rPr>
              <w:t xml:space="preserve">H.3 </w:t>
            </w:r>
            <w:r w:rsidRPr="00EC1EF8">
              <w:rPr>
                <w:rFonts w:ascii="Calibri" w:eastAsia="Calibri" w:hAnsi="Calibri" w:cs="Calibri"/>
                <w:b/>
                <w:sz w:val="21"/>
                <w:szCs w:val="21"/>
                <w:lang w:bidi="en-AU"/>
              </w:rPr>
              <w:t>Advocate for necessary funding to support the development and implementation of big data projects in environmental health nationally.</w:t>
            </w:r>
          </w:p>
        </w:tc>
        <w:tc>
          <w:tcPr>
            <w:tcW w:w="6095" w:type="dxa"/>
            <w:shd w:val="clear" w:color="auto" w:fill="C5E0B3" w:themeFill="accent6" w:themeFillTint="66"/>
          </w:tcPr>
          <w:p w14:paraId="55F505F8" w14:textId="7E6250E8" w:rsidR="00CA275F" w:rsidRPr="000D1F55" w:rsidRDefault="00CA275F" w:rsidP="0042329E">
            <w:pPr>
              <w:pStyle w:val="ListParagraph"/>
              <w:numPr>
                <w:ilvl w:val="0"/>
                <w:numId w:val="58"/>
              </w:numPr>
              <w:spacing w:after="0"/>
              <w:rPr>
                <w:rFonts w:ascii="Calibri" w:eastAsia="Calibri" w:hAnsi="Calibri" w:cs="Calibri"/>
                <w:sz w:val="21"/>
                <w:szCs w:val="21"/>
              </w:rPr>
            </w:pPr>
            <w:r w:rsidRPr="000D1F55">
              <w:rPr>
                <w:rFonts w:ascii="Calibri" w:eastAsia="Calibri" w:hAnsi="Calibri" w:cs="Calibri"/>
                <w:sz w:val="21"/>
                <w:szCs w:val="21"/>
              </w:rPr>
              <w:t xml:space="preserve">Provide evidence-based, convincing and needs-based assessment of programs, initiatives and costs/funding options through </w:t>
            </w:r>
            <w:r w:rsidR="0042329E">
              <w:rPr>
                <w:rFonts w:ascii="Calibri" w:eastAsia="Calibri" w:hAnsi="Calibri" w:cs="Calibri"/>
                <w:sz w:val="21"/>
                <w:szCs w:val="21"/>
              </w:rPr>
              <w:t xml:space="preserve">cost shared arrangements </w:t>
            </w:r>
            <w:r w:rsidRPr="000D1F55">
              <w:rPr>
                <w:rFonts w:ascii="Calibri" w:eastAsia="Calibri" w:hAnsi="Calibri" w:cs="Calibri"/>
                <w:sz w:val="21"/>
                <w:szCs w:val="21"/>
              </w:rPr>
              <w:t>and linkages to other potential funding sources to support the development of big data projects.</w:t>
            </w:r>
          </w:p>
        </w:tc>
        <w:tc>
          <w:tcPr>
            <w:tcW w:w="5735" w:type="dxa"/>
            <w:shd w:val="clear" w:color="auto" w:fill="E2EFD9" w:themeFill="accent6" w:themeFillTint="33"/>
          </w:tcPr>
          <w:p w14:paraId="33F2E68B" w14:textId="77777777" w:rsidR="00CA275F" w:rsidRPr="000D1F55" w:rsidRDefault="00CA275F" w:rsidP="000D1F55">
            <w:pPr>
              <w:pStyle w:val="ListParagraph"/>
              <w:numPr>
                <w:ilvl w:val="0"/>
                <w:numId w:val="58"/>
              </w:numPr>
              <w:spacing w:after="0"/>
              <w:rPr>
                <w:rFonts w:ascii="Calibri" w:eastAsia="Calibri" w:hAnsi="Calibri" w:cs="Calibri"/>
                <w:sz w:val="21"/>
                <w:szCs w:val="21"/>
              </w:rPr>
            </w:pPr>
            <w:r w:rsidRPr="000D1F55">
              <w:rPr>
                <w:rFonts w:ascii="Calibri" w:eastAsia="Calibri" w:hAnsi="Calibri" w:cs="Calibri"/>
                <w:sz w:val="21"/>
                <w:szCs w:val="21"/>
              </w:rPr>
              <w:t>Necessary funding and resource support for big data projects in environmental health is obtained from Government and/or other stakeholders.</w:t>
            </w:r>
          </w:p>
        </w:tc>
      </w:tr>
    </w:tbl>
    <w:p w14:paraId="2AA663D5" w14:textId="77777777" w:rsidR="00CA275F" w:rsidRDefault="00CA275F" w:rsidP="00CA275F">
      <w:pPr>
        <w:pStyle w:val="BodyText"/>
        <w:spacing w:before="120" w:after="120" w:line="300" w:lineRule="exact"/>
      </w:pPr>
    </w:p>
    <w:p w14:paraId="4C50BBEB" w14:textId="77777777" w:rsidR="00CA275F" w:rsidRDefault="00CA275F" w:rsidP="00CA275F">
      <w:pPr>
        <w:tabs>
          <w:tab w:val="center" w:pos="5273"/>
        </w:tabs>
      </w:pPr>
    </w:p>
    <w:p w14:paraId="50EE83BB" w14:textId="02D13E95" w:rsidR="005409C7" w:rsidRDefault="005464ED" w:rsidP="00E60EF4">
      <w:pPr>
        <w:tabs>
          <w:tab w:val="left" w:pos="4380"/>
        </w:tabs>
        <w:jc w:val="center"/>
        <w:rPr>
          <w:lang w:eastAsia="en-AU" w:bidi="en-AU"/>
        </w:rPr>
        <w:sectPr w:rsidR="005409C7" w:rsidSect="00E60EF4">
          <w:pgSz w:w="16838" w:h="11906" w:orient="landscape"/>
          <w:pgMar w:top="680" w:right="567" w:bottom="680" w:left="567" w:header="397" w:footer="567" w:gutter="0"/>
          <w:cols w:space="708"/>
          <w:docGrid w:linePitch="360"/>
        </w:sectPr>
      </w:pPr>
      <w:r>
        <w:rPr>
          <w:lang w:eastAsia="en-AU" w:bidi="en-AU"/>
        </w:rPr>
        <w:lastRenderedPageBreak/>
        <w:t xml:space="preserve"> </w:t>
      </w:r>
    </w:p>
    <w:p w14:paraId="30F548A9" w14:textId="34D39A7D" w:rsidR="00882638" w:rsidRPr="007F376C" w:rsidRDefault="00215314" w:rsidP="007F376C">
      <w:pPr>
        <w:pStyle w:val="Heading1"/>
        <w:numPr>
          <w:ilvl w:val="0"/>
          <w:numId w:val="0"/>
        </w:numPr>
        <w:ind w:left="720" w:hanging="720"/>
        <w:rPr>
          <w:rFonts w:ascii="Arial" w:hAnsi="Arial" w:cs="Arial"/>
          <w:sz w:val="32"/>
          <w:szCs w:val="32"/>
        </w:rPr>
      </w:pPr>
      <w:r w:rsidRPr="007F376C">
        <w:rPr>
          <w:color w:val="70AD47" w:themeColor="accent6"/>
          <w:sz w:val="32"/>
          <w:szCs w:val="32"/>
        </w:rPr>
        <w:lastRenderedPageBreak/>
        <w:t>WORK PRIORITIES, LEADS AND TIMEFRAMES</w:t>
      </w:r>
    </w:p>
    <w:p w14:paraId="5CD0A4F9" w14:textId="2F22A991" w:rsidR="00404B74" w:rsidRDefault="00556BAD" w:rsidP="004108F2">
      <w:pPr>
        <w:pStyle w:val="BodyText"/>
        <w:spacing w:before="120" w:after="120" w:line="300" w:lineRule="exact"/>
        <w:rPr>
          <w:rFonts w:ascii="Arial" w:eastAsiaTheme="minorHAnsi" w:hAnsi="Arial" w:cs="Arial"/>
          <w:b w:val="0"/>
          <w:bCs w:val="0"/>
          <w:sz w:val="22"/>
          <w:szCs w:val="22"/>
          <w:lang w:eastAsia="en-US" w:bidi="ar-SA"/>
        </w:rPr>
      </w:pPr>
      <w:r w:rsidRPr="003B14EC">
        <w:rPr>
          <w:rFonts w:ascii="Arial" w:eastAsiaTheme="minorHAnsi" w:hAnsi="Arial" w:cs="Arial"/>
          <w:b w:val="0"/>
          <w:bCs w:val="0"/>
          <w:sz w:val="22"/>
          <w:szCs w:val="22"/>
          <w:lang w:eastAsia="en-US" w:bidi="ar-SA"/>
        </w:rPr>
        <w:t>enHealth ha</w:t>
      </w:r>
      <w:r>
        <w:rPr>
          <w:rFonts w:ascii="Arial" w:eastAsiaTheme="minorHAnsi" w:hAnsi="Arial" w:cs="Arial"/>
          <w:b w:val="0"/>
          <w:bCs w:val="0"/>
          <w:sz w:val="22"/>
          <w:szCs w:val="22"/>
          <w:lang w:eastAsia="en-US" w:bidi="ar-SA"/>
        </w:rPr>
        <w:t>s</w:t>
      </w:r>
      <w:r w:rsidRPr="003B14EC">
        <w:rPr>
          <w:rFonts w:ascii="Arial" w:eastAsiaTheme="minorHAnsi" w:hAnsi="Arial" w:cs="Arial"/>
          <w:b w:val="0"/>
          <w:bCs w:val="0"/>
          <w:sz w:val="22"/>
          <w:szCs w:val="22"/>
          <w:lang w:eastAsia="en-US" w:bidi="ar-SA"/>
        </w:rPr>
        <w:t xml:space="preserve"> identified </w:t>
      </w:r>
      <w:r>
        <w:rPr>
          <w:rFonts w:ascii="Arial" w:eastAsiaTheme="minorHAnsi" w:hAnsi="Arial" w:cs="Arial"/>
          <w:b w:val="0"/>
          <w:bCs w:val="0"/>
          <w:sz w:val="22"/>
          <w:szCs w:val="22"/>
          <w:lang w:eastAsia="en-US" w:bidi="ar-SA"/>
        </w:rPr>
        <w:t>tasks, activities</w:t>
      </w:r>
      <w:r w:rsidRPr="003B14EC">
        <w:rPr>
          <w:rFonts w:ascii="Arial" w:eastAsiaTheme="minorHAnsi" w:hAnsi="Arial" w:cs="Arial"/>
          <w:b w:val="0"/>
          <w:bCs w:val="0"/>
          <w:sz w:val="22"/>
          <w:szCs w:val="22"/>
          <w:lang w:eastAsia="en-US" w:bidi="ar-SA"/>
        </w:rPr>
        <w:t xml:space="preserve"> and projects of strategic significance and prioritised these into </w:t>
      </w:r>
      <w:r>
        <w:rPr>
          <w:rFonts w:ascii="Arial" w:eastAsiaTheme="minorHAnsi" w:hAnsi="Arial" w:cs="Arial"/>
          <w:b w:val="0"/>
          <w:bCs w:val="0"/>
          <w:sz w:val="22"/>
          <w:szCs w:val="22"/>
          <w:lang w:eastAsia="en-US" w:bidi="ar-SA"/>
        </w:rPr>
        <w:t xml:space="preserve">three tiers, </w:t>
      </w:r>
      <w:r w:rsidR="00215314">
        <w:rPr>
          <w:rFonts w:ascii="Arial" w:eastAsiaTheme="minorHAnsi" w:hAnsi="Arial" w:cs="Arial"/>
          <w:b w:val="0"/>
          <w:bCs w:val="0"/>
          <w:sz w:val="22"/>
          <w:szCs w:val="22"/>
          <w:lang w:eastAsia="en-US" w:bidi="ar-SA"/>
        </w:rPr>
        <w:t>linking them to the enablers and key focus areas,</w:t>
      </w:r>
      <w:r w:rsidR="00215314" w:rsidRPr="00DD5D09">
        <w:rPr>
          <w:rFonts w:ascii="Arial" w:eastAsiaTheme="minorHAnsi" w:hAnsi="Arial" w:cs="Arial"/>
          <w:b w:val="0"/>
          <w:bCs w:val="0"/>
          <w:sz w:val="22"/>
          <w:szCs w:val="22"/>
          <w:lang w:eastAsia="en-US" w:bidi="ar-SA"/>
        </w:rPr>
        <w:t xml:space="preserve"> </w:t>
      </w:r>
      <w:r w:rsidR="00215314">
        <w:rPr>
          <w:rFonts w:ascii="Arial" w:eastAsiaTheme="minorHAnsi" w:hAnsi="Arial" w:cs="Arial"/>
          <w:b w:val="0"/>
          <w:bCs w:val="0"/>
          <w:sz w:val="22"/>
          <w:szCs w:val="22"/>
          <w:lang w:eastAsia="en-US" w:bidi="ar-SA"/>
        </w:rPr>
        <w:t xml:space="preserve">to outline the ambitious </w:t>
      </w:r>
      <w:r w:rsidR="00215314" w:rsidRPr="00DD5D09">
        <w:rPr>
          <w:rFonts w:ascii="Arial" w:eastAsiaTheme="minorHAnsi" w:hAnsi="Arial" w:cs="Arial"/>
          <w:b w:val="0"/>
          <w:bCs w:val="0"/>
          <w:sz w:val="22"/>
          <w:szCs w:val="22"/>
          <w:lang w:eastAsia="en-US" w:bidi="ar-SA"/>
        </w:rPr>
        <w:t>work plan of acti</w:t>
      </w:r>
      <w:r w:rsidR="00215314">
        <w:rPr>
          <w:rFonts w:ascii="Arial" w:eastAsiaTheme="minorHAnsi" w:hAnsi="Arial" w:cs="Arial"/>
          <w:b w:val="0"/>
          <w:bCs w:val="0"/>
          <w:sz w:val="22"/>
          <w:szCs w:val="22"/>
          <w:lang w:eastAsia="en-US" w:bidi="ar-SA"/>
        </w:rPr>
        <w:t>vities</w:t>
      </w:r>
      <w:r w:rsidR="00215314" w:rsidRPr="00DD5D09">
        <w:rPr>
          <w:rFonts w:ascii="Arial" w:eastAsiaTheme="minorHAnsi" w:hAnsi="Arial" w:cs="Arial"/>
          <w:b w:val="0"/>
          <w:bCs w:val="0"/>
          <w:sz w:val="22"/>
          <w:szCs w:val="22"/>
          <w:lang w:eastAsia="en-US" w:bidi="ar-SA"/>
        </w:rPr>
        <w:t xml:space="preserve"> to be undertaken </w:t>
      </w:r>
      <w:r w:rsidR="00215314">
        <w:rPr>
          <w:rFonts w:ascii="Arial" w:eastAsiaTheme="minorHAnsi" w:hAnsi="Arial" w:cs="Arial"/>
          <w:b w:val="0"/>
          <w:bCs w:val="0"/>
          <w:sz w:val="22"/>
          <w:szCs w:val="22"/>
          <w:lang w:eastAsia="en-US" w:bidi="ar-SA"/>
        </w:rPr>
        <w:t xml:space="preserve">with specific leads </w:t>
      </w:r>
      <w:r w:rsidR="00215314" w:rsidRPr="00DD5D09">
        <w:rPr>
          <w:rFonts w:ascii="Arial" w:eastAsiaTheme="minorHAnsi" w:hAnsi="Arial" w:cs="Arial"/>
          <w:b w:val="0"/>
          <w:bCs w:val="0"/>
          <w:sz w:val="22"/>
          <w:szCs w:val="22"/>
          <w:lang w:eastAsia="en-US" w:bidi="ar-SA"/>
        </w:rPr>
        <w:t>and timeframes.</w:t>
      </w:r>
      <w:r w:rsidR="00215314">
        <w:rPr>
          <w:rFonts w:ascii="Arial" w:eastAsiaTheme="minorHAnsi" w:hAnsi="Arial" w:cs="Arial"/>
          <w:b w:val="0"/>
          <w:bCs w:val="0"/>
          <w:sz w:val="22"/>
          <w:szCs w:val="22"/>
          <w:lang w:eastAsia="en-US" w:bidi="ar-SA"/>
        </w:rPr>
        <w:t xml:space="preserve"> </w:t>
      </w:r>
      <w:r w:rsidR="00404B74">
        <w:rPr>
          <w:rFonts w:ascii="Arial" w:eastAsiaTheme="minorHAnsi" w:hAnsi="Arial" w:cs="Arial"/>
          <w:b w:val="0"/>
          <w:bCs w:val="0"/>
          <w:sz w:val="22"/>
          <w:szCs w:val="22"/>
          <w:lang w:eastAsia="en-US" w:bidi="ar-SA"/>
        </w:rPr>
        <w:t>Th</w:t>
      </w:r>
      <w:r>
        <w:rPr>
          <w:rFonts w:ascii="Arial" w:eastAsiaTheme="minorHAnsi" w:hAnsi="Arial" w:cs="Arial"/>
          <w:b w:val="0"/>
          <w:bCs w:val="0"/>
          <w:sz w:val="22"/>
          <w:szCs w:val="22"/>
          <w:lang w:eastAsia="en-US" w:bidi="ar-SA"/>
        </w:rPr>
        <w:t>ese key tasks set a forward work plan, which will be reviewed and amended as necessary, particularly to account for emerging priorities. This is tabled below:</w:t>
      </w:r>
    </w:p>
    <w:tbl>
      <w:tblPr>
        <w:tblStyle w:val="ListTable3-Accent61"/>
        <w:tblW w:w="11194" w:type="dxa"/>
        <w:jc w:val="center"/>
        <w:tblLayout w:type="fixed"/>
        <w:tblLook w:val="04A0" w:firstRow="1" w:lastRow="0" w:firstColumn="1" w:lastColumn="0" w:noHBand="0" w:noVBand="1"/>
        <w:tblCaption w:val="Work Priorities, Leads and Timeframes"/>
        <w:tblDescription w:val="This table depicts tasks, activities and projects idetified by enHealth that are of strategic significance, and prioritises these into three tiers to outline the ambitious work plan of activities to be undertaken with specific leads and timeframes."/>
      </w:tblPr>
      <w:tblGrid>
        <w:gridCol w:w="4106"/>
        <w:gridCol w:w="992"/>
        <w:gridCol w:w="1560"/>
        <w:gridCol w:w="1842"/>
        <w:gridCol w:w="1418"/>
        <w:gridCol w:w="1276"/>
      </w:tblGrid>
      <w:tr w:rsidR="00776BEE" w:rsidRPr="00AE0FEF" w14:paraId="0CA805CD" w14:textId="55D3787D" w:rsidTr="005E15D2">
        <w:trPr>
          <w:cnfStyle w:val="100000000000" w:firstRow="1" w:lastRow="0" w:firstColumn="0" w:lastColumn="0" w:oddVBand="0" w:evenVBand="0" w:oddHBand="0" w:evenHBand="0" w:firstRowFirstColumn="0" w:firstRowLastColumn="0" w:lastRowFirstColumn="0" w:lastRowLastColumn="0"/>
          <w:trHeight w:val="495"/>
          <w:tblHeader/>
          <w:jc w:val="center"/>
        </w:trPr>
        <w:tc>
          <w:tcPr>
            <w:cnfStyle w:val="001000000100" w:firstRow="0" w:lastRow="0" w:firstColumn="1" w:lastColumn="0" w:oddVBand="0" w:evenVBand="0" w:oddHBand="0" w:evenHBand="0" w:firstRowFirstColumn="1" w:firstRowLastColumn="0" w:lastRowFirstColumn="0" w:lastRowLastColumn="0"/>
            <w:tcW w:w="4106" w:type="dxa"/>
            <w:shd w:val="clear" w:color="auto" w:fill="538135" w:themeFill="accent6" w:themeFillShade="BF"/>
          </w:tcPr>
          <w:p w14:paraId="2D2CB589" w14:textId="4794C7D5" w:rsidR="00627743" w:rsidRPr="00477F27" w:rsidRDefault="00556BAD" w:rsidP="009F5C08">
            <w:pPr>
              <w:pStyle w:val="BodyText1"/>
              <w:ind w:left="0"/>
              <w:rPr>
                <w:rFonts w:ascii="Arial" w:eastAsia="Batang" w:hAnsi="Arial" w:cs="Arial"/>
                <w:sz w:val="20"/>
              </w:rPr>
            </w:pPr>
            <w:r>
              <w:rPr>
                <w:rFonts w:ascii="Arial" w:eastAsia="Batang" w:hAnsi="Arial" w:cs="Arial"/>
                <w:sz w:val="20"/>
              </w:rPr>
              <w:t>T</w:t>
            </w:r>
            <w:r w:rsidR="00627743">
              <w:rPr>
                <w:rFonts w:ascii="Arial" w:eastAsia="Batang" w:hAnsi="Arial" w:cs="Arial"/>
                <w:sz w:val="20"/>
              </w:rPr>
              <w:t xml:space="preserve">ask / </w:t>
            </w:r>
            <w:r>
              <w:rPr>
                <w:rFonts w:ascii="Arial" w:eastAsia="Batang" w:hAnsi="Arial" w:cs="Arial"/>
                <w:sz w:val="20"/>
              </w:rPr>
              <w:t>A</w:t>
            </w:r>
            <w:r w:rsidR="00627743">
              <w:rPr>
                <w:rFonts w:ascii="Arial" w:eastAsia="Batang" w:hAnsi="Arial" w:cs="Arial"/>
                <w:sz w:val="20"/>
              </w:rPr>
              <w:t xml:space="preserve">ctivity / </w:t>
            </w:r>
            <w:r>
              <w:rPr>
                <w:rFonts w:ascii="Arial" w:eastAsia="Batang" w:hAnsi="Arial" w:cs="Arial"/>
                <w:sz w:val="20"/>
              </w:rPr>
              <w:t>P</w:t>
            </w:r>
            <w:r w:rsidR="00627743">
              <w:rPr>
                <w:rFonts w:ascii="Arial" w:eastAsia="Batang" w:hAnsi="Arial" w:cs="Arial"/>
                <w:sz w:val="20"/>
              </w:rPr>
              <w:t>roject</w:t>
            </w:r>
          </w:p>
        </w:tc>
        <w:tc>
          <w:tcPr>
            <w:tcW w:w="992" w:type="dxa"/>
            <w:shd w:val="clear" w:color="auto" w:fill="538135" w:themeFill="accent6" w:themeFillShade="BF"/>
          </w:tcPr>
          <w:p w14:paraId="273D0E74" w14:textId="31C316AA" w:rsidR="00627743" w:rsidRPr="00477F27" w:rsidRDefault="00A438F7" w:rsidP="009F5C08">
            <w:pPr>
              <w:pStyle w:val="BodyText1"/>
              <w:ind w:left="0"/>
              <w:cnfStyle w:val="100000000000" w:firstRow="1"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Tier</w:t>
            </w:r>
            <w:r w:rsidR="00DB30DB">
              <w:rPr>
                <w:rFonts w:ascii="Arial" w:eastAsia="Batang" w:hAnsi="Arial" w:cs="Arial"/>
                <w:sz w:val="20"/>
              </w:rPr>
              <w:t>*</w:t>
            </w:r>
          </w:p>
        </w:tc>
        <w:tc>
          <w:tcPr>
            <w:tcW w:w="1560" w:type="dxa"/>
            <w:shd w:val="clear" w:color="auto" w:fill="538135" w:themeFill="accent6" w:themeFillShade="BF"/>
          </w:tcPr>
          <w:p w14:paraId="6C604F21" w14:textId="2141EE5C" w:rsidR="00627743" w:rsidRPr="00477F27" w:rsidRDefault="00627743" w:rsidP="005D099E">
            <w:pPr>
              <w:pStyle w:val="BodyText1"/>
              <w:ind w:left="0"/>
              <w:cnfStyle w:val="100000000000" w:firstRow="1"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Enabler/s</w:t>
            </w:r>
            <w:r w:rsidR="00DB30DB">
              <w:rPr>
                <w:rFonts w:ascii="Arial" w:eastAsia="Batang" w:hAnsi="Arial" w:cs="Arial"/>
                <w:sz w:val="20"/>
              </w:rPr>
              <w:t>^</w:t>
            </w:r>
            <w:r>
              <w:rPr>
                <w:rFonts w:ascii="Arial" w:eastAsia="Batang" w:hAnsi="Arial" w:cs="Arial"/>
                <w:sz w:val="20"/>
              </w:rPr>
              <w:t xml:space="preserve"> </w:t>
            </w:r>
          </w:p>
        </w:tc>
        <w:tc>
          <w:tcPr>
            <w:tcW w:w="1842" w:type="dxa"/>
            <w:shd w:val="clear" w:color="auto" w:fill="538135" w:themeFill="accent6" w:themeFillShade="BF"/>
          </w:tcPr>
          <w:p w14:paraId="45C8A0C5" w14:textId="79620D32" w:rsidR="00627743" w:rsidRDefault="00627743" w:rsidP="005D099E">
            <w:pPr>
              <w:pStyle w:val="BodyText1"/>
              <w:ind w:left="0"/>
              <w:cnfStyle w:val="100000000000" w:firstRow="1"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Key Focus Area/s</w:t>
            </w:r>
            <w:r w:rsidR="005C3C62" w:rsidRPr="00E60EF4">
              <w:rPr>
                <w:rFonts w:ascii="Arial" w:eastAsia="Batang" w:hAnsi="Arial" w:cs="Arial"/>
                <w:sz w:val="20"/>
                <w:vertAlign w:val="superscript"/>
              </w:rPr>
              <w:t>#</w:t>
            </w:r>
          </w:p>
        </w:tc>
        <w:tc>
          <w:tcPr>
            <w:tcW w:w="1418" w:type="dxa"/>
            <w:shd w:val="clear" w:color="auto" w:fill="538135" w:themeFill="accent6" w:themeFillShade="BF"/>
          </w:tcPr>
          <w:p w14:paraId="3CCC821A" w14:textId="41A125D5" w:rsidR="00627743" w:rsidRDefault="00627743" w:rsidP="005D099E">
            <w:pPr>
              <w:pStyle w:val="BodyText1"/>
              <w:ind w:left="0"/>
              <w:cnfStyle w:val="100000000000" w:firstRow="1"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Lead/s</w:t>
            </w:r>
          </w:p>
        </w:tc>
        <w:tc>
          <w:tcPr>
            <w:tcW w:w="1276" w:type="dxa"/>
            <w:shd w:val="clear" w:color="auto" w:fill="538135" w:themeFill="accent6" w:themeFillShade="BF"/>
          </w:tcPr>
          <w:p w14:paraId="2CC23771" w14:textId="0682F07D" w:rsidR="00627743" w:rsidRDefault="00627743" w:rsidP="005D099E">
            <w:pPr>
              <w:pStyle w:val="BodyText1"/>
              <w:ind w:left="0"/>
              <w:cnfStyle w:val="100000000000" w:firstRow="1"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Timeframe</w:t>
            </w:r>
          </w:p>
        </w:tc>
      </w:tr>
      <w:tr w:rsidR="00776BEE" w:rsidRPr="00AE0FEF" w14:paraId="5C3C0A2B" w14:textId="31D5B056" w:rsidTr="007F376C">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A8D08D" w:themeFill="accent6" w:themeFillTint="99"/>
          </w:tcPr>
          <w:p w14:paraId="2F2785C1" w14:textId="468AD918" w:rsidR="007F4CC9" w:rsidRPr="007F4CC9" w:rsidRDefault="007F4CC9" w:rsidP="00627743">
            <w:pPr>
              <w:pStyle w:val="BodyText1"/>
              <w:spacing w:before="120" w:after="120"/>
              <w:ind w:left="0"/>
              <w:rPr>
                <w:rFonts w:ascii="Arial" w:eastAsia="Batang" w:hAnsi="Arial" w:cs="Arial"/>
                <w:b w:val="0"/>
                <w:sz w:val="20"/>
                <w:u w:val="single"/>
              </w:rPr>
            </w:pPr>
            <w:r w:rsidRPr="007F4CC9">
              <w:rPr>
                <w:rFonts w:ascii="Arial" w:eastAsia="Batang" w:hAnsi="Arial" w:cs="Arial"/>
                <w:b w:val="0"/>
                <w:sz w:val="20"/>
                <w:u w:val="single"/>
              </w:rPr>
              <w:t>Highest Priorities</w:t>
            </w:r>
            <w:r>
              <w:rPr>
                <w:rFonts w:ascii="Arial" w:eastAsia="Batang" w:hAnsi="Arial" w:cs="Arial"/>
                <w:b w:val="0"/>
                <w:sz w:val="20"/>
                <w:u w:val="single"/>
              </w:rPr>
              <w:t>:</w:t>
            </w:r>
          </w:p>
          <w:p w14:paraId="408569BC" w14:textId="08C3634B" w:rsidR="006776DB" w:rsidRDefault="006776DB" w:rsidP="00627743">
            <w:pPr>
              <w:pStyle w:val="BodyText1"/>
              <w:spacing w:before="120" w:after="120"/>
              <w:ind w:left="0"/>
              <w:rPr>
                <w:rFonts w:ascii="Arial" w:eastAsia="Batang" w:hAnsi="Arial" w:cs="Arial"/>
                <w:b w:val="0"/>
                <w:sz w:val="20"/>
              </w:rPr>
            </w:pPr>
            <w:r w:rsidRPr="00740F57">
              <w:rPr>
                <w:rFonts w:ascii="Arial" w:eastAsia="Batang" w:hAnsi="Arial" w:cs="Arial"/>
                <w:b w:val="0"/>
                <w:sz w:val="20"/>
              </w:rPr>
              <w:t>Climate Change and Health Protection (e.g. drought, water security and quality, food security, heat waves, building and city design, disease vectors etc.)</w:t>
            </w:r>
          </w:p>
          <w:p w14:paraId="24F34199" w14:textId="7A14CFB5" w:rsidR="00627743" w:rsidRPr="00E23296" w:rsidRDefault="006776DB" w:rsidP="00DC2F46">
            <w:pPr>
              <w:pStyle w:val="BodyText1"/>
              <w:numPr>
                <w:ilvl w:val="0"/>
                <w:numId w:val="60"/>
              </w:numPr>
              <w:spacing w:before="120" w:after="120"/>
              <w:rPr>
                <w:rFonts w:ascii="Arial" w:eastAsia="Batang" w:hAnsi="Arial" w:cs="Arial"/>
                <w:b w:val="0"/>
                <w:sz w:val="20"/>
              </w:rPr>
            </w:pPr>
            <w:r>
              <w:rPr>
                <w:rFonts w:ascii="Arial" w:eastAsia="Batang" w:hAnsi="Arial" w:cs="Arial"/>
                <w:b w:val="0"/>
                <w:sz w:val="20"/>
              </w:rPr>
              <w:t>Work related to h</w:t>
            </w:r>
            <w:r w:rsidRPr="00740F57">
              <w:rPr>
                <w:rFonts w:ascii="Arial" w:eastAsia="Batang" w:hAnsi="Arial" w:cs="Arial"/>
                <w:b w:val="0"/>
                <w:sz w:val="20"/>
              </w:rPr>
              <w:t>eatwaves, climate and other weather events/natural disasters</w:t>
            </w:r>
          </w:p>
        </w:tc>
        <w:tc>
          <w:tcPr>
            <w:tcW w:w="992" w:type="dxa"/>
            <w:shd w:val="clear" w:color="auto" w:fill="A8D08D" w:themeFill="accent6" w:themeFillTint="99"/>
          </w:tcPr>
          <w:p w14:paraId="2B865E8A" w14:textId="77777777" w:rsidR="007F4CC9" w:rsidRDefault="007F4CC9"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p w14:paraId="462B1831" w14:textId="65D54254" w:rsidR="006776DB" w:rsidRDefault="006776DB"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1</w:t>
            </w:r>
          </w:p>
          <w:p w14:paraId="3F831EF1" w14:textId="77777777" w:rsidR="006776DB" w:rsidRDefault="006776DB"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p w14:paraId="4EB08B1A" w14:textId="77777777" w:rsidR="006776DB" w:rsidRDefault="006776DB"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p w14:paraId="12E2FA9D" w14:textId="0B714DB7" w:rsidR="006776DB" w:rsidRDefault="00E23296"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1</w:t>
            </w:r>
          </w:p>
          <w:p w14:paraId="23283FEF" w14:textId="14BF1BCE" w:rsidR="00627743" w:rsidRPr="00477F27" w:rsidRDefault="00627743"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tc>
        <w:tc>
          <w:tcPr>
            <w:tcW w:w="1560" w:type="dxa"/>
            <w:shd w:val="clear" w:color="auto" w:fill="A8D08D" w:themeFill="accent6" w:themeFillTint="99"/>
          </w:tcPr>
          <w:p w14:paraId="6F9E1A2A" w14:textId="77777777" w:rsidR="007F4CC9" w:rsidRDefault="007F4CC9" w:rsidP="00627743">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p w14:paraId="2D754A3E" w14:textId="77777777" w:rsidR="006776DB" w:rsidRDefault="006776DB" w:rsidP="00627743">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1, 2, 3, 4</w:t>
            </w:r>
          </w:p>
          <w:p w14:paraId="397937FE" w14:textId="77777777" w:rsidR="006776DB" w:rsidRDefault="006776DB" w:rsidP="00627743">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p w14:paraId="32865609" w14:textId="77777777" w:rsidR="006776DB" w:rsidRDefault="006776DB" w:rsidP="00627743">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p w14:paraId="5F77A2F5" w14:textId="7B8ABE14" w:rsidR="006776DB" w:rsidRDefault="006776DB" w:rsidP="00627743">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1, 2, 3, 4</w:t>
            </w:r>
          </w:p>
          <w:p w14:paraId="5A2973E3" w14:textId="14AB0819" w:rsidR="00627743" w:rsidRDefault="00627743" w:rsidP="00627743">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tc>
        <w:tc>
          <w:tcPr>
            <w:tcW w:w="1842" w:type="dxa"/>
            <w:shd w:val="clear" w:color="auto" w:fill="A8D08D" w:themeFill="accent6" w:themeFillTint="99"/>
          </w:tcPr>
          <w:p w14:paraId="0F43F8E1" w14:textId="77777777" w:rsidR="007F4CC9" w:rsidRDefault="007F4CC9" w:rsidP="00671495">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p w14:paraId="50359BC1" w14:textId="30616BDA" w:rsidR="006776DB" w:rsidRDefault="006776DB" w:rsidP="00671495">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A, F, G</w:t>
            </w:r>
          </w:p>
          <w:p w14:paraId="612CCEC6" w14:textId="77777777" w:rsidR="006776DB" w:rsidRDefault="006776DB" w:rsidP="00671495">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p w14:paraId="5E224945" w14:textId="77777777" w:rsidR="006776DB" w:rsidRDefault="006776DB" w:rsidP="00671495">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p w14:paraId="09F001CC" w14:textId="77777777" w:rsidR="006776DB" w:rsidRDefault="006776DB" w:rsidP="00671495">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B, F, G</w:t>
            </w:r>
            <w:r w:rsidDel="006776DB">
              <w:rPr>
                <w:rFonts w:ascii="Arial" w:eastAsia="Batang" w:hAnsi="Arial" w:cs="Arial"/>
                <w:sz w:val="20"/>
              </w:rPr>
              <w:t xml:space="preserve"> </w:t>
            </w:r>
          </w:p>
          <w:p w14:paraId="034FB0EC" w14:textId="1BD8745E" w:rsidR="00627743" w:rsidRDefault="00627743" w:rsidP="00671495">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tc>
        <w:tc>
          <w:tcPr>
            <w:tcW w:w="1418" w:type="dxa"/>
            <w:shd w:val="clear" w:color="auto" w:fill="A8D08D" w:themeFill="accent6" w:themeFillTint="99"/>
          </w:tcPr>
          <w:p w14:paraId="2342FEF7" w14:textId="28EA4FA5" w:rsidR="00627743" w:rsidRDefault="006776DB" w:rsidP="00627743">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AHPPC, enHealth, NHEMS, CDNA, and  ERPs</w:t>
            </w:r>
            <w:r>
              <w:rPr>
                <w:rFonts w:ascii="Arial" w:eastAsia="Batang" w:hAnsi="Arial" w:cs="Arial"/>
                <w:sz w:val="20"/>
              </w:rPr>
              <w:br/>
              <w:t>enHealth, NHEMS, AHPPC</w:t>
            </w:r>
            <w:r w:rsidDel="006776DB">
              <w:rPr>
                <w:rFonts w:ascii="Arial" w:eastAsia="Batang" w:hAnsi="Arial" w:cs="Arial"/>
                <w:sz w:val="20"/>
              </w:rPr>
              <w:t xml:space="preserve"> </w:t>
            </w:r>
          </w:p>
        </w:tc>
        <w:tc>
          <w:tcPr>
            <w:tcW w:w="1276" w:type="dxa"/>
            <w:shd w:val="clear" w:color="auto" w:fill="A8D08D" w:themeFill="accent6" w:themeFillTint="99"/>
          </w:tcPr>
          <w:p w14:paraId="5EE603A7" w14:textId="77777777" w:rsidR="007F4CC9" w:rsidRDefault="007F4CC9" w:rsidP="005464ED">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p w14:paraId="613DEFEF" w14:textId="202A86E2" w:rsidR="006776DB" w:rsidRDefault="006776DB" w:rsidP="005464ED">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Ongoing, 2020-2023</w:t>
            </w:r>
          </w:p>
          <w:p w14:paraId="05A299E8" w14:textId="77777777" w:rsidR="006776DB" w:rsidRDefault="006776DB" w:rsidP="005464ED">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p w14:paraId="6DDA9540" w14:textId="4286AAED" w:rsidR="00627743" w:rsidRDefault="006776DB" w:rsidP="005464ED">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Ongoing, 2020-2023</w:t>
            </w:r>
          </w:p>
        </w:tc>
      </w:tr>
      <w:tr w:rsidR="006776DB" w:rsidRPr="00AE0FEF" w14:paraId="5BEF603A" w14:textId="77777777" w:rsidTr="007F376C">
        <w:trPr>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A8D08D" w:themeFill="accent6" w:themeFillTint="99"/>
          </w:tcPr>
          <w:p w14:paraId="570D8DF8" w14:textId="1CC4807A" w:rsidR="006776DB" w:rsidRPr="007F4CC9" w:rsidRDefault="006776DB" w:rsidP="00627743">
            <w:pPr>
              <w:pStyle w:val="BodyText1"/>
              <w:spacing w:before="120" w:after="120"/>
              <w:ind w:left="0"/>
              <w:rPr>
                <w:rFonts w:ascii="Arial" w:eastAsia="Batang" w:hAnsi="Arial" w:cs="Arial"/>
                <w:sz w:val="20"/>
                <w:u w:val="single"/>
              </w:rPr>
            </w:pPr>
            <w:r w:rsidRPr="00740F57">
              <w:rPr>
                <w:rFonts w:ascii="Arial" w:eastAsia="Batang" w:hAnsi="Arial" w:cs="Arial"/>
                <w:b w:val="0"/>
                <w:sz w:val="20"/>
              </w:rPr>
              <w:t>Australian National Human Biomonitoring Program</w:t>
            </w:r>
          </w:p>
        </w:tc>
        <w:tc>
          <w:tcPr>
            <w:tcW w:w="992" w:type="dxa"/>
            <w:shd w:val="clear" w:color="auto" w:fill="A8D08D" w:themeFill="accent6" w:themeFillTint="99"/>
          </w:tcPr>
          <w:p w14:paraId="3E0C4194" w14:textId="74CE51F5" w:rsidR="006776DB" w:rsidRDefault="006776DB"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1</w:t>
            </w:r>
          </w:p>
        </w:tc>
        <w:tc>
          <w:tcPr>
            <w:tcW w:w="1560" w:type="dxa"/>
            <w:shd w:val="clear" w:color="auto" w:fill="A8D08D" w:themeFill="accent6" w:themeFillTint="99"/>
          </w:tcPr>
          <w:p w14:paraId="773CA67A" w14:textId="64B572EA" w:rsidR="006776DB" w:rsidRDefault="006776DB" w:rsidP="00627743">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1, 2, 3, 4, 5</w:t>
            </w:r>
          </w:p>
        </w:tc>
        <w:tc>
          <w:tcPr>
            <w:tcW w:w="1842" w:type="dxa"/>
            <w:shd w:val="clear" w:color="auto" w:fill="A8D08D" w:themeFill="accent6" w:themeFillTint="99"/>
          </w:tcPr>
          <w:p w14:paraId="6CCB7CBF" w14:textId="0C2A455E" w:rsidR="006776DB" w:rsidRDefault="006776DB" w:rsidP="00671495">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A, C, H</w:t>
            </w:r>
          </w:p>
        </w:tc>
        <w:tc>
          <w:tcPr>
            <w:tcW w:w="1418" w:type="dxa"/>
            <w:shd w:val="clear" w:color="auto" w:fill="A8D08D" w:themeFill="accent6" w:themeFillTint="99"/>
          </w:tcPr>
          <w:p w14:paraId="557D90EA" w14:textId="651791E9" w:rsidR="006776DB" w:rsidRDefault="006776DB" w:rsidP="00627743">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proofErr w:type="spellStart"/>
            <w:r>
              <w:rPr>
                <w:rFonts w:ascii="Arial" w:eastAsia="Batang" w:hAnsi="Arial" w:cs="Arial"/>
                <w:sz w:val="20"/>
              </w:rPr>
              <w:t>C’wealth</w:t>
            </w:r>
            <w:proofErr w:type="spellEnd"/>
            <w:r>
              <w:rPr>
                <w:rFonts w:ascii="Arial" w:eastAsia="Batang" w:hAnsi="Arial" w:cs="Arial"/>
                <w:sz w:val="20"/>
              </w:rPr>
              <w:t xml:space="preserve">, </w:t>
            </w:r>
            <w:proofErr w:type="spellStart"/>
            <w:r>
              <w:rPr>
                <w:rFonts w:ascii="Arial" w:eastAsia="Batang" w:hAnsi="Arial" w:cs="Arial"/>
                <w:sz w:val="20"/>
              </w:rPr>
              <w:t>enHealth</w:t>
            </w:r>
            <w:proofErr w:type="spellEnd"/>
          </w:p>
        </w:tc>
        <w:tc>
          <w:tcPr>
            <w:tcW w:w="1276" w:type="dxa"/>
            <w:shd w:val="clear" w:color="auto" w:fill="A8D08D" w:themeFill="accent6" w:themeFillTint="99"/>
          </w:tcPr>
          <w:p w14:paraId="4D2D3FA4" w14:textId="1F16657E" w:rsidR="006776DB" w:rsidRDefault="006776DB" w:rsidP="005464ED">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Ongoing, 2020-2023</w:t>
            </w:r>
          </w:p>
        </w:tc>
      </w:tr>
      <w:tr w:rsidR="00776BEE" w:rsidRPr="00AE0FEF" w14:paraId="0FC2EDDB" w14:textId="5E2E649B" w:rsidTr="007F376C">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A8D08D" w:themeFill="accent6" w:themeFillTint="99"/>
          </w:tcPr>
          <w:p w14:paraId="58F998DE" w14:textId="6A146A67" w:rsidR="00627743" w:rsidRPr="00740F57" w:rsidRDefault="00627743" w:rsidP="009F5C08">
            <w:pPr>
              <w:pStyle w:val="BodyText1"/>
              <w:spacing w:before="120" w:after="120"/>
              <w:ind w:left="0"/>
              <w:rPr>
                <w:rFonts w:ascii="Arial" w:eastAsia="Batang" w:hAnsi="Arial" w:cs="Arial"/>
                <w:b w:val="0"/>
                <w:sz w:val="20"/>
              </w:rPr>
            </w:pPr>
            <w:r w:rsidRPr="00740F57">
              <w:rPr>
                <w:rFonts w:ascii="Arial" w:eastAsia="Batang" w:hAnsi="Arial" w:cs="Arial"/>
                <w:b w:val="0"/>
                <w:sz w:val="20"/>
              </w:rPr>
              <w:t>National</w:t>
            </w:r>
            <w:r w:rsidR="00D42E6D">
              <w:rPr>
                <w:rFonts w:ascii="Arial" w:eastAsia="Batang" w:hAnsi="Arial" w:cs="Arial"/>
                <w:b w:val="0"/>
                <w:sz w:val="20"/>
              </w:rPr>
              <w:t>ly Consistent</w:t>
            </w:r>
            <w:r w:rsidRPr="00740F57">
              <w:rPr>
                <w:rFonts w:ascii="Arial" w:eastAsia="Batang" w:hAnsi="Arial" w:cs="Arial"/>
                <w:b w:val="0"/>
                <w:sz w:val="20"/>
              </w:rPr>
              <w:t xml:space="preserve"> Radiation Protection and Nuclear Safety</w:t>
            </w:r>
          </w:p>
        </w:tc>
        <w:tc>
          <w:tcPr>
            <w:tcW w:w="992" w:type="dxa"/>
            <w:shd w:val="clear" w:color="auto" w:fill="A8D08D" w:themeFill="accent6" w:themeFillTint="99"/>
          </w:tcPr>
          <w:p w14:paraId="7A6A652C" w14:textId="2C42F0B9" w:rsidR="00627743" w:rsidRPr="00477F27" w:rsidRDefault="00627743"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1</w:t>
            </w:r>
          </w:p>
        </w:tc>
        <w:tc>
          <w:tcPr>
            <w:tcW w:w="1560" w:type="dxa"/>
            <w:shd w:val="clear" w:color="auto" w:fill="A8D08D" w:themeFill="accent6" w:themeFillTint="99"/>
          </w:tcPr>
          <w:p w14:paraId="5EB831BC" w14:textId="36AE82CD" w:rsidR="00627743" w:rsidRPr="00175B47" w:rsidRDefault="0096543B" w:rsidP="00627743">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 xml:space="preserve">1, </w:t>
            </w:r>
            <w:r w:rsidR="0067484B">
              <w:rPr>
                <w:rFonts w:ascii="Arial" w:eastAsia="Batang" w:hAnsi="Arial" w:cs="Arial"/>
                <w:sz w:val="20"/>
              </w:rPr>
              <w:t>2, 3, 4</w:t>
            </w:r>
          </w:p>
        </w:tc>
        <w:tc>
          <w:tcPr>
            <w:tcW w:w="1842" w:type="dxa"/>
            <w:shd w:val="clear" w:color="auto" w:fill="A8D08D" w:themeFill="accent6" w:themeFillTint="99"/>
          </w:tcPr>
          <w:p w14:paraId="5B58D0BD" w14:textId="34373996" w:rsidR="00627743" w:rsidRDefault="006E2EC7" w:rsidP="00627743">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 xml:space="preserve">C, </w:t>
            </w:r>
            <w:r w:rsidR="00671495">
              <w:rPr>
                <w:rFonts w:ascii="Arial" w:eastAsia="Batang" w:hAnsi="Arial" w:cs="Arial"/>
                <w:sz w:val="20"/>
              </w:rPr>
              <w:t>F, G</w:t>
            </w:r>
          </w:p>
        </w:tc>
        <w:tc>
          <w:tcPr>
            <w:tcW w:w="1418" w:type="dxa"/>
            <w:shd w:val="clear" w:color="auto" w:fill="A8D08D" w:themeFill="accent6" w:themeFillTint="99"/>
          </w:tcPr>
          <w:p w14:paraId="794CBB86" w14:textId="53C3C6ED" w:rsidR="00627743" w:rsidRDefault="00776BEE" w:rsidP="00627743">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RHERP, enHealth</w:t>
            </w:r>
          </w:p>
        </w:tc>
        <w:tc>
          <w:tcPr>
            <w:tcW w:w="1276" w:type="dxa"/>
            <w:shd w:val="clear" w:color="auto" w:fill="A8D08D" w:themeFill="accent6" w:themeFillTint="99"/>
          </w:tcPr>
          <w:p w14:paraId="34D66860" w14:textId="47055ED7" w:rsidR="00627743" w:rsidRDefault="00E268C1" w:rsidP="00627743">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 xml:space="preserve">Ongoing, </w:t>
            </w:r>
            <w:r w:rsidR="006E2EC7">
              <w:rPr>
                <w:rFonts w:ascii="Arial" w:eastAsia="Batang" w:hAnsi="Arial" w:cs="Arial"/>
                <w:sz w:val="20"/>
              </w:rPr>
              <w:t>2020-2023</w:t>
            </w:r>
          </w:p>
        </w:tc>
      </w:tr>
      <w:tr w:rsidR="00776BEE" w:rsidRPr="00AE0FEF" w14:paraId="34075EA1" w14:textId="206EEB17" w:rsidTr="007F376C">
        <w:trPr>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A8D08D" w:themeFill="accent6" w:themeFillTint="99"/>
          </w:tcPr>
          <w:p w14:paraId="442BACDF" w14:textId="5FDCB59B" w:rsidR="00627743" w:rsidRPr="00740F57" w:rsidRDefault="00627743" w:rsidP="000D1F84">
            <w:pPr>
              <w:pStyle w:val="BodyText1"/>
              <w:spacing w:before="120" w:after="120"/>
              <w:ind w:left="0"/>
              <w:rPr>
                <w:rFonts w:ascii="Arial" w:eastAsia="Batang" w:hAnsi="Arial" w:cs="Arial"/>
                <w:b w:val="0"/>
                <w:sz w:val="20"/>
              </w:rPr>
            </w:pPr>
            <w:r w:rsidRPr="00740F57">
              <w:rPr>
                <w:rFonts w:ascii="Arial" w:eastAsia="Batang" w:hAnsi="Arial" w:cs="Arial"/>
                <w:b w:val="0"/>
                <w:sz w:val="20"/>
              </w:rPr>
              <w:t>Australian Guidelines for Water Recycling</w:t>
            </w:r>
          </w:p>
        </w:tc>
        <w:tc>
          <w:tcPr>
            <w:tcW w:w="992" w:type="dxa"/>
            <w:shd w:val="clear" w:color="auto" w:fill="A8D08D" w:themeFill="accent6" w:themeFillTint="99"/>
          </w:tcPr>
          <w:p w14:paraId="5A93B755" w14:textId="1F19B3FD" w:rsidR="00627743" w:rsidRPr="00477F27" w:rsidRDefault="00627743"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1</w:t>
            </w:r>
          </w:p>
        </w:tc>
        <w:tc>
          <w:tcPr>
            <w:tcW w:w="1560" w:type="dxa"/>
            <w:shd w:val="clear" w:color="auto" w:fill="A8D08D" w:themeFill="accent6" w:themeFillTint="99"/>
          </w:tcPr>
          <w:p w14:paraId="6FED2D4A" w14:textId="1760B2D1" w:rsidR="00627743" w:rsidRDefault="0096543B" w:rsidP="00627743">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1, 2, 3, 4</w:t>
            </w:r>
          </w:p>
        </w:tc>
        <w:tc>
          <w:tcPr>
            <w:tcW w:w="1842" w:type="dxa"/>
            <w:shd w:val="clear" w:color="auto" w:fill="A8D08D" w:themeFill="accent6" w:themeFillTint="99"/>
          </w:tcPr>
          <w:p w14:paraId="78EF61EC" w14:textId="68954EFE" w:rsidR="00627743" w:rsidRDefault="00671495" w:rsidP="00627743">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 xml:space="preserve">B, </w:t>
            </w:r>
            <w:r w:rsidR="00A03DD8">
              <w:rPr>
                <w:rFonts w:ascii="Arial" w:eastAsia="Batang" w:hAnsi="Arial" w:cs="Arial"/>
                <w:sz w:val="20"/>
              </w:rPr>
              <w:t xml:space="preserve">F, </w:t>
            </w:r>
            <w:r>
              <w:rPr>
                <w:rFonts w:ascii="Arial" w:eastAsia="Batang" w:hAnsi="Arial" w:cs="Arial"/>
                <w:sz w:val="20"/>
              </w:rPr>
              <w:t>G</w:t>
            </w:r>
          </w:p>
        </w:tc>
        <w:tc>
          <w:tcPr>
            <w:tcW w:w="1418" w:type="dxa"/>
            <w:shd w:val="clear" w:color="auto" w:fill="A8D08D" w:themeFill="accent6" w:themeFillTint="99"/>
          </w:tcPr>
          <w:p w14:paraId="128C8642" w14:textId="1F373E88" w:rsidR="00627743" w:rsidRDefault="00776BEE" w:rsidP="00627743">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WQERP, enHealth</w:t>
            </w:r>
          </w:p>
        </w:tc>
        <w:tc>
          <w:tcPr>
            <w:tcW w:w="1276" w:type="dxa"/>
            <w:shd w:val="clear" w:color="auto" w:fill="A8D08D" w:themeFill="accent6" w:themeFillTint="99"/>
          </w:tcPr>
          <w:p w14:paraId="5A3D9E61" w14:textId="7DCB4B71" w:rsidR="00627743" w:rsidRDefault="00E268C1" w:rsidP="00627743">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2020</w:t>
            </w:r>
          </w:p>
        </w:tc>
      </w:tr>
      <w:tr w:rsidR="00776BEE" w:rsidRPr="00AE0FEF" w14:paraId="02515728" w14:textId="055D10E8" w:rsidTr="007F376C">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A8D08D" w:themeFill="accent6" w:themeFillTint="99"/>
          </w:tcPr>
          <w:p w14:paraId="2F8AB917" w14:textId="4E087214" w:rsidR="00627743" w:rsidRPr="00740F57" w:rsidRDefault="00D42E6D">
            <w:pPr>
              <w:pStyle w:val="BodyText1"/>
              <w:spacing w:before="120" w:after="120"/>
              <w:ind w:left="0"/>
              <w:rPr>
                <w:rFonts w:ascii="Arial" w:eastAsia="Batang" w:hAnsi="Arial" w:cs="Arial"/>
                <w:b w:val="0"/>
                <w:sz w:val="20"/>
              </w:rPr>
            </w:pPr>
            <w:r>
              <w:rPr>
                <w:rFonts w:ascii="Arial" w:eastAsia="Batang" w:hAnsi="Arial" w:cs="Arial"/>
                <w:b w:val="0"/>
                <w:sz w:val="20"/>
              </w:rPr>
              <w:t>Responding to</w:t>
            </w:r>
            <w:r w:rsidR="00627743" w:rsidRPr="00740F57">
              <w:rPr>
                <w:rFonts w:ascii="Arial" w:eastAsia="Batang" w:hAnsi="Arial" w:cs="Arial"/>
                <w:b w:val="0"/>
                <w:sz w:val="20"/>
              </w:rPr>
              <w:t xml:space="preserve"> enHealth</w:t>
            </w:r>
            <w:r w:rsidR="00547282" w:rsidRPr="00740F57">
              <w:rPr>
                <w:rFonts w:ascii="Arial" w:eastAsia="Batang" w:hAnsi="Arial" w:cs="Arial"/>
                <w:b w:val="0"/>
                <w:sz w:val="20"/>
              </w:rPr>
              <w:t xml:space="preserve"> </w:t>
            </w:r>
            <w:r w:rsidR="00627743" w:rsidRPr="00740F57">
              <w:rPr>
                <w:rFonts w:ascii="Arial" w:eastAsia="Batang" w:hAnsi="Arial" w:cs="Arial"/>
                <w:b w:val="0"/>
                <w:sz w:val="20"/>
              </w:rPr>
              <w:t>related Joint External Evaluation Recommendations through the National Action Plan for Health Security 2019-2023</w:t>
            </w:r>
          </w:p>
        </w:tc>
        <w:tc>
          <w:tcPr>
            <w:tcW w:w="992" w:type="dxa"/>
            <w:shd w:val="clear" w:color="auto" w:fill="A8D08D" w:themeFill="accent6" w:themeFillTint="99"/>
          </w:tcPr>
          <w:p w14:paraId="77EB66BE" w14:textId="350D4667" w:rsidR="00627743" w:rsidRPr="00477F27" w:rsidRDefault="00627743"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1</w:t>
            </w:r>
          </w:p>
        </w:tc>
        <w:tc>
          <w:tcPr>
            <w:tcW w:w="1560" w:type="dxa"/>
            <w:shd w:val="clear" w:color="auto" w:fill="A8D08D" w:themeFill="accent6" w:themeFillTint="99"/>
          </w:tcPr>
          <w:p w14:paraId="1CD17A7E" w14:textId="788693B0" w:rsidR="00627743" w:rsidRPr="00175B47" w:rsidRDefault="0067484B" w:rsidP="00627743">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 xml:space="preserve">1, </w:t>
            </w:r>
            <w:r w:rsidR="0096543B">
              <w:rPr>
                <w:rFonts w:ascii="Arial" w:eastAsia="Batang" w:hAnsi="Arial" w:cs="Arial"/>
                <w:sz w:val="20"/>
              </w:rPr>
              <w:t xml:space="preserve">2, </w:t>
            </w:r>
            <w:r>
              <w:rPr>
                <w:rFonts w:ascii="Arial" w:eastAsia="Batang" w:hAnsi="Arial" w:cs="Arial"/>
                <w:sz w:val="20"/>
              </w:rPr>
              <w:t xml:space="preserve">3, 4, </w:t>
            </w:r>
            <w:r w:rsidR="0096543B">
              <w:rPr>
                <w:rFonts w:ascii="Arial" w:eastAsia="Batang" w:hAnsi="Arial" w:cs="Arial"/>
                <w:sz w:val="20"/>
              </w:rPr>
              <w:t>5, 6</w:t>
            </w:r>
          </w:p>
        </w:tc>
        <w:tc>
          <w:tcPr>
            <w:tcW w:w="1842" w:type="dxa"/>
            <w:shd w:val="clear" w:color="auto" w:fill="A8D08D" w:themeFill="accent6" w:themeFillTint="99"/>
          </w:tcPr>
          <w:p w14:paraId="2B54E3CE" w14:textId="1A03DB54" w:rsidR="00627743" w:rsidRDefault="00E206E3" w:rsidP="00E206E3">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A and others</w:t>
            </w:r>
            <w:r w:rsidR="00671495">
              <w:rPr>
                <w:rFonts w:ascii="Arial" w:eastAsia="Batang" w:hAnsi="Arial" w:cs="Arial"/>
                <w:sz w:val="20"/>
              </w:rPr>
              <w:t xml:space="preserve"> depending on recommendation</w:t>
            </w:r>
          </w:p>
        </w:tc>
        <w:tc>
          <w:tcPr>
            <w:tcW w:w="1418" w:type="dxa"/>
            <w:shd w:val="clear" w:color="auto" w:fill="A8D08D" w:themeFill="accent6" w:themeFillTint="99"/>
          </w:tcPr>
          <w:p w14:paraId="72B419DE" w14:textId="2800D435" w:rsidR="00627743" w:rsidRDefault="00776BEE">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 xml:space="preserve">Global Health Security, </w:t>
            </w:r>
            <w:proofErr w:type="spellStart"/>
            <w:r>
              <w:rPr>
                <w:rFonts w:ascii="Arial" w:eastAsia="Batang" w:hAnsi="Arial" w:cs="Arial"/>
                <w:sz w:val="20"/>
              </w:rPr>
              <w:t>C’wealth</w:t>
            </w:r>
            <w:proofErr w:type="spellEnd"/>
            <w:r>
              <w:rPr>
                <w:rFonts w:ascii="Arial" w:eastAsia="Batang" w:hAnsi="Arial" w:cs="Arial"/>
                <w:sz w:val="20"/>
              </w:rPr>
              <w:t xml:space="preserve">, </w:t>
            </w:r>
            <w:proofErr w:type="spellStart"/>
            <w:r>
              <w:rPr>
                <w:rFonts w:ascii="Arial" w:eastAsia="Batang" w:hAnsi="Arial" w:cs="Arial"/>
                <w:sz w:val="20"/>
              </w:rPr>
              <w:t>enHealth</w:t>
            </w:r>
            <w:proofErr w:type="spellEnd"/>
          </w:p>
        </w:tc>
        <w:tc>
          <w:tcPr>
            <w:tcW w:w="1276" w:type="dxa"/>
            <w:shd w:val="clear" w:color="auto" w:fill="A8D08D" w:themeFill="accent6" w:themeFillTint="99"/>
          </w:tcPr>
          <w:p w14:paraId="5E5E546B" w14:textId="3E2B82F4" w:rsidR="00627743" w:rsidRDefault="00E268C1" w:rsidP="005464ED">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Ongoing 2020-2023</w:t>
            </w:r>
          </w:p>
        </w:tc>
      </w:tr>
      <w:tr w:rsidR="00776BEE" w:rsidRPr="00AE0FEF" w14:paraId="33945449" w14:textId="01B28AC0" w:rsidTr="007F376C">
        <w:trPr>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C5E0B3" w:themeFill="accent6" w:themeFillTint="66"/>
          </w:tcPr>
          <w:p w14:paraId="457233F3" w14:textId="5952AECA" w:rsidR="00627743" w:rsidRPr="00E23784" w:rsidRDefault="00627743" w:rsidP="00627743">
            <w:pPr>
              <w:pStyle w:val="BodyText1"/>
              <w:spacing w:before="120" w:after="120"/>
              <w:ind w:left="0"/>
              <w:rPr>
                <w:rFonts w:ascii="Arial" w:eastAsia="Batang" w:hAnsi="Arial" w:cs="Arial"/>
                <w:b w:val="0"/>
                <w:sz w:val="20"/>
              </w:rPr>
            </w:pPr>
            <w:r w:rsidRPr="00E23784">
              <w:rPr>
                <w:rFonts w:ascii="Arial" w:eastAsia="Batang" w:hAnsi="Arial" w:cs="Arial"/>
                <w:b w:val="0"/>
                <w:sz w:val="20"/>
                <w:u w:val="single"/>
              </w:rPr>
              <w:t>National Guidelines</w:t>
            </w:r>
            <w:r w:rsidR="00C205C6" w:rsidRPr="00E23784">
              <w:rPr>
                <w:rFonts w:ascii="Arial" w:eastAsia="Batang" w:hAnsi="Arial" w:cs="Arial"/>
                <w:b w:val="0"/>
                <w:sz w:val="20"/>
                <w:u w:val="single"/>
              </w:rPr>
              <w:t xml:space="preserve"> Needed</w:t>
            </w:r>
            <w:r w:rsidR="007F4CC9" w:rsidRPr="00E23784">
              <w:rPr>
                <w:rFonts w:ascii="Arial" w:eastAsia="Batang" w:hAnsi="Arial" w:cs="Arial"/>
                <w:b w:val="0"/>
                <w:sz w:val="20"/>
                <w:u w:val="single"/>
              </w:rPr>
              <w:t>:</w:t>
            </w:r>
          </w:p>
          <w:p w14:paraId="493FB83C" w14:textId="40842C9F" w:rsidR="00627743" w:rsidRPr="00740F57" w:rsidRDefault="00AB04FC" w:rsidP="007F376C">
            <w:pPr>
              <w:pStyle w:val="BodyText1"/>
              <w:spacing w:before="120" w:after="120"/>
              <w:ind w:left="0"/>
              <w:rPr>
                <w:rFonts w:ascii="Arial" w:eastAsia="Batang" w:hAnsi="Arial" w:cs="Arial"/>
                <w:b w:val="0"/>
                <w:sz w:val="20"/>
              </w:rPr>
            </w:pPr>
            <w:r w:rsidRPr="00740F57">
              <w:rPr>
                <w:rFonts w:ascii="Arial" w:eastAsia="Batang" w:hAnsi="Arial" w:cs="Arial"/>
                <w:b w:val="0"/>
                <w:sz w:val="20"/>
              </w:rPr>
              <w:t>National air quality framework</w:t>
            </w:r>
            <w:r w:rsidRPr="00740F57" w:rsidDel="00AB04FC">
              <w:rPr>
                <w:rFonts w:ascii="Arial" w:eastAsia="Batang" w:hAnsi="Arial" w:cs="Arial"/>
                <w:b w:val="0"/>
                <w:sz w:val="20"/>
              </w:rPr>
              <w:t xml:space="preserve"> </w:t>
            </w:r>
          </w:p>
        </w:tc>
        <w:tc>
          <w:tcPr>
            <w:tcW w:w="992" w:type="dxa"/>
            <w:shd w:val="clear" w:color="auto" w:fill="C5E0B3" w:themeFill="accent6" w:themeFillTint="66"/>
          </w:tcPr>
          <w:p w14:paraId="06D63075" w14:textId="7BD6057F"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p>
          <w:p w14:paraId="2C8BB029" w14:textId="763DF820" w:rsidR="00627743" w:rsidRDefault="00AB04FC"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1</w:t>
            </w:r>
          </w:p>
        </w:tc>
        <w:tc>
          <w:tcPr>
            <w:tcW w:w="1560" w:type="dxa"/>
            <w:shd w:val="clear" w:color="auto" w:fill="C5E0B3" w:themeFill="accent6" w:themeFillTint="66"/>
          </w:tcPr>
          <w:p w14:paraId="48B80301" w14:textId="5C9DC99A" w:rsidR="0096543B" w:rsidRDefault="0096543B"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p>
          <w:p w14:paraId="6E3F1740" w14:textId="5727EC2B" w:rsidR="00627743" w:rsidRDefault="00AB04FC"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1, 2, 3, 4</w:t>
            </w:r>
          </w:p>
        </w:tc>
        <w:tc>
          <w:tcPr>
            <w:tcW w:w="1842" w:type="dxa"/>
            <w:shd w:val="clear" w:color="auto" w:fill="C5E0B3" w:themeFill="accent6" w:themeFillTint="66"/>
          </w:tcPr>
          <w:p w14:paraId="29162BED" w14:textId="51606483" w:rsidR="00627743" w:rsidRDefault="00627743" w:rsidP="007F376C">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p>
          <w:p w14:paraId="056BE053" w14:textId="62FE7F32" w:rsidR="00627743" w:rsidRDefault="00AB04FC" w:rsidP="007F376C">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A, B, F</w:t>
            </w:r>
            <w:r w:rsidDel="00AB04FC">
              <w:rPr>
                <w:rFonts w:ascii="Arial" w:eastAsia="Batang" w:hAnsi="Arial" w:cs="Arial"/>
                <w:sz w:val="20"/>
              </w:rPr>
              <w:t xml:space="preserve"> </w:t>
            </w:r>
          </w:p>
        </w:tc>
        <w:tc>
          <w:tcPr>
            <w:tcW w:w="1418" w:type="dxa"/>
            <w:shd w:val="clear" w:color="auto" w:fill="C5E0B3" w:themeFill="accent6" w:themeFillTint="66"/>
          </w:tcPr>
          <w:p w14:paraId="3605CF6B" w14:textId="79FCE36E" w:rsidR="00627743" w:rsidRDefault="00627743"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p>
          <w:p w14:paraId="16897D30" w14:textId="50A5374E" w:rsidR="007E4FFB" w:rsidRDefault="00AB04FC"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ERPEH, enHealth</w:t>
            </w:r>
            <w:r w:rsidDel="00AB04FC">
              <w:rPr>
                <w:rFonts w:ascii="Arial" w:eastAsia="Batang" w:hAnsi="Arial" w:cs="Arial"/>
                <w:sz w:val="20"/>
              </w:rPr>
              <w:t xml:space="preserve"> </w:t>
            </w:r>
          </w:p>
        </w:tc>
        <w:tc>
          <w:tcPr>
            <w:tcW w:w="1276" w:type="dxa"/>
            <w:shd w:val="clear" w:color="auto" w:fill="C5E0B3" w:themeFill="accent6" w:themeFillTint="66"/>
          </w:tcPr>
          <w:p w14:paraId="3817BC51" w14:textId="75ADFE1A" w:rsidR="00627743" w:rsidRDefault="00627743"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p>
          <w:p w14:paraId="3981A172" w14:textId="4C3BC0AD" w:rsidR="007E4FFB" w:rsidRDefault="00AB04FC"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2020-2021</w:t>
            </w:r>
          </w:p>
        </w:tc>
      </w:tr>
      <w:tr w:rsidR="000C3C34" w:rsidRPr="00AE0FEF" w14:paraId="19F81768" w14:textId="77777777" w:rsidTr="007F4CC9">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C5E0B3" w:themeFill="accent6" w:themeFillTint="66"/>
          </w:tcPr>
          <w:p w14:paraId="66FDDF12" w14:textId="150B6265" w:rsidR="000C3C34" w:rsidRPr="00740F57" w:rsidRDefault="000C3C34" w:rsidP="000C3C34">
            <w:pPr>
              <w:pStyle w:val="BodyText1"/>
              <w:spacing w:before="120" w:after="120"/>
              <w:ind w:left="0"/>
              <w:rPr>
                <w:rFonts w:ascii="Arial" w:eastAsia="Batang" w:hAnsi="Arial" w:cs="Arial"/>
                <w:b w:val="0"/>
                <w:sz w:val="20"/>
              </w:rPr>
            </w:pPr>
            <w:r w:rsidRPr="00740F57">
              <w:rPr>
                <w:rFonts w:ascii="Arial" w:eastAsia="Batang" w:hAnsi="Arial" w:cs="Arial"/>
                <w:b w:val="0"/>
                <w:sz w:val="20"/>
              </w:rPr>
              <w:t>Reducing exposure to metals</w:t>
            </w:r>
            <w:r>
              <w:rPr>
                <w:rFonts w:ascii="Arial" w:eastAsia="Batang" w:hAnsi="Arial" w:cs="Arial"/>
                <w:b w:val="0"/>
                <w:sz w:val="20"/>
              </w:rPr>
              <w:t xml:space="preserve"> in drinking water</w:t>
            </w:r>
            <w:r w:rsidRPr="00740F57">
              <w:rPr>
                <w:rFonts w:ascii="Arial" w:eastAsia="Batang" w:hAnsi="Arial" w:cs="Arial"/>
                <w:b w:val="0"/>
                <w:sz w:val="20"/>
              </w:rPr>
              <w:t xml:space="preserve"> from plumbing products</w:t>
            </w:r>
          </w:p>
        </w:tc>
        <w:tc>
          <w:tcPr>
            <w:tcW w:w="992" w:type="dxa"/>
            <w:shd w:val="clear" w:color="auto" w:fill="C5E0B3" w:themeFill="accent6" w:themeFillTint="66"/>
          </w:tcPr>
          <w:p w14:paraId="3463979F" w14:textId="70CA71F6"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1</w:t>
            </w:r>
          </w:p>
        </w:tc>
        <w:tc>
          <w:tcPr>
            <w:tcW w:w="1560" w:type="dxa"/>
            <w:shd w:val="clear" w:color="auto" w:fill="C5E0B3" w:themeFill="accent6" w:themeFillTint="66"/>
          </w:tcPr>
          <w:p w14:paraId="6BBC7FAF" w14:textId="2182F031"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1, 2, 3, 4</w:t>
            </w:r>
          </w:p>
        </w:tc>
        <w:tc>
          <w:tcPr>
            <w:tcW w:w="1842" w:type="dxa"/>
            <w:shd w:val="clear" w:color="auto" w:fill="C5E0B3" w:themeFill="accent6" w:themeFillTint="66"/>
          </w:tcPr>
          <w:p w14:paraId="397B3D02" w14:textId="37454B2A"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B, F</w:t>
            </w:r>
          </w:p>
        </w:tc>
        <w:tc>
          <w:tcPr>
            <w:tcW w:w="1418" w:type="dxa"/>
            <w:shd w:val="clear" w:color="auto" w:fill="C5E0B3" w:themeFill="accent6" w:themeFillTint="66"/>
          </w:tcPr>
          <w:p w14:paraId="47E046E0" w14:textId="7861490B"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WQERP, enHealth</w:t>
            </w:r>
          </w:p>
        </w:tc>
        <w:tc>
          <w:tcPr>
            <w:tcW w:w="1276" w:type="dxa"/>
            <w:shd w:val="clear" w:color="auto" w:fill="C5E0B3" w:themeFill="accent6" w:themeFillTint="66"/>
          </w:tcPr>
          <w:p w14:paraId="020BCE5B" w14:textId="473C3371"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2020</w:t>
            </w:r>
          </w:p>
        </w:tc>
      </w:tr>
      <w:tr w:rsidR="000C3C34" w:rsidRPr="00AE0FEF" w14:paraId="03B837AF" w14:textId="77777777" w:rsidTr="007F4CC9">
        <w:trPr>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C5E0B3" w:themeFill="accent6" w:themeFillTint="66"/>
          </w:tcPr>
          <w:p w14:paraId="50638494" w14:textId="15B9E0E6" w:rsidR="000C3C34" w:rsidRPr="00740F57" w:rsidRDefault="000C3C34" w:rsidP="009F5C08">
            <w:pPr>
              <w:pStyle w:val="BodyText1"/>
              <w:spacing w:before="120" w:after="120"/>
              <w:ind w:left="0"/>
              <w:rPr>
                <w:rFonts w:ascii="Arial" w:eastAsia="Batang" w:hAnsi="Arial" w:cs="Arial"/>
                <w:b w:val="0"/>
                <w:sz w:val="20"/>
              </w:rPr>
            </w:pPr>
            <w:r w:rsidRPr="00740F57">
              <w:rPr>
                <w:rFonts w:ascii="Arial" w:eastAsia="Batang" w:hAnsi="Arial" w:cs="Arial"/>
                <w:b w:val="0"/>
                <w:sz w:val="20"/>
              </w:rPr>
              <w:t>Illicit drug contamination in clandestine laboratories and smoke houses</w:t>
            </w:r>
            <w:r>
              <w:rPr>
                <w:rFonts w:ascii="Arial" w:eastAsia="Batang" w:hAnsi="Arial" w:cs="Arial"/>
                <w:b w:val="0"/>
                <w:sz w:val="20"/>
              </w:rPr>
              <w:t xml:space="preserve"> and q</w:t>
            </w:r>
            <w:r w:rsidRPr="00740F57">
              <w:rPr>
                <w:rFonts w:ascii="Arial" w:eastAsia="Batang" w:hAnsi="Arial" w:cs="Arial"/>
                <w:b w:val="0"/>
                <w:sz w:val="20"/>
              </w:rPr>
              <w:t>ualifications for assessors of illicit drug contamination</w:t>
            </w:r>
          </w:p>
        </w:tc>
        <w:tc>
          <w:tcPr>
            <w:tcW w:w="992" w:type="dxa"/>
            <w:shd w:val="clear" w:color="auto" w:fill="C5E0B3" w:themeFill="accent6" w:themeFillTint="66"/>
          </w:tcPr>
          <w:p w14:paraId="14E203B4" w14:textId="1CEC6812" w:rsidR="000C3C34"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2</w:t>
            </w:r>
          </w:p>
        </w:tc>
        <w:tc>
          <w:tcPr>
            <w:tcW w:w="1560" w:type="dxa"/>
            <w:shd w:val="clear" w:color="auto" w:fill="C5E0B3" w:themeFill="accent6" w:themeFillTint="66"/>
          </w:tcPr>
          <w:p w14:paraId="3DB4C404" w14:textId="532C1E40" w:rsidR="000C3C34"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1, 2, 3, 4, 6</w:t>
            </w:r>
          </w:p>
        </w:tc>
        <w:tc>
          <w:tcPr>
            <w:tcW w:w="1842" w:type="dxa"/>
            <w:shd w:val="clear" w:color="auto" w:fill="C5E0B3" w:themeFill="accent6" w:themeFillTint="66"/>
          </w:tcPr>
          <w:p w14:paraId="5AD0AD0F" w14:textId="0E6BA9EC" w:rsidR="000C3C34"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B, F</w:t>
            </w:r>
          </w:p>
        </w:tc>
        <w:tc>
          <w:tcPr>
            <w:tcW w:w="1418" w:type="dxa"/>
            <w:shd w:val="clear" w:color="auto" w:fill="C5E0B3" w:themeFill="accent6" w:themeFillTint="66"/>
          </w:tcPr>
          <w:p w14:paraId="128C0FF7" w14:textId="53628173" w:rsidR="000C3C34"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ERPEH, enHealth</w:t>
            </w:r>
          </w:p>
        </w:tc>
        <w:tc>
          <w:tcPr>
            <w:tcW w:w="1276" w:type="dxa"/>
            <w:shd w:val="clear" w:color="auto" w:fill="C5E0B3" w:themeFill="accent6" w:themeFillTint="66"/>
          </w:tcPr>
          <w:p w14:paraId="224D1F58" w14:textId="050CF3E5" w:rsidR="000C3C34"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2020-2021</w:t>
            </w:r>
          </w:p>
        </w:tc>
      </w:tr>
      <w:tr w:rsidR="000C3C34" w:rsidRPr="00AE0FEF" w14:paraId="68A2FE89" w14:textId="77777777" w:rsidTr="007F4CC9">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C5E0B3" w:themeFill="accent6" w:themeFillTint="66"/>
          </w:tcPr>
          <w:p w14:paraId="6C2CA234" w14:textId="7675C489" w:rsidR="000C3C34" w:rsidRPr="009F5C08" w:rsidRDefault="000C3C34" w:rsidP="009F5C08">
            <w:pPr>
              <w:pStyle w:val="BodyText1"/>
              <w:spacing w:before="120" w:after="120"/>
              <w:ind w:left="0"/>
              <w:rPr>
                <w:rFonts w:ascii="Arial" w:eastAsia="Batang" w:hAnsi="Arial" w:cs="Arial"/>
                <w:b w:val="0"/>
                <w:sz w:val="20"/>
                <w:u w:val="single"/>
              </w:rPr>
            </w:pPr>
            <w:r w:rsidRPr="00740F57">
              <w:rPr>
                <w:rFonts w:ascii="Arial" w:eastAsia="Batang" w:hAnsi="Arial" w:cs="Arial"/>
                <w:b w:val="0"/>
                <w:sz w:val="20"/>
              </w:rPr>
              <w:t>Vapour intrusion public health risk assessment</w:t>
            </w:r>
          </w:p>
        </w:tc>
        <w:tc>
          <w:tcPr>
            <w:tcW w:w="992" w:type="dxa"/>
            <w:shd w:val="clear" w:color="auto" w:fill="C5E0B3" w:themeFill="accent6" w:themeFillTint="66"/>
          </w:tcPr>
          <w:p w14:paraId="07578F84" w14:textId="462790BD" w:rsidR="000C3C34" w:rsidDel="00A438F7"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2</w:t>
            </w:r>
          </w:p>
        </w:tc>
        <w:tc>
          <w:tcPr>
            <w:tcW w:w="1560" w:type="dxa"/>
            <w:shd w:val="clear" w:color="auto" w:fill="C5E0B3" w:themeFill="accent6" w:themeFillTint="66"/>
          </w:tcPr>
          <w:p w14:paraId="452980B6" w14:textId="1F01BCE0"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1, 2, 3, 4</w:t>
            </w:r>
          </w:p>
        </w:tc>
        <w:tc>
          <w:tcPr>
            <w:tcW w:w="1842" w:type="dxa"/>
            <w:shd w:val="clear" w:color="auto" w:fill="C5E0B3" w:themeFill="accent6" w:themeFillTint="66"/>
          </w:tcPr>
          <w:p w14:paraId="643BA413" w14:textId="192A312A"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B, F</w:t>
            </w:r>
          </w:p>
        </w:tc>
        <w:tc>
          <w:tcPr>
            <w:tcW w:w="1418" w:type="dxa"/>
            <w:shd w:val="clear" w:color="auto" w:fill="C5E0B3" w:themeFill="accent6" w:themeFillTint="66"/>
          </w:tcPr>
          <w:p w14:paraId="5F126490" w14:textId="20B78FA7"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ERPEH, enHealth</w:t>
            </w:r>
          </w:p>
        </w:tc>
        <w:tc>
          <w:tcPr>
            <w:tcW w:w="1276" w:type="dxa"/>
            <w:shd w:val="clear" w:color="auto" w:fill="C5E0B3" w:themeFill="accent6" w:themeFillTint="66"/>
          </w:tcPr>
          <w:p w14:paraId="5FA8C539" w14:textId="3D0ECEF0"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2020-2021</w:t>
            </w:r>
          </w:p>
        </w:tc>
      </w:tr>
      <w:tr w:rsidR="000C3C34" w:rsidRPr="00AE0FEF" w14:paraId="33047F56" w14:textId="77777777" w:rsidTr="007F4CC9">
        <w:trPr>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C5E0B3" w:themeFill="accent6" w:themeFillTint="66"/>
          </w:tcPr>
          <w:p w14:paraId="64317E30" w14:textId="2E1446F3" w:rsidR="000C3C34" w:rsidRPr="009F5C08" w:rsidRDefault="000C3C34" w:rsidP="009F5C08">
            <w:pPr>
              <w:pStyle w:val="BodyText1"/>
              <w:spacing w:before="120" w:after="120"/>
              <w:ind w:left="0"/>
              <w:rPr>
                <w:rFonts w:ascii="Arial" w:eastAsia="Batang" w:hAnsi="Arial" w:cs="Arial"/>
                <w:b w:val="0"/>
                <w:sz w:val="20"/>
                <w:u w:val="single"/>
              </w:rPr>
            </w:pPr>
            <w:r>
              <w:rPr>
                <w:rFonts w:ascii="Arial" w:eastAsia="Batang" w:hAnsi="Arial" w:cs="Arial"/>
                <w:b w:val="0"/>
                <w:sz w:val="20"/>
              </w:rPr>
              <w:t>N</w:t>
            </w:r>
            <w:r w:rsidRPr="00740F57">
              <w:rPr>
                <w:rFonts w:ascii="Arial" w:eastAsia="Batang" w:hAnsi="Arial" w:cs="Arial"/>
                <w:b w:val="0"/>
                <w:sz w:val="20"/>
              </w:rPr>
              <w:t xml:space="preserve">ational </w:t>
            </w:r>
            <w:r>
              <w:rPr>
                <w:rFonts w:ascii="Arial" w:eastAsia="Batang" w:hAnsi="Arial" w:cs="Arial"/>
                <w:b w:val="0"/>
                <w:sz w:val="20"/>
              </w:rPr>
              <w:t xml:space="preserve">process approach </w:t>
            </w:r>
            <w:r w:rsidRPr="00740F57">
              <w:rPr>
                <w:rFonts w:ascii="Arial" w:eastAsia="Batang" w:hAnsi="Arial" w:cs="Arial"/>
                <w:b w:val="0"/>
                <w:sz w:val="20"/>
              </w:rPr>
              <w:t>for tattoo inks</w:t>
            </w:r>
          </w:p>
        </w:tc>
        <w:tc>
          <w:tcPr>
            <w:tcW w:w="992" w:type="dxa"/>
            <w:shd w:val="clear" w:color="auto" w:fill="C5E0B3" w:themeFill="accent6" w:themeFillTint="66"/>
          </w:tcPr>
          <w:p w14:paraId="59C2F34B" w14:textId="4A351B87" w:rsidR="000C3C34" w:rsidDel="00A438F7"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2</w:t>
            </w:r>
          </w:p>
        </w:tc>
        <w:tc>
          <w:tcPr>
            <w:tcW w:w="1560" w:type="dxa"/>
            <w:shd w:val="clear" w:color="auto" w:fill="C5E0B3" w:themeFill="accent6" w:themeFillTint="66"/>
          </w:tcPr>
          <w:p w14:paraId="26FC67C1" w14:textId="54B78685"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1, 2, 3, 4</w:t>
            </w:r>
          </w:p>
        </w:tc>
        <w:tc>
          <w:tcPr>
            <w:tcW w:w="1842" w:type="dxa"/>
            <w:shd w:val="clear" w:color="auto" w:fill="C5E0B3" w:themeFill="accent6" w:themeFillTint="66"/>
          </w:tcPr>
          <w:p w14:paraId="3C2512FB" w14:textId="4090E5C8" w:rsidR="000C3C34"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B, F</w:t>
            </w:r>
          </w:p>
        </w:tc>
        <w:tc>
          <w:tcPr>
            <w:tcW w:w="1418" w:type="dxa"/>
            <w:shd w:val="clear" w:color="auto" w:fill="C5E0B3" w:themeFill="accent6" w:themeFillTint="66"/>
          </w:tcPr>
          <w:p w14:paraId="7556060A" w14:textId="1FB070C3"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ERPEH, enHealth</w:t>
            </w:r>
          </w:p>
        </w:tc>
        <w:tc>
          <w:tcPr>
            <w:tcW w:w="1276" w:type="dxa"/>
            <w:shd w:val="clear" w:color="auto" w:fill="C5E0B3" w:themeFill="accent6" w:themeFillTint="66"/>
          </w:tcPr>
          <w:p w14:paraId="0032AC31" w14:textId="4EE2B784"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Ongoing, 2020-2023</w:t>
            </w:r>
          </w:p>
        </w:tc>
      </w:tr>
      <w:tr w:rsidR="000C3C34" w:rsidRPr="00AE0FEF" w14:paraId="175113C9" w14:textId="77777777" w:rsidTr="007F4CC9">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C5E0B3" w:themeFill="accent6" w:themeFillTint="66"/>
          </w:tcPr>
          <w:p w14:paraId="7506FF45" w14:textId="47C95E39" w:rsidR="000C3C34" w:rsidRPr="00002A29" w:rsidRDefault="000C3C34" w:rsidP="000C3C34">
            <w:pPr>
              <w:pStyle w:val="BodyText1"/>
              <w:spacing w:before="120" w:after="120"/>
              <w:ind w:left="0"/>
              <w:rPr>
                <w:rFonts w:ascii="Arial" w:eastAsia="Batang" w:hAnsi="Arial" w:cs="Arial"/>
                <w:b w:val="0"/>
                <w:sz w:val="20"/>
                <w:u w:val="single"/>
              </w:rPr>
            </w:pPr>
            <w:r w:rsidRPr="00002A29">
              <w:rPr>
                <w:rFonts w:ascii="Arial" w:eastAsia="Batang" w:hAnsi="Arial" w:cs="Arial"/>
                <w:b w:val="0"/>
                <w:sz w:val="20"/>
                <w:u w:val="single"/>
              </w:rPr>
              <w:t>Updating Publications</w:t>
            </w:r>
            <w:r w:rsidR="007F4CC9">
              <w:rPr>
                <w:rFonts w:ascii="Arial" w:eastAsia="Batang" w:hAnsi="Arial" w:cs="Arial"/>
                <w:b w:val="0"/>
                <w:sz w:val="20"/>
                <w:u w:val="single"/>
              </w:rPr>
              <w:t>:</w:t>
            </w:r>
          </w:p>
          <w:p w14:paraId="0B0EE102" w14:textId="3BF8D2C9" w:rsidR="000C3C34" w:rsidRPr="00740F57" w:rsidRDefault="000C3C34" w:rsidP="000C3C34">
            <w:pPr>
              <w:pStyle w:val="BodyText1"/>
              <w:spacing w:before="120" w:after="120"/>
              <w:ind w:left="0"/>
              <w:rPr>
                <w:rFonts w:ascii="Arial" w:eastAsia="Batang" w:hAnsi="Arial" w:cs="Arial"/>
                <w:b w:val="0"/>
                <w:sz w:val="20"/>
              </w:rPr>
            </w:pPr>
          </w:p>
        </w:tc>
        <w:tc>
          <w:tcPr>
            <w:tcW w:w="992" w:type="dxa"/>
            <w:shd w:val="clear" w:color="auto" w:fill="C5E0B3" w:themeFill="accent6" w:themeFillTint="66"/>
          </w:tcPr>
          <w:p w14:paraId="54DAC24C" w14:textId="52C43ACC"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tc>
        <w:tc>
          <w:tcPr>
            <w:tcW w:w="1560" w:type="dxa"/>
            <w:shd w:val="clear" w:color="auto" w:fill="C5E0B3" w:themeFill="accent6" w:themeFillTint="66"/>
          </w:tcPr>
          <w:p w14:paraId="675CBCC4" w14:textId="10AAB7B0"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tc>
        <w:tc>
          <w:tcPr>
            <w:tcW w:w="1842" w:type="dxa"/>
            <w:shd w:val="clear" w:color="auto" w:fill="C5E0B3" w:themeFill="accent6" w:themeFillTint="66"/>
          </w:tcPr>
          <w:p w14:paraId="6BC29F44" w14:textId="6F843050"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tc>
        <w:tc>
          <w:tcPr>
            <w:tcW w:w="1418" w:type="dxa"/>
            <w:shd w:val="clear" w:color="auto" w:fill="C5E0B3" w:themeFill="accent6" w:themeFillTint="66"/>
          </w:tcPr>
          <w:p w14:paraId="2464DB68" w14:textId="1C188AB0"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tc>
        <w:tc>
          <w:tcPr>
            <w:tcW w:w="1276" w:type="dxa"/>
            <w:shd w:val="clear" w:color="auto" w:fill="C5E0B3" w:themeFill="accent6" w:themeFillTint="66"/>
          </w:tcPr>
          <w:p w14:paraId="44CEB4A5" w14:textId="748D4213"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p w14:paraId="4C41E73E" w14:textId="6A2CBF52"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tc>
      </w:tr>
      <w:tr w:rsidR="000C3C34" w:rsidRPr="00AE0FEF" w14:paraId="0297F2B0" w14:textId="77777777" w:rsidTr="007F4CC9">
        <w:trPr>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C5E0B3" w:themeFill="accent6" w:themeFillTint="66"/>
          </w:tcPr>
          <w:p w14:paraId="244C27E5" w14:textId="7A735293" w:rsidR="000C3C34" w:rsidRPr="00740F57" w:rsidRDefault="000C3C34" w:rsidP="000C3C34">
            <w:pPr>
              <w:pStyle w:val="BodyText1"/>
              <w:spacing w:before="120" w:after="120"/>
              <w:ind w:left="0"/>
              <w:rPr>
                <w:rFonts w:ascii="Arial" w:eastAsia="Batang" w:hAnsi="Arial" w:cs="Arial"/>
                <w:b w:val="0"/>
                <w:sz w:val="20"/>
              </w:rPr>
            </w:pPr>
            <w:r w:rsidRPr="00740F57">
              <w:rPr>
                <w:rFonts w:ascii="Arial" w:eastAsia="Batang" w:hAnsi="Arial" w:cs="Arial"/>
                <w:b w:val="0"/>
                <w:sz w:val="20"/>
              </w:rPr>
              <w:t>Environmental Health Incident Management Framework</w:t>
            </w:r>
          </w:p>
        </w:tc>
        <w:tc>
          <w:tcPr>
            <w:tcW w:w="992" w:type="dxa"/>
            <w:shd w:val="clear" w:color="auto" w:fill="C5E0B3" w:themeFill="accent6" w:themeFillTint="66"/>
          </w:tcPr>
          <w:p w14:paraId="18A339C9" w14:textId="3533BB0D" w:rsidR="000C3C34"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1</w:t>
            </w:r>
          </w:p>
        </w:tc>
        <w:tc>
          <w:tcPr>
            <w:tcW w:w="1560" w:type="dxa"/>
            <w:shd w:val="clear" w:color="auto" w:fill="C5E0B3" w:themeFill="accent6" w:themeFillTint="66"/>
          </w:tcPr>
          <w:p w14:paraId="48EC9355" w14:textId="1C9BC00F" w:rsidR="000C3C34"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1, 3, 4</w:t>
            </w:r>
          </w:p>
        </w:tc>
        <w:tc>
          <w:tcPr>
            <w:tcW w:w="1842" w:type="dxa"/>
            <w:shd w:val="clear" w:color="auto" w:fill="C5E0B3" w:themeFill="accent6" w:themeFillTint="66"/>
          </w:tcPr>
          <w:p w14:paraId="36DD1060" w14:textId="1E23CD3A" w:rsidR="000C3C34"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A, B, D</w:t>
            </w:r>
          </w:p>
        </w:tc>
        <w:tc>
          <w:tcPr>
            <w:tcW w:w="1418" w:type="dxa"/>
            <w:shd w:val="clear" w:color="auto" w:fill="C5E0B3" w:themeFill="accent6" w:themeFillTint="66"/>
          </w:tcPr>
          <w:p w14:paraId="59CA0D50" w14:textId="5E84F260" w:rsidR="000C3C34"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enHealth, NHEMS</w:t>
            </w:r>
          </w:p>
        </w:tc>
        <w:tc>
          <w:tcPr>
            <w:tcW w:w="1276" w:type="dxa"/>
            <w:shd w:val="clear" w:color="auto" w:fill="C5E0B3" w:themeFill="accent6" w:themeFillTint="66"/>
          </w:tcPr>
          <w:p w14:paraId="376D991E" w14:textId="51B4A6B2" w:rsidR="000C3C34" w:rsidRDefault="000C3C34" w:rsidP="006776DB">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Early 202</w:t>
            </w:r>
            <w:r w:rsidR="006776DB">
              <w:rPr>
                <w:rFonts w:ascii="Arial" w:eastAsia="Batang" w:hAnsi="Arial" w:cs="Arial"/>
                <w:sz w:val="20"/>
              </w:rPr>
              <w:t>1</w:t>
            </w:r>
          </w:p>
        </w:tc>
      </w:tr>
      <w:tr w:rsidR="000C3C34" w:rsidRPr="00AE0FEF" w14:paraId="29A3E15F" w14:textId="77777777" w:rsidTr="007F4CC9">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C5E0B3" w:themeFill="accent6" w:themeFillTint="66"/>
          </w:tcPr>
          <w:p w14:paraId="09AE360B" w14:textId="6BA1D966" w:rsidR="000C3C34" w:rsidRPr="00740F57" w:rsidRDefault="000C3C34" w:rsidP="000C3C34">
            <w:pPr>
              <w:pStyle w:val="BodyText1"/>
              <w:spacing w:before="120" w:after="120"/>
              <w:ind w:left="0"/>
              <w:rPr>
                <w:rFonts w:ascii="Arial" w:eastAsia="Batang" w:hAnsi="Arial" w:cs="Arial"/>
                <w:b w:val="0"/>
                <w:sz w:val="20"/>
              </w:rPr>
            </w:pPr>
            <w:r w:rsidRPr="00740F57">
              <w:rPr>
                <w:rFonts w:ascii="Arial" w:eastAsia="Batang" w:hAnsi="Arial" w:cs="Arial"/>
                <w:b w:val="0"/>
                <w:sz w:val="20"/>
              </w:rPr>
              <w:t>Environmental Health Risk Assessment</w:t>
            </w:r>
          </w:p>
        </w:tc>
        <w:tc>
          <w:tcPr>
            <w:tcW w:w="992" w:type="dxa"/>
            <w:shd w:val="clear" w:color="auto" w:fill="C5E0B3" w:themeFill="accent6" w:themeFillTint="66"/>
          </w:tcPr>
          <w:p w14:paraId="7B5C0A93" w14:textId="3B1E07B4"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1</w:t>
            </w:r>
          </w:p>
        </w:tc>
        <w:tc>
          <w:tcPr>
            <w:tcW w:w="1560" w:type="dxa"/>
            <w:shd w:val="clear" w:color="auto" w:fill="C5E0B3" w:themeFill="accent6" w:themeFillTint="66"/>
          </w:tcPr>
          <w:p w14:paraId="150EADA7" w14:textId="0A1A62BB"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1, 2, 3, 4, 6</w:t>
            </w:r>
          </w:p>
        </w:tc>
        <w:tc>
          <w:tcPr>
            <w:tcW w:w="1842" w:type="dxa"/>
            <w:shd w:val="clear" w:color="auto" w:fill="C5E0B3" w:themeFill="accent6" w:themeFillTint="66"/>
          </w:tcPr>
          <w:p w14:paraId="6F28AA12" w14:textId="314A4759"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B, C, D, G</w:t>
            </w:r>
          </w:p>
        </w:tc>
        <w:tc>
          <w:tcPr>
            <w:tcW w:w="1418" w:type="dxa"/>
            <w:shd w:val="clear" w:color="auto" w:fill="C5E0B3" w:themeFill="accent6" w:themeFillTint="66"/>
          </w:tcPr>
          <w:p w14:paraId="06115C8B" w14:textId="099FE9A4"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enHealth, ERPEH, Consultant/s</w:t>
            </w:r>
          </w:p>
        </w:tc>
        <w:tc>
          <w:tcPr>
            <w:tcW w:w="1276" w:type="dxa"/>
            <w:shd w:val="clear" w:color="auto" w:fill="C5E0B3" w:themeFill="accent6" w:themeFillTint="66"/>
          </w:tcPr>
          <w:p w14:paraId="6317F877" w14:textId="56D2F6EB"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2021-2022</w:t>
            </w:r>
          </w:p>
        </w:tc>
      </w:tr>
      <w:tr w:rsidR="000C3C34" w:rsidRPr="00AE0FEF" w14:paraId="51D5085B" w14:textId="77777777" w:rsidTr="007F4CC9">
        <w:trPr>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C5E0B3" w:themeFill="accent6" w:themeFillTint="66"/>
          </w:tcPr>
          <w:p w14:paraId="5804AB79" w14:textId="76577401" w:rsidR="000C3C34" w:rsidRPr="00740F57" w:rsidRDefault="000C3C34" w:rsidP="000C3C34">
            <w:pPr>
              <w:pStyle w:val="BodyText1"/>
              <w:spacing w:before="120" w:after="120"/>
              <w:ind w:left="0"/>
              <w:rPr>
                <w:rFonts w:ascii="Arial" w:eastAsia="Batang" w:hAnsi="Arial" w:cs="Arial"/>
                <w:b w:val="0"/>
                <w:sz w:val="20"/>
              </w:rPr>
            </w:pPr>
            <w:r w:rsidRPr="00740F57">
              <w:rPr>
                <w:rFonts w:ascii="Arial" w:eastAsia="Batang" w:hAnsi="Arial" w:cs="Arial"/>
                <w:b w:val="0"/>
                <w:sz w:val="20"/>
              </w:rPr>
              <w:lastRenderedPageBreak/>
              <w:t>Australian Exposure Factor Guide</w:t>
            </w:r>
          </w:p>
        </w:tc>
        <w:tc>
          <w:tcPr>
            <w:tcW w:w="992" w:type="dxa"/>
            <w:shd w:val="clear" w:color="auto" w:fill="C5E0B3" w:themeFill="accent6" w:themeFillTint="66"/>
          </w:tcPr>
          <w:p w14:paraId="46331733" w14:textId="140A3404" w:rsidR="000C3C34"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2</w:t>
            </w:r>
          </w:p>
        </w:tc>
        <w:tc>
          <w:tcPr>
            <w:tcW w:w="1560" w:type="dxa"/>
            <w:shd w:val="clear" w:color="auto" w:fill="C5E0B3" w:themeFill="accent6" w:themeFillTint="66"/>
          </w:tcPr>
          <w:p w14:paraId="310DDBFD" w14:textId="667A356C" w:rsidR="000C3C34"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1, 2, 3, 4, 6</w:t>
            </w:r>
          </w:p>
        </w:tc>
        <w:tc>
          <w:tcPr>
            <w:tcW w:w="1842" w:type="dxa"/>
            <w:shd w:val="clear" w:color="auto" w:fill="C5E0B3" w:themeFill="accent6" w:themeFillTint="66"/>
          </w:tcPr>
          <w:p w14:paraId="7BBD584A" w14:textId="7960645F" w:rsidR="000C3C34"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B, C, D, G</w:t>
            </w:r>
          </w:p>
        </w:tc>
        <w:tc>
          <w:tcPr>
            <w:tcW w:w="1418" w:type="dxa"/>
            <w:shd w:val="clear" w:color="auto" w:fill="C5E0B3" w:themeFill="accent6" w:themeFillTint="66"/>
          </w:tcPr>
          <w:p w14:paraId="29F117DA" w14:textId="01F77F2F" w:rsidR="000C3C34"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enHealth, ERPEH, Consultant/s</w:t>
            </w:r>
          </w:p>
        </w:tc>
        <w:tc>
          <w:tcPr>
            <w:tcW w:w="1276" w:type="dxa"/>
            <w:shd w:val="clear" w:color="auto" w:fill="C5E0B3" w:themeFill="accent6" w:themeFillTint="66"/>
          </w:tcPr>
          <w:p w14:paraId="212CE189" w14:textId="0ED6EC7E" w:rsidR="000C3C34"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2021-2022</w:t>
            </w:r>
          </w:p>
        </w:tc>
      </w:tr>
      <w:tr w:rsidR="000C3C34" w:rsidRPr="00AE0FEF" w14:paraId="079BFB4C" w14:textId="77777777" w:rsidTr="007F4CC9">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C5E0B3" w:themeFill="accent6" w:themeFillTint="66"/>
          </w:tcPr>
          <w:p w14:paraId="272F19FE" w14:textId="663B5D03" w:rsidR="000C3C34" w:rsidRPr="00740F57" w:rsidRDefault="000C3C34" w:rsidP="000C3C34">
            <w:pPr>
              <w:pStyle w:val="BodyText1"/>
              <w:spacing w:before="120" w:after="120"/>
              <w:ind w:left="0"/>
              <w:rPr>
                <w:rFonts w:ascii="Arial" w:eastAsia="Batang" w:hAnsi="Arial" w:cs="Arial"/>
                <w:b w:val="0"/>
                <w:sz w:val="20"/>
              </w:rPr>
            </w:pPr>
            <w:r w:rsidRPr="00740F57">
              <w:rPr>
                <w:rFonts w:ascii="Arial" w:eastAsia="Batang" w:hAnsi="Arial" w:cs="Arial"/>
                <w:b w:val="0"/>
                <w:sz w:val="20"/>
              </w:rPr>
              <w:t>Responding to Environmental Health Incidents – Community Involvement Handbook</w:t>
            </w:r>
          </w:p>
        </w:tc>
        <w:tc>
          <w:tcPr>
            <w:tcW w:w="992" w:type="dxa"/>
            <w:shd w:val="clear" w:color="auto" w:fill="C5E0B3" w:themeFill="accent6" w:themeFillTint="66"/>
          </w:tcPr>
          <w:p w14:paraId="5504E855" w14:textId="0E6C38A0"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2</w:t>
            </w:r>
          </w:p>
        </w:tc>
        <w:tc>
          <w:tcPr>
            <w:tcW w:w="1560" w:type="dxa"/>
            <w:shd w:val="clear" w:color="auto" w:fill="C5E0B3" w:themeFill="accent6" w:themeFillTint="66"/>
          </w:tcPr>
          <w:p w14:paraId="3851F486" w14:textId="68C50141"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1, 2, 3, 4, 6</w:t>
            </w:r>
          </w:p>
        </w:tc>
        <w:tc>
          <w:tcPr>
            <w:tcW w:w="1842" w:type="dxa"/>
            <w:shd w:val="clear" w:color="auto" w:fill="C5E0B3" w:themeFill="accent6" w:themeFillTint="66"/>
          </w:tcPr>
          <w:p w14:paraId="3B1E84E2" w14:textId="68CDFE1E"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B, C, D, G</w:t>
            </w:r>
          </w:p>
        </w:tc>
        <w:tc>
          <w:tcPr>
            <w:tcW w:w="1418" w:type="dxa"/>
            <w:shd w:val="clear" w:color="auto" w:fill="C5E0B3" w:themeFill="accent6" w:themeFillTint="66"/>
          </w:tcPr>
          <w:p w14:paraId="1CDCA187" w14:textId="419AA721"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enHealth, Consultant/s</w:t>
            </w:r>
          </w:p>
        </w:tc>
        <w:tc>
          <w:tcPr>
            <w:tcW w:w="1276" w:type="dxa"/>
            <w:shd w:val="clear" w:color="auto" w:fill="C5E0B3" w:themeFill="accent6" w:themeFillTint="66"/>
          </w:tcPr>
          <w:p w14:paraId="572D8033" w14:textId="650A7BD8"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2021-2022</w:t>
            </w:r>
          </w:p>
        </w:tc>
      </w:tr>
      <w:tr w:rsidR="000C3C34" w:rsidRPr="00AE0FEF" w14:paraId="4105D5C0" w14:textId="77777777" w:rsidTr="007F4CC9">
        <w:trPr>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C5E0B3" w:themeFill="accent6" w:themeFillTint="66"/>
          </w:tcPr>
          <w:p w14:paraId="2770FD80" w14:textId="5E3E0C05" w:rsidR="000C3C34" w:rsidRPr="00740F57" w:rsidRDefault="000C3C34" w:rsidP="000C3C34">
            <w:pPr>
              <w:pStyle w:val="BodyText1"/>
              <w:spacing w:before="120" w:after="120"/>
              <w:ind w:left="0"/>
              <w:rPr>
                <w:rFonts w:ascii="Arial" w:eastAsia="Batang" w:hAnsi="Arial" w:cs="Arial"/>
                <w:b w:val="0"/>
                <w:sz w:val="20"/>
              </w:rPr>
            </w:pPr>
            <w:r w:rsidRPr="00740F57">
              <w:rPr>
                <w:rFonts w:ascii="Arial" w:eastAsia="Batang" w:hAnsi="Arial" w:cs="Arial"/>
                <w:b w:val="0"/>
                <w:sz w:val="20"/>
              </w:rPr>
              <w:t>Guidance on the use of Rainwater Tanks</w:t>
            </w:r>
          </w:p>
        </w:tc>
        <w:tc>
          <w:tcPr>
            <w:tcW w:w="992" w:type="dxa"/>
            <w:shd w:val="clear" w:color="auto" w:fill="C5E0B3" w:themeFill="accent6" w:themeFillTint="66"/>
          </w:tcPr>
          <w:p w14:paraId="34B9DBFC" w14:textId="0D601401" w:rsidR="000C3C34"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2</w:t>
            </w:r>
          </w:p>
        </w:tc>
        <w:tc>
          <w:tcPr>
            <w:tcW w:w="1560" w:type="dxa"/>
            <w:shd w:val="clear" w:color="auto" w:fill="C5E0B3" w:themeFill="accent6" w:themeFillTint="66"/>
          </w:tcPr>
          <w:p w14:paraId="59392D22" w14:textId="39EC2B54" w:rsidR="000C3C34"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2, 3, 4</w:t>
            </w:r>
          </w:p>
        </w:tc>
        <w:tc>
          <w:tcPr>
            <w:tcW w:w="1842" w:type="dxa"/>
            <w:shd w:val="clear" w:color="auto" w:fill="C5E0B3" w:themeFill="accent6" w:themeFillTint="66"/>
          </w:tcPr>
          <w:p w14:paraId="01856259" w14:textId="3446FB80" w:rsidR="000C3C34"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B, C, G</w:t>
            </w:r>
          </w:p>
        </w:tc>
        <w:tc>
          <w:tcPr>
            <w:tcW w:w="1418" w:type="dxa"/>
            <w:shd w:val="clear" w:color="auto" w:fill="C5E0B3" w:themeFill="accent6" w:themeFillTint="66"/>
          </w:tcPr>
          <w:p w14:paraId="751AA082" w14:textId="222B2A01" w:rsidR="000C3C34"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WQERP, enHealth</w:t>
            </w:r>
          </w:p>
        </w:tc>
        <w:tc>
          <w:tcPr>
            <w:tcW w:w="1276" w:type="dxa"/>
            <w:shd w:val="clear" w:color="auto" w:fill="C5E0B3" w:themeFill="accent6" w:themeFillTint="66"/>
          </w:tcPr>
          <w:p w14:paraId="198C9391" w14:textId="6CF72D4B" w:rsidR="000C3C34" w:rsidRDefault="000C3C34" w:rsidP="000C3C34">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2020-2021</w:t>
            </w:r>
          </w:p>
        </w:tc>
      </w:tr>
      <w:tr w:rsidR="000C3C34" w:rsidRPr="00AE0FEF" w14:paraId="6EEED4E3" w14:textId="77777777" w:rsidTr="007F4CC9">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C5E0B3" w:themeFill="accent6" w:themeFillTint="66"/>
          </w:tcPr>
          <w:p w14:paraId="7DE17393" w14:textId="61919AA5" w:rsidR="000C3C34" w:rsidRPr="00740F57" w:rsidRDefault="000C3C34" w:rsidP="000C3C34">
            <w:pPr>
              <w:pStyle w:val="BodyText1"/>
              <w:spacing w:before="120" w:after="120"/>
              <w:ind w:left="0"/>
              <w:rPr>
                <w:rFonts w:ascii="Arial" w:eastAsia="Batang" w:hAnsi="Arial" w:cs="Arial"/>
                <w:b w:val="0"/>
                <w:sz w:val="20"/>
              </w:rPr>
            </w:pPr>
            <w:r w:rsidRPr="00740F57">
              <w:rPr>
                <w:rFonts w:ascii="Arial" w:eastAsia="Batang" w:hAnsi="Arial" w:cs="Arial"/>
                <w:b w:val="0"/>
                <w:sz w:val="20"/>
              </w:rPr>
              <w:t>Asbestos: A guide for householders and general public</w:t>
            </w:r>
          </w:p>
        </w:tc>
        <w:tc>
          <w:tcPr>
            <w:tcW w:w="992" w:type="dxa"/>
            <w:shd w:val="clear" w:color="auto" w:fill="C5E0B3" w:themeFill="accent6" w:themeFillTint="66"/>
          </w:tcPr>
          <w:p w14:paraId="4D1BBD5F" w14:textId="29E68449"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3</w:t>
            </w:r>
          </w:p>
        </w:tc>
        <w:tc>
          <w:tcPr>
            <w:tcW w:w="1560" w:type="dxa"/>
            <w:shd w:val="clear" w:color="auto" w:fill="C5E0B3" w:themeFill="accent6" w:themeFillTint="66"/>
          </w:tcPr>
          <w:p w14:paraId="3C3CBFCD" w14:textId="0B6D9DEB"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2, 3, 4</w:t>
            </w:r>
          </w:p>
        </w:tc>
        <w:tc>
          <w:tcPr>
            <w:tcW w:w="1842" w:type="dxa"/>
            <w:shd w:val="clear" w:color="auto" w:fill="C5E0B3" w:themeFill="accent6" w:themeFillTint="66"/>
          </w:tcPr>
          <w:p w14:paraId="0196F098" w14:textId="074FF918"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B, C, G</w:t>
            </w:r>
          </w:p>
        </w:tc>
        <w:tc>
          <w:tcPr>
            <w:tcW w:w="1418" w:type="dxa"/>
            <w:shd w:val="clear" w:color="auto" w:fill="C5E0B3" w:themeFill="accent6" w:themeFillTint="66"/>
          </w:tcPr>
          <w:p w14:paraId="1698B7E2" w14:textId="2213D474"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enHealth, ASEA</w:t>
            </w:r>
          </w:p>
        </w:tc>
        <w:tc>
          <w:tcPr>
            <w:tcW w:w="1276" w:type="dxa"/>
            <w:shd w:val="clear" w:color="auto" w:fill="C5E0B3" w:themeFill="accent6" w:themeFillTint="66"/>
          </w:tcPr>
          <w:p w14:paraId="7BD32993" w14:textId="6DCA2B99" w:rsidR="000C3C34" w:rsidRDefault="000C3C34" w:rsidP="000C3C34">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2020-2021</w:t>
            </w:r>
          </w:p>
        </w:tc>
      </w:tr>
      <w:tr w:rsidR="000C3C34" w:rsidRPr="00AE0FEF" w14:paraId="1DEC394F" w14:textId="77777777" w:rsidTr="007F376C">
        <w:trPr>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C5E0B3" w:themeFill="accent6" w:themeFillTint="66"/>
          </w:tcPr>
          <w:p w14:paraId="4C487EC3" w14:textId="45E449B1" w:rsidR="000C3C34" w:rsidRPr="00E23784" w:rsidRDefault="000C3C34" w:rsidP="009F5C08">
            <w:pPr>
              <w:pStyle w:val="BodyText1"/>
              <w:spacing w:before="120" w:after="120"/>
              <w:ind w:left="0"/>
              <w:rPr>
                <w:rFonts w:ascii="Arial" w:eastAsia="Batang" w:hAnsi="Arial" w:cs="Arial"/>
                <w:b w:val="0"/>
                <w:sz w:val="20"/>
                <w:u w:val="single"/>
              </w:rPr>
            </w:pPr>
            <w:r w:rsidRPr="00E23784">
              <w:rPr>
                <w:rFonts w:ascii="Arial" w:eastAsia="Batang" w:hAnsi="Arial" w:cs="Arial"/>
                <w:b w:val="0"/>
                <w:sz w:val="20"/>
                <w:u w:val="single"/>
              </w:rPr>
              <w:t xml:space="preserve">Other </w:t>
            </w:r>
            <w:r w:rsidR="000D1F55" w:rsidRPr="00E23784">
              <w:rPr>
                <w:rFonts w:ascii="Arial" w:eastAsia="Batang" w:hAnsi="Arial" w:cs="Arial"/>
                <w:b w:val="0"/>
                <w:sz w:val="20"/>
                <w:u w:val="single"/>
              </w:rPr>
              <w:t>P</w:t>
            </w:r>
            <w:r w:rsidRPr="00E23784">
              <w:rPr>
                <w:rFonts w:ascii="Arial" w:eastAsia="Batang" w:hAnsi="Arial" w:cs="Arial"/>
                <w:b w:val="0"/>
                <w:sz w:val="20"/>
                <w:u w:val="single"/>
              </w:rPr>
              <w:t xml:space="preserve">rojects and </w:t>
            </w:r>
            <w:r w:rsidR="000D1F55" w:rsidRPr="00E23784">
              <w:rPr>
                <w:rFonts w:ascii="Arial" w:eastAsia="Batang" w:hAnsi="Arial" w:cs="Arial"/>
                <w:b w:val="0"/>
                <w:sz w:val="20"/>
                <w:u w:val="single"/>
              </w:rPr>
              <w:t>A</w:t>
            </w:r>
            <w:r w:rsidRPr="00E23784">
              <w:rPr>
                <w:rFonts w:ascii="Arial" w:eastAsia="Batang" w:hAnsi="Arial" w:cs="Arial"/>
                <w:b w:val="0"/>
                <w:sz w:val="20"/>
                <w:u w:val="single"/>
              </w:rPr>
              <w:t>ctivities</w:t>
            </w:r>
            <w:r w:rsidR="007F4CC9" w:rsidRPr="00E23784">
              <w:rPr>
                <w:rFonts w:ascii="Arial" w:eastAsia="Batang" w:hAnsi="Arial" w:cs="Arial"/>
                <w:b w:val="0"/>
                <w:sz w:val="20"/>
                <w:u w:val="single"/>
              </w:rPr>
              <w:t>:</w:t>
            </w:r>
          </w:p>
          <w:p w14:paraId="6005D0D3" w14:textId="6B8E470C" w:rsidR="000C3C34" w:rsidRPr="00740F57" w:rsidRDefault="000C3C34" w:rsidP="009F5C08">
            <w:pPr>
              <w:pStyle w:val="BodyText1"/>
              <w:spacing w:before="120" w:after="120"/>
              <w:ind w:left="0"/>
              <w:rPr>
                <w:rFonts w:ascii="Arial" w:eastAsia="Batang" w:hAnsi="Arial" w:cs="Arial"/>
                <w:b w:val="0"/>
                <w:sz w:val="20"/>
              </w:rPr>
            </w:pPr>
            <w:r w:rsidRPr="00740F57">
              <w:rPr>
                <w:rFonts w:ascii="Arial" w:eastAsia="Batang" w:hAnsi="Arial" w:cs="Arial"/>
                <w:b w:val="0"/>
                <w:sz w:val="20"/>
              </w:rPr>
              <w:t>Community Engagement and Risk Communication Project</w:t>
            </w:r>
          </w:p>
        </w:tc>
        <w:tc>
          <w:tcPr>
            <w:tcW w:w="992" w:type="dxa"/>
            <w:shd w:val="clear" w:color="auto" w:fill="C5E0B3" w:themeFill="accent6" w:themeFillTint="66"/>
          </w:tcPr>
          <w:p w14:paraId="2984264F" w14:textId="77777777"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p>
          <w:p w14:paraId="5A291680" w14:textId="2B5B8364"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2</w:t>
            </w:r>
          </w:p>
        </w:tc>
        <w:tc>
          <w:tcPr>
            <w:tcW w:w="1560" w:type="dxa"/>
            <w:shd w:val="clear" w:color="auto" w:fill="C5E0B3" w:themeFill="accent6" w:themeFillTint="66"/>
          </w:tcPr>
          <w:p w14:paraId="1DA2217C" w14:textId="77777777"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p>
          <w:p w14:paraId="75512342" w14:textId="4DBE6E81" w:rsidR="000C3C34" w:rsidDel="00627743"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1, 2, 3, 4, 6</w:t>
            </w:r>
          </w:p>
        </w:tc>
        <w:tc>
          <w:tcPr>
            <w:tcW w:w="1842" w:type="dxa"/>
            <w:shd w:val="clear" w:color="auto" w:fill="C5E0B3" w:themeFill="accent6" w:themeFillTint="66"/>
          </w:tcPr>
          <w:p w14:paraId="2FB478E8" w14:textId="77777777"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p>
          <w:p w14:paraId="44C2975C" w14:textId="6FEB449F"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B, C, G</w:t>
            </w:r>
          </w:p>
        </w:tc>
        <w:tc>
          <w:tcPr>
            <w:tcW w:w="1418" w:type="dxa"/>
            <w:shd w:val="clear" w:color="auto" w:fill="C5E0B3" w:themeFill="accent6" w:themeFillTint="66"/>
          </w:tcPr>
          <w:p w14:paraId="41FA4487" w14:textId="77777777"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p>
          <w:p w14:paraId="78356BFA" w14:textId="398F1A8C"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enHealth, Consultant/s</w:t>
            </w:r>
          </w:p>
        </w:tc>
        <w:tc>
          <w:tcPr>
            <w:tcW w:w="1276" w:type="dxa"/>
            <w:shd w:val="clear" w:color="auto" w:fill="C5E0B3" w:themeFill="accent6" w:themeFillTint="66"/>
          </w:tcPr>
          <w:p w14:paraId="2A1B3797" w14:textId="77777777"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p>
          <w:p w14:paraId="347C4191" w14:textId="3923B673"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2020-2021</w:t>
            </w:r>
          </w:p>
        </w:tc>
      </w:tr>
      <w:tr w:rsidR="000C3C34" w:rsidRPr="00AE0FEF" w14:paraId="3532DC28" w14:textId="77777777" w:rsidTr="007F376C">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C5E0B3" w:themeFill="accent6" w:themeFillTint="66"/>
          </w:tcPr>
          <w:p w14:paraId="3C437D12" w14:textId="02C449DF" w:rsidR="000C3C34" w:rsidRPr="00740F57" w:rsidRDefault="000C3C34" w:rsidP="000C3C34">
            <w:pPr>
              <w:pStyle w:val="BodyText1"/>
              <w:spacing w:before="120" w:after="120"/>
              <w:ind w:left="0"/>
              <w:rPr>
                <w:rFonts w:ascii="Arial" w:eastAsia="Batang" w:hAnsi="Arial" w:cs="Arial"/>
                <w:b w:val="0"/>
                <w:sz w:val="20"/>
              </w:rPr>
            </w:pPr>
            <w:r w:rsidRPr="00740F57">
              <w:rPr>
                <w:rFonts w:ascii="Arial" w:eastAsia="Batang" w:hAnsi="Arial" w:cs="Arial"/>
                <w:b w:val="0"/>
                <w:sz w:val="20"/>
              </w:rPr>
              <w:t>Aboriginal and Torres Strait Islander Environmental Health and Clinical Referrals</w:t>
            </w:r>
          </w:p>
        </w:tc>
        <w:tc>
          <w:tcPr>
            <w:tcW w:w="992" w:type="dxa"/>
            <w:shd w:val="clear" w:color="auto" w:fill="C5E0B3" w:themeFill="accent6" w:themeFillTint="66"/>
          </w:tcPr>
          <w:p w14:paraId="0421EB7E" w14:textId="70CC654C"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2</w:t>
            </w:r>
          </w:p>
        </w:tc>
        <w:tc>
          <w:tcPr>
            <w:tcW w:w="1560" w:type="dxa"/>
            <w:shd w:val="clear" w:color="auto" w:fill="C5E0B3" w:themeFill="accent6" w:themeFillTint="66"/>
          </w:tcPr>
          <w:p w14:paraId="2453ECFC" w14:textId="5FD4F151" w:rsidR="000C3C34" w:rsidDel="00627743"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1, 2, 3, 4, 6</w:t>
            </w:r>
          </w:p>
        </w:tc>
        <w:tc>
          <w:tcPr>
            <w:tcW w:w="1842" w:type="dxa"/>
            <w:shd w:val="clear" w:color="auto" w:fill="C5E0B3" w:themeFill="accent6" w:themeFillTint="66"/>
          </w:tcPr>
          <w:p w14:paraId="42B73977" w14:textId="627062E5"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D, E, G, H</w:t>
            </w:r>
          </w:p>
        </w:tc>
        <w:tc>
          <w:tcPr>
            <w:tcW w:w="1418" w:type="dxa"/>
            <w:shd w:val="clear" w:color="auto" w:fill="C5E0B3" w:themeFill="accent6" w:themeFillTint="66"/>
          </w:tcPr>
          <w:p w14:paraId="0A2473BC" w14:textId="6472AC91"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ERPATSIEH, enHealth</w:t>
            </w:r>
          </w:p>
        </w:tc>
        <w:tc>
          <w:tcPr>
            <w:tcW w:w="1276" w:type="dxa"/>
            <w:shd w:val="clear" w:color="auto" w:fill="C5E0B3" w:themeFill="accent6" w:themeFillTint="66"/>
          </w:tcPr>
          <w:p w14:paraId="33789D2F" w14:textId="5866BB2A"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Ongoing, 2020-2023</w:t>
            </w:r>
          </w:p>
        </w:tc>
      </w:tr>
      <w:tr w:rsidR="000C3C34" w:rsidRPr="00AE0FEF" w14:paraId="0512913B" w14:textId="3D1B6703" w:rsidTr="007F376C">
        <w:trPr>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C5E0B3" w:themeFill="accent6" w:themeFillTint="66"/>
          </w:tcPr>
          <w:p w14:paraId="5C7230AF" w14:textId="6C5709DF" w:rsidR="000C3C34" w:rsidRPr="00740F57" w:rsidRDefault="000C3C34" w:rsidP="000C3C34">
            <w:pPr>
              <w:pStyle w:val="BodyText1"/>
              <w:spacing w:before="120" w:after="120"/>
              <w:ind w:left="0"/>
              <w:rPr>
                <w:rFonts w:ascii="Arial" w:eastAsia="Batang" w:hAnsi="Arial" w:cs="Arial"/>
                <w:b w:val="0"/>
                <w:sz w:val="20"/>
              </w:rPr>
            </w:pPr>
            <w:r w:rsidRPr="00740F57">
              <w:rPr>
                <w:rFonts w:ascii="Arial" w:eastAsia="Batang" w:hAnsi="Arial" w:cs="Arial"/>
                <w:b w:val="0"/>
                <w:sz w:val="20"/>
              </w:rPr>
              <w:t>Publications and Communications Policy</w:t>
            </w:r>
          </w:p>
        </w:tc>
        <w:tc>
          <w:tcPr>
            <w:tcW w:w="992" w:type="dxa"/>
            <w:shd w:val="clear" w:color="auto" w:fill="C5E0B3" w:themeFill="accent6" w:themeFillTint="66"/>
          </w:tcPr>
          <w:p w14:paraId="23C2A44F" w14:textId="62229430"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2</w:t>
            </w:r>
          </w:p>
        </w:tc>
        <w:tc>
          <w:tcPr>
            <w:tcW w:w="1560" w:type="dxa"/>
            <w:shd w:val="clear" w:color="auto" w:fill="C5E0B3" w:themeFill="accent6" w:themeFillTint="66"/>
          </w:tcPr>
          <w:p w14:paraId="7D263267" w14:textId="3D8CD28C"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1, 2, 3</w:t>
            </w:r>
          </w:p>
        </w:tc>
        <w:tc>
          <w:tcPr>
            <w:tcW w:w="1842" w:type="dxa"/>
            <w:shd w:val="clear" w:color="auto" w:fill="C5E0B3" w:themeFill="accent6" w:themeFillTint="66"/>
          </w:tcPr>
          <w:p w14:paraId="3D68931A" w14:textId="6CEE4021"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All</w:t>
            </w:r>
          </w:p>
        </w:tc>
        <w:tc>
          <w:tcPr>
            <w:tcW w:w="1418" w:type="dxa"/>
            <w:shd w:val="clear" w:color="auto" w:fill="C5E0B3" w:themeFill="accent6" w:themeFillTint="66"/>
          </w:tcPr>
          <w:p w14:paraId="6FE025AF" w14:textId="7ABF2BB2"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enHealth</w:t>
            </w:r>
          </w:p>
        </w:tc>
        <w:tc>
          <w:tcPr>
            <w:tcW w:w="1276" w:type="dxa"/>
            <w:shd w:val="clear" w:color="auto" w:fill="C5E0B3" w:themeFill="accent6" w:themeFillTint="66"/>
          </w:tcPr>
          <w:p w14:paraId="5F4BAB57" w14:textId="7D1EC129"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Ongoing, 2020-2023</w:t>
            </w:r>
          </w:p>
        </w:tc>
      </w:tr>
      <w:tr w:rsidR="000C3C34" w:rsidRPr="00AE0FEF" w14:paraId="44656F1F" w14:textId="74F90CDB" w:rsidTr="007F376C">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C5E0B3" w:themeFill="accent6" w:themeFillTint="66"/>
          </w:tcPr>
          <w:p w14:paraId="345A3237" w14:textId="5E761AA7" w:rsidR="000C3C34" w:rsidRPr="00740F57" w:rsidRDefault="000C3C34" w:rsidP="000C3C34">
            <w:pPr>
              <w:pStyle w:val="BodyText1"/>
              <w:spacing w:before="120" w:after="120"/>
              <w:ind w:left="0"/>
              <w:rPr>
                <w:rFonts w:ascii="Arial" w:eastAsia="Batang" w:hAnsi="Arial" w:cs="Arial"/>
                <w:b w:val="0"/>
                <w:sz w:val="20"/>
              </w:rPr>
            </w:pPr>
            <w:r w:rsidRPr="00740F57">
              <w:rPr>
                <w:rFonts w:ascii="Arial" w:eastAsia="Batang" w:hAnsi="Arial" w:cs="Arial"/>
                <w:b w:val="0"/>
                <w:sz w:val="20"/>
              </w:rPr>
              <w:t>Understanding the environmental health burden of disease</w:t>
            </w:r>
          </w:p>
        </w:tc>
        <w:tc>
          <w:tcPr>
            <w:tcW w:w="992" w:type="dxa"/>
            <w:shd w:val="clear" w:color="auto" w:fill="C5E0B3" w:themeFill="accent6" w:themeFillTint="66"/>
          </w:tcPr>
          <w:p w14:paraId="03454126" w14:textId="639BF018"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2</w:t>
            </w:r>
          </w:p>
        </w:tc>
        <w:tc>
          <w:tcPr>
            <w:tcW w:w="1560" w:type="dxa"/>
            <w:shd w:val="clear" w:color="auto" w:fill="C5E0B3" w:themeFill="accent6" w:themeFillTint="66"/>
          </w:tcPr>
          <w:p w14:paraId="12E10821" w14:textId="58EF7852"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2, 3, 4, 5</w:t>
            </w:r>
          </w:p>
        </w:tc>
        <w:tc>
          <w:tcPr>
            <w:tcW w:w="1842" w:type="dxa"/>
            <w:shd w:val="clear" w:color="auto" w:fill="C5E0B3" w:themeFill="accent6" w:themeFillTint="66"/>
          </w:tcPr>
          <w:p w14:paraId="5E018BBE" w14:textId="2437DF6E"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F, G</w:t>
            </w:r>
          </w:p>
        </w:tc>
        <w:tc>
          <w:tcPr>
            <w:tcW w:w="1418" w:type="dxa"/>
            <w:shd w:val="clear" w:color="auto" w:fill="C5E0B3" w:themeFill="accent6" w:themeFillTint="66"/>
          </w:tcPr>
          <w:p w14:paraId="7C5AD9E0" w14:textId="1155BD61"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enHealth</w:t>
            </w:r>
          </w:p>
        </w:tc>
        <w:tc>
          <w:tcPr>
            <w:tcW w:w="1276" w:type="dxa"/>
            <w:shd w:val="clear" w:color="auto" w:fill="C5E0B3" w:themeFill="accent6" w:themeFillTint="66"/>
          </w:tcPr>
          <w:p w14:paraId="116F2F1D" w14:textId="7350CAAF"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Ongoing, 2020-2023</w:t>
            </w:r>
          </w:p>
        </w:tc>
      </w:tr>
      <w:tr w:rsidR="000C3C34" w:rsidRPr="00AE0FEF" w14:paraId="4E0B1DA5" w14:textId="716F2142" w:rsidTr="007F376C">
        <w:trPr>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C5E0B3" w:themeFill="accent6" w:themeFillTint="66"/>
          </w:tcPr>
          <w:p w14:paraId="0264BEC6" w14:textId="77777777" w:rsidR="000C3C34" w:rsidRPr="00740F57" w:rsidRDefault="000C3C34" w:rsidP="000C3C34">
            <w:pPr>
              <w:pStyle w:val="BodyText1"/>
              <w:spacing w:before="120" w:after="120"/>
              <w:ind w:left="0"/>
              <w:rPr>
                <w:rFonts w:ascii="Arial" w:eastAsia="Batang" w:hAnsi="Arial" w:cs="Arial"/>
                <w:b w:val="0"/>
                <w:sz w:val="20"/>
              </w:rPr>
            </w:pPr>
            <w:r w:rsidRPr="00740F57">
              <w:rPr>
                <w:rFonts w:ascii="Arial" w:eastAsia="Batang" w:hAnsi="Arial" w:cs="Arial"/>
                <w:b w:val="0"/>
                <w:sz w:val="20"/>
              </w:rPr>
              <w:t>Environmental health factors related to communicable diseases and antimicrobial resistance</w:t>
            </w:r>
          </w:p>
        </w:tc>
        <w:tc>
          <w:tcPr>
            <w:tcW w:w="992" w:type="dxa"/>
            <w:shd w:val="clear" w:color="auto" w:fill="C5E0B3" w:themeFill="accent6" w:themeFillTint="66"/>
          </w:tcPr>
          <w:p w14:paraId="6DF7627B" w14:textId="7056AFD1"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2</w:t>
            </w:r>
          </w:p>
        </w:tc>
        <w:tc>
          <w:tcPr>
            <w:tcW w:w="1560" w:type="dxa"/>
            <w:shd w:val="clear" w:color="auto" w:fill="C5E0B3" w:themeFill="accent6" w:themeFillTint="66"/>
          </w:tcPr>
          <w:p w14:paraId="4689FD80" w14:textId="5712D5C7"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1, 2, 3, 4, 6</w:t>
            </w:r>
          </w:p>
        </w:tc>
        <w:tc>
          <w:tcPr>
            <w:tcW w:w="1842" w:type="dxa"/>
            <w:shd w:val="clear" w:color="auto" w:fill="C5E0B3" w:themeFill="accent6" w:themeFillTint="66"/>
          </w:tcPr>
          <w:p w14:paraId="36CEE8CC" w14:textId="3E9E5C35"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A, F, G</w:t>
            </w:r>
          </w:p>
        </w:tc>
        <w:tc>
          <w:tcPr>
            <w:tcW w:w="1418" w:type="dxa"/>
            <w:shd w:val="clear" w:color="auto" w:fill="C5E0B3" w:themeFill="accent6" w:themeFillTint="66"/>
          </w:tcPr>
          <w:p w14:paraId="3AC5B705" w14:textId="6F1E4D40"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enHealth, CDNA, AHPPC</w:t>
            </w:r>
          </w:p>
        </w:tc>
        <w:tc>
          <w:tcPr>
            <w:tcW w:w="1276" w:type="dxa"/>
            <w:shd w:val="clear" w:color="auto" w:fill="C5E0B3" w:themeFill="accent6" w:themeFillTint="66"/>
          </w:tcPr>
          <w:p w14:paraId="4F5BC3E2" w14:textId="78F5CCCD"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Ongoing, 2020-2023</w:t>
            </w:r>
          </w:p>
        </w:tc>
      </w:tr>
      <w:tr w:rsidR="000C3C34" w:rsidRPr="00AE0FEF" w14:paraId="26B8BDB8" w14:textId="77777777" w:rsidTr="007F376C">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C5E0B3" w:themeFill="accent6" w:themeFillTint="66"/>
          </w:tcPr>
          <w:p w14:paraId="1D307C8C" w14:textId="38CF277D" w:rsidR="000C3C34" w:rsidRPr="00740F57" w:rsidRDefault="000C3C34" w:rsidP="009F5C08">
            <w:pPr>
              <w:pStyle w:val="BodyText1"/>
              <w:spacing w:before="120" w:after="120"/>
              <w:ind w:left="0"/>
              <w:rPr>
                <w:rFonts w:ascii="Arial" w:eastAsia="Batang" w:hAnsi="Arial" w:cs="Arial"/>
                <w:b w:val="0"/>
                <w:sz w:val="20"/>
              </w:rPr>
            </w:pPr>
          </w:p>
        </w:tc>
        <w:tc>
          <w:tcPr>
            <w:tcW w:w="992" w:type="dxa"/>
            <w:shd w:val="clear" w:color="auto" w:fill="C5E0B3" w:themeFill="accent6" w:themeFillTint="66"/>
          </w:tcPr>
          <w:p w14:paraId="6826D3E2" w14:textId="7E2ABB86"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tc>
        <w:tc>
          <w:tcPr>
            <w:tcW w:w="1560" w:type="dxa"/>
            <w:shd w:val="clear" w:color="auto" w:fill="C5E0B3" w:themeFill="accent6" w:themeFillTint="66"/>
          </w:tcPr>
          <w:p w14:paraId="349B7AD1" w14:textId="48691112" w:rsidR="000C3C34" w:rsidDel="00627743"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tc>
        <w:tc>
          <w:tcPr>
            <w:tcW w:w="1842" w:type="dxa"/>
            <w:shd w:val="clear" w:color="auto" w:fill="C5E0B3" w:themeFill="accent6" w:themeFillTint="66"/>
          </w:tcPr>
          <w:p w14:paraId="4BC3651D" w14:textId="58301FF2"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tc>
        <w:tc>
          <w:tcPr>
            <w:tcW w:w="1418" w:type="dxa"/>
            <w:shd w:val="clear" w:color="auto" w:fill="C5E0B3" w:themeFill="accent6" w:themeFillTint="66"/>
          </w:tcPr>
          <w:p w14:paraId="220AE46D" w14:textId="49466C98"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tc>
        <w:tc>
          <w:tcPr>
            <w:tcW w:w="1276" w:type="dxa"/>
            <w:shd w:val="clear" w:color="auto" w:fill="C5E0B3" w:themeFill="accent6" w:themeFillTint="66"/>
          </w:tcPr>
          <w:p w14:paraId="16E9E9BD" w14:textId="2DC0E05B"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p>
        </w:tc>
      </w:tr>
      <w:tr w:rsidR="000C3C34" w:rsidRPr="00AE0FEF" w14:paraId="2657873A" w14:textId="62401237" w:rsidTr="007F376C">
        <w:trPr>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C5E0B3" w:themeFill="accent6" w:themeFillTint="66"/>
          </w:tcPr>
          <w:p w14:paraId="4677459D" w14:textId="08A021D1" w:rsidR="000C3C34" w:rsidRPr="00740F57" w:rsidRDefault="000C3C34" w:rsidP="000C3C34">
            <w:pPr>
              <w:pStyle w:val="BodyText1"/>
              <w:spacing w:before="120" w:after="120"/>
              <w:ind w:left="0"/>
              <w:rPr>
                <w:rFonts w:ascii="Arial" w:eastAsia="Batang" w:hAnsi="Arial" w:cs="Arial"/>
                <w:b w:val="0"/>
                <w:sz w:val="20"/>
              </w:rPr>
            </w:pPr>
            <w:r w:rsidRPr="00740F57">
              <w:rPr>
                <w:rFonts w:ascii="Arial" w:eastAsia="Batang" w:hAnsi="Arial" w:cs="Arial"/>
                <w:b w:val="0"/>
                <w:sz w:val="20"/>
              </w:rPr>
              <w:t>Per- and poly-fluoroalkyl substances (PFAS) in various exposure settings</w:t>
            </w:r>
          </w:p>
        </w:tc>
        <w:tc>
          <w:tcPr>
            <w:tcW w:w="992" w:type="dxa"/>
            <w:shd w:val="clear" w:color="auto" w:fill="C5E0B3" w:themeFill="accent6" w:themeFillTint="66"/>
          </w:tcPr>
          <w:p w14:paraId="68B674A5" w14:textId="2E817428"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2-3</w:t>
            </w:r>
          </w:p>
        </w:tc>
        <w:tc>
          <w:tcPr>
            <w:tcW w:w="1560" w:type="dxa"/>
            <w:shd w:val="clear" w:color="auto" w:fill="C5E0B3" w:themeFill="accent6" w:themeFillTint="66"/>
          </w:tcPr>
          <w:p w14:paraId="3AA5CB43" w14:textId="1F792065"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1, 2, 3, 4</w:t>
            </w:r>
          </w:p>
        </w:tc>
        <w:tc>
          <w:tcPr>
            <w:tcW w:w="1842" w:type="dxa"/>
            <w:shd w:val="clear" w:color="auto" w:fill="C5E0B3" w:themeFill="accent6" w:themeFillTint="66"/>
          </w:tcPr>
          <w:p w14:paraId="0573A3B5" w14:textId="760631E7"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B, C, F, G</w:t>
            </w:r>
          </w:p>
        </w:tc>
        <w:tc>
          <w:tcPr>
            <w:tcW w:w="1418" w:type="dxa"/>
            <w:shd w:val="clear" w:color="auto" w:fill="C5E0B3" w:themeFill="accent6" w:themeFillTint="66"/>
          </w:tcPr>
          <w:p w14:paraId="405C0C7A" w14:textId="1DBAF9D2"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enHealth and stakeholders</w:t>
            </w:r>
          </w:p>
        </w:tc>
        <w:tc>
          <w:tcPr>
            <w:tcW w:w="1276" w:type="dxa"/>
            <w:shd w:val="clear" w:color="auto" w:fill="C5E0B3" w:themeFill="accent6" w:themeFillTint="66"/>
          </w:tcPr>
          <w:p w14:paraId="4F07B60D" w14:textId="1776A235"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Ongoing, 2020-2023</w:t>
            </w:r>
          </w:p>
        </w:tc>
      </w:tr>
      <w:tr w:rsidR="000C3C34" w:rsidRPr="00AE0FEF" w14:paraId="64FB7D03" w14:textId="75DFE40A" w:rsidTr="007F376C">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E2EFD9" w:themeFill="accent6" w:themeFillTint="33"/>
          </w:tcPr>
          <w:p w14:paraId="06EB8CEC" w14:textId="77777777" w:rsidR="000C3C34" w:rsidRPr="00740F57" w:rsidRDefault="000C3C34" w:rsidP="000C3C34">
            <w:pPr>
              <w:pStyle w:val="BodyText1"/>
              <w:spacing w:before="120" w:after="120"/>
              <w:ind w:left="0"/>
              <w:rPr>
                <w:rFonts w:ascii="Arial" w:eastAsia="Batang" w:hAnsi="Arial" w:cs="Arial"/>
                <w:b w:val="0"/>
                <w:sz w:val="20"/>
              </w:rPr>
            </w:pPr>
            <w:r w:rsidRPr="00740F57">
              <w:rPr>
                <w:rFonts w:ascii="Arial" w:eastAsia="Batang" w:hAnsi="Arial" w:cs="Arial"/>
                <w:b w:val="0"/>
                <w:sz w:val="20"/>
              </w:rPr>
              <w:t>Lead in plumbing products regulation</w:t>
            </w:r>
          </w:p>
        </w:tc>
        <w:tc>
          <w:tcPr>
            <w:tcW w:w="992" w:type="dxa"/>
            <w:shd w:val="clear" w:color="auto" w:fill="E2EFD9" w:themeFill="accent6" w:themeFillTint="33"/>
          </w:tcPr>
          <w:p w14:paraId="1589ECD7" w14:textId="3751E0A6"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3</w:t>
            </w:r>
          </w:p>
        </w:tc>
        <w:tc>
          <w:tcPr>
            <w:tcW w:w="1560" w:type="dxa"/>
            <w:shd w:val="clear" w:color="auto" w:fill="E2EFD9" w:themeFill="accent6" w:themeFillTint="33"/>
          </w:tcPr>
          <w:p w14:paraId="674FA2EF" w14:textId="1AEFFE4E"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1, 2, 3, 4</w:t>
            </w:r>
          </w:p>
        </w:tc>
        <w:tc>
          <w:tcPr>
            <w:tcW w:w="1842" w:type="dxa"/>
            <w:shd w:val="clear" w:color="auto" w:fill="E2EFD9" w:themeFill="accent6" w:themeFillTint="33"/>
          </w:tcPr>
          <w:p w14:paraId="752A98D1" w14:textId="74638ADF"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B, F, G</w:t>
            </w:r>
          </w:p>
        </w:tc>
        <w:tc>
          <w:tcPr>
            <w:tcW w:w="1418" w:type="dxa"/>
            <w:shd w:val="clear" w:color="auto" w:fill="E2EFD9" w:themeFill="accent6" w:themeFillTint="33"/>
          </w:tcPr>
          <w:p w14:paraId="7E357CA3" w14:textId="0DAA2E2F"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ABCB</w:t>
            </w:r>
          </w:p>
        </w:tc>
        <w:tc>
          <w:tcPr>
            <w:tcW w:w="1276" w:type="dxa"/>
            <w:shd w:val="clear" w:color="auto" w:fill="E2EFD9" w:themeFill="accent6" w:themeFillTint="33"/>
          </w:tcPr>
          <w:p w14:paraId="293C533D" w14:textId="3461BB02"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Ongoing</w:t>
            </w:r>
          </w:p>
        </w:tc>
      </w:tr>
      <w:tr w:rsidR="000C3C34" w:rsidRPr="00AE0FEF" w14:paraId="0FEA1E18" w14:textId="0A520B87" w:rsidTr="007F376C">
        <w:trPr>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E2EFD9" w:themeFill="accent6" w:themeFillTint="33"/>
          </w:tcPr>
          <w:p w14:paraId="1EF7C96A" w14:textId="77777777" w:rsidR="000C3C34" w:rsidRPr="00740F57" w:rsidRDefault="000C3C34" w:rsidP="000C3C34">
            <w:pPr>
              <w:pStyle w:val="BodyText1"/>
              <w:spacing w:before="120" w:after="120"/>
              <w:ind w:left="0"/>
              <w:rPr>
                <w:rFonts w:ascii="Arial" w:eastAsia="Batang" w:hAnsi="Arial" w:cs="Arial"/>
                <w:b w:val="0"/>
                <w:sz w:val="20"/>
              </w:rPr>
            </w:pPr>
            <w:r w:rsidRPr="00740F57">
              <w:rPr>
                <w:rFonts w:ascii="Arial" w:eastAsia="Batang" w:hAnsi="Arial" w:cs="Arial"/>
                <w:b w:val="0"/>
                <w:sz w:val="20"/>
              </w:rPr>
              <w:t>Heat stress and building codes</w:t>
            </w:r>
          </w:p>
        </w:tc>
        <w:tc>
          <w:tcPr>
            <w:tcW w:w="992" w:type="dxa"/>
            <w:shd w:val="clear" w:color="auto" w:fill="E2EFD9" w:themeFill="accent6" w:themeFillTint="33"/>
          </w:tcPr>
          <w:p w14:paraId="22F69B83" w14:textId="5B240A08"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3</w:t>
            </w:r>
          </w:p>
        </w:tc>
        <w:tc>
          <w:tcPr>
            <w:tcW w:w="1560" w:type="dxa"/>
            <w:shd w:val="clear" w:color="auto" w:fill="E2EFD9" w:themeFill="accent6" w:themeFillTint="33"/>
          </w:tcPr>
          <w:p w14:paraId="69B8A650" w14:textId="699A17A1"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1, 2, 3, 4</w:t>
            </w:r>
          </w:p>
        </w:tc>
        <w:tc>
          <w:tcPr>
            <w:tcW w:w="1842" w:type="dxa"/>
            <w:shd w:val="clear" w:color="auto" w:fill="E2EFD9" w:themeFill="accent6" w:themeFillTint="33"/>
          </w:tcPr>
          <w:p w14:paraId="6BD12DF7" w14:textId="5CE16924"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B, F, G</w:t>
            </w:r>
          </w:p>
        </w:tc>
        <w:tc>
          <w:tcPr>
            <w:tcW w:w="1418" w:type="dxa"/>
            <w:shd w:val="clear" w:color="auto" w:fill="E2EFD9" w:themeFill="accent6" w:themeFillTint="33"/>
          </w:tcPr>
          <w:p w14:paraId="52DD53F1" w14:textId="45D98928"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ABCB</w:t>
            </w:r>
          </w:p>
        </w:tc>
        <w:tc>
          <w:tcPr>
            <w:tcW w:w="1276" w:type="dxa"/>
            <w:shd w:val="clear" w:color="auto" w:fill="E2EFD9" w:themeFill="accent6" w:themeFillTint="33"/>
          </w:tcPr>
          <w:p w14:paraId="0890EEA5" w14:textId="11C40383"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Ongoing</w:t>
            </w:r>
          </w:p>
        </w:tc>
      </w:tr>
      <w:tr w:rsidR="000C3C34" w:rsidRPr="00AE0FEF" w14:paraId="167ECC09" w14:textId="6CA97A3D" w:rsidTr="007F376C">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E2EFD9" w:themeFill="accent6" w:themeFillTint="33"/>
          </w:tcPr>
          <w:p w14:paraId="7146D3FD" w14:textId="77777777" w:rsidR="000C3C34" w:rsidRPr="00740F57" w:rsidRDefault="000C3C34" w:rsidP="000C3C34">
            <w:pPr>
              <w:pStyle w:val="BodyText1"/>
              <w:spacing w:before="120" w:after="120"/>
              <w:ind w:left="0"/>
              <w:rPr>
                <w:rFonts w:ascii="Arial" w:eastAsia="Batang" w:hAnsi="Arial" w:cs="Arial"/>
                <w:b w:val="0"/>
                <w:sz w:val="20"/>
              </w:rPr>
            </w:pPr>
            <w:r w:rsidRPr="00740F57">
              <w:rPr>
                <w:rFonts w:ascii="Arial" w:eastAsia="Batang" w:hAnsi="Arial" w:cs="Arial"/>
                <w:b w:val="0"/>
                <w:sz w:val="20"/>
              </w:rPr>
              <w:t>Pesticides, agricultural chemicals including nationally consistent licensing of pest management professionals</w:t>
            </w:r>
          </w:p>
        </w:tc>
        <w:tc>
          <w:tcPr>
            <w:tcW w:w="992" w:type="dxa"/>
            <w:shd w:val="clear" w:color="auto" w:fill="E2EFD9" w:themeFill="accent6" w:themeFillTint="33"/>
          </w:tcPr>
          <w:p w14:paraId="453F89FF" w14:textId="10A1CAEC"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3</w:t>
            </w:r>
          </w:p>
        </w:tc>
        <w:tc>
          <w:tcPr>
            <w:tcW w:w="1560" w:type="dxa"/>
            <w:shd w:val="clear" w:color="auto" w:fill="E2EFD9" w:themeFill="accent6" w:themeFillTint="33"/>
          </w:tcPr>
          <w:p w14:paraId="319DD16E" w14:textId="4BA3BD4A"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1, 2, 3, 4</w:t>
            </w:r>
          </w:p>
        </w:tc>
        <w:tc>
          <w:tcPr>
            <w:tcW w:w="1842" w:type="dxa"/>
            <w:shd w:val="clear" w:color="auto" w:fill="E2EFD9" w:themeFill="accent6" w:themeFillTint="33"/>
          </w:tcPr>
          <w:p w14:paraId="0E7841FB" w14:textId="34035D7B"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B, F, G</w:t>
            </w:r>
          </w:p>
        </w:tc>
        <w:tc>
          <w:tcPr>
            <w:tcW w:w="1418" w:type="dxa"/>
            <w:shd w:val="clear" w:color="auto" w:fill="E2EFD9" w:themeFill="accent6" w:themeFillTint="33"/>
          </w:tcPr>
          <w:p w14:paraId="3687E591" w14:textId="7CB7BE7B"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enHealth, Agriculture, APVMA</w:t>
            </w:r>
          </w:p>
        </w:tc>
        <w:tc>
          <w:tcPr>
            <w:tcW w:w="1276" w:type="dxa"/>
            <w:shd w:val="clear" w:color="auto" w:fill="E2EFD9" w:themeFill="accent6" w:themeFillTint="33"/>
          </w:tcPr>
          <w:p w14:paraId="3CC359D1" w14:textId="6532094A" w:rsidR="000C3C34" w:rsidRDefault="000C3C34" w:rsidP="009F5C08">
            <w:pPr>
              <w:pStyle w:val="BodyText1"/>
              <w:spacing w:before="120" w:after="120"/>
              <w:ind w:left="0"/>
              <w:cnfStyle w:val="000000100000" w:firstRow="0" w:lastRow="0" w:firstColumn="0" w:lastColumn="0" w:oddVBand="0" w:evenVBand="0" w:oddHBand="1" w:evenHBand="0" w:firstRowFirstColumn="0" w:firstRowLastColumn="0" w:lastRowFirstColumn="0" w:lastRowLastColumn="0"/>
              <w:rPr>
                <w:rFonts w:ascii="Arial" w:eastAsia="Batang" w:hAnsi="Arial" w:cs="Arial"/>
                <w:sz w:val="20"/>
              </w:rPr>
            </w:pPr>
            <w:r>
              <w:rPr>
                <w:rFonts w:ascii="Arial" w:eastAsia="Batang" w:hAnsi="Arial" w:cs="Arial"/>
                <w:sz w:val="20"/>
              </w:rPr>
              <w:t>Ongoing, 2020-2023</w:t>
            </w:r>
          </w:p>
        </w:tc>
      </w:tr>
      <w:tr w:rsidR="000C3C34" w:rsidRPr="00AE0FEF" w14:paraId="03C637BF" w14:textId="2D5970E2" w:rsidTr="007F376C">
        <w:trPr>
          <w:trHeight w:val="495"/>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E2EFD9" w:themeFill="accent6" w:themeFillTint="33"/>
          </w:tcPr>
          <w:p w14:paraId="19663F60" w14:textId="6C7570DA" w:rsidR="000C3C34" w:rsidRPr="00740F57" w:rsidRDefault="000C3C34" w:rsidP="000C3C34">
            <w:pPr>
              <w:pStyle w:val="BodyText1"/>
              <w:spacing w:before="120" w:after="120"/>
              <w:ind w:left="0"/>
              <w:rPr>
                <w:rFonts w:ascii="Arial" w:eastAsia="Batang" w:hAnsi="Arial" w:cs="Arial"/>
                <w:b w:val="0"/>
                <w:sz w:val="20"/>
              </w:rPr>
            </w:pPr>
            <w:r w:rsidRPr="00740F57">
              <w:rPr>
                <w:rFonts w:ascii="Arial" w:eastAsia="Batang" w:hAnsi="Arial" w:cs="Arial"/>
                <w:b w:val="0"/>
                <w:sz w:val="20"/>
              </w:rPr>
              <w:t>Medicines and poisons regulation/legislation including national poison information centres</w:t>
            </w:r>
          </w:p>
        </w:tc>
        <w:tc>
          <w:tcPr>
            <w:tcW w:w="992" w:type="dxa"/>
            <w:shd w:val="clear" w:color="auto" w:fill="E2EFD9" w:themeFill="accent6" w:themeFillTint="33"/>
          </w:tcPr>
          <w:p w14:paraId="029A1202" w14:textId="29F2766F"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3</w:t>
            </w:r>
          </w:p>
        </w:tc>
        <w:tc>
          <w:tcPr>
            <w:tcW w:w="1560" w:type="dxa"/>
            <w:shd w:val="clear" w:color="auto" w:fill="E2EFD9" w:themeFill="accent6" w:themeFillTint="33"/>
          </w:tcPr>
          <w:p w14:paraId="6BB178D1" w14:textId="4A2E58E5"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1, 2, 3</w:t>
            </w:r>
          </w:p>
        </w:tc>
        <w:tc>
          <w:tcPr>
            <w:tcW w:w="1842" w:type="dxa"/>
            <w:shd w:val="clear" w:color="auto" w:fill="E2EFD9" w:themeFill="accent6" w:themeFillTint="33"/>
          </w:tcPr>
          <w:p w14:paraId="1274DC92" w14:textId="6E51D242"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A, F, G</w:t>
            </w:r>
          </w:p>
        </w:tc>
        <w:tc>
          <w:tcPr>
            <w:tcW w:w="1418" w:type="dxa"/>
            <w:shd w:val="clear" w:color="auto" w:fill="E2EFD9" w:themeFill="accent6" w:themeFillTint="33"/>
          </w:tcPr>
          <w:p w14:paraId="283E9426" w14:textId="4995A7F9"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proofErr w:type="spellStart"/>
            <w:r>
              <w:rPr>
                <w:rFonts w:ascii="Arial" w:eastAsia="Batang" w:hAnsi="Arial" w:cs="Arial"/>
                <w:sz w:val="20"/>
              </w:rPr>
              <w:t>enHealth</w:t>
            </w:r>
            <w:proofErr w:type="spellEnd"/>
            <w:r>
              <w:rPr>
                <w:rFonts w:ascii="Arial" w:eastAsia="Batang" w:hAnsi="Arial" w:cs="Arial"/>
                <w:sz w:val="20"/>
              </w:rPr>
              <w:t xml:space="preserve">, </w:t>
            </w:r>
            <w:proofErr w:type="spellStart"/>
            <w:r>
              <w:rPr>
                <w:rFonts w:ascii="Arial" w:eastAsia="Batang" w:hAnsi="Arial" w:cs="Arial"/>
                <w:sz w:val="20"/>
              </w:rPr>
              <w:t>C’wealth</w:t>
            </w:r>
            <w:proofErr w:type="spellEnd"/>
            <w:r>
              <w:rPr>
                <w:rFonts w:ascii="Arial" w:eastAsia="Batang" w:hAnsi="Arial" w:cs="Arial"/>
                <w:sz w:val="20"/>
              </w:rPr>
              <w:t>, TGA</w:t>
            </w:r>
          </w:p>
        </w:tc>
        <w:tc>
          <w:tcPr>
            <w:tcW w:w="1276" w:type="dxa"/>
            <w:shd w:val="clear" w:color="auto" w:fill="E2EFD9" w:themeFill="accent6" w:themeFillTint="33"/>
          </w:tcPr>
          <w:p w14:paraId="5B4C4C4A" w14:textId="3329EDBE" w:rsidR="000C3C34" w:rsidRDefault="000C3C34" w:rsidP="009F5C08">
            <w:pPr>
              <w:pStyle w:val="BodyText1"/>
              <w:spacing w:before="120" w:after="120"/>
              <w:ind w:left="0"/>
              <w:cnfStyle w:val="000000000000" w:firstRow="0" w:lastRow="0" w:firstColumn="0" w:lastColumn="0" w:oddVBand="0" w:evenVBand="0" w:oddHBand="0" w:evenHBand="0" w:firstRowFirstColumn="0" w:firstRowLastColumn="0" w:lastRowFirstColumn="0" w:lastRowLastColumn="0"/>
              <w:rPr>
                <w:rFonts w:ascii="Arial" w:eastAsia="Batang" w:hAnsi="Arial" w:cs="Arial"/>
                <w:sz w:val="20"/>
              </w:rPr>
            </w:pPr>
            <w:r>
              <w:rPr>
                <w:rFonts w:ascii="Arial" w:eastAsia="Batang" w:hAnsi="Arial" w:cs="Arial"/>
                <w:sz w:val="20"/>
              </w:rPr>
              <w:t>Ongoing, 2020-2023</w:t>
            </w:r>
          </w:p>
        </w:tc>
      </w:tr>
    </w:tbl>
    <w:p w14:paraId="313C8C7B" w14:textId="7C4895A3" w:rsidR="00EF1A1B" w:rsidRDefault="00EF1A1B">
      <w:pPr>
        <w:pStyle w:val="BodyText"/>
        <w:spacing w:before="120" w:after="120" w:line="300" w:lineRule="exact"/>
        <w:rPr>
          <w:rFonts w:ascii="Arial" w:eastAsiaTheme="minorHAnsi" w:hAnsi="Arial" w:cs="Arial"/>
          <w:b w:val="0"/>
          <w:bCs w:val="0"/>
          <w:sz w:val="16"/>
          <w:szCs w:val="16"/>
          <w:lang w:eastAsia="en-US" w:bidi="ar-SA"/>
        </w:rPr>
      </w:pPr>
      <w:r w:rsidRPr="00E60EF4">
        <w:rPr>
          <w:rFonts w:ascii="Arial" w:eastAsiaTheme="minorHAnsi" w:hAnsi="Arial" w:cs="Arial"/>
          <w:bCs w:val="0"/>
          <w:sz w:val="22"/>
          <w:szCs w:val="22"/>
          <w:lang w:eastAsia="en-US" w:bidi="ar-SA"/>
        </w:rPr>
        <w:t>*</w:t>
      </w:r>
      <w:r>
        <w:rPr>
          <w:rFonts w:ascii="Arial" w:eastAsiaTheme="minorHAnsi" w:hAnsi="Arial" w:cs="Arial"/>
          <w:b w:val="0"/>
          <w:bCs w:val="0"/>
          <w:sz w:val="22"/>
          <w:szCs w:val="22"/>
          <w:lang w:eastAsia="en-US" w:bidi="ar-SA"/>
        </w:rPr>
        <w:t xml:space="preserve"> </w:t>
      </w:r>
      <w:r w:rsidR="00B50AC3" w:rsidRPr="00E60EF4">
        <w:rPr>
          <w:rFonts w:ascii="Arial" w:eastAsiaTheme="minorHAnsi" w:hAnsi="Arial" w:cs="Arial"/>
          <w:bCs w:val="0"/>
          <w:sz w:val="16"/>
          <w:szCs w:val="16"/>
          <w:lang w:eastAsia="en-US" w:bidi="ar-SA"/>
        </w:rPr>
        <w:t>Priority</w:t>
      </w:r>
      <w:r w:rsidRPr="00E60EF4">
        <w:rPr>
          <w:rFonts w:ascii="Arial" w:eastAsiaTheme="minorHAnsi" w:hAnsi="Arial" w:cs="Arial"/>
          <w:b w:val="0"/>
          <w:bCs w:val="0"/>
          <w:sz w:val="16"/>
          <w:szCs w:val="16"/>
          <w:lang w:eastAsia="en-US" w:bidi="ar-SA"/>
        </w:rPr>
        <w:t xml:space="preserve">: </w:t>
      </w:r>
      <w:r>
        <w:rPr>
          <w:rFonts w:ascii="Arial" w:eastAsiaTheme="minorHAnsi" w:hAnsi="Arial" w:cs="Arial"/>
          <w:b w:val="0"/>
          <w:bCs w:val="0"/>
          <w:sz w:val="16"/>
          <w:szCs w:val="16"/>
          <w:lang w:eastAsia="en-US" w:bidi="ar-SA"/>
        </w:rPr>
        <w:t xml:space="preserve"> </w:t>
      </w:r>
      <w:r w:rsidRPr="00E60EF4">
        <w:rPr>
          <w:rFonts w:ascii="Arial" w:eastAsiaTheme="minorHAnsi" w:hAnsi="Arial" w:cs="Arial"/>
          <w:b w:val="0"/>
          <w:bCs w:val="0"/>
          <w:sz w:val="16"/>
          <w:szCs w:val="16"/>
          <w:lang w:eastAsia="en-US" w:bidi="ar-SA"/>
        </w:rPr>
        <w:t>Tier 1 – Issues of national significance requiring collaborative action and cooperation from all jurisdictions</w:t>
      </w:r>
      <w:r>
        <w:rPr>
          <w:rFonts w:ascii="Arial" w:eastAsiaTheme="minorHAnsi" w:hAnsi="Arial" w:cs="Arial"/>
          <w:b w:val="0"/>
          <w:bCs w:val="0"/>
          <w:sz w:val="16"/>
          <w:szCs w:val="16"/>
          <w:lang w:eastAsia="en-US" w:bidi="ar-SA"/>
        </w:rPr>
        <w:tab/>
      </w:r>
      <w:r>
        <w:rPr>
          <w:rFonts w:ascii="Arial" w:eastAsiaTheme="minorHAnsi" w:hAnsi="Arial" w:cs="Arial"/>
          <w:b w:val="0"/>
          <w:bCs w:val="0"/>
          <w:sz w:val="16"/>
          <w:szCs w:val="16"/>
          <w:lang w:eastAsia="en-US" w:bidi="ar-SA"/>
        </w:rPr>
        <w:tab/>
      </w:r>
      <w:r>
        <w:rPr>
          <w:rFonts w:ascii="Arial" w:eastAsiaTheme="minorHAnsi" w:hAnsi="Arial" w:cs="Arial"/>
          <w:b w:val="0"/>
          <w:bCs w:val="0"/>
          <w:sz w:val="16"/>
          <w:szCs w:val="16"/>
          <w:lang w:eastAsia="en-US" w:bidi="ar-SA"/>
        </w:rPr>
        <w:tab/>
      </w:r>
      <w:r>
        <w:rPr>
          <w:rFonts w:ascii="Arial" w:eastAsiaTheme="minorHAnsi" w:hAnsi="Arial" w:cs="Arial"/>
          <w:b w:val="0"/>
          <w:bCs w:val="0"/>
          <w:sz w:val="16"/>
          <w:szCs w:val="16"/>
          <w:lang w:eastAsia="en-US" w:bidi="ar-SA"/>
        </w:rPr>
        <w:tab/>
        <w:t xml:space="preserve">   Tier 2 – Longer term ongoing work or work which has entered its implementation phase</w:t>
      </w:r>
      <w:r>
        <w:rPr>
          <w:rFonts w:ascii="Arial" w:eastAsiaTheme="minorHAnsi" w:hAnsi="Arial" w:cs="Arial"/>
          <w:b w:val="0"/>
          <w:bCs w:val="0"/>
          <w:sz w:val="16"/>
          <w:szCs w:val="16"/>
          <w:lang w:eastAsia="en-US" w:bidi="ar-SA"/>
        </w:rPr>
        <w:tab/>
      </w:r>
      <w:r>
        <w:rPr>
          <w:rFonts w:ascii="Arial" w:eastAsiaTheme="minorHAnsi" w:hAnsi="Arial" w:cs="Arial"/>
          <w:b w:val="0"/>
          <w:bCs w:val="0"/>
          <w:sz w:val="16"/>
          <w:szCs w:val="16"/>
          <w:lang w:eastAsia="en-US" w:bidi="ar-SA"/>
        </w:rPr>
        <w:tab/>
      </w:r>
      <w:r>
        <w:rPr>
          <w:rFonts w:ascii="Arial" w:eastAsiaTheme="minorHAnsi" w:hAnsi="Arial" w:cs="Arial"/>
          <w:b w:val="0"/>
          <w:bCs w:val="0"/>
          <w:sz w:val="16"/>
          <w:szCs w:val="16"/>
          <w:lang w:eastAsia="en-US" w:bidi="ar-SA"/>
        </w:rPr>
        <w:tab/>
      </w:r>
      <w:r>
        <w:rPr>
          <w:rFonts w:ascii="Arial" w:eastAsiaTheme="minorHAnsi" w:hAnsi="Arial" w:cs="Arial"/>
          <w:b w:val="0"/>
          <w:bCs w:val="0"/>
          <w:sz w:val="16"/>
          <w:szCs w:val="16"/>
          <w:lang w:eastAsia="en-US" w:bidi="ar-SA"/>
        </w:rPr>
        <w:tab/>
      </w:r>
      <w:r>
        <w:rPr>
          <w:rFonts w:ascii="Arial" w:eastAsiaTheme="minorHAnsi" w:hAnsi="Arial" w:cs="Arial"/>
          <w:b w:val="0"/>
          <w:bCs w:val="0"/>
          <w:sz w:val="16"/>
          <w:szCs w:val="16"/>
          <w:lang w:eastAsia="en-US" w:bidi="ar-SA"/>
        </w:rPr>
        <w:tab/>
      </w:r>
      <w:r>
        <w:rPr>
          <w:rFonts w:ascii="Arial" w:eastAsiaTheme="minorHAnsi" w:hAnsi="Arial" w:cs="Arial"/>
          <w:b w:val="0"/>
          <w:bCs w:val="0"/>
          <w:sz w:val="16"/>
          <w:szCs w:val="16"/>
          <w:lang w:eastAsia="en-US" w:bidi="ar-SA"/>
        </w:rPr>
        <w:tab/>
        <w:t xml:space="preserve">   Tier 3 – Ongoing core business or work in progress requested by AHPPC or other stakeholders</w:t>
      </w:r>
      <w:r>
        <w:rPr>
          <w:rFonts w:ascii="Arial" w:eastAsiaTheme="minorHAnsi" w:hAnsi="Arial" w:cs="Arial"/>
          <w:b w:val="0"/>
          <w:bCs w:val="0"/>
          <w:sz w:val="16"/>
          <w:szCs w:val="16"/>
          <w:lang w:eastAsia="en-US" w:bidi="ar-SA"/>
        </w:rPr>
        <w:tab/>
      </w:r>
      <w:r>
        <w:rPr>
          <w:rFonts w:ascii="Arial" w:eastAsiaTheme="minorHAnsi" w:hAnsi="Arial" w:cs="Arial"/>
          <w:b w:val="0"/>
          <w:bCs w:val="0"/>
          <w:sz w:val="16"/>
          <w:szCs w:val="16"/>
          <w:lang w:eastAsia="en-US" w:bidi="ar-SA"/>
        </w:rPr>
        <w:tab/>
      </w:r>
      <w:r>
        <w:rPr>
          <w:rFonts w:ascii="Arial" w:eastAsiaTheme="minorHAnsi" w:hAnsi="Arial" w:cs="Arial"/>
          <w:b w:val="0"/>
          <w:bCs w:val="0"/>
          <w:sz w:val="16"/>
          <w:szCs w:val="16"/>
          <w:lang w:eastAsia="en-US" w:bidi="ar-SA"/>
        </w:rPr>
        <w:tab/>
        <w:t xml:space="preserve">                 </w:t>
      </w:r>
      <w:r w:rsidR="00B50AC3">
        <w:rPr>
          <w:rFonts w:ascii="Arial" w:eastAsiaTheme="minorHAnsi" w:hAnsi="Arial" w:cs="Arial"/>
          <w:b w:val="0"/>
          <w:bCs w:val="0"/>
          <w:sz w:val="16"/>
          <w:szCs w:val="16"/>
          <w:lang w:eastAsia="en-US" w:bidi="ar-SA"/>
        </w:rPr>
        <w:t xml:space="preserve">        </w:t>
      </w:r>
      <w:r w:rsidRPr="00E60EF4">
        <w:rPr>
          <w:rFonts w:ascii="Arial" w:eastAsiaTheme="minorHAnsi" w:hAnsi="Arial" w:cs="Arial"/>
          <w:bCs w:val="0"/>
          <w:sz w:val="22"/>
          <w:szCs w:val="22"/>
          <w:lang w:eastAsia="en-US" w:bidi="ar-SA"/>
        </w:rPr>
        <w:t>^</w:t>
      </w:r>
      <w:r w:rsidRPr="00E60EF4">
        <w:rPr>
          <w:rFonts w:ascii="Arial" w:eastAsiaTheme="minorHAnsi" w:hAnsi="Arial" w:cs="Arial"/>
          <w:bCs w:val="0"/>
          <w:sz w:val="16"/>
          <w:szCs w:val="16"/>
          <w:lang w:eastAsia="en-US" w:bidi="ar-SA"/>
        </w:rPr>
        <w:t xml:space="preserve"> Enablers</w:t>
      </w:r>
      <w:r>
        <w:rPr>
          <w:rFonts w:ascii="Arial" w:eastAsiaTheme="minorHAnsi" w:hAnsi="Arial" w:cs="Arial"/>
          <w:b w:val="0"/>
          <w:bCs w:val="0"/>
          <w:sz w:val="16"/>
          <w:szCs w:val="16"/>
          <w:lang w:eastAsia="en-US" w:bidi="ar-SA"/>
        </w:rPr>
        <w:t xml:space="preserve">: 1. Strong governance and leadership 2. Collaborative partnerships 3. Effective communications 4. Coordinated and timely response </w:t>
      </w:r>
      <w:r>
        <w:rPr>
          <w:rFonts w:ascii="Arial" w:eastAsiaTheme="minorHAnsi" w:hAnsi="Arial" w:cs="Arial"/>
          <w:b w:val="0"/>
          <w:bCs w:val="0"/>
          <w:sz w:val="16"/>
          <w:szCs w:val="16"/>
          <w:lang w:eastAsia="en-US" w:bidi="ar-SA"/>
        </w:rPr>
        <w:tab/>
      </w:r>
      <w:r w:rsidR="00FA457C">
        <w:rPr>
          <w:rFonts w:ascii="Arial" w:eastAsiaTheme="minorHAnsi" w:hAnsi="Arial" w:cs="Arial"/>
          <w:b w:val="0"/>
          <w:bCs w:val="0"/>
          <w:sz w:val="16"/>
          <w:szCs w:val="16"/>
          <w:lang w:eastAsia="en-US" w:bidi="ar-SA"/>
        </w:rPr>
        <w:t xml:space="preserve">     </w:t>
      </w:r>
      <w:r>
        <w:rPr>
          <w:rFonts w:ascii="Arial" w:eastAsiaTheme="minorHAnsi" w:hAnsi="Arial" w:cs="Arial"/>
          <w:b w:val="0"/>
          <w:bCs w:val="0"/>
          <w:sz w:val="16"/>
          <w:szCs w:val="16"/>
          <w:lang w:eastAsia="en-US" w:bidi="ar-SA"/>
        </w:rPr>
        <w:t>5. Strengthening research capacity</w:t>
      </w:r>
      <w:r w:rsidR="005C3C62">
        <w:rPr>
          <w:rFonts w:ascii="Arial" w:eastAsiaTheme="minorHAnsi" w:hAnsi="Arial" w:cs="Arial"/>
          <w:b w:val="0"/>
          <w:bCs w:val="0"/>
          <w:sz w:val="16"/>
          <w:szCs w:val="16"/>
          <w:lang w:eastAsia="en-US" w:bidi="ar-SA"/>
        </w:rPr>
        <w:t xml:space="preserve"> 6. Skilled workforce</w:t>
      </w:r>
      <w:r w:rsidR="005C3C62">
        <w:rPr>
          <w:rFonts w:ascii="Arial" w:eastAsiaTheme="minorHAnsi" w:hAnsi="Arial" w:cs="Arial"/>
          <w:b w:val="0"/>
          <w:bCs w:val="0"/>
          <w:sz w:val="16"/>
          <w:szCs w:val="16"/>
          <w:lang w:eastAsia="en-US" w:bidi="ar-SA"/>
        </w:rPr>
        <w:tab/>
      </w:r>
      <w:r w:rsidR="005C3C62">
        <w:rPr>
          <w:rFonts w:ascii="Arial" w:eastAsiaTheme="minorHAnsi" w:hAnsi="Arial" w:cs="Arial"/>
          <w:b w:val="0"/>
          <w:bCs w:val="0"/>
          <w:sz w:val="16"/>
          <w:szCs w:val="16"/>
          <w:lang w:eastAsia="en-US" w:bidi="ar-SA"/>
        </w:rPr>
        <w:tab/>
      </w:r>
      <w:r w:rsidR="005C3C62">
        <w:rPr>
          <w:rFonts w:ascii="Arial" w:eastAsiaTheme="minorHAnsi" w:hAnsi="Arial" w:cs="Arial"/>
          <w:b w:val="0"/>
          <w:bCs w:val="0"/>
          <w:sz w:val="16"/>
          <w:szCs w:val="16"/>
          <w:lang w:eastAsia="en-US" w:bidi="ar-SA"/>
        </w:rPr>
        <w:tab/>
      </w:r>
      <w:r w:rsidR="005C3C62">
        <w:rPr>
          <w:rFonts w:ascii="Arial" w:eastAsiaTheme="minorHAnsi" w:hAnsi="Arial" w:cs="Arial"/>
          <w:b w:val="0"/>
          <w:bCs w:val="0"/>
          <w:sz w:val="16"/>
          <w:szCs w:val="16"/>
          <w:lang w:eastAsia="en-US" w:bidi="ar-SA"/>
        </w:rPr>
        <w:tab/>
      </w:r>
      <w:r w:rsidR="005C3C62">
        <w:rPr>
          <w:rFonts w:ascii="Arial" w:eastAsiaTheme="minorHAnsi" w:hAnsi="Arial" w:cs="Arial"/>
          <w:b w:val="0"/>
          <w:bCs w:val="0"/>
          <w:sz w:val="16"/>
          <w:szCs w:val="16"/>
          <w:lang w:eastAsia="en-US" w:bidi="ar-SA"/>
        </w:rPr>
        <w:tab/>
      </w:r>
      <w:r w:rsidR="005C3C62">
        <w:rPr>
          <w:rFonts w:ascii="Arial" w:eastAsiaTheme="minorHAnsi" w:hAnsi="Arial" w:cs="Arial"/>
          <w:b w:val="0"/>
          <w:bCs w:val="0"/>
          <w:sz w:val="16"/>
          <w:szCs w:val="16"/>
          <w:lang w:eastAsia="en-US" w:bidi="ar-SA"/>
        </w:rPr>
        <w:tab/>
      </w:r>
      <w:r w:rsidR="005C3C62">
        <w:rPr>
          <w:rFonts w:ascii="Arial" w:eastAsiaTheme="minorHAnsi" w:hAnsi="Arial" w:cs="Arial"/>
          <w:b w:val="0"/>
          <w:bCs w:val="0"/>
          <w:sz w:val="16"/>
          <w:szCs w:val="16"/>
          <w:lang w:eastAsia="en-US" w:bidi="ar-SA"/>
        </w:rPr>
        <w:tab/>
      </w:r>
      <w:r w:rsidR="005C3C62">
        <w:rPr>
          <w:rFonts w:ascii="Arial" w:eastAsiaTheme="minorHAnsi" w:hAnsi="Arial" w:cs="Arial"/>
          <w:b w:val="0"/>
          <w:bCs w:val="0"/>
          <w:sz w:val="16"/>
          <w:szCs w:val="16"/>
          <w:lang w:eastAsia="en-US" w:bidi="ar-SA"/>
        </w:rPr>
        <w:tab/>
        <w:t xml:space="preserve">            </w:t>
      </w:r>
      <w:r w:rsidR="005C3C62" w:rsidRPr="00E60EF4">
        <w:rPr>
          <w:rFonts w:ascii="Arial" w:eastAsiaTheme="minorHAnsi" w:hAnsi="Arial" w:cs="Arial"/>
          <w:bCs w:val="0"/>
          <w:sz w:val="16"/>
          <w:szCs w:val="16"/>
          <w:lang w:eastAsia="en-US" w:bidi="ar-SA"/>
        </w:rPr>
        <w:t># Key focus areas</w:t>
      </w:r>
      <w:r w:rsidR="005C3C62">
        <w:rPr>
          <w:rFonts w:ascii="Arial" w:eastAsiaTheme="minorHAnsi" w:hAnsi="Arial" w:cs="Arial"/>
          <w:b w:val="0"/>
          <w:bCs w:val="0"/>
          <w:sz w:val="16"/>
          <w:szCs w:val="16"/>
          <w:lang w:eastAsia="en-US" w:bidi="ar-SA"/>
        </w:rPr>
        <w:t xml:space="preserve">: A. Timely, coordinated and evidence-based response B. Nationally consistent evidence and management C. National policy and </w:t>
      </w:r>
      <w:r w:rsidR="00FA457C">
        <w:rPr>
          <w:rFonts w:ascii="Arial" w:eastAsiaTheme="minorHAnsi" w:hAnsi="Arial" w:cs="Arial"/>
          <w:b w:val="0"/>
          <w:bCs w:val="0"/>
          <w:sz w:val="16"/>
          <w:szCs w:val="16"/>
          <w:lang w:eastAsia="en-US" w:bidi="ar-SA"/>
        </w:rPr>
        <w:t xml:space="preserve">  </w:t>
      </w:r>
      <w:r w:rsidR="005C3C62">
        <w:rPr>
          <w:rFonts w:ascii="Arial" w:eastAsiaTheme="minorHAnsi" w:hAnsi="Arial" w:cs="Arial"/>
          <w:b w:val="0"/>
          <w:bCs w:val="0"/>
          <w:sz w:val="16"/>
          <w:szCs w:val="16"/>
          <w:lang w:eastAsia="en-US" w:bidi="ar-SA"/>
        </w:rPr>
        <w:t>practice frameworks D. Sufficient and skilled workforce E. Improved conditions and outcomes for ATSI communities F. Nationally consistent frameworks G. Effective and coordinated partnerships with stakeholders H. Strengthened research and data capacity</w:t>
      </w:r>
    </w:p>
    <w:p w14:paraId="69A51547" w14:textId="48BED52E" w:rsidR="00474F46" w:rsidRDefault="00474F46" w:rsidP="00474F46">
      <w:pPr>
        <w:pStyle w:val="BodyText"/>
        <w:spacing w:before="120" w:after="120" w:line="300" w:lineRule="exact"/>
        <w:rPr>
          <w:rFonts w:ascii="Arial" w:eastAsiaTheme="minorHAnsi" w:hAnsi="Arial" w:cs="Arial"/>
          <w:b w:val="0"/>
          <w:bCs w:val="0"/>
          <w:sz w:val="22"/>
          <w:szCs w:val="22"/>
          <w:lang w:eastAsia="en-US" w:bidi="ar-SA"/>
        </w:rPr>
      </w:pPr>
    </w:p>
    <w:p w14:paraId="57BE5413" w14:textId="77777777" w:rsidR="00DD78CB" w:rsidRDefault="00DD78CB" w:rsidP="007F376C">
      <w:pPr>
        <w:pStyle w:val="BodyText"/>
        <w:spacing w:before="120" w:after="120" w:line="300" w:lineRule="exact"/>
        <w:rPr>
          <w:rFonts w:ascii="Arial" w:hAnsi="Arial" w:cs="Arial"/>
          <w:b w:val="0"/>
          <w:bCs w:val="0"/>
          <w:sz w:val="22"/>
          <w:szCs w:val="22"/>
        </w:rPr>
      </w:pPr>
    </w:p>
    <w:p w14:paraId="0D9F8E4E" w14:textId="77777777" w:rsidR="00562EFE" w:rsidRPr="00CC3A23" w:rsidRDefault="00562EFE" w:rsidP="00562EFE">
      <w:pPr>
        <w:rPr>
          <w:rFonts w:ascii="Arial" w:hAnsi="Arial" w:cs="Arial"/>
          <w:b/>
          <w:color w:val="70AD47" w:themeColor="accent6"/>
          <w:sz w:val="22"/>
          <w:szCs w:val="22"/>
        </w:rPr>
      </w:pPr>
      <w:r w:rsidRPr="00CC3A23">
        <w:rPr>
          <w:rFonts w:ascii="Arial" w:hAnsi="Arial" w:cs="Arial"/>
          <w:b/>
          <w:color w:val="70AD47" w:themeColor="accent6"/>
          <w:sz w:val="22"/>
          <w:szCs w:val="22"/>
        </w:rPr>
        <w:t>Publications and Completed Projects</w:t>
      </w:r>
    </w:p>
    <w:p w14:paraId="3D22FF5B" w14:textId="1BB3DE51" w:rsidR="00562EFE" w:rsidRDefault="00E23296" w:rsidP="00562EFE">
      <w:pPr>
        <w:spacing w:before="120" w:after="120" w:line="300" w:lineRule="exact"/>
        <w:rPr>
          <w:rFonts w:ascii="Arial" w:eastAsia="Times New Roman" w:hAnsi="Arial" w:cs="Arial"/>
          <w:sz w:val="22"/>
          <w:szCs w:val="20"/>
        </w:rPr>
      </w:pPr>
      <w:r>
        <w:rPr>
          <w:rFonts w:ascii="Arial" w:eastAsia="Times New Roman" w:hAnsi="Arial" w:cs="Arial"/>
          <w:sz w:val="22"/>
          <w:szCs w:val="20"/>
        </w:rPr>
        <w:t xml:space="preserve">In line with its strategic and work plans, </w:t>
      </w:r>
      <w:r w:rsidR="00562EFE" w:rsidRPr="00CC3A23">
        <w:rPr>
          <w:rFonts w:ascii="Arial" w:eastAsia="Times New Roman" w:hAnsi="Arial" w:cs="Arial"/>
          <w:sz w:val="22"/>
          <w:szCs w:val="20"/>
        </w:rPr>
        <w:t xml:space="preserve">enHealth produces a variety of publications of different types and these can be found </w:t>
      </w:r>
      <w:r w:rsidR="00562EFE" w:rsidRPr="00F74BD2">
        <w:rPr>
          <w:rFonts w:ascii="Arial" w:eastAsia="Times New Roman" w:hAnsi="Arial" w:cs="Arial"/>
          <w:sz w:val="22"/>
          <w:szCs w:val="20"/>
        </w:rPr>
        <w:t xml:space="preserve">on the following webpage: </w:t>
      </w:r>
    </w:p>
    <w:p w14:paraId="02AB28AB" w14:textId="78DC9B78" w:rsidR="00562EFE" w:rsidRPr="00DC3FD4" w:rsidRDefault="00562EFE" w:rsidP="00562EFE">
      <w:pPr>
        <w:spacing w:before="120" w:after="120" w:line="300" w:lineRule="exact"/>
        <w:rPr>
          <w:rFonts w:ascii="Arial" w:hAnsi="Arial" w:cs="Arial"/>
          <w:sz w:val="22"/>
          <w:szCs w:val="22"/>
        </w:rPr>
      </w:pPr>
      <w:r w:rsidRPr="008F77F7">
        <w:rPr>
          <w:rFonts w:ascii="Arial" w:hAnsi="Arial" w:cs="Arial"/>
          <w:sz w:val="22"/>
          <w:szCs w:val="22"/>
        </w:rPr>
        <w:t>https://www1.health.gov.au/internet/main/publishing.nsf/Content/health-pubhlth-publicat-environ.htm</w:t>
      </w:r>
    </w:p>
    <w:p w14:paraId="74589499" w14:textId="5E649999" w:rsidR="00E23296" w:rsidRDefault="00E23296" w:rsidP="00562EFE">
      <w:pPr>
        <w:spacing w:before="120" w:after="120" w:line="300" w:lineRule="exact"/>
        <w:rPr>
          <w:rFonts w:ascii="Arial" w:eastAsia="Times New Roman" w:hAnsi="Arial" w:cs="Arial"/>
          <w:sz w:val="22"/>
          <w:szCs w:val="20"/>
        </w:rPr>
      </w:pPr>
      <w:r>
        <w:rPr>
          <w:rFonts w:ascii="Arial" w:eastAsia="Times New Roman" w:hAnsi="Arial" w:cs="Arial"/>
          <w:color w:val="222222"/>
          <w:sz w:val="22"/>
          <w:szCs w:val="22"/>
        </w:rPr>
        <w:t>The publications listed on this page also i</w:t>
      </w:r>
      <w:r w:rsidR="00562EFE" w:rsidRPr="00F74BD2">
        <w:rPr>
          <w:rFonts w:ascii="Arial" w:eastAsia="Times New Roman" w:hAnsi="Arial" w:cs="Arial"/>
          <w:color w:val="222222"/>
          <w:sz w:val="22"/>
          <w:szCs w:val="22"/>
        </w:rPr>
        <w:t xml:space="preserve">nclude </w:t>
      </w:r>
      <w:r>
        <w:rPr>
          <w:rFonts w:ascii="Arial" w:eastAsia="Times New Roman" w:hAnsi="Arial" w:cs="Arial"/>
          <w:color w:val="222222"/>
          <w:sz w:val="22"/>
          <w:szCs w:val="22"/>
        </w:rPr>
        <w:t xml:space="preserve">those </w:t>
      </w:r>
      <w:r w:rsidR="00562EFE" w:rsidRPr="00F74BD2">
        <w:rPr>
          <w:rFonts w:ascii="Arial" w:eastAsia="Times New Roman" w:hAnsi="Arial" w:cs="Arial"/>
          <w:color w:val="222222"/>
          <w:sz w:val="22"/>
          <w:szCs w:val="22"/>
        </w:rPr>
        <w:t>produced by the National E</w:t>
      </w:r>
      <w:r>
        <w:rPr>
          <w:rFonts w:ascii="Arial" w:eastAsia="Times New Roman" w:hAnsi="Arial" w:cs="Arial"/>
          <w:color w:val="222222"/>
          <w:sz w:val="22"/>
          <w:szCs w:val="22"/>
        </w:rPr>
        <w:t>nvironmental Health Forum, as the predecessor of</w:t>
      </w:r>
      <w:r w:rsidR="00562EFE" w:rsidRPr="00F74BD2">
        <w:rPr>
          <w:rFonts w:ascii="Arial" w:eastAsia="Times New Roman" w:hAnsi="Arial" w:cs="Arial"/>
          <w:color w:val="222222"/>
          <w:sz w:val="22"/>
          <w:szCs w:val="22"/>
        </w:rPr>
        <w:t xml:space="preserve"> enHealth.</w:t>
      </w:r>
      <w:r w:rsidR="00562EFE" w:rsidRPr="00F74BD2">
        <w:rPr>
          <w:rFonts w:ascii="Arial" w:eastAsia="Times New Roman" w:hAnsi="Arial" w:cs="Arial"/>
          <w:sz w:val="22"/>
          <w:szCs w:val="20"/>
        </w:rPr>
        <w:t xml:space="preserve"> </w:t>
      </w:r>
    </w:p>
    <w:p w14:paraId="40FC18D2" w14:textId="6D0FB318" w:rsidR="00F74BD2" w:rsidRPr="0057546A" w:rsidRDefault="00E23296" w:rsidP="00031423">
      <w:pPr>
        <w:spacing w:before="120" w:after="120" w:line="300" w:lineRule="exact"/>
        <w:rPr>
          <w:rFonts w:ascii="Arial" w:hAnsi="Arial" w:cs="Arial"/>
          <w:b/>
          <w:bCs/>
          <w:sz w:val="22"/>
          <w:szCs w:val="22"/>
        </w:rPr>
      </w:pPr>
      <w:r>
        <w:rPr>
          <w:rFonts w:ascii="Arial" w:eastAsia="Times New Roman" w:hAnsi="Arial" w:cs="Arial"/>
          <w:sz w:val="22"/>
          <w:szCs w:val="20"/>
        </w:rPr>
        <w:t>Accessible versions of recent</w:t>
      </w:r>
      <w:r w:rsidR="00562EFE" w:rsidRPr="00F74BD2">
        <w:rPr>
          <w:rFonts w:ascii="Arial" w:eastAsia="Times New Roman" w:hAnsi="Arial" w:cs="Arial"/>
          <w:sz w:val="22"/>
          <w:szCs w:val="20"/>
        </w:rPr>
        <w:t xml:space="preserve"> publications can be downloaded online, while electronic copies of older publications </w:t>
      </w:r>
      <w:r w:rsidR="00562EFE">
        <w:rPr>
          <w:rFonts w:ascii="Arial" w:eastAsia="Times New Roman" w:hAnsi="Arial" w:cs="Arial"/>
          <w:sz w:val="22"/>
          <w:szCs w:val="20"/>
        </w:rPr>
        <w:t>are</w:t>
      </w:r>
      <w:r w:rsidR="00562EFE" w:rsidRPr="00F74BD2">
        <w:rPr>
          <w:rFonts w:ascii="Arial" w:eastAsia="Times New Roman" w:hAnsi="Arial" w:cs="Arial"/>
          <w:bCs/>
          <w:sz w:val="22"/>
          <w:szCs w:val="20"/>
        </w:rPr>
        <w:t xml:space="preserve"> obtained </w:t>
      </w:r>
      <w:r w:rsidR="00562EFE">
        <w:rPr>
          <w:rFonts w:ascii="Arial" w:eastAsia="Times New Roman" w:hAnsi="Arial" w:cs="Arial"/>
          <w:bCs/>
          <w:sz w:val="22"/>
          <w:szCs w:val="20"/>
        </w:rPr>
        <w:t>from</w:t>
      </w:r>
      <w:r w:rsidR="00562EFE" w:rsidRPr="00F74BD2">
        <w:rPr>
          <w:rFonts w:ascii="Arial" w:eastAsia="Times New Roman" w:hAnsi="Arial" w:cs="Arial"/>
          <w:bCs/>
          <w:sz w:val="22"/>
          <w:szCs w:val="20"/>
        </w:rPr>
        <w:t xml:space="preserve"> the enHealth Secretariat</w:t>
      </w:r>
      <w:r w:rsidR="00562EFE">
        <w:rPr>
          <w:rFonts w:ascii="Arial" w:eastAsia="Times New Roman" w:hAnsi="Arial" w:cs="Arial"/>
          <w:bCs/>
          <w:sz w:val="22"/>
          <w:szCs w:val="20"/>
        </w:rPr>
        <w:t xml:space="preserve"> at</w:t>
      </w:r>
      <w:r w:rsidR="00562EFE" w:rsidRPr="00F74BD2">
        <w:rPr>
          <w:rFonts w:ascii="Arial" w:eastAsia="Times New Roman" w:hAnsi="Arial" w:cs="Arial"/>
          <w:bCs/>
          <w:sz w:val="22"/>
          <w:szCs w:val="20"/>
        </w:rPr>
        <w:t xml:space="preserve"> </w:t>
      </w:r>
      <w:hyperlink r:id="rId15" w:history="1">
        <w:r w:rsidR="00562EFE" w:rsidRPr="00F74BD2">
          <w:rPr>
            <w:rFonts w:ascii="Arial" w:eastAsia="Times New Roman" w:hAnsi="Arial" w:cs="Arial"/>
            <w:bCs/>
            <w:color w:val="0000FF"/>
            <w:sz w:val="22"/>
            <w:szCs w:val="20"/>
            <w:u w:val="single"/>
          </w:rPr>
          <w:t>enHealth.Secretariat@health.gov.au</w:t>
        </w:r>
      </w:hyperlink>
      <w:r w:rsidR="00562EFE" w:rsidRPr="00F74BD2">
        <w:rPr>
          <w:rFonts w:ascii="Arial" w:eastAsia="Times New Roman" w:hAnsi="Arial" w:cs="Arial"/>
          <w:sz w:val="22"/>
          <w:szCs w:val="20"/>
        </w:rPr>
        <w:t>.</w:t>
      </w:r>
      <w:bookmarkStart w:id="7" w:name="_Toc456255418"/>
      <w:bookmarkStart w:id="8" w:name="_Toc456255504"/>
      <w:bookmarkStart w:id="9" w:name="_Toc456255597"/>
      <w:bookmarkStart w:id="10" w:name="_Toc456255642"/>
      <w:bookmarkEnd w:id="7"/>
      <w:bookmarkEnd w:id="8"/>
      <w:bookmarkEnd w:id="9"/>
      <w:bookmarkEnd w:id="10"/>
      <w:r w:rsidR="00031423" w:rsidRPr="0057546A">
        <w:rPr>
          <w:rFonts w:ascii="Arial" w:hAnsi="Arial" w:cs="Arial"/>
          <w:b/>
          <w:bCs/>
          <w:sz w:val="22"/>
          <w:szCs w:val="22"/>
        </w:rPr>
        <w:t xml:space="preserve"> </w:t>
      </w:r>
    </w:p>
    <w:sectPr w:rsidR="00F74BD2" w:rsidRPr="0057546A" w:rsidSect="00E60EF4">
      <w:pgSz w:w="11906" w:h="16838"/>
      <w:pgMar w:top="567" w:right="680" w:bottom="567" w:left="680"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9963" w14:textId="77777777" w:rsidR="0050172D" w:rsidRDefault="0050172D" w:rsidP="003B14EC">
      <w:pPr>
        <w:spacing w:after="0" w:line="240" w:lineRule="auto"/>
      </w:pPr>
      <w:r>
        <w:separator/>
      </w:r>
    </w:p>
  </w:endnote>
  <w:endnote w:type="continuationSeparator" w:id="0">
    <w:p w14:paraId="0FF03F79" w14:textId="77777777" w:rsidR="0050172D" w:rsidRDefault="0050172D" w:rsidP="003B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1)">
    <w:altName w:val="Arial"/>
    <w:panose1 w:val="020B060402020202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A5DD" w14:textId="77777777" w:rsidR="0050172D" w:rsidRDefault="0050172D" w:rsidP="003B14EC">
      <w:pPr>
        <w:spacing w:after="0" w:line="240" w:lineRule="auto"/>
      </w:pPr>
      <w:r>
        <w:separator/>
      </w:r>
    </w:p>
  </w:footnote>
  <w:footnote w:type="continuationSeparator" w:id="0">
    <w:p w14:paraId="5DB8F699" w14:textId="77777777" w:rsidR="0050172D" w:rsidRDefault="0050172D" w:rsidP="003B1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0241" w14:textId="77777777" w:rsidR="00562EFE" w:rsidRPr="003B14EC" w:rsidRDefault="00562EFE" w:rsidP="003B14EC">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88BE" w14:textId="11D6BF08" w:rsidR="00562EFE" w:rsidRPr="00714D1A" w:rsidRDefault="00562EFE" w:rsidP="002652BB">
    <w:pPr>
      <w:pStyle w:val="BodyText"/>
      <w:spacing w:before="120" w:after="120"/>
      <w:jc w:val="center"/>
      <w:rPr>
        <w:color w:val="70AD47" w:themeColor="accent6"/>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11"/>
    <w:multiLevelType w:val="hybridMultilevel"/>
    <w:tmpl w:val="88CA1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51951"/>
    <w:multiLevelType w:val="hybridMultilevel"/>
    <w:tmpl w:val="00C026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0D2954"/>
    <w:multiLevelType w:val="hybridMultilevel"/>
    <w:tmpl w:val="84566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D043F7"/>
    <w:multiLevelType w:val="hybridMultilevel"/>
    <w:tmpl w:val="61462874"/>
    <w:lvl w:ilvl="0" w:tplc="0C090015">
      <w:start w:val="8"/>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50F4687"/>
    <w:multiLevelType w:val="hybridMultilevel"/>
    <w:tmpl w:val="95F436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D71C9B"/>
    <w:multiLevelType w:val="hybridMultilevel"/>
    <w:tmpl w:val="50648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CF300F"/>
    <w:multiLevelType w:val="hybridMultilevel"/>
    <w:tmpl w:val="BB4CC62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0C734B7D"/>
    <w:multiLevelType w:val="hybridMultilevel"/>
    <w:tmpl w:val="20C0B128"/>
    <w:lvl w:ilvl="0" w:tplc="7778AC5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730B23"/>
    <w:multiLevelType w:val="multilevel"/>
    <w:tmpl w:val="E2602F3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9"/>
      <w:numFmt w:val="none"/>
      <w:pStyle w:val="Heading3"/>
      <w:isLgl/>
      <w:lvlText w:val="9.2.%2"/>
      <w:lvlJc w:val="left"/>
      <w:pPr>
        <w:tabs>
          <w:tab w:val="num" w:pos="720"/>
        </w:tabs>
        <w:ind w:left="720" w:hanging="720"/>
      </w:pPr>
      <w:rPr>
        <w:rFonts w:hint="default"/>
      </w:rPr>
    </w:lvl>
    <w:lvl w:ilvl="3">
      <w:start w:val="1"/>
      <w:numFmt w:val="decimal"/>
      <w:lvlText w:val="%1.%4.%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AC0834"/>
    <w:multiLevelType w:val="hybridMultilevel"/>
    <w:tmpl w:val="1EAAC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F93F4E"/>
    <w:multiLevelType w:val="hybridMultilevel"/>
    <w:tmpl w:val="9B12A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2D70EF"/>
    <w:multiLevelType w:val="hybridMultilevel"/>
    <w:tmpl w:val="9F9C9850"/>
    <w:lvl w:ilvl="0" w:tplc="0C090015">
      <w:start w:val="8"/>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B594E0B"/>
    <w:multiLevelType w:val="hybridMultilevel"/>
    <w:tmpl w:val="8522F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602B95"/>
    <w:multiLevelType w:val="hybridMultilevel"/>
    <w:tmpl w:val="4D82C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853548"/>
    <w:multiLevelType w:val="multilevel"/>
    <w:tmpl w:val="3EA824F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188038A"/>
    <w:multiLevelType w:val="hybridMultilevel"/>
    <w:tmpl w:val="F8C07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75476E3"/>
    <w:multiLevelType w:val="multilevel"/>
    <w:tmpl w:val="667C3710"/>
    <w:numStyleLink w:val="PPMList"/>
  </w:abstractNum>
  <w:abstractNum w:abstractNumId="17" w15:restartNumberingAfterBreak="0">
    <w:nsid w:val="27E00358"/>
    <w:multiLevelType w:val="multilevel"/>
    <w:tmpl w:val="F312C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232F70"/>
    <w:multiLevelType w:val="hybridMultilevel"/>
    <w:tmpl w:val="344E1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5D3FFF"/>
    <w:multiLevelType w:val="hybridMultilevel"/>
    <w:tmpl w:val="204EC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894A0A"/>
    <w:multiLevelType w:val="hybridMultilevel"/>
    <w:tmpl w:val="333AC66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09627FA"/>
    <w:multiLevelType w:val="hybridMultilevel"/>
    <w:tmpl w:val="A56ED7A6"/>
    <w:lvl w:ilvl="0" w:tplc="0C090001">
      <w:start w:val="1"/>
      <w:numFmt w:val="decimal"/>
      <w:pStyle w:val="PPMNumberlevel1"/>
      <w:lvlText w:val="%1."/>
      <w:lvlJc w:val="left"/>
      <w:pPr>
        <w:ind w:left="786" w:hanging="360"/>
      </w:pPr>
      <w:rPr>
        <w:rFonts w:hint="default"/>
      </w:rPr>
    </w:lvl>
    <w:lvl w:ilvl="1" w:tplc="0C090003">
      <w:start w:val="1"/>
      <w:numFmt w:val="lowerLetter"/>
      <w:lvlText w:val="%2."/>
      <w:lvlJc w:val="left"/>
      <w:pPr>
        <w:ind w:left="1866" w:hanging="360"/>
      </w:pPr>
    </w:lvl>
    <w:lvl w:ilvl="2" w:tplc="0C090005">
      <w:start w:val="1"/>
      <w:numFmt w:val="lowerRoman"/>
      <w:lvlText w:val="%3."/>
      <w:lvlJc w:val="right"/>
      <w:pPr>
        <w:ind w:left="2586" w:hanging="180"/>
      </w:pPr>
    </w:lvl>
    <w:lvl w:ilvl="3" w:tplc="0C090001" w:tentative="1">
      <w:start w:val="1"/>
      <w:numFmt w:val="decimal"/>
      <w:lvlText w:val="%4."/>
      <w:lvlJc w:val="left"/>
      <w:pPr>
        <w:ind w:left="3306" w:hanging="360"/>
      </w:pPr>
    </w:lvl>
    <w:lvl w:ilvl="4" w:tplc="0C090003" w:tentative="1">
      <w:start w:val="1"/>
      <w:numFmt w:val="lowerLetter"/>
      <w:lvlText w:val="%5."/>
      <w:lvlJc w:val="left"/>
      <w:pPr>
        <w:ind w:left="4026" w:hanging="360"/>
      </w:pPr>
    </w:lvl>
    <w:lvl w:ilvl="5" w:tplc="0C090005" w:tentative="1">
      <w:start w:val="1"/>
      <w:numFmt w:val="lowerRoman"/>
      <w:lvlText w:val="%6."/>
      <w:lvlJc w:val="right"/>
      <w:pPr>
        <w:ind w:left="4746" w:hanging="180"/>
      </w:pPr>
    </w:lvl>
    <w:lvl w:ilvl="6" w:tplc="0C090001" w:tentative="1">
      <w:start w:val="1"/>
      <w:numFmt w:val="decimal"/>
      <w:lvlText w:val="%7."/>
      <w:lvlJc w:val="left"/>
      <w:pPr>
        <w:ind w:left="5466" w:hanging="360"/>
      </w:pPr>
    </w:lvl>
    <w:lvl w:ilvl="7" w:tplc="0C090003" w:tentative="1">
      <w:start w:val="1"/>
      <w:numFmt w:val="lowerLetter"/>
      <w:lvlText w:val="%8."/>
      <w:lvlJc w:val="left"/>
      <w:pPr>
        <w:ind w:left="6186" w:hanging="360"/>
      </w:pPr>
    </w:lvl>
    <w:lvl w:ilvl="8" w:tplc="0C090005" w:tentative="1">
      <w:start w:val="1"/>
      <w:numFmt w:val="lowerRoman"/>
      <w:lvlText w:val="%9."/>
      <w:lvlJc w:val="right"/>
      <w:pPr>
        <w:ind w:left="6906" w:hanging="180"/>
      </w:pPr>
    </w:lvl>
  </w:abstractNum>
  <w:abstractNum w:abstractNumId="22" w15:restartNumberingAfterBreak="0">
    <w:nsid w:val="3379589A"/>
    <w:multiLevelType w:val="hybridMultilevel"/>
    <w:tmpl w:val="E08AC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CD4423"/>
    <w:multiLevelType w:val="hybridMultilevel"/>
    <w:tmpl w:val="58DC42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A050103"/>
    <w:multiLevelType w:val="hybridMultilevel"/>
    <w:tmpl w:val="DBAC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8D7E85"/>
    <w:multiLevelType w:val="hybridMultilevel"/>
    <w:tmpl w:val="9E0A8686"/>
    <w:lvl w:ilvl="0" w:tplc="40067972">
      <w:start w:val="1"/>
      <w:numFmt w:val="upperLetter"/>
      <w:lvlText w:val="%1."/>
      <w:lvlJc w:val="left"/>
      <w:pPr>
        <w:ind w:left="360" w:hanging="360"/>
      </w:pPr>
      <w:rPr>
        <w:rFonts w:ascii="Arial" w:eastAsia="Calibr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1E65148"/>
    <w:multiLevelType w:val="hybridMultilevel"/>
    <w:tmpl w:val="7DC8E0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51327A"/>
    <w:multiLevelType w:val="hybridMultilevel"/>
    <w:tmpl w:val="ADE4BA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73591E"/>
    <w:multiLevelType w:val="hybridMultilevel"/>
    <w:tmpl w:val="73588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45B21EF"/>
    <w:multiLevelType w:val="hybridMultilevel"/>
    <w:tmpl w:val="74F8F1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511130"/>
    <w:multiLevelType w:val="hybridMultilevel"/>
    <w:tmpl w:val="493E5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C6235A"/>
    <w:multiLevelType w:val="hybridMultilevel"/>
    <w:tmpl w:val="CB484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06251E"/>
    <w:multiLevelType w:val="hybridMultilevel"/>
    <w:tmpl w:val="5016C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B122D8A"/>
    <w:multiLevelType w:val="hybridMultilevel"/>
    <w:tmpl w:val="97FE9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8E643A"/>
    <w:multiLevelType w:val="hybridMultilevel"/>
    <w:tmpl w:val="7FD0CD90"/>
    <w:lvl w:ilvl="0" w:tplc="8ABE24AA">
      <w:numFmt w:val="bullet"/>
      <w:lvlText w:val="•"/>
      <w:lvlJc w:val="left"/>
      <w:pPr>
        <w:ind w:left="1211" w:hanging="360"/>
      </w:pPr>
      <w:rPr>
        <w:rFonts w:ascii="Calibri" w:eastAsia="Batang"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EC6BE8"/>
    <w:multiLevelType w:val="hybridMultilevel"/>
    <w:tmpl w:val="102A9A7E"/>
    <w:lvl w:ilvl="0" w:tplc="8ABE24AA">
      <w:numFmt w:val="bullet"/>
      <w:lvlText w:val="•"/>
      <w:lvlJc w:val="left"/>
      <w:pPr>
        <w:ind w:left="1211" w:hanging="360"/>
      </w:pPr>
      <w:rPr>
        <w:rFonts w:ascii="Calibri" w:eastAsia="Batang" w:hAnsi="Calibri"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6" w15:restartNumberingAfterBreak="0">
    <w:nsid w:val="4F792DE5"/>
    <w:multiLevelType w:val="hybridMultilevel"/>
    <w:tmpl w:val="83D29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FFE1C30"/>
    <w:multiLevelType w:val="hybridMultilevel"/>
    <w:tmpl w:val="D44CE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8" w15:restartNumberingAfterBreak="0">
    <w:nsid w:val="50080B2C"/>
    <w:multiLevelType w:val="hybridMultilevel"/>
    <w:tmpl w:val="35DEE9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18E7168"/>
    <w:multiLevelType w:val="hybridMultilevel"/>
    <w:tmpl w:val="B8087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1BC4DAD"/>
    <w:multiLevelType w:val="hybridMultilevel"/>
    <w:tmpl w:val="315E5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4F505CC"/>
    <w:multiLevelType w:val="hybridMultilevel"/>
    <w:tmpl w:val="F49CB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50B4E3B"/>
    <w:multiLevelType w:val="hybridMultilevel"/>
    <w:tmpl w:val="7D34A9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6DE3C81"/>
    <w:multiLevelType w:val="hybridMultilevel"/>
    <w:tmpl w:val="C7D6183E"/>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7465542"/>
    <w:multiLevelType w:val="hybridMultilevel"/>
    <w:tmpl w:val="9C32B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C296C8D"/>
    <w:multiLevelType w:val="multilevel"/>
    <w:tmpl w:val="667C3710"/>
    <w:styleLink w:val="PPMList"/>
    <w:lvl w:ilvl="0">
      <w:start w:val="1"/>
      <w:numFmt w:val="decimal"/>
      <w:pStyle w:val="PPMNumbered"/>
      <w:lvlText w:val="%1."/>
      <w:lvlJc w:val="left"/>
      <w:pPr>
        <w:tabs>
          <w:tab w:val="num" w:pos="1701"/>
        </w:tabs>
        <w:ind w:left="1701" w:hanging="567"/>
      </w:pPr>
      <w:rPr>
        <w:rFonts w:hint="default"/>
      </w:rPr>
    </w:lvl>
    <w:lvl w:ilvl="1">
      <w:start w:val="1"/>
      <w:numFmt w:val="lowerLetter"/>
      <w:lvlText w:val="%2."/>
      <w:lvlJc w:val="left"/>
      <w:pPr>
        <w:tabs>
          <w:tab w:val="num" w:pos="1701"/>
        </w:tabs>
        <w:ind w:left="2268" w:hanging="567"/>
      </w:pPr>
      <w:rPr>
        <w:rFonts w:hint="default"/>
      </w:rPr>
    </w:lvl>
    <w:lvl w:ilvl="2">
      <w:start w:val="1"/>
      <w:numFmt w:val="lowerRoman"/>
      <w:lvlText w:val="%3."/>
      <w:lvlJc w:val="left"/>
      <w:pPr>
        <w:ind w:left="2835" w:hanging="567"/>
      </w:pPr>
      <w:rPr>
        <w:rFonts w:hint="default"/>
      </w:rPr>
    </w:lvl>
    <w:lvl w:ilvl="3">
      <w:start w:val="1"/>
      <w:numFmt w:val="decimal"/>
      <w:lvlText w:val="(%4)"/>
      <w:lvlJc w:val="left"/>
      <w:pPr>
        <w:ind w:left="-1449" w:hanging="360"/>
      </w:pPr>
      <w:rPr>
        <w:rFonts w:hint="default"/>
      </w:rPr>
    </w:lvl>
    <w:lvl w:ilvl="4">
      <w:start w:val="1"/>
      <w:numFmt w:val="lowerLetter"/>
      <w:lvlText w:val="(%5)"/>
      <w:lvlJc w:val="left"/>
      <w:pPr>
        <w:ind w:left="-1089" w:hanging="360"/>
      </w:pPr>
      <w:rPr>
        <w:rFonts w:hint="default"/>
      </w:rPr>
    </w:lvl>
    <w:lvl w:ilvl="5">
      <w:start w:val="1"/>
      <w:numFmt w:val="lowerRoman"/>
      <w:lvlText w:val="(%6)"/>
      <w:lvlJc w:val="left"/>
      <w:pPr>
        <w:ind w:left="-729" w:hanging="360"/>
      </w:pPr>
      <w:rPr>
        <w:rFonts w:hint="default"/>
      </w:rPr>
    </w:lvl>
    <w:lvl w:ilvl="6">
      <w:start w:val="1"/>
      <w:numFmt w:val="decimal"/>
      <w:lvlText w:val="%7."/>
      <w:lvlJc w:val="left"/>
      <w:pPr>
        <w:ind w:left="-369" w:hanging="360"/>
      </w:pPr>
      <w:rPr>
        <w:rFonts w:hint="default"/>
      </w:rPr>
    </w:lvl>
    <w:lvl w:ilvl="7">
      <w:start w:val="1"/>
      <w:numFmt w:val="lowerLetter"/>
      <w:lvlText w:val="%8."/>
      <w:lvlJc w:val="left"/>
      <w:pPr>
        <w:ind w:left="-9" w:hanging="360"/>
      </w:pPr>
      <w:rPr>
        <w:rFonts w:hint="default"/>
      </w:rPr>
    </w:lvl>
    <w:lvl w:ilvl="8">
      <w:start w:val="1"/>
      <w:numFmt w:val="lowerRoman"/>
      <w:lvlText w:val="%9."/>
      <w:lvlJc w:val="left"/>
      <w:pPr>
        <w:ind w:left="351" w:hanging="360"/>
      </w:pPr>
      <w:rPr>
        <w:rFonts w:hint="default"/>
      </w:rPr>
    </w:lvl>
  </w:abstractNum>
  <w:abstractNum w:abstractNumId="46" w15:restartNumberingAfterBreak="0">
    <w:nsid w:val="5D5E370C"/>
    <w:multiLevelType w:val="hybridMultilevel"/>
    <w:tmpl w:val="F524E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2FA4BB6"/>
    <w:multiLevelType w:val="hybridMultilevel"/>
    <w:tmpl w:val="6B424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367458F"/>
    <w:multiLevelType w:val="hybridMultilevel"/>
    <w:tmpl w:val="5C7C5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5843D30"/>
    <w:multiLevelType w:val="hybridMultilevel"/>
    <w:tmpl w:val="4F8AC1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75911E4"/>
    <w:multiLevelType w:val="hybridMultilevel"/>
    <w:tmpl w:val="9C58742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D343D36"/>
    <w:multiLevelType w:val="hybridMultilevel"/>
    <w:tmpl w:val="C9925F7E"/>
    <w:lvl w:ilvl="0" w:tplc="F000D0E8">
      <w:start w:val="1"/>
      <w:numFmt w:val="upp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FB40AEE"/>
    <w:multiLevelType w:val="hybridMultilevel"/>
    <w:tmpl w:val="DAAEDF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1853E1B"/>
    <w:multiLevelType w:val="hybridMultilevel"/>
    <w:tmpl w:val="BA54AC76"/>
    <w:lvl w:ilvl="0" w:tplc="04090001">
      <w:start w:val="1"/>
      <w:numFmt w:val="bullet"/>
      <w:lvlText w:val=""/>
      <w:lvlJc w:val="left"/>
      <w:pPr>
        <w:ind w:left="2550" w:hanging="360"/>
      </w:pPr>
      <w:rPr>
        <w:rFonts w:ascii="Symbol" w:hAnsi="Symbo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54" w15:restartNumberingAfterBreak="0">
    <w:nsid w:val="774C7156"/>
    <w:multiLevelType w:val="hybridMultilevel"/>
    <w:tmpl w:val="E7CC31AC"/>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5" w15:restartNumberingAfterBreak="0">
    <w:nsid w:val="7830161F"/>
    <w:multiLevelType w:val="hybridMultilevel"/>
    <w:tmpl w:val="187E047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8F401D6"/>
    <w:multiLevelType w:val="multilevel"/>
    <w:tmpl w:val="C33A2390"/>
    <w:styleLink w:val="BulletList"/>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0F7BBB"/>
    <w:multiLevelType w:val="hybridMultilevel"/>
    <w:tmpl w:val="62E0B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F64716C"/>
    <w:multiLevelType w:val="hybridMultilevel"/>
    <w:tmpl w:val="270E8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4964748">
    <w:abstractNumId w:val="17"/>
  </w:num>
  <w:num w:numId="2" w16cid:durableId="973751206">
    <w:abstractNumId w:val="14"/>
  </w:num>
  <w:num w:numId="3" w16cid:durableId="132451360">
    <w:abstractNumId w:val="8"/>
  </w:num>
  <w:num w:numId="4" w16cid:durableId="1014652147">
    <w:abstractNumId w:val="25"/>
  </w:num>
  <w:num w:numId="5" w16cid:durableId="1660428947">
    <w:abstractNumId w:val="7"/>
  </w:num>
  <w:num w:numId="6" w16cid:durableId="1820027563">
    <w:abstractNumId w:val="46"/>
  </w:num>
  <w:num w:numId="7" w16cid:durableId="521012604">
    <w:abstractNumId w:val="21"/>
  </w:num>
  <w:num w:numId="8" w16cid:durableId="1966807110">
    <w:abstractNumId w:val="6"/>
  </w:num>
  <w:num w:numId="9" w16cid:durableId="1358046560">
    <w:abstractNumId w:val="35"/>
  </w:num>
  <w:num w:numId="10" w16cid:durableId="140654088">
    <w:abstractNumId w:val="34"/>
  </w:num>
  <w:num w:numId="11" w16cid:durableId="1241478753">
    <w:abstractNumId w:val="18"/>
  </w:num>
  <w:num w:numId="12" w16cid:durableId="417865681">
    <w:abstractNumId w:val="55"/>
  </w:num>
  <w:num w:numId="13" w16cid:durableId="1853294829">
    <w:abstractNumId w:val="31"/>
  </w:num>
  <w:num w:numId="14" w16cid:durableId="1212378699">
    <w:abstractNumId w:val="2"/>
  </w:num>
  <w:num w:numId="15" w16cid:durableId="1342246117">
    <w:abstractNumId w:val="52"/>
  </w:num>
  <w:num w:numId="16" w16cid:durableId="1946690712">
    <w:abstractNumId w:val="49"/>
  </w:num>
  <w:num w:numId="17" w16cid:durableId="276256384">
    <w:abstractNumId w:val="10"/>
  </w:num>
  <w:num w:numId="18" w16cid:durableId="533081947">
    <w:abstractNumId w:val="12"/>
  </w:num>
  <w:num w:numId="19" w16cid:durableId="1474516698">
    <w:abstractNumId w:val="58"/>
  </w:num>
  <w:num w:numId="20" w16cid:durableId="1841894402">
    <w:abstractNumId w:val="43"/>
  </w:num>
  <w:num w:numId="21" w16cid:durableId="144593152">
    <w:abstractNumId w:val="53"/>
  </w:num>
  <w:num w:numId="22" w16cid:durableId="364985298">
    <w:abstractNumId w:val="24"/>
  </w:num>
  <w:num w:numId="23" w16cid:durableId="940146303">
    <w:abstractNumId w:val="45"/>
  </w:num>
  <w:num w:numId="24" w16cid:durableId="1367945957">
    <w:abstractNumId w:val="16"/>
  </w:num>
  <w:num w:numId="25" w16cid:durableId="1344160362">
    <w:abstractNumId w:val="51"/>
  </w:num>
  <w:num w:numId="26" w16cid:durableId="1678191284">
    <w:abstractNumId w:val="20"/>
  </w:num>
  <w:num w:numId="27" w16cid:durableId="16858691">
    <w:abstractNumId w:val="11"/>
  </w:num>
  <w:num w:numId="28" w16cid:durableId="1188063127">
    <w:abstractNumId w:val="3"/>
  </w:num>
  <w:num w:numId="29" w16cid:durableId="1126705611">
    <w:abstractNumId w:val="50"/>
  </w:num>
  <w:num w:numId="30" w16cid:durableId="1010529856">
    <w:abstractNumId w:val="56"/>
  </w:num>
  <w:num w:numId="31" w16cid:durableId="1580871436">
    <w:abstractNumId w:val="28"/>
  </w:num>
  <w:num w:numId="32" w16cid:durableId="813907051">
    <w:abstractNumId w:val="9"/>
  </w:num>
  <w:num w:numId="33" w16cid:durableId="1947955352">
    <w:abstractNumId w:val="44"/>
  </w:num>
  <w:num w:numId="34" w16cid:durableId="2146774834">
    <w:abstractNumId w:val="30"/>
  </w:num>
  <w:num w:numId="35" w16cid:durableId="22168300">
    <w:abstractNumId w:val="57"/>
  </w:num>
  <w:num w:numId="36" w16cid:durableId="743144075">
    <w:abstractNumId w:val="39"/>
  </w:num>
  <w:num w:numId="37" w16cid:durableId="223612992">
    <w:abstractNumId w:val="48"/>
  </w:num>
  <w:num w:numId="38" w16cid:durableId="835149958">
    <w:abstractNumId w:val="5"/>
  </w:num>
  <w:num w:numId="39" w16cid:durableId="470562815">
    <w:abstractNumId w:val="54"/>
  </w:num>
  <w:num w:numId="40" w16cid:durableId="263923962">
    <w:abstractNumId w:val="1"/>
  </w:num>
  <w:num w:numId="41" w16cid:durableId="1267691327">
    <w:abstractNumId w:val="4"/>
  </w:num>
  <w:num w:numId="42" w16cid:durableId="1854684859">
    <w:abstractNumId w:val="13"/>
  </w:num>
  <w:num w:numId="43" w16cid:durableId="1427966136">
    <w:abstractNumId w:val="36"/>
  </w:num>
  <w:num w:numId="44" w16cid:durableId="367150608">
    <w:abstractNumId w:val="27"/>
  </w:num>
  <w:num w:numId="45" w16cid:durableId="458450954">
    <w:abstractNumId w:val="32"/>
  </w:num>
  <w:num w:numId="46" w16cid:durableId="1528905339">
    <w:abstractNumId w:val="38"/>
  </w:num>
  <w:num w:numId="47" w16cid:durableId="1381174615">
    <w:abstractNumId w:val="19"/>
  </w:num>
  <w:num w:numId="48" w16cid:durableId="2125493654">
    <w:abstractNumId w:val="15"/>
  </w:num>
  <w:num w:numId="49" w16cid:durableId="1467503044">
    <w:abstractNumId w:val="37"/>
  </w:num>
  <w:num w:numId="50" w16cid:durableId="1712462671">
    <w:abstractNumId w:val="47"/>
  </w:num>
  <w:num w:numId="51" w16cid:durableId="1434210159">
    <w:abstractNumId w:val="40"/>
  </w:num>
  <w:num w:numId="52" w16cid:durableId="1429765952">
    <w:abstractNumId w:val="22"/>
  </w:num>
  <w:num w:numId="53" w16cid:durableId="614605445">
    <w:abstractNumId w:val="23"/>
  </w:num>
  <w:num w:numId="54" w16cid:durableId="1991522157">
    <w:abstractNumId w:val="26"/>
  </w:num>
  <w:num w:numId="55" w16cid:durableId="1068309219">
    <w:abstractNumId w:val="29"/>
  </w:num>
  <w:num w:numId="56" w16cid:durableId="701713425">
    <w:abstractNumId w:val="33"/>
  </w:num>
  <w:num w:numId="57" w16cid:durableId="1817214330">
    <w:abstractNumId w:val="41"/>
  </w:num>
  <w:num w:numId="58" w16cid:durableId="111167528">
    <w:abstractNumId w:val="42"/>
  </w:num>
  <w:num w:numId="59" w16cid:durableId="1009866783">
    <w:abstractNumId w:val="37"/>
  </w:num>
  <w:num w:numId="60" w16cid:durableId="2102296002">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E61"/>
    <w:rsid w:val="000142DA"/>
    <w:rsid w:val="00016A02"/>
    <w:rsid w:val="000264A9"/>
    <w:rsid w:val="00031423"/>
    <w:rsid w:val="000418F0"/>
    <w:rsid w:val="000B0359"/>
    <w:rsid w:val="000C3C34"/>
    <w:rsid w:val="000D1F55"/>
    <w:rsid w:val="000D1F84"/>
    <w:rsid w:val="000F42F0"/>
    <w:rsid w:val="00121CDA"/>
    <w:rsid w:val="001232F0"/>
    <w:rsid w:val="0014170B"/>
    <w:rsid w:val="00145D22"/>
    <w:rsid w:val="001528BF"/>
    <w:rsid w:val="001A3F12"/>
    <w:rsid w:val="001B14DB"/>
    <w:rsid w:val="001D00A8"/>
    <w:rsid w:val="00200450"/>
    <w:rsid w:val="00215314"/>
    <w:rsid w:val="002652BB"/>
    <w:rsid w:val="00280050"/>
    <w:rsid w:val="00292303"/>
    <w:rsid w:val="002D445F"/>
    <w:rsid w:val="003068B3"/>
    <w:rsid w:val="00306D8E"/>
    <w:rsid w:val="00365C1A"/>
    <w:rsid w:val="0039504D"/>
    <w:rsid w:val="003965DD"/>
    <w:rsid w:val="003A51A3"/>
    <w:rsid w:val="003B14EC"/>
    <w:rsid w:val="003B1AA9"/>
    <w:rsid w:val="00404B74"/>
    <w:rsid w:val="004108F2"/>
    <w:rsid w:val="0042329E"/>
    <w:rsid w:val="00474F46"/>
    <w:rsid w:val="00484108"/>
    <w:rsid w:val="004A20FF"/>
    <w:rsid w:val="004A2869"/>
    <w:rsid w:val="004C1783"/>
    <w:rsid w:val="004E1BA0"/>
    <w:rsid w:val="0050172D"/>
    <w:rsid w:val="00513E60"/>
    <w:rsid w:val="00520378"/>
    <w:rsid w:val="0052184B"/>
    <w:rsid w:val="00532A32"/>
    <w:rsid w:val="005409C7"/>
    <w:rsid w:val="00540E6C"/>
    <w:rsid w:val="005430CE"/>
    <w:rsid w:val="0054549A"/>
    <w:rsid w:val="005464ED"/>
    <w:rsid w:val="00547282"/>
    <w:rsid w:val="00556BAD"/>
    <w:rsid w:val="00562EFE"/>
    <w:rsid w:val="005650CB"/>
    <w:rsid w:val="0057546A"/>
    <w:rsid w:val="005860EE"/>
    <w:rsid w:val="005C3C62"/>
    <w:rsid w:val="005C708A"/>
    <w:rsid w:val="005D099E"/>
    <w:rsid w:val="005D2828"/>
    <w:rsid w:val="005E15D2"/>
    <w:rsid w:val="005E4831"/>
    <w:rsid w:val="00624B53"/>
    <w:rsid w:val="006252DF"/>
    <w:rsid w:val="00627743"/>
    <w:rsid w:val="006433C3"/>
    <w:rsid w:val="00652091"/>
    <w:rsid w:val="0066523D"/>
    <w:rsid w:val="00671495"/>
    <w:rsid w:val="0067484B"/>
    <w:rsid w:val="006776DB"/>
    <w:rsid w:val="0068370A"/>
    <w:rsid w:val="00683967"/>
    <w:rsid w:val="00691861"/>
    <w:rsid w:val="006A22C8"/>
    <w:rsid w:val="006B347E"/>
    <w:rsid w:val="006D4C10"/>
    <w:rsid w:val="006E2EC7"/>
    <w:rsid w:val="006F1216"/>
    <w:rsid w:val="00714D1A"/>
    <w:rsid w:val="0072093B"/>
    <w:rsid w:val="00740F57"/>
    <w:rsid w:val="00752354"/>
    <w:rsid w:val="007715C9"/>
    <w:rsid w:val="00776BEE"/>
    <w:rsid w:val="007A25FC"/>
    <w:rsid w:val="007A610C"/>
    <w:rsid w:val="007E4FFB"/>
    <w:rsid w:val="007F0961"/>
    <w:rsid w:val="007F2154"/>
    <w:rsid w:val="007F376C"/>
    <w:rsid w:val="007F4CC9"/>
    <w:rsid w:val="00815799"/>
    <w:rsid w:val="00821AB0"/>
    <w:rsid w:val="008370DF"/>
    <w:rsid w:val="00846A82"/>
    <w:rsid w:val="008545EB"/>
    <w:rsid w:val="00854BA6"/>
    <w:rsid w:val="00856D10"/>
    <w:rsid w:val="00882638"/>
    <w:rsid w:val="0089044D"/>
    <w:rsid w:val="00897807"/>
    <w:rsid w:val="008E7385"/>
    <w:rsid w:val="008F45DB"/>
    <w:rsid w:val="008F61AF"/>
    <w:rsid w:val="008F77F7"/>
    <w:rsid w:val="009150FF"/>
    <w:rsid w:val="00951A5D"/>
    <w:rsid w:val="0096543B"/>
    <w:rsid w:val="00971232"/>
    <w:rsid w:val="009D4437"/>
    <w:rsid w:val="009F5C08"/>
    <w:rsid w:val="00A03DD8"/>
    <w:rsid w:val="00A34546"/>
    <w:rsid w:val="00A36B29"/>
    <w:rsid w:val="00A429DB"/>
    <w:rsid w:val="00A438F7"/>
    <w:rsid w:val="00A4457D"/>
    <w:rsid w:val="00AB04FC"/>
    <w:rsid w:val="00AD54AF"/>
    <w:rsid w:val="00AF0076"/>
    <w:rsid w:val="00B161FC"/>
    <w:rsid w:val="00B47C90"/>
    <w:rsid w:val="00B50AC3"/>
    <w:rsid w:val="00C205C6"/>
    <w:rsid w:val="00C55507"/>
    <w:rsid w:val="00C757E7"/>
    <w:rsid w:val="00C8120F"/>
    <w:rsid w:val="00C86E87"/>
    <w:rsid w:val="00CA275F"/>
    <w:rsid w:val="00CB4701"/>
    <w:rsid w:val="00CC3A23"/>
    <w:rsid w:val="00CE1264"/>
    <w:rsid w:val="00D07EE3"/>
    <w:rsid w:val="00D42E6D"/>
    <w:rsid w:val="00D53D6D"/>
    <w:rsid w:val="00D6243A"/>
    <w:rsid w:val="00D70BD0"/>
    <w:rsid w:val="00D71ED2"/>
    <w:rsid w:val="00DA081A"/>
    <w:rsid w:val="00DB30DB"/>
    <w:rsid w:val="00DC2F46"/>
    <w:rsid w:val="00DC3FD4"/>
    <w:rsid w:val="00DD06E1"/>
    <w:rsid w:val="00DD5D09"/>
    <w:rsid w:val="00DD6E61"/>
    <w:rsid w:val="00DD78CB"/>
    <w:rsid w:val="00E1502C"/>
    <w:rsid w:val="00E206E3"/>
    <w:rsid w:val="00E208CC"/>
    <w:rsid w:val="00E2154C"/>
    <w:rsid w:val="00E23296"/>
    <w:rsid w:val="00E23784"/>
    <w:rsid w:val="00E268C1"/>
    <w:rsid w:val="00E43DE6"/>
    <w:rsid w:val="00E60EF4"/>
    <w:rsid w:val="00E744A0"/>
    <w:rsid w:val="00EC1EF8"/>
    <w:rsid w:val="00ED16C1"/>
    <w:rsid w:val="00EF1A1B"/>
    <w:rsid w:val="00F14D6C"/>
    <w:rsid w:val="00F16803"/>
    <w:rsid w:val="00F177F5"/>
    <w:rsid w:val="00F43235"/>
    <w:rsid w:val="00F504C5"/>
    <w:rsid w:val="00F72441"/>
    <w:rsid w:val="00F74BD2"/>
    <w:rsid w:val="00FA457C"/>
    <w:rsid w:val="00FB1FF3"/>
    <w:rsid w:val="00FB55DB"/>
    <w:rsid w:val="00FE160B"/>
    <w:rsid w:val="00FF5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2C9BF"/>
  <w15:docId w15:val="{AEB64627-B771-495D-A0E8-628C838F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150FF"/>
    <w:pPr>
      <w:keepNext/>
      <w:numPr>
        <w:numId w:val="2"/>
      </w:numPr>
      <w:tabs>
        <w:tab w:val="left" w:pos="-1440"/>
        <w:tab w:val="left" w:pos="567"/>
      </w:tabs>
      <w:spacing w:after="0" w:line="240" w:lineRule="auto"/>
      <w:outlineLvl w:val="0"/>
    </w:pPr>
    <w:rPr>
      <w:rFonts w:ascii="Arial (W1)" w:eastAsia="Times New Roman" w:hAnsi="Arial (W1)"/>
      <w:b/>
      <w:caps/>
      <w:color w:val="943634"/>
      <w:sz w:val="22"/>
      <w:szCs w:val="20"/>
    </w:rPr>
  </w:style>
  <w:style w:type="paragraph" w:styleId="Heading2">
    <w:name w:val="heading 2"/>
    <w:basedOn w:val="Normal"/>
    <w:next w:val="Normal"/>
    <w:link w:val="Heading2Char"/>
    <w:qFormat/>
    <w:rsid w:val="009150FF"/>
    <w:pPr>
      <w:numPr>
        <w:ilvl w:val="1"/>
        <w:numId w:val="2"/>
      </w:numPr>
      <w:spacing w:after="0" w:line="240" w:lineRule="auto"/>
      <w:outlineLvl w:val="1"/>
    </w:pPr>
    <w:rPr>
      <w:rFonts w:ascii="Arial" w:eastAsia="Times New Roman" w:hAnsi="Arial" w:cs="Arial"/>
      <w:b/>
      <w:color w:val="943634"/>
      <w:sz w:val="22"/>
      <w:szCs w:val="22"/>
    </w:rPr>
  </w:style>
  <w:style w:type="paragraph" w:styleId="Heading3">
    <w:name w:val="heading 3"/>
    <w:basedOn w:val="Normal"/>
    <w:next w:val="Normal"/>
    <w:link w:val="Heading3Char"/>
    <w:qFormat/>
    <w:rsid w:val="009150FF"/>
    <w:pPr>
      <w:keepNext/>
      <w:numPr>
        <w:ilvl w:val="2"/>
        <w:numId w:val="3"/>
      </w:numPr>
      <w:spacing w:after="0" w:line="240" w:lineRule="auto"/>
      <w:outlineLvl w:val="2"/>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6E61"/>
    <w:pPr>
      <w:widowControl w:val="0"/>
      <w:autoSpaceDE w:val="0"/>
      <w:autoSpaceDN w:val="0"/>
      <w:spacing w:after="0" w:line="240" w:lineRule="auto"/>
    </w:pPr>
    <w:rPr>
      <w:rFonts w:ascii="Calibri" w:eastAsia="Calibri" w:hAnsi="Calibri" w:cs="Calibri"/>
      <w:b/>
      <w:bCs/>
      <w:sz w:val="28"/>
      <w:szCs w:val="28"/>
      <w:lang w:eastAsia="en-AU" w:bidi="en-AU"/>
    </w:rPr>
  </w:style>
  <w:style w:type="character" w:customStyle="1" w:styleId="BodyTextChar">
    <w:name w:val="Body Text Char"/>
    <w:basedOn w:val="DefaultParagraphFont"/>
    <w:link w:val="BodyText"/>
    <w:uiPriority w:val="1"/>
    <w:rsid w:val="00DD6E61"/>
    <w:rPr>
      <w:rFonts w:ascii="Calibri" w:eastAsia="Calibri" w:hAnsi="Calibri" w:cs="Calibri"/>
      <w:b/>
      <w:bCs/>
      <w:sz w:val="28"/>
      <w:szCs w:val="28"/>
      <w:lang w:eastAsia="en-AU" w:bidi="en-AU"/>
    </w:rPr>
  </w:style>
  <w:style w:type="character" w:styleId="Emphasis">
    <w:name w:val="Emphasis"/>
    <w:basedOn w:val="DefaultParagraphFont"/>
    <w:uiPriority w:val="20"/>
    <w:qFormat/>
    <w:rsid w:val="00DD6E61"/>
    <w:rPr>
      <w:i/>
      <w:iCs/>
    </w:rPr>
  </w:style>
  <w:style w:type="character" w:customStyle="1" w:styleId="Heading1Char">
    <w:name w:val="Heading 1 Char"/>
    <w:basedOn w:val="DefaultParagraphFont"/>
    <w:link w:val="Heading1"/>
    <w:rsid w:val="009150FF"/>
    <w:rPr>
      <w:rFonts w:ascii="Arial (W1)" w:eastAsia="Times New Roman" w:hAnsi="Arial (W1)"/>
      <w:b/>
      <w:caps/>
      <w:color w:val="943634"/>
      <w:sz w:val="22"/>
      <w:szCs w:val="20"/>
    </w:rPr>
  </w:style>
  <w:style w:type="character" w:customStyle="1" w:styleId="Heading2Char">
    <w:name w:val="Heading 2 Char"/>
    <w:basedOn w:val="DefaultParagraphFont"/>
    <w:link w:val="Heading2"/>
    <w:rsid w:val="009150FF"/>
    <w:rPr>
      <w:rFonts w:ascii="Arial" w:eastAsia="Times New Roman" w:hAnsi="Arial" w:cs="Arial"/>
      <w:b/>
      <w:color w:val="943634"/>
      <w:sz w:val="22"/>
      <w:szCs w:val="22"/>
    </w:rPr>
  </w:style>
  <w:style w:type="character" w:customStyle="1" w:styleId="Heading3Char">
    <w:name w:val="Heading 3 Char"/>
    <w:basedOn w:val="DefaultParagraphFont"/>
    <w:link w:val="Heading3"/>
    <w:rsid w:val="009150FF"/>
    <w:rPr>
      <w:rFonts w:ascii="Arial" w:eastAsia="Times New Roman" w:hAnsi="Arial"/>
      <w:sz w:val="22"/>
      <w:szCs w:val="20"/>
    </w:rPr>
  </w:style>
  <w:style w:type="paragraph" w:styleId="ListParagraph">
    <w:name w:val="List Paragraph"/>
    <w:basedOn w:val="Normal"/>
    <w:link w:val="ListParagraphChar"/>
    <w:uiPriority w:val="34"/>
    <w:qFormat/>
    <w:rsid w:val="003B14EC"/>
    <w:pPr>
      <w:spacing w:after="240" w:line="240" w:lineRule="auto"/>
      <w:ind w:left="720"/>
      <w:contextualSpacing/>
    </w:pPr>
    <w:rPr>
      <w:rFonts w:asciiTheme="minorHAnsi" w:eastAsia="Times New Roman" w:hAnsiTheme="minorHAnsi"/>
      <w:sz w:val="22"/>
      <w:szCs w:val="20"/>
    </w:rPr>
  </w:style>
  <w:style w:type="character" w:customStyle="1" w:styleId="ListParagraphChar">
    <w:name w:val="List Paragraph Char"/>
    <w:basedOn w:val="DefaultParagraphFont"/>
    <w:link w:val="ListParagraph"/>
    <w:uiPriority w:val="34"/>
    <w:rsid w:val="003B14EC"/>
    <w:rPr>
      <w:rFonts w:asciiTheme="minorHAnsi" w:eastAsia="Times New Roman" w:hAnsiTheme="minorHAnsi"/>
      <w:sz w:val="22"/>
      <w:szCs w:val="20"/>
    </w:rPr>
  </w:style>
  <w:style w:type="character" w:styleId="CommentReference">
    <w:name w:val="annotation reference"/>
    <w:basedOn w:val="DefaultParagraphFont"/>
    <w:rsid w:val="003B14EC"/>
    <w:rPr>
      <w:sz w:val="16"/>
      <w:szCs w:val="16"/>
    </w:rPr>
  </w:style>
  <w:style w:type="paragraph" w:styleId="CommentText">
    <w:name w:val="annotation text"/>
    <w:basedOn w:val="Normal"/>
    <w:link w:val="CommentTextChar"/>
    <w:rsid w:val="003B14EC"/>
    <w:pPr>
      <w:spacing w:after="240" w:line="240" w:lineRule="auto"/>
    </w:pPr>
    <w:rPr>
      <w:rFonts w:asciiTheme="minorHAnsi" w:eastAsia="Times New Roman" w:hAnsiTheme="minorHAnsi"/>
      <w:sz w:val="20"/>
      <w:szCs w:val="20"/>
    </w:rPr>
  </w:style>
  <w:style w:type="character" w:customStyle="1" w:styleId="CommentTextChar">
    <w:name w:val="Comment Text Char"/>
    <w:basedOn w:val="DefaultParagraphFont"/>
    <w:link w:val="CommentText"/>
    <w:rsid w:val="003B14EC"/>
    <w:rPr>
      <w:rFonts w:asciiTheme="minorHAnsi" w:eastAsia="Times New Roman" w:hAnsiTheme="minorHAnsi"/>
      <w:sz w:val="20"/>
      <w:szCs w:val="20"/>
    </w:rPr>
  </w:style>
  <w:style w:type="paragraph" w:styleId="BalloonText">
    <w:name w:val="Balloon Text"/>
    <w:basedOn w:val="Normal"/>
    <w:link w:val="BalloonTextChar"/>
    <w:uiPriority w:val="99"/>
    <w:semiHidden/>
    <w:unhideWhenUsed/>
    <w:rsid w:val="003B1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4EC"/>
    <w:rPr>
      <w:rFonts w:ascii="Segoe UI" w:hAnsi="Segoe UI" w:cs="Segoe UI"/>
      <w:sz w:val="18"/>
      <w:szCs w:val="18"/>
    </w:rPr>
  </w:style>
  <w:style w:type="paragraph" w:styleId="Header">
    <w:name w:val="header"/>
    <w:basedOn w:val="Normal"/>
    <w:link w:val="HeaderChar"/>
    <w:uiPriority w:val="99"/>
    <w:unhideWhenUsed/>
    <w:rsid w:val="003B1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4EC"/>
  </w:style>
  <w:style w:type="paragraph" w:styleId="Footer">
    <w:name w:val="footer"/>
    <w:basedOn w:val="Normal"/>
    <w:link w:val="FooterChar"/>
    <w:uiPriority w:val="99"/>
    <w:unhideWhenUsed/>
    <w:rsid w:val="003B1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4EC"/>
  </w:style>
  <w:style w:type="paragraph" w:customStyle="1" w:styleId="BodyText1">
    <w:name w:val="Body Text1"/>
    <w:basedOn w:val="Normal"/>
    <w:link w:val="BodytextChar0"/>
    <w:qFormat/>
    <w:rsid w:val="00404B74"/>
    <w:pPr>
      <w:spacing w:after="240" w:line="240" w:lineRule="auto"/>
      <w:ind w:left="851"/>
    </w:pPr>
    <w:rPr>
      <w:rFonts w:asciiTheme="minorHAnsi" w:eastAsia="Times New Roman" w:hAnsiTheme="minorHAnsi"/>
      <w:sz w:val="22"/>
      <w:szCs w:val="20"/>
    </w:rPr>
  </w:style>
  <w:style w:type="character" w:customStyle="1" w:styleId="BodytextChar0">
    <w:name w:val="Body text Char"/>
    <w:basedOn w:val="DefaultParagraphFont"/>
    <w:link w:val="BodyText1"/>
    <w:rsid w:val="00404B74"/>
    <w:rPr>
      <w:rFonts w:asciiTheme="minorHAnsi" w:eastAsia="Times New Roman" w:hAnsiTheme="minorHAnsi"/>
      <w:sz w:val="22"/>
      <w:szCs w:val="20"/>
    </w:rPr>
  </w:style>
  <w:style w:type="table" w:customStyle="1" w:styleId="ListTable3-Accent31">
    <w:name w:val="List Table 3 - Accent 31"/>
    <w:basedOn w:val="TableNormal"/>
    <w:uiPriority w:val="48"/>
    <w:rsid w:val="00404B74"/>
    <w:pPr>
      <w:spacing w:after="0" w:line="240" w:lineRule="auto"/>
    </w:pPr>
    <w:rPr>
      <w:rFonts w:cstheme="minorBidi"/>
      <w:szCs w:val="22"/>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PPMNumberlevel1">
    <w:name w:val="PPM Number level 1"/>
    <w:basedOn w:val="Normal"/>
    <w:qFormat/>
    <w:rsid w:val="00F43235"/>
    <w:pPr>
      <w:numPr>
        <w:numId w:val="7"/>
      </w:numPr>
      <w:tabs>
        <w:tab w:val="num" w:pos="360"/>
        <w:tab w:val="num" w:pos="720"/>
        <w:tab w:val="left" w:pos="1276"/>
      </w:tabs>
      <w:spacing w:after="240" w:line="240" w:lineRule="auto"/>
      <w:ind w:left="720" w:hanging="720"/>
    </w:pPr>
    <w:rPr>
      <w:rFonts w:ascii="Calibri" w:eastAsia="Times New Roman" w:hAnsi="Calibri"/>
      <w:sz w:val="22"/>
      <w:szCs w:val="20"/>
    </w:rPr>
  </w:style>
  <w:style w:type="table" w:customStyle="1" w:styleId="ListTable3-Accent61">
    <w:name w:val="List Table 3 - Accent 61"/>
    <w:basedOn w:val="TableNormal"/>
    <w:uiPriority w:val="48"/>
    <w:rsid w:val="0068396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3-Accent11">
    <w:name w:val="List Table 3 - Accent 11"/>
    <w:basedOn w:val="TableNormal"/>
    <w:uiPriority w:val="48"/>
    <w:rsid w:val="00D53D6D"/>
    <w:pPr>
      <w:spacing w:after="0" w:line="240" w:lineRule="auto"/>
    </w:pPr>
    <w:rPr>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styleId="CommentSubject">
    <w:name w:val="annotation subject"/>
    <w:basedOn w:val="CommentText"/>
    <w:next w:val="CommentText"/>
    <w:link w:val="CommentSubjectChar"/>
    <w:uiPriority w:val="99"/>
    <w:semiHidden/>
    <w:unhideWhenUsed/>
    <w:rsid w:val="00856D10"/>
    <w:pPr>
      <w:spacing w:after="160"/>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856D10"/>
    <w:rPr>
      <w:rFonts w:asciiTheme="minorHAnsi" w:eastAsia="Times New Roman" w:hAnsiTheme="minorHAnsi"/>
      <w:b/>
      <w:bCs/>
      <w:sz w:val="20"/>
      <w:szCs w:val="20"/>
    </w:rPr>
  </w:style>
  <w:style w:type="character" w:styleId="Hyperlink">
    <w:name w:val="Hyperlink"/>
    <w:basedOn w:val="DefaultParagraphFont"/>
    <w:uiPriority w:val="99"/>
    <w:unhideWhenUsed/>
    <w:rsid w:val="00DC3FD4"/>
    <w:rPr>
      <w:color w:val="0563C1" w:themeColor="hyperlink"/>
      <w:u w:val="single"/>
    </w:rPr>
  </w:style>
  <w:style w:type="character" w:styleId="FollowedHyperlink">
    <w:name w:val="FollowedHyperlink"/>
    <w:basedOn w:val="DefaultParagraphFont"/>
    <w:uiPriority w:val="99"/>
    <w:semiHidden/>
    <w:unhideWhenUsed/>
    <w:rsid w:val="00DC3FD4"/>
    <w:rPr>
      <w:color w:val="954F72" w:themeColor="followedHyperlink"/>
      <w:u w:val="single"/>
    </w:rPr>
  </w:style>
  <w:style w:type="numbering" w:customStyle="1" w:styleId="PPMList">
    <w:name w:val="PPM List"/>
    <w:uiPriority w:val="99"/>
    <w:rsid w:val="00DD5D09"/>
    <w:pPr>
      <w:numPr>
        <w:numId w:val="23"/>
      </w:numPr>
    </w:pPr>
  </w:style>
  <w:style w:type="paragraph" w:customStyle="1" w:styleId="PPMNumbered">
    <w:name w:val="PPM Numbered"/>
    <w:basedOn w:val="Normal"/>
    <w:qFormat/>
    <w:rsid w:val="00DD5D09"/>
    <w:pPr>
      <w:numPr>
        <w:numId w:val="24"/>
      </w:numPr>
      <w:spacing w:after="240" w:line="240" w:lineRule="auto"/>
    </w:pPr>
    <w:rPr>
      <w:rFonts w:asciiTheme="minorHAnsi" w:eastAsia="Times New Roman" w:hAnsiTheme="minorHAnsi"/>
      <w:sz w:val="22"/>
      <w:szCs w:val="20"/>
    </w:rPr>
  </w:style>
  <w:style w:type="paragraph" w:styleId="Revision">
    <w:name w:val="Revision"/>
    <w:hidden/>
    <w:uiPriority w:val="99"/>
    <w:semiHidden/>
    <w:rsid w:val="000D1F84"/>
    <w:pPr>
      <w:spacing w:after="0" w:line="240" w:lineRule="auto"/>
    </w:pPr>
  </w:style>
  <w:style w:type="table" w:styleId="TableGrid">
    <w:name w:val="Table Grid"/>
    <w:basedOn w:val="TableNormal"/>
    <w:uiPriority w:val="39"/>
    <w:rsid w:val="0052184B"/>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C1EF8"/>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C708A"/>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C708A"/>
    <w:rPr>
      <w:rFonts w:asciiTheme="minorHAnsi" w:eastAsiaTheme="minorEastAsia" w:hAnsiTheme="minorHAnsi" w:cstheme="minorBidi"/>
      <w:sz w:val="22"/>
      <w:szCs w:val="22"/>
      <w:lang w:val="en-US"/>
    </w:rPr>
  </w:style>
  <w:style w:type="paragraph" w:customStyle="1" w:styleId="BasicParagraph">
    <w:name w:val="[Basic Paragraph]"/>
    <w:basedOn w:val="Normal"/>
    <w:rsid w:val="005C708A"/>
    <w:pPr>
      <w:autoSpaceDE w:val="0"/>
      <w:autoSpaceDN w:val="0"/>
      <w:adjustRightInd w:val="0"/>
      <w:spacing w:after="0" w:line="288" w:lineRule="auto"/>
      <w:textAlignment w:val="center"/>
    </w:pPr>
    <w:rPr>
      <w:rFonts w:ascii="Arial" w:eastAsia="Times New Roman" w:hAnsi="Arial"/>
      <w:color w:val="000000"/>
      <w:sz w:val="22"/>
      <w:lang w:val="en-US"/>
    </w:rPr>
  </w:style>
  <w:style w:type="paragraph" w:customStyle="1" w:styleId="T1">
    <w:name w:val="T1"/>
    <w:basedOn w:val="Normal"/>
    <w:rsid w:val="005C708A"/>
    <w:pPr>
      <w:spacing w:after="0" w:line="600" w:lineRule="exact"/>
    </w:pPr>
    <w:rPr>
      <w:rFonts w:ascii="Myriad Pro" w:eastAsia="Times New Roman" w:hAnsi="Myriad Pro"/>
      <w:color w:val="FFFFFF"/>
      <w:sz w:val="60"/>
      <w:szCs w:val="60"/>
      <w:lang w:val="en-US"/>
    </w:rPr>
  </w:style>
  <w:style w:type="numbering" w:customStyle="1" w:styleId="BulletList">
    <w:name w:val="Bullet List"/>
    <w:basedOn w:val="NoList"/>
    <w:rsid w:val="0089044D"/>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705">
      <w:bodyDiv w:val="1"/>
      <w:marLeft w:val="0"/>
      <w:marRight w:val="0"/>
      <w:marTop w:val="0"/>
      <w:marBottom w:val="0"/>
      <w:divBdr>
        <w:top w:val="none" w:sz="0" w:space="0" w:color="auto"/>
        <w:left w:val="none" w:sz="0" w:space="0" w:color="auto"/>
        <w:bottom w:val="none" w:sz="0" w:space="0" w:color="auto"/>
        <w:right w:val="none" w:sz="0" w:space="0" w:color="auto"/>
      </w:divBdr>
      <w:divsChild>
        <w:div w:id="1029457351">
          <w:marLeft w:val="0"/>
          <w:marRight w:val="0"/>
          <w:marTop w:val="240"/>
          <w:marBottom w:val="480"/>
          <w:divBdr>
            <w:top w:val="none" w:sz="0" w:space="0" w:color="auto"/>
            <w:left w:val="none" w:sz="0" w:space="0" w:color="auto"/>
            <w:bottom w:val="none" w:sz="0" w:space="0" w:color="auto"/>
            <w:right w:val="none" w:sz="0" w:space="0" w:color="auto"/>
          </w:divBdr>
          <w:divsChild>
            <w:div w:id="1989284450">
              <w:marLeft w:val="0"/>
              <w:marRight w:val="0"/>
              <w:marTop w:val="0"/>
              <w:marBottom w:val="0"/>
              <w:divBdr>
                <w:top w:val="none" w:sz="0" w:space="0" w:color="auto"/>
                <w:left w:val="none" w:sz="0" w:space="0" w:color="auto"/>
                <w:bottom w:val="none" w:sz="0" w:space="0" w:color="auto"/>
                <w:right w:val="none" w:sz="0" w:space="0" w:color="auto"/>
              </w:divBdr>
              <w:divsChild>
                <w:div w:id="1819418579">
                  <w:marLeft w:val="0"/>
                  <w:marRight w:val="0"/>
                  <w:marTop w:val="0"/>
                  <w:marBottom w:val="0"/>
                  <w:divBdr>
                    <w:top w:val="none" w:sz="0" w:space="0" w:color="auto"/>
                    <w:left w:val="none" w:sz="0" w:space="0" w:color="auto"/>
                    <w:bottom w:val="none" w:sz="0" w:space="0" w:color="auto"/>
                    <w:right w:val="none" w:sz="0" w:space="0" w:color="auto"/>
                  </w:divBdr>
                  <w:divsChild>
                    <w:div w:id="1039205032">
                      <w:marLeft w:val="0"/>
                      <w:marRight w:val="0"/>
                      <w:marTop w:val="0"/>
                      <w:marBottom w:val="0"/>
                      <w:divBdr>
                        <w:top w:val="none" w:sz="0" w:space="0" w:color="auto"/>
                        <w:left w:val="none" w:sz="0" w:space="0" w:color="auto"/>
                        <w:bottom w:val="none" w:sz="0" w:space="0" w:color="auto"/>
                        <w:right w:val="none" w:sz="0" w:space="0" w:color="auto"/>
                      </w:divBdr>
                      <w:divsChild>
                        <w:div w:id="20257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128">
      <w:bodyDiv w:val="1"/>
      <w:marLeft w:val="0"/>
      <w:marRight w:val="0"/>
      <w:marTop w:val="0"/>
      <w:marBottom w:val="0"/>
      <w:divBdr>
        <w:top w:val="none" w:sz="0" w:space="0" w:color="auto"/>
        <w:left w:val="none" w:sz="0" w:space="0" w:color="auto"/>
        <w:bottom w:val="none" w:sz="0" w:space="0" w:color="auto"/>
        <w:right w:val="none" w:sz="0" w:space="0" w:color="auto"/>
      </w:divBdr>
    </w:div>
    <w:div w:id="2135951160">
      <w:bodyDiv w:val="1"/>
      <w:marLeft w:val="0"/>
      <w:marRight w:val="0"/>
      <w:marTop w:val="0"/>
      <w:marBottom w:val="0"/>
      <w:divBdr>
        <w:top w:val="none" w:sz="0" w:space="0" w:color="auto"/>
        <w:left w:val="none" w:sz="0" w:space="0" w:color="auto"/>
        <w:bottom w:val="none" w:sz="0" w:space="0" w:color="auto"/>
        <w:right w:val="none" w:sz="0" w:space="0" w:color="auto"/>
      </w:divBdr>
      <w:divsChild>
        <w:div w:id="569538365">
          <w:marLeft w:val="0"/>
          <w:marRight w:val="0"/>
          <w:marTop w:val="240"/>
          <w:marBottom w:val="480"/>
          <w:divBdr>
            <w:top w:val="none" w:sz="0" w:space="0" w:color="auto"/>
            <w:left w:val="none" w:sz="0" w:space="0" w:color="auto"/>
            <w:bottom w:val="none" w:sz="0" w:space="0" w:color="auto"/>
            <w:right w:val="none" w:sz="0" w:space="0" w:color="auto"/>
          </w:divBdr>
          <w:divsChild>
            <w:div w:id="608009986">
              <w:marLeft w:val="0"/>
              <w:marRight w:val="0"/>
              <w:marTop w:val="0"/>
              <w:marBottom w:val="0"/>
              <w:divBdr>
                <w:top w:val="none" w:sz="0" w:space="0" w:color="auto"/>
                <w:left w:val="none" w:sz="0" w:space="0" w:color="auto"/>
                <w:bottom w:val="none" w:sz="0" w:space="0" w:color="auto"/>
                <w:right w:val="none" w:sz="0" w:space="0" w:color="auto"/>
              </w:divBdr>
              <w:divsChild>
                <w:div w:id="199363172">
                  <w:marLeft w:val="0"/>
                  <w:marRight w:val="0"/>
                  <w:marTop w:val="0"/>
                  <w:marBottom w:val="0"/>
                  <w:divBdr>
                    <w:top w:val="none" w:sz="0" w:space="0" w:color="auto"/>
                    <w:left w:val="none" w:sz="0" w:space="0" w:color="auto"/>
                    <w:bottom w:val="none" w:sz="0" w:space="0" w:color="auto"/>
                    <w:right w:val="none" w:sz="0" w:space="0" w:color="auto"/>
                  </w:divBdr>
                  <w:divsChild>
                    <w:div w:id="371996699">
                      <w:marLeft w:val="0"/>
                      <w:marRight w:val="0"/>
                      <w:marTop w:val="0"/>
                      <w:marBottom w:val="0"/>
                      <w:divBdr>
                        <w:top w:val="none" w:sz="0" w:space="0" w:color="auto"/>
                        <w:left w:val="none" w:sz="0" w:space="0" w:color="auto"/>
                        <w:bottom w:val="none" w:sz="0" w:space="0" w:color="auto"/>
                        <w:right w:val="none" w:sz="0" w:space="0" w:color="auto"/>
                      </w:divBdr>
                      <w:divsChild>
                        <w:div w:id="6952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4.jpg@01D30494.8E7883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nHealth.Secretariat@health.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D38C1FDC724246A27161756D0D9C79" ma:contentTypeVersion="2" ma:contentTypeDescription="Create a new document." ma:contentTypeScope="" ma:versionID="926a8fa181224208abff2c8a52bbd709">
  <xsd:schema xmlns:xsd="http://www.w3.org/2001/XMLSchema" xmlns:xs="http://www.w3.org/2001/XMLSchema" xmlns:p="http://schemas.microsoft.com/office/2006/metadata/properties" xmlns:ns2="a98ed142-b570-4c9c-8578-21c71298d5d3" targetNamespace="http://schemas.microsoft.com/office/2006/metadata/properties" ma:root="true" ma:fieldsID="5f3876184094e48699720f12377c7e51" ns2:_="">
    <xsd:import namespace="a98ed142-b570-4c9c-8578-21c71298d5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ed142-b570-4c9c-8578-21c71298d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5A4AD5-97DF-432B-B427-21D4CEBB4176}">
  <ds:schemaRefs>
    <ds:schemaRef ds:uri="http://schemas.openxmlformats.org/officeDocument/2006/bibliography"/>
  </ds:schemaRefs>
</ds:datastoreItem>
</file>

<file path=customXml/itemProps2.xml><?xml version="1.0" encoding="utf-8"?>
<ds:datastoreItem xmlns:ds="http://schemas.openxmlformats.org/officeDocument/2006/customXml" ds:itemID="{62951128-A282-47B6-B7E6-AF1687189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ed142-b570-4c9c-8578-21c71298d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06A9A-FB95-49B3-9F6F-C5ADC3EE226F}">
  <ds:schemaRefs>
    <ds:schemaRef ds:uri="http://schemas.microsoft.com/sharepoint/v3/contenttype/forms"/>
  </ds:schemaRefs>
</ds:datastoreItem>
</file>

<file path=customXml/itemProps4.xml><?xml version="1.0" encoding="utf-8"?>
<ds:datastoreItem xmlns:ds="http://schemas.openxmlformats.org/officeDocument/2006/customXml" ds:itemID="{56A4AF7A-302F-49FB-9D03-27180DBCC3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3962</Words>
  <Characters>25031</Characters>
  <Application>Microsoft Office Word</Application>
  <DocSecurity>0</DocSecurity>
  <Lines>774</Lines>
  <Paragraphs>361</Paragraphs>
  <ScaleCrop>false</ScaleCrop>
  <HeadingPairs>
    <vt:vector size="2" baseType="variant">
      <vt:variant>
        <vt:lpstr>Title</vt:lpstr>
      </vt:variant>
      <vt:variant>
        <vt:i4>1</vt:i4>
      </vt:variant>
    </vt:vector>
  </HeadingPairs>
  <TitlesOfParts>
    <vt:vector size="1" baseType="lpstr">
      <vt:lpstr/>
    </vt:vector>
  </TitlesOfParts>
  <Manager/>
  <Company>Department of Health</Company>
  <LinksUpToDate>false</LinksUpToDate>
  <CharactersWithSpaces>28841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health standing committee (enHealth) – Work plan 2020–2023</dc:title>
  <dc:subject>Environmental health</dc:subject>
  <dc:creator>Environmental health standing committee (enHealth)</dc:creator>
  <cp:keywords>environmental health</cp:keywords>
  <dc:description/>
  <cp:lastModifiedBy>emma kennedy</cp:lastModifiedBy>
  <cp:revision>3</cp:revision>
  <cp:lastPrinted>2020-02-11T00:59:00Z</cp:lastPrinted>
  <dcterms:created xsi:type="dcterms:W3CDTF">2021-01-21T23:26:00Z</dcterms:created>
  <dcterms:modified xsi:type="dcterms:W3CDTF">2022-07-22T02:16:00Z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0x010100D2D38C1FDC724246A27161756D0D9C79</vt:lpwstr>
  </property>
</Properties>
</file>