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1551373"/>
        <w:docPartObj>
          <w:docPartGallery w:val="Cover Pages"/>
          <w:docPartUnique/>
        </w:docPartObj>
      </w:sdtPr>
      <w:sdtContent>
        <w:p w14:paraId="263FC4C0" w14:textId="4316FE60" w:rsidR="0052054B" w:rsidRDefault="0052054B" w:rsidP="00A67B6E">
          <w:pPr>
            <w:tabs>
              <w:tab w:val="left" w:pos="6570"/>
              <w:tab w:val="left" w:pos="7395"/>
            </w:tabs>
          </w:pPr>
          <w:r>
            <w:rPr>
              <w:noProof/>
              <w:lang w:eastAsia="en-AU"/>
            </w:rPr>
            <mc:AlternateContent>
              <mc:Choice Requires="wps">
                <w:drawing>
                  <wp:anchor distT="0" distB="0" distL="114300" distR="114300" simplePos="0" relativeHeight="251665408" behindDoc="1" locked="0" layoutInCell="1" allowOverlap="1" wp14:anchorId="4CE17517" wp14:editId="0B064B35">
                    <wp:simplePos x="0" y="0"/>
                    <wp:positionH relativeFrom="page">
                      <wp:align>center</wp:align>
                    </wp:positionH>
                    <wp:positionV relativeFrom="page">
                      <wp:align>center</wp:align>
                    </wp:positionV>
                    <wp:extent cx="7383780" cy="9555480"/>
                    <wp:effectExtent l="0" t="0" r="0" b="0"/>
                    <wp:wrapNone/>
                    <wp:docPr id="466" name="Rectangle 466" descr="Cover Page" title="enHealth Strategic Plan 2020-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3">
                                <a:lumMod val="20000"/>
                                <a:lumOff val="8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47B18DB" w14:textId="77777777" w:rsidR="00602A59" w:rsidRDefault="00602A5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CE17517" id="Rectangle 466" o:spid="_x0000_s1026" alt="Title: enHealth Strategic Plan 2020-2023 - Description: Cover Page"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" fillcolor="#eaf1dd [662]" stroked="f" strokeweight="2pt">
                    <v:path arrowok="t"/>
                    <v:textbox inset="21.6pt,,21.6pt">
                      <w:txbxContent>
                        <w:p w14:paraId="347B18DB" w14:textId="77777777" w:rsidR="00602A59" w:rsidRDefault="00602A59"/>
                      </w:txbxContent>
                    </v:textbox>
                    <w10:wrap anchorx="page" anchory="page"/>
                  </v:rect>
                </w:pict>
              </mc:Fallback>
            </mc:AlternateContent>
          </w:r>
          <w:r w:rsidR="006B15A0">
            <w:tab/>
          </w:r>
          <w:r w:rsidR="006B15A0">
            <w:tab/>
          </w:r>
          <w:r w:rsidR="006B15A0">
            <w:rPr>
              <w:noProof/>
              <w:lang w:eastAsia="en-AU"/>
            </w:rPr>
            <w:drawing>
              <wp:inline distT="0" distB="0" distL="0" distR="0" wp14:anchorId="65B361B3" wp14:editId="0C19E96B">
                <wp:extent cx="1619250" cy="409575"/>
                <wp:effectExtent l="0" t="0" r="0" b="9525"/>
                <wp:docPr id="6" name="Picture 6" descr="EN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EALTH"/>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inline>
            </w:drawing>
          </w:r>
        </w:p>
        <w:p w14:paraId="41D52348" w14:textId="1ED350E4" w:rsidR="006B15A0" w:rsidRPr="006B15A0" w:rsidRDefault="006B15A0" w:rsidP="006B15A0">
          <w:pPr>
            <w:pStyle w:val="Header"/>
            <w:jc w:val="right"/>
            <w:rPr>
              <w:rFonts w:ascii="Arial" w:hAnsi="Arial" w:cs="Arial"/>
              <w:b/>
              <w:bCs/>
              <w:sz w:val="20"/>
            </w:rPr>
          </w:pPr>
          <w:r w:rsidRPr="006B15A0">
            <w:rPr>
              <w:rFonts w:ascii="Arial" w:hAnsi="Arial" w:cs="Arial"/>
              <w:b/>
              <w:bCs/>
              <w:sz w:val="20"/>
            </w:rPr>
            <w:t>Environmental Health Standing Committee (enHealth) of the</w:t>
          </w:r>
        </w:p>
        <w:p w14:paraId="28B75FDE" w14:textId="77777777" w:rsidR="006B15A0" w:rsidRPr="006B15A0" w:rsidRDefault="006B15A0" w:rsidP="006B15A0">
          <w:pPr>
            <w:pStyle w:val="Header"/>
            <w:jc w:val="right"/>
            <w:rPr>
              <w:rFonts w:ascii="Arial" w:hAnsi="Arial" w:cs="Arial"/>
              <w:b/>
              <w:bCs/>
              <w:sz w:val="20"/>
            </w:rPr>
          </w:pPr>
          <w:r w:rsidRPr="006B15A0">
            <w:rPr>
              <w:rFonts w:ascii="Arial" w:hAnsi="Arial" w:cs="Arial"/>
              <w:b/>
              <w:bCs/>
              <w:sz w:val="20"/>
            </w:rPr>
            <w:t>Australian Health Protection Principal Committee</w:t>
          </w:r>
        </w:p>
        <w:p w14:paraId="6429766D" w14:textId="77777777" w:rsidR="006B15A0" w:rsidRPr="006B15A0" w:rsidRDefault="006B15A0" w:rsidP="006B15A0">
          <w:pPr>
            <w:tabs>
              <w:tab w:val="left" w:pos="6570"/>
              <w:tab w:val="left" w:pos="7395"/>
            </w:tabs>
            <w:rPr>
              <w:sz w:val="20"/>
            </w:rPr>
          </w:pPr>
        </w:p>
        <w:p w14:paraId="776BC281" w14:textId="2BD2ECBB" w:rsidR="0052054B" w:rsidRDefault="006B15A0">
          <w:pPr>
            <w:spacing w:after="200" w:line="276" w:lineRule="auto"/>
          </w:pPr>
          <w:r>
            <w:rPr>
              <w:noProof/>
              <w:lang w:eastAsia="en-AU"/>
            </w:rPr>
            <mc:AlternateContent>
              <mc:Choice Requires="wps">
                <w:drawing>
                  <wp:anchor distT="0" distB="0" distL="114300" distR="114300" simplePos="0" relativeHeight="251666432" behindDoc="0" locked="0" layoutInCell="1" allowOverlap="1" wp14:anchorId="769C899C" wp14:editId="54E33E64">
                    <wp:simplePos x="0" y="0"/>
                    <wp:positionH relativeFrom="page">
                      <wp:posOffset>3362325</wp:posOffset>
                    </wp:positionH>
                    <wp:positionV relativeFrom="page">
                      <wp:posOffset>6715125</wp:posOffset>
                    </wp:positionV>
                    <wp:extent cx="3401122" cy="1294130"/>
                    <wp:effectExtent l="0" t="0" r="0" b="1270"/>
                    <wp:wrapSquare wrapText="bothSides"/>
                    <wp:docPr id="465" name="Text Box 465"/>
                    <wp:cNvGraphicFramePr/>
                    <a:graphic xmlns:a="http://schemas.openxmlformats.org/drawingml/2006/main">
                      <a:graphicData uri="http://schemas.microsoft.com/office/word/2010/wordprocessingShape">
                        <wps:wsp>
                          <wps:cNvSpPr txBox="1"/>
                          <wps:spPr>
                            <a:xfrm>
                              <a:off x="0" y="0"/>
                              <a:ext cx="3401122" cy="1294130"/>
                            </a:xfrm>
                            <a:prstGeom prst="rect">
                              <a:avLst/>
                            </a:prstGeom>
                            <a:noFill/>
                            <a:ln w="6350">
                              <a:noFill/>
                            </a:ln>
                            <a:effectLst/>
                          </wps:spPr>
                          <wps:txbx>
                            <w:txbxContent>
                              <w:p w14:paraId="3CBE50E5" w14:textId="10F4F2BA" w:rsidR="00602A59" w:rsidRPr="006113DE" w:rsidRDefault="00602A59" w:rsidP="00A67B6E">
                                <w:pPr>
                                  <w:pStyle w:val="BasicParagraph"/>
                                  <w:jc w:val="center"/>
                                  <w:rPr>
                                    <w:rFonts w:ascii="Myriad Pro Light" w:hAnsi="Myriad Pro Light" w:cs="Myriad Pro Light"/>
                                    <w:sz w:val="60"/>
                                    <w:szCs w:val="60"/>
                                  </w:rPr>
                                </w:pPr>
                                <w:r w:rsidRPr="006113DE">
                                  <w:rPr>
                                    <w:rFonts w:ascii="Myriad Pro Light" w:hAnsi="Myriad Pro Light" w:cs="Myriad Pro Light"/>
                                    <w:sz w:val="60"/>
                                    <w:szCs w:val="60"/>
                                  </w:rPr>
                                  <w:t xml:space="preserve">Strategic Plan </w:t>
                                </w:r>
                                <w:r w:rsidRPr="006113DE">
                                  <w:rPr>
                                    <w:rFonts w:ascii="Myriad Pro Light" w:hAnsi="Myriad Pro Light" w:cs="Myriad Pro Light"/>
                                    <w:sz w:val="60"/>
                                    <w:szCs w:val="60"/>
                                  </w:rPr>
                                  <w:br/>
                                </w:r>
                                <w:r w:rsidRPr="006113DE">
                                  <w:rPr>
                                    <w:rFonts w:ascii="Myriad Pro Light" w:hAnsi="Myriad Pro Light" w:cs="Myriad Pro Light"/>
                                    <w:sz w:val="40"/>
                                    <w:szCs w:val="40"/>
                                  </w:rPr>
                                  <w:t>20</w:t>
                                </w:r>
                                <w:r>
                                  <w:rPr>
                                    <w:rFonts w:ascii="Myriad Pro Light" w:hAnsi="Myriad Pro Light" w:cs="Myriad Pro Light"/>
                                    <w:sz w:val="40"/>
                                    <w:szCs w:val="40"/>
                                  </w:rPr>
                                  <w:t>20</w:t>
                                </w:r>
                                <w:r w:rsidRPr="006113DE">
                                  <w:rPr>
                                    <w:rFonts w:ascii="Myriad Pro Light" w:hAnsi="Myriad Pro Light" w:cs="Myriad Pro Light"/>
                                    <w:sz w:val="40"/>
                                    <w:szCs w:val="40"/>
                                  </w:rPr>
                                  <w:t>-2023</w:t>
                                </w:r>
                              </w:p>
                              <w:p w14:paraId="6C323662" w14:textId="77777777" w:rsidR="00602A59" w:rsidRDefault="00602A59">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9C899C" id="_x0000_t202" coordsize="21600,21600" o:spt="202" path="m,l,21600r21600,l21600,xe">
                    <v:stroke joinstyle="miter"/>
                    <v:path gradientshapeok="t" o:connecttype="rect"/>
                  </v:shapetype>
                  <v:shape id="Text Box 465" o:spid="_x0000_s1027" type="#_x0000_t202" style="position:absolute;margin-left:264.75pt;margin-top:528.75pt;width:267.8pt;height:101.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" filled="f" stroked="f" strokeweight=".5pt">
                    <v:textbox>
                      <w:txbxContent>
                        <w:p w14:paraId="3CBE50E5" w14:textId="10F4F2BA" w:rsidR="00602A59" w:rsidRPr="006113DE" w:rsidRDefault="00602A59" w:rsidP="00A67B6E">
                          <w:pPr>
                            <w:pStyle w:val="BasicParagraph"/>
                            <w:jc w:val="center"/>
                            <w:rPr>
                              <w:rFonts w:ascii="Myriad Pro Light" w:hAnsi="Myriad Pro Light" w:cs="Myriad Pro Light"/>
                              <w:sz w:val="60"/>
                              <w:szCs w:val="60"/>
                            </w:rPr>
                          </w:pPr>
                          <w:r w:rsidRPr="006113DE">
                            <w:rPr>
                              <w:rFonts w:ascii="Myriad Pro Light" w:hAnsi="Myriad Pro Light" w:cs="Myriad Pro Light"/>
                              <w:sz w:val="60"/>
                              <w:szCs w:val="60"/>
                            </w:rPr>
                            <w:t xml:space="preserve">Strategic Plan </w:t>
                          </w:r>
                          <w:r w:rsidRPr="006113DE">
                            <w:rPr>
                              <w:rFonts w:ascii="Myriad Pro Light" w:hAnsi="Myriad Pro Light" w:cs="Myriad Pro Light"/>
                              <w:sz w:val="60"/>
                              <w:szCs w:val="60"/>
                            </w:rPr>
                            <w:br/>
                          </w:r>
                          <w:r w:rsidRPr="006113DE">
                            <w:rPr>
                              <w:rFonts w:ascii="Myriad Pro Light" w:hAnsi="Myriad Pro Light" w:cs="Myriad Pro Light"/>
                              <w:sz w:val="40"/>
                              <w:szCs w:val="40"/>
                            </w:rPr>
                            <w:t>20</w:t>
                          </w:r>
                          <w:r>
                            <w:rPr>
                              <w:rFonts w:ascii="Myriad Pro Light" w:hAnsi="Myriad Pro Light" w:cs="Myriad Pro Light"/>
                              <w:sz w:val="40"/>
                              <w:szCs w:val="40"/>
                            </w:rPr>
                            <w:t>20</w:t>
                          </w:r>
                          <w:r w:rsidRPr="006113DE">
                            <w:rPr>
                              <w:rFonts w:ascii="Myriad Pro Light" w:hAnsi="Myriad Pro Light" w:cs="Myriad Pro Light"/>
                              <w:sz w:val="40"/>
                              <w:szCs w:val="40"/>
                            </w:rPr>
                            <w:t>-2023</w:t>
                          </w:r>
                        </w:p>
                        <w:p w14:paraId="6C323662" w14:textId="77777777" w:rsidR="00602A59" w:rsidRDefault="00602A59">
                          <w:pPr>
                            <w:pStyle w:val="NoSpacing"/>
                            <w:rPr>
                              <w:noProof/>
                              <w:color w:val="1F497D" w:themeColor="text2"/>
                            </w:rPr>
                          </w:pPr>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4957AD2" wp14:editId="7C8B327D">
                    <wp:simplePos x="0" y="0"/>
                    <wp:positionH relativeFrom="margin">
                      <wp:align>right</wp:align>
                    </wp:positionH>
                    <wp:positionV relativeFrom="page">
                      <wp:posOffset>1943100</wp:posOffset>
                    </wp:positionV>
                    <wp:extent cx="3957955" cy="3329940"/>
                    <wp:effectExtent l="0" t="0" r="4445" b="3810"/>
                    <wp:wrapNone/>
                    <wp:docPr id="467" name="Rectangle 467"/>
                    <wp:cNvGraphicFramePr/>
                    <a:graphic xmlns:a="http://schemas.openxmlformats.org/drawingml/2006/main">
                      <a:graphicData uri="http://schemas.microsoft.com/office/word/2010/wordprocessingShape">
                        <wps:wsp>
                          <wps:cNvSpPr/>
                          <wps:spPr>
                            <a:xfrm>
                              <a:off x="0" y="0"/>
                              <a:ext cx="3957955" cy="33299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428EF" w14:textId="77777777" w:rsidR="00602A59" w:rsidRDefault="00602A59" w:rsidP="005F426F">
                                <w:pPr>
                                  <w:pStyle w:val="T1"/>
                                  <w:ind w:left="720"/>
                                </w:pPr>
                                <w:r>
                                  <w:t>Environmental</w:t>
                                </w:r>
                                <w:r w:rsidRPr="00C7429E">
                                  <w:br/>
                                  <w:t>Health</w:t>
                                </w:r>
                                <w:r w:rsidRPr="00C7429E">
                                  <w:br/>
                                </w:r>
                                <w:r>
                                  <w:t>Standing</w:t>
                                </w:r>
                              </w:p>
                              <w:p w14:paraId="6C63362F" w14:textId="77777777" w:rsidR="00602A59" w:rsidRDefault="00602A59" w:rsidP="005F426F">
                                <w:pPr>
                                  <w:pStyle w:val="T1"/>
                                  <w:ind w:left="720"/>
                                </w:pPr>
                                <w:r w:rsidRPr="00C7429E">
                                  <w:t>Committee</w:t>
                                </w:r>
                                <w:r>
                                  <w:t xml:space="preserve"> (enHealth)</w:t>
                                </w:r>
                              </w:p>
                              <w:p w14:paraId="35228F5A" w14:textId="77777777" w:rsidR="00602A59" w:rsidRPr="005F426F" w:rsidRDefault="00602A59" w:rsidP="00AF7FD1">
                                <w:pPr>
                                  <w:pStyle w:val="T1"/>
                                  <w:spacing w:before="240" w:line="400" w:lineRule="exact"/>
                                  <w:ind w:left="720"/>
                                  <w:rPr>
                                    <w:color w:val="FFFFFF" w:themeColor="background1"/>
                                    <w:sz w:val="32"/>
                                    <w:szCs w:val="32"/>
                                  </w:rPr>
                                </w:pPr>
                                <w:r w:rsidRPr="005F426F">
                                  <w:rPr>
                                    <w:sz w:val="32"/>
                                    <w:szCs w:val="32"/>
                                  </w:rPr>
                                  <w:t>of the Australian Health Protection Principal Committee</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57AD2" id="Rectangle 467" o:spid="_x0000_s1028" style="position:absolute;margin-left:260.45pt;margin-top:153pt;width:311.65pt;height:26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" fillcolor="#9bbb59 [3206]" stroked="f" strokeweight="2pt">
                    <v:textbox inset="14.4pt,14.4pt,14.4pt,28.8pt">
                      <w:txbxContent>
                        <w:p w14:paraId="5CC428EF" w14:textId="77777777" w:rsidR="00602A59" w:rsidRDefault="00602A59" w:rsidP="005F426F">
                          <w:pPr>
                            <w:pStyle w:val="T1"/>
                            <w:ind w:left="720"/>
                          </w:pPr>
                          <w:r>
                            <w:t>Environmental</w:t>
                          </w:r>
                          <w:r w:rsidRPr="00C7429E">
                            <w:br/>
                            <w:t>Health</w:t>
                          </w:r>
                          <w:r w:rsidRPr="00C7429E">
                            <w:br/>
                          </w:r>
                          <w:r>
                            <w:t>Standing</w:t>
                          </w:r>
                        </w:p>
                        <w:p w14:paraId="6C63362F" w14:textId="77777777" w:rsidR="00602A59" w:rsidRDefault="00602A59" w:rsidP="005F426F">
                          <w:pPr>
                            <w:pStyle w:val="T1"/>
                            <w:ind w:left="720"/>
                          </w:pPr>
                          <w:r w:rsidRPr="00C7429E">
                            <w:t>Committee</w:t>
                          </w:r>
                          <w:r>
                            <w:t xml:space="preserve"> (enHealth)</w:t>
                          </w:r>
                        </w:p>
                        <w:p w14:paraId="35228F5A" w14:textId="77777777" w:rsidR="00602A59" w:rsidRPr="005F426F" w:rsidRDefault="00602A59" w:rsidP="00AF7FD1">
                          <w:pPr>
                            <w:pStyle w:val="T1"/>
                            <w:spacing w:before="240" w:line="400" w:lineRule="exact"/>
                            <w:ind w:left="720"/>
                            <w:rPr>
                              <w:color w:val="FFFFFF" w:themeColor="background1"/>
                              <w:sz w:val="32"/>
                              <w:szCs w:val="32"/>
                            </w:rPr>
                          </w:pPr>
                          <w:proofErr w:type="gramStart"/>
                          <w:r w:rsidRPr="005F426F">
                            <w:rPr>
                              <w:sz w:val="32"/>
                              <w:szCs w:val="32"/>
                            </w:rPr>
                            <w:t>of</w:t>
                          </w:r>
                          <w:proofErr w:type="gramEnd"/>
                          <w:r w:rsidRPr="005F426F">
                            <w:rPr>
                              <w:sz w:val="32"/>
                              <w:szCs w:val="32"/>
                            </w:rPr>
                            <w:t xml:space="preserve"> the Australian Health Protection Principal Committee</w:t>
                          </w:r>
                        </w:p>
                      </w:txbxContent>
                    </v:textbox>
                    <w10:wrap anchorx="margin" anchory="page"/>
                  </v:rect>
                </w:pict>
              </mc:Fallback>
            </mc:AlternateContent>
          </w:r>
          <w:r w:rsidR="0052054B">
            <w:br w:type="page"/>
          </w:r>
        </w:p>
      </w:sdtContent>
    </w:sdt>
    <w:p w14:paraId="7C11B703" w14:textId="77777777" w:rsidR="00480EC6" w:rsidRPr="00D378CB" w:rsidRDefault="005840D0" w:rsidP="005F426F">
      <w:bookmarkStart w:id="0" w:name="_Toc58502784"/>
      <w:r w:rsidRPr="00D378CB">
        <w:rPr>
          <w:rStyle w:val="Heading1Char"/>
          <w:rFonts w:ascii="Arial" w:hAnsi="Arial"/>
          <w:sz w:val="32"/>
        </w:rPr>
        <w:lastRenderedPageBreak/>
        <w:t>V</w:t>
      </w:r>
      <w:r w:rsidR="000B6197" w:rsidRPr="00D378CB">
        <w:rPr>
          <w:rStyle w:val="Heading1Char"/>
          <w:rFonts w:ascii="Arial" w:hAnsi="Arial"/>
          <w:sz w:val="32"/>
        </w:rPr>
        <w:t>ERSION HISTORY</w:t>
      </w:r>
      <w:bookmarkEnd w:id="0"/>
    </w:p>
    <w:tbl>
      <w:tblPr>
        <w:tblStyle w:val="ListTable3-Accent31"/>
        <w:tblW w:w="10201" w:type="dxa"/>
        <w:tblLook w:val="04A0" w:firstRow="1" w:lastRow="0" w:firstColumn="1" w:lastColumn="0" w:noHBand="0" w:noVBand="1"/>
        <w:tblDescription w:val="Outlines the draft versions of the document, including the date it was developed, edited and endorsed by enHealth and AHPPC."/>
      </w:tblPr>
      <w:tblGrid>
        <w:gridCol w:w="1384"/>
        <w:gridCol w:w="1825"/>
        <w:gridCol w:w="6992"/>
      </w:tblGrid>
      <w:tr w:rsidR="00480EC6" w:rsidRPr="00EE79CD" w14:paraId="3CFF2F93"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4" w:type="dxa"/>
          </w:tcPr>
          <w:p w14:paraId="4EA6DA83" w14:textId="77777777" w:rsidR="00480EC6" w:rsidRPr="00EE79CD" w:rsidRDefault="00480EC6" w:rsidP="00D378CB">
            <w:pPr>
              <w:rPr>
                <w:rFonts w:cstheme="minorHAnsi"/>
                <w:b w:val="0"/>
                <w:szCs w:val="22"/>
              </w:rPr>
            </w:pPr>
            <w:r w:rsidRPr="00EE79CD">
              <w:rPr>
                <w:rFonts w:cstheme="minorHAnsi"/>
                <w:szCs w:val="22"/>
              </w:rPr>
              <w:t>Version No.</w:t>
            </w:r>
          </w:p>
        </w:tc>
        <w:tc>
          <w:tcPr>
            <w:tcW w:w="1825" w:type="dxa"/>
          </w:tcPr>
          <w:p w14:paraId="7219A722" w14:textId="77777777" w:rsidR="00480EC6" w:rsidRPr="00EE79CD" w:rsidRDefault="00480EC6" w:rsidP="00D378CB">
            <w:pP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EE79CD">
              <w:rPr>
                <w:rFonts w:cstheme="minorHAnsi"/>
                <w:szCs w:val="22"/>
              </w:rPr>
              <w:t>Version Date</w:t>
            </w:r>
          </w:p>
        </w:tc>
        <w:tc>
          <w:tcPr>
            <w:tcW w:w="6992" w:type="dxa"/>
          </w:tcPr>
          <w:p w14:paraId="5D2DB17F" w14:textId="77777777" w:rsidR="00480EC6" w:rsidRPr="00BE50AA" w:rsidRDefault="00480EC6" w:rsidP="00D378CB">
            <w:pP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BE50AA">
              <w:rPr>
                <w:rFonts w:cstheme="minorHAnsi"/>
                <w:szCs w:val="22"/>
              </w:rPr>
              <w:t>Description</w:t>
            </w:r>
          </w:p>
        </w:tc>
      </w:tr>
      <w:tr w:rsidR="00480EC6" w:rsidRPr="00EE79CD" w14:paraId="19D6F9C1" w14:textId="77777777" w:rsidTr="00D3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D0FD76" w14:textId="77777777" w:rsidR="00480EC6" w:rsidRPr="002D5FEE" w:rsidRDefault="002D5FEE" w:rsidP="00081B35">
            <w:pPr>
              <w:rPr>
                <w:rFonts w:cstheme="minorHAnsi"/>
                <w:szCs w:val="22"/>
              </w:rPr>
            </w:pPr>
            <w:r>
              <w:rPr>
                <w:rFonts w:cstheme="minorHAnsi"/>
                <w:szCs w:val="22"/>
              </w:rPr>
              <w:t>0.0</w:t>
            </w:r>
          </w:p>
        </w:tc>
        <w:tc>
          <w:tcPr>
            <w:tcW w:w="1825" w:type="dxa"/>
          </w:tcPr>
          <w:p w14:paraId="0098504B" w14:textId="79E5BBBD" w:rsidR="00480EC6" w:rsidRPr="002D5FEE" w:rsidRDefault="00B16887" w:rsidP="00081B35">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November </w:t>
            </w:r>
            <w:r w:rsidR="00216B33">
              <w:rPr>
                <w:rFonts w:cstheme="minorHAnsi"/>
                <w:szCs w:val="22"/>
              </w:rPr>
              <w:t xml:space="preserve"> 2020</w:t>
            </w:r>
          </w:p>
        </w:tc>
        <w:tc>
          <w:tcPr>
            <w:tcW w:w="6992" w:type="dxa"/>
          </w:tcPr>
          <w:p w14:paraId="6E4CF81A" w14:textId="2187058D" w:rsidR="00480EC6" w:rsidRPr="00D378CB" w:rsidRDefault="002D5FEE" w:rsidP="00216B33">
            <w:pPr>
              <w:cnfStyle w:val="000000100000" w:firstRow="0" w:lastRow="0" w:firstColumn="0" w:lastColumn="0" w:oddVBand="0" w:evenVBand="0" w:oddHBand="1" w:evenHBand="0" w:firstRowFirstColumn="0" w:firstRowLastColumn="0" w:lastRowFirstColumn="0" w:lastRowLastColumn="0"/>
              <w:rPr>
                <w:rFonts w:cstheme="minorHAnsi"/>
                <w:i/>
                <w:szCs w:val="22"/>
              </w:rPr>
            </w:pPr>
            <w:r w:rsidRPr="00D378CB">
              <w:rPr>
                <w:rFonts w:cstheme="minorHAnsi"/>
                <w:i/>
                <w:szCs w:val="22"/>
              </w:rPr>
              <w:t>Environmental Health Standing Committee (enHealth) Strategic Plan 20</w:t>
            </w:r>
            <w:r w:rsidR="00216B33">
              <w:rPr>
                <w:rFonts w:cstheme="minorHAnsi"/>
                <w:i/>
                <w:szCs w:val="22"/>
              </w:rPr>
              <w:t>20</w:t>
            </w:r>
            <w:r w:rsidRPr="00D378CB">
              <w:rPr>
                <w:rFonts w:cstheme="minorHAnsi"/>
                <w:i/>
                <w:szCs w:val="22"/>
              </w:rPr>
              <w:t xml:space="preserve"> to 202</w:t>
            </w:r>
            <w:r w:rsidR="00216B33">
              <w:rPr>
                <w:rFonts w:cstheme="minorHAnsi"/>
                <w:i/>
                <w:szCs w:val="22"/>
              </w:rPr>
              <w:t>3</w:t>
            </w:r>
            <w:r w:rsidRPr="00D378CB">
              <w:rPr>
                <w:rFonts w:cstheme="minorHAnsi"/>
                <w:i/>
                <w:szCs w:val="22"/>
              </w:rPr>
              <w:t xml:space="preserve">.  </w:t>
            </w:r>
          </w:p>
        </w:tc>
      </w:tr>
      <w:tr w:rsidR="00095206" w:rsidRPr="00EE79CD" w14:paraId="071E5E9E" w14:textId="77777777" w:rsidTr="00D378CB">
        <w:tc>
          <w:tcPr>
            <w:cnfStyle w:val="001000000000" w:firstRow="0" w:lastRow="0" w:firstColumn="1" w:lastColumn="0" w:oddVBand="0" w:evenVBand="0" w:oddHBand="0" w:evenHBand="0" w:firstRowFirstColumn="0" w:firstRowLastColumn="0" w:lastRowFirstColumn="0" w:lastRowLastColumn="0"/>
            <w:tcW w:w="1384" w:type="dxa"/>
          </w:tcPr>
          <w:p w14:paraId="67382D50" w14:textId="77777777" w:rsidR="00095206" w:rsidRPr="0052054B" w:rsidRDefault="000B6197" w:rsidP="000B6197">
            <w:pPr>
              <w:rPr>
                <w:rFonts w:cstheme="minorHAnsi"/>
                <w:szCs w:val="22"/>
              </w:rPr>
            </w:pPr>
            <w:r w:rsidRPr="0052054B">
              <w:rPr>
                <w:rFonts w:cstheme="minorHAnsi"/>
                <w:szCs w:val="22"/>
              </w:rPr>
              <w:t>0.1</w:t>
            </w:r>
          </w:p>
        </w:tc>
        <w:tc>
          <w:tcPr>
            <w:tcW w:w="1825" w:type="dxa"/>
          </w:tcPr>
          <w:p w14:paraId="712F4BD9" w14:textId="72413C38" w:rsidR="00095206" w:rsidRPr="0089100B" w:rsidRDefault="00095206" w:rsidP="00081B35">
            <w:pP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6992" w:type="dxa"/>
          </w:tcPr>
          <w:p w14:paraId="772FFD89" w14:textId="3D2EC5E7" w:rsidR="00AC7C57" w:rsidRPr="00D378CB" w:rsidRDefault="00AC7C57" w:rsidP="00081B35">
            <w:pPr>
              <w:cnfStyle w:val="000000000000" w:firstRow="0" w:lastRow="0" w:firstColumn="0" w:lastColumn="0" w:oddVBand="0" w:evenVBand="0" w:oddHBand="0" w:evenHBand="0" w:firstRowFirstColumn="0" w:firstRowLastColumn="0" w:lastRowFirstColumn="0" w:lastRowLastColumn="0"/>
              <w:rPr>
                <w:rFonts w:cstheme="minorHAnsi"/>
                <w:i/>
                <w:szCs w:val="22"/>
              </w:rPr>
            </w:pPr>
          </w:p>
        </w:tc>
      </w:tr>
      <w:tr w:rsidR="00095206" w:rsidRPr="00EE79CD" w14:paraId="51ED3BFC" w14:textId="77777777" w:rsidTr="00D3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2091F7" w14:textId="77777777" w:rsidR="00095206" w:rsidRPr="002D5FEE" w:rsidRDefault="000B6197" w:rsidP="00081B35">
            <w:pPr>
              <w:rPr>
                <w:rFonts w:cstheme="minorHAnsi"/>
                <w:szCs w:val="22"/>
              </w:rPr>
            </w:pPr>
            <w:r w:rsidRPr="005F426F">
              <w:rPr>
                <w:rFonts w:cstheme="minorHAnsi"/>
                <w:szCs w:val="22"/>
              </w:rPr>
              <w:t>0.2</w:t>
            </w:r>
          </w:p>
        </w:tc>
        <w:tc>
          <w:tcPr>
            <w:tcW w:w="1825" w:type="dxa"/>
          </w:tcPr>
          <w:p w14:paraId="038C7DE9" w14:textId="08B833A7" w:rsidR="00095206" w:rsidRPr="002D5FEE" w:rsidRDefault="00095206" w:rsidP="00081B35">
            <w:pP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6992" w:type="dxa"/>
          </w:tcPr>
          <w:p w14:paraId="3FC70A91" w14:textId="06DA88A1" w:rsidR="00095206" w:rsidRPr="002D5FEE" w:rsidRDefault="00095206" w:rsidP="00CF6D84">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C449BF" w:rsidRPr="00EE79CD" w14:paraId="4A4A567A" w14:textId="77777777" w:rsidTr="00D378CB">
        <w:tc>
          <w:tcPr>
            <w:cnfStyle w:val="001000000000" w:firstRow="0" w:lastRow="0" w:firstColumn="1" w:lastColumn="0" w:oddVBand="0" w:evenVBand="0" w:oddHBand="0" w:evenHBand="0" w:firstRowFirstColumn="0" w:firstRowLastColumn="0" w:lastRowFirstColumn="0" w:lastRowLastColumn="0"/>
            <w:tcW w:w="1384" w:type="dxa"/>
          </w:tcPr>
          <w:p w14:paraId="15230E30" w14:textId="77777777" w:rsidR="00C449BF" w:rsidRPr="002D5FEE" w:rsidDel="000B6197" w:rsidRDefault="00C449BF" w:rsidP="00081B35">
            <w:pPr>
              <w:rPr>
                <w:rFonts w:cstheme="minorHAnsi"/>
                <w:szCs w:val="22"/>
              </w:rPr>
            </w:pPr>
            <w:r>
              <w:rPr>
                <w:rFonts w:cstheme="minorHAnsi"/>
                <w:szCs w:val="22"/>
              </w:rPr>
              <w:t>0.3</w:t>
            </w:r>
          </w:p>
        </w:tc>
        <w:tc>
          <w:tcPr>
            <w:tcW w:w="1825" w:type="dxa"/>
          </w:tcPr>
          <w:p w14:paraId="7CE40088" w14:textId="728212F1" w:rsidR="00C449BF" w:rsidRPr="002D5FEE" w:rsidRDefault="00C449BF" w:rsidP="00081B35">
            <w:pP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6992" w:type="dxa"/>
          </w:tcPr>
          <w:p w14:paraId="51F54AFB" w14:textId="1DA232C3" w:rsidR="00C449BF" w:rsidRPr="002D5FEE" w:rsidRDefault="00C449BF" w:rsidP="007B4BC3">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76539C" w:rsidRPr="00EE79CD" w14:paraId="033BCC34" w14:textId="77777777" w:rsidTr="00D3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E45140" w14:textId="77777777" w:rsidR="0076539C" w:rsidRPr="00D378CB" w:rsidRDefault="00C449BF" w:rsidP="000B6197">
            <w:pPr>
              <w:rPr>
                <w:rFonts w:cstheme="minorHAnsi"/>
                <w:szCs w:val="22"/>
              </w:rPr>
            </w:pPr>
            <w:r>
              <w:rPr>
                <w:rFonts w:cstheme="minorHAnsi"/>
                <w:szCs w:val="22"/>
              </w:rPr>
              <w:t>0.4</w:t>
            </w:r>
          </w:p>
        </w:tc>
        <w:tc>
          <w:tcPr>
            <w:tcW w:w="1825" w:type="dxa"/>
          </w:tcPr>
          <w:p w14:paraId="720DD04D" w14:textId="21804278" w:rsidR="0076539C" w:rsidRPr="00D378CB" w:rsidRDefault="0076539C" w:rsidP="007B4BC3">
            <w:pP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6992" w:type="dxa"/>
          </w:tcPr>
          <w:p w14:paraId="16FD01D3" w14:textId="031D98EC" w:rsidR="0076539C" w:rsidRPr="00D378CB" w:rsidRDefault="0076539C" w:rsidP="00CF6D84">
            <w:pP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2815A47C" w14:textId="77777777" w:rsidR="00480EC6" w:rsidRPr="00D378CB" w:rsidRDefault="00480EC6" w:rsidP="00081B35">
      <w:pPr>
        <w:pStyle w:val="BodyText1"/>
        <w:keepNext/>
        <w:ind w:left="0"/>
        <w:rPr>
          <w:rFonts w:cstheme="minorHAnsi"/>
          <w:b/>
          <w:color w:val="800000"/>
          <w:szCs w:val="22"/>
        </w:rPr>
      </w:pPr>
    </w:p>
    <w:p w14:paraId="6B0614EB" w14:textId="625CD811" w:rsidR="00480EC6" w:rsidRPr="00D378CB" w:rsidRDefault="000B6197" w:rsidP="000771E6">
      <w:pPr>
        <w:spacing w:after="0"/>
      </w:pPr>
      <w:bookmarkStart w:id="1" w:name="_Toc58502785"/>
      <w:r w:rsidRPr="00D378CB">
        <w:rPr>
          <w:rStyle w:val="Heading1Char"/>
          <w:rFonts w:ascii="Arial" w:hAnsi="Arial"/>
          <w:sz w:val="32"/>
        </w:rPr>
        <w:t>C</w:t>
      </w:r>
      <w:r w:rsidR="00EE79CD" w:rsidRPr="00D378CB">
        <w:rPr>
          <w:rStyle w:val="Heading1Char"/>
          <w:rFonts w:ascii="Arial" w:hAnsi="Arial"/>
          <w:sz w:val="32"/>
        </w:rPr>
        <w:t>ONTENTS</w:t>
      </w:r>
      <w:bookmarkEnd w:id="1"/>
    </w:p>
    <w:bookmarkStart w:id="2" w:name="_Toc278362976"/>
    <w:p w14:paraId="52DDF892" w14:textId="10469BA3" w:rsidR="00D65D1E" w:rsidRDefault="00480EC6">
      <w:pPr>
        <w:pStyle w:val="TOC1"/>
        <w:rPr>
          <w:rFonts w:eastAsiaTheme="minorEastAsia" w:cstheme="minorBidi"/>
          <w:b w:val="0"/>
          <w:noProof/>
          <w:szCs w:val="22"/>
          <w:lang w:eastAsia="en-AU"/>
        </w:rPr>
      </w:pPr>
      <w:r w:rsidRPr="00D378CB">
        <w:rPr>
          <w:snapToGrid w:val="0"/>
        </w:rPr>
        <w:fldChar w:fldCharType="begin"/>
      </w:r>
      <w:r w:rsidRPr="00D378CB">
        <w:rPr>
          <w:snapToGrid w:val="0"/>
        </w:rPr>
        <w:instrText xml:space="preserve"> TOC \o "1-2" \h \z \u </w:instrText>
      </w:r>
      <w:r w:rsidRPr="00D378CB">
        <w:rPr>
          <w:snapToGrid w:val="0"/>
        </w:rPr>
        <w:fldChar w:fldCharType="separate"/>
      </w:r>
      <w:hyperlink w:anchor="_Toc58502784" w:history="1">
        <w:r w:rsidR="00D65D1E" w:rsidRPr="002A2485">
          <w:rPr>
            <w:rStyle w:val="Hyperlink"/>
            <w:rFonts w:ascii="Arial" w:hAnsi="Arial"/>
            <w:noProof/>
          </w:rPr>
          <w:t>VERSION HISTORY</w:t>
        </w:r>
        <w:r w:rsidR="00D65D1E">
          <w:rPr>
            <w:noProof/>
            <w:webHidden/>
          </w:rPr>
          <w:tab/>
        </w:r>
        <w:r w:rsidR="00D65D1E">
          <w:rPr>
            <w:noProof/>
            <w:webHidden/>
          </w:rPr>
          <w:fldChar w:fldCharType="begin"/>
        </w:r>
        <w:r w:rsidR="00D65D1E">
          <w:rPr>
            <w:noProof/>
            <w:webHidden/>
          </w:rPr>
          <w:instrText xml:space="preserve"> PAGEREF _Toc58502784 \h </w:instrText>
        </w:r>
        <w:r w:rsidR="00D65D1E">
          <w:rPr>
            <w:noProof/>
            <w:webHidden/>
          </w:rPr>
        </w:r>
        <w:r w:rsidR="00D65D1E">
          <w:rPr>
            <w:noProof/>
            <w:webHidden/>
          </w:rPr>
          <w:fldChar w:fldCharType="separate"/>
        </w:r>
        <w:r w:rsidR="00D65D1E">
          <w:rPr>
            <w:noProof/>
            <w:webHidden/>
          </w:rPr>
          <w:t>2</w:t>
        </w:r>
        <w:r w:rsidR="00D65D1E">
          <w:rPr>
            <w:noProof/>
            <w:webHidden/>
          </w:rPr>
          <w:fldChar w:fldCharType="end"/>
        </w:r>
      </w:hyperlink>
    </w:p>
    <w:p w14:paraId="2895D1D5" w14:textId="54770ED8" w:rsidR="00D65D1E" w:rsidRDefault="00000000">
      <w:pPr>
        <w:pStyle w:val="TOC1"/>
        <w:rPr>
          <w:rFonts w:eastAsiaTheme="minorEastAsia" w:cstheme="minorBidi"/>
          <w:b w:val="0"/>
          <w:noProof/>
          <w:szCs w:val="22"/>
          <w:lang w:eastAsia="en-AU"/>
        </w:rPr>
      </w:pPr>
      <w:hyperlink w:anchor="_Toc58502785" w:history="1">
        <w:r w:rsidR="00D65D1E" w:rsidRPr="002A2485">
          <w:rPr>
            <w:rStyle w:val="Hyperlink"/>
            <w:rFonts w:ascii="Arial" w:hAnsi="Arial"/>
            <w:noProof/>
          </w:rPr>
          <w:t>CONTENTS</w:t>
        </w:r>
        <w:r w:rsidR="00D65D1E">
          <w:rPr>
            <w:noProof/>
            <w:webHidden/>
          </w:rPr>
          <w:tab/>
        </w:r>
        <w:r w:rsidR="00D65D1E">
          <w:rPr>
            <w:noProof/>
            <w:webHidden/>
          </w:rPr>
          <w:fldChar w:fldCharType="begin"/>
        </w:r>
        <w:r w:rsidR="00D65D1E">
          <w:rPr>
            <w:noProof/>
            <w:webHidden/>
          </w:rPr>
          <w:instrText xml:space="preserve"> PAGEREF _Toc58502785 \h </w:instrText>
        </w:r>
        <w:r w:rsidR="00D65D1E">
          <w:rPr>
            <w:noProof/>
            <w:webHidden/>
          </w:rPr>
        </w:r>
        <w:r w:rsidR="00D65D1E">
          <w:rPr>
            <w:noProof/>
            <w:webHidden/>
          </w:rPr>
          <w:fldChar w:fldCharType="separate"/>
        </w:r>
        <w:r w:rsidR="00D65D1E">
          <w:rPr>
            <w:noProof/>
            <w:webHidden/>
          </w:rPr>
          <w:t>2</w:t>
        </w:r>
        <w:r w:rsidR="00D65D1E">
          <w:rPr>
            <w:noProof/>
            <w:webHidden/>
          </w:rPr>
          <w:fldChar w:fldCharType="end"/>
        </w:r>
      </w:hyperlink>
    </w:p>
    <w:p w14:paraId="169F9539" w14:textId="26FBCD51" w:rsidR="00D65D1E" w:rsidRDefault="00000000">
      <w:pPr>
        <w:pStyle w:val="TOC1"/>
        <w:rPr>
          <w:rFonts w:eastAsiaTheme="minorEastAsia" w:cstheme="minorBidi"/>
          <w:b w:val="0"/>
          <w:noProof/>
          <w:szCs w:val="22"/>
          <w:lang w:eastAsia="en-AU"/>
        </w:rPr>
      </w:pPr>
      <w:hyperlink w:anchor="_Toc58502786" w:history="1">
        <w:r w:rsidR="00D65D1E" w:rsidRPr="002A2485">
          <w:rPr>
            <w:rStyle w:val="Hyperlink"/>
            <w:rFonts w:ascii="Arial" w:hAnsi="Arial"/>
            <w:noProof/>
            <w14:scene3d>
              <w14:camera w14:prst="orthographicFront"/>
              <w14:lightRig w14:rig="threePt" w14:dir="t">
                <w14:rot w14:lat="0" w14:lon="0" w14:rev="0"/>
              </w14:lightRig>
            </w14:scene3d>
          </w:rPr>
          <w:t>1</w:t>
        </w:r>
        <w:r w:rsidR="00D65D1E">
          <w:rPr>
            <w:rFonts w:eastAsiaTheme="minorEastAsia" w:cstheme="minorBidi"/>
            <w:b w:val="0"/>
            <w:noProof/>
            <w:szCs w:val="22"/>
            <w:lang w:eastAsia="en-AU"/>
          </w:rPr>
          <w:tab/>
        </w:r>
        <w:r w:rsidR="00D65D1E" w:rsidRPr="002A2485">
          <w:rPr>
            <w:rStyle w:val="Hyperlink"/>
            <w:rFonts w:ascii="Arial" w:hAnsi="Arial"/>
            <w:noProof/>
          </w:rPr>
          <w:t>I</w:t>
        </w:r>
        <w:r w:rsidR="00D65D1E" w:rsidRPr="002A2485">
          <w:rPr>
            <w:rStyle w:val="Hyperlink"/>
            <w:rFonts w:ascii="Arial" w:hAnsi="Arial"/>
            <w:caps/>
            <w:noProof/>
          </w:rPr>
          <w:t>ntroduction</w:t>
        </w:r>
        <w:r w:rsidR="00D65D1E">
          <w:rPr>
            <w:noProof/>
            <w:webHidden/>
          </w:rPr>
          <w:tab/>
        </w:r>
        <w:r w:rsidR="00D65D1E">
          <w:rPr>
            <w:noProof/>
            <w:webHidden/>
          </w:rPr>
          <w:fldChar w:fldCharType="begin"/>
        </w:r>
        <w:r w:rsidR="00D65D1E">
          <w:rPr>
            <w:noProof/>
            <w:webHidden/>
          </w:rPr>
          <w:instrText xml:space="preserve"> PAGEREF _Toc58502786 \h </w:instrText>
        </w:r>
        <w:r w:rsidR="00D65D1E">
          <w:rPr>
            <w:noProof/>
            <w:webHidden/>
          </w:rPr>
        </w:r>
        <w:r w:rsidR="00D65D1E">
          <w:rPr>
            <w:noProof/>
            <w:webHidden/>
          </w:rPr>
          <w:fldChar w:fldCharType="separate"/>
        </w:r>
        <w:r w:rsidR="00D65D1E">
          <w:rPr>
            <w:noProof/>
            <w:webHidden/>
          </w:rPr>
          <w:t>4</w:t>
        </w:r>
        <w:r w:rsidR="00D65D1E">
          <w:rPr>
            <w:noProof/>
            <w:webHidden/>
          </w:rPr>
          <w:fldChar w:fldCharType="end"/>
        </w:r>
      </w:hyperlink>
    </w:p>
    <w:p w14:paraId="032C7212" w14:textId="08CD0621" w:rsidR="00D65D1E" w:rsidRDefault="00000000">
      <w:pPr>
        <w:pStyle w:val="TOC2"/>
        <w:rPr>
          <w:rFonts w:eastAsiaTheme="minorEastAsia" w:cstheme="minorBidi"/>
          <w:noProof/>
          <w:szCs w:val="22"/>
          <w:lang w:eastAsia="en-AU"/>
        </w:rPr>
      </w:pPr>
      <w:hyperlink w:anchor="_Toc58502787" w:history="1">
        <w:r w:rsidR="00D65D1E" w:rsidRPr="002A2485">
          <w:rPr>
            <w:rStyle w:val="Hyperlink"/>
            <w:rFonts w:ascii="Arial" w:hAnsi="Arial"/>
            <w:noProof/>
          </w:rPr>
          <w:t>1.1</w:t>
        </w:r>
        <w:r w:rsidR="00D65D1E">
          <w:rPr>
            <w:rFonts w:eastAsiaTheme="minorEastAsia" w:cstheme="minorBidi"/>
            <w:noProof/>
            <w:szCs w:val="22"/>
            <w:lang w:eastAsia="en-AU"/>
          </w:rPr>
          <w:tab/>
        </w:r>
        <w:r w:rsidR="00D65D1E" w:rsidRPr="002A2485">
          <w:rPr>
            <w:rStyle w:val="Hyperlink"/>
            <w:rFonts w:ascii="Arial" w:hAnsi="Arial"/>
            <w:noProof/>
          </w:rPr>
          <w:t>Environmental health and environmental public health</w:t>
        </w:r>
        <w:r w:rsidR="00D65D1E">
          <w:rPr>
            <w:noProof/>
            <w:webHidden/>
          </w:rPr>
          <w:tab/>
        </w:r>
        <w:r w:rsidR="00D65D1E">
          <w:rPr>
            <w:noProof/>
            <w:webHidden/>
          </w:rPr>
          <w:fldChar w:fldCharType="begin"/>
        </w:r>
        <w:r w:rsidR="00D65D1E">
          <w:rPr>
            <w:noProof/>
            <w:webHidden/>
          </w:rPr>
          <w:instrText xml:space="preserve"> PAGEREF _Toc58502787 \h </w:instrText>
        </w:r>
        <w:r w:rsidR="00D65D1E">
          <w:rPr>
            <w:noProof/>
            <w:webHidden/>
          </w:rPr>
        </w:r>
        <w:r w:rsidR="00D65D1E">
          <w:rPr>
            <w:noProof/>
            <w:webHidden/>
          </w:rPr>
          <w:fldChar w:fldCharType="separate"/>
        </w:r>
        <w:r w:rsidR="00D65D1E">
          <w:rPr>
            <w:noProof/>
            <w:webHidden/>
          </w:rPr>
          <w:t>4</w:t>
        </w:r>
        <w:r w:rsidR="00D65D1E">
          <w:rPr>
            <w:noProof/>
            <w:webHidden/>
          </w:rPr>
          <w:fldChar w:fldCharType="end"/>
        </w:r>
      </w:hyperlink>
    </w:p>
    <w:p w14:paraId="5B20BF28" w14:textId="756CAEB6" w:rsidR="00D65D1E" w:rsidRDefault="00000000">
      <w:pPr>
        <w:pStyle w:val="TOC2"/>
        <w:rPr>
          <w:rFonts w:eastAsiaTheme="minorEastAsia" w:cstheme="minorBidi"/>
          <w:noProof/>
          <w:szCs w:val="22"/>
          <w:lang w:eastAsia="en-AU"/>
        </w:rPr>
      </w:pPr>
      <w:hyperlink w:anchor="_Toc58502788" w:history="1">
        <w:r w:rsidR="00D65D1E" w:rsidRPr="002A2485">
          <w:rPr>
            <w:rStyle w:val="Hyperlink"/>
            <w:rFonts w:ascii="Arial" w:hAnsi="Arial"/>
            <w:noProof/>
          </w:rPr>
          <w:t>1.2</w:t>
        </w:r>
        <w:r w:rsidR="00D65D1E">
          <w:rPr>
            <w:rFonts w:eastAsiaTheme="minorEastAsia" w:cstheme="minorBidi"/>
            <w:noProof/>
            <w:szCs w:val="22"/>
            <w:lang w:eastAsia="en-AU"/>
          </w:rPr>
          <w:tab/>
        </w:r>
        <w:r w:rsidR="00D65D1E" w:rsidRPr="002A2485">
          <w:rPr>
            <w:rStyle w:val="Hyperlink"/>
            <w:rFonts w:ascii="Arial" w:hAnsi="Arial"/>
            <w:noProof/>
          </w:rPr>
          <w:t>Environmental health in Australia</w:t>
        </w:r>
        <w:r w:rsidR="00D65D1E">
          <w:rPr>
            <w:noProof/>
            <w:webHidden/>
          </w:rPr>
          <w:tab/>
        </w:r>
        <w:r w:rsidR="00D65D1E">
          <w:rPr>
            <w:noProof/>
            <w:webHidden/>
          </w:rPr>
          <w:fldChar w:fldCharType="begin"/>
        </w:r>
        <w:r w:rsidR="00D65D1E">
          <w:rPr>
            <w:noProof/>
            <w:webHidden/>
          </w:rPr>
          <w:instrText xml:space="preserve"> PAGEREF _Toc58502788 \h </w:instrText>
        </w:r>
        <w:r w:rsidR="00D65D1E">
          <w:rPr>
            <w:noProof/>
            <w:webHidden/>
          </w:rPr>
        </w:r>
        <w:r w:rsidR="00D65D1E">
          <w:rPr>
            <w:noProof/>
            <w:webHidden/>
          </w:rPr>
          <w:fldChar w:fldCharType="separate"/>
        </w:r>
        <w:r w:rsidR="00D65D1E">
          <w:rPr>
            <w:noProof/>
            <w:webHidden/>
          </w:rPr>
          <w:t>5</w:t>
        </w:r>
        <w:r w:rsidR="00D65D1E">
          <w:rPr>
            <w:noProof/>
            <w:webHidden/>
          </w:rPr>
          <w:fldChar w:fldCharType="end"/>
        </w:r>
      </w:hyperlink>
    </w:p>
    <w:p w14:paraId="1252383B" w14:textId="3816D9BA" w:rsidR="00D65D1E" w:rsidRDefault="00000000">
      <w:pPr>
        <w:pStyle w:val="TOC2"/>
        <w:rPr>
          <w:rFonts w:eastAsiaTheme="minorEastAsia" w:cstheme="minorBidi"/>
          <w:noProof/>
          <w:szCs w:val="22"/>
          <w:lang w:eastAsia="en-AU"/>
        </w:rPr>
      </w:pPr>
      <w:hyperlink w:anchor="_Toc58502789" w:history="1">
        <w:r w:rsidR="00D65D1E" w:rsidRPr="002A2485">
          <w:rPr>
            <w:rStyle w:val="Hyperlink"/>
            <w:rFonts w:ascii="Arial" w:hAnsi="Arial"/>
            <w:noProof/>
          </w:rPr>
          <w:t>1.3</w:t>
        </w:r>
        <w:r w:rsidR="00D65D1E">
          <w:rPr>
            <w:rFonts w:eastAsiaTheme="minorEastAsia" w:cstheme="minorBidi"/>
            <w:noProof/>
            <w:szCs w:val="22"/>
            <w:lang w:eastAsia="en-AU"/>
          </w:rPr>
          <w:tab/>
        </w:r>
        <w:r w:rsidR="00D65D1E" w:rsidRPr="002A2485">
          <w:rPr>
            <w:rStyle w:val="Hyperlink"/>
            <w:rFonts w:ascii="Arial" w:hAnsi="Arial"/>
            <w:noProof/>
          </w:rPr>
          <w:t>Governance arrangements</w:t>
        </w:r>
        <w:r w:rsidR="00D65D1E">
          <w:rPr>
            <w:noProof/>
            <w:webHidden/>
          </w:rPr>
          <w:tab/>
        </w:r>
        <w:r w:rsidR="00D65D1E">
          <w:rPr>
            <w:noProof/>
            <w:webHidden/>
          </w:rPr>
          <w:fldChar w:fldCharType="begin"/>
        </w:r>
        <w:r w:rsidR="00D65D1E">
          <w:rPr>
            <w:noProof/>
            <w:webHidden/>
          </w:rPr>
          <w:instrText xml:space="preserve"> PAGEREF _Toc58502789 \h </w:instrText>
        </w:r>
        <w:r w:rsidR="00D65D1E">
          <w:rPr>
            <w:noProof/>
            <w:webHidden/>
          </w:rPr>
        </w:r>
        <w:r w:rsidR="00D65D1E">
          <w:rPr>
            <w:noProof/>
            <w:webHidden/>
          </w:rPr>
          <w:fldChar w:fldCharType="separate"/>
        </w:r>
        <w:r w:rsidR="00D65D1E">
          <w:rPr>
            <w:noProof/>
            <w:webHidden/>
          </w:rPr>
          <w:t>6</w:t>
        </w:r>
        <w:r w:rsidR="00D65D1E">
          <w:rPr>
            <w:noProof/>
            <w:webHidden/>
          </w:rPr>
          <w:fldChar w:fldCharType="end"/>
        </w:r>
      </w:hyperlink>
    </w:p>
    <w:p w14:paraId="7743D99D" w14:textId="704C5407" w:rsidR="00D65D1E" w:rsidRDefault="00000000">
      <w:pPr>
        <w:pStyle w:val="TOC1"/>
        <w:rPr>
          <w:rFonts w:eastAsiaTheme="minorEastAsia" w:cstheme="minorBidi"/>
          <w:b w:val="0"/>
          <w:noProof/>
          <w:szCs w:val="22"/>
          <w:lang w:eastAsia="en-AU"/>
        </w:rPr>
      </w:pPr>
      <w:hyperlink w:anchor="_Toc58502790" w:history="1">
        <w:r w:rsidR="00D65D1E" w:rsidRPr="002A2485">
          <w:rPr>
            <w:rStyle w:val="Hyperlink"/>
            <w:noProof/>
            <w14:scene3d>
              <w14:camera w14:prst="orthographicFront"/>
              <w14:lightRig w14:rig="threePt" w14:dir="t">
                <w14:rot w14:lat="0" w14:lon="0" w14:rev="0"/>
              </w14:lightRig>
            </w14:scene3d>
          </w:rPr>
          <w:t>2</w:t>
        </w:r>
        <w:r w:rsidR="00D65D1E">
          <w:rPr>
            <w:rFonts w:eastAsiaTheme="minorEastAsia" w:cstheme="minorBidi"/>
            <w:b w:val="0"/>
            <w:noProof/>
            <w:szCs w:val="22"/>
            <w:lang w:eastAsia="en-AU"/>
          </w:rPr>
          <w:tab/>
        </w:r>
        <w:r w:rsidR="00D65D1E" w:rsidRPr="002A2485">
          <w:rPr>
            <w:rStyle w:val="Hyperlink"/>
            <w:rFonts w:ascii="Arial" w:hAnsi="Arial"/>
            <w:noProof/>
          </w:rPr>
          <w:t>ENVIRONMENTAL HEALTH STANDING COMMITTEE</w:t>
        </w:r>
        <w:r w:rsidR="00D65D1E">
          <w:rPr>
            <w:noProof/>
            <w:webHidden/>
          </w:rPr>
          <w:tab/>
        </w:r>
        <w:r w:rsidR="00D65D1E">
          <w:rPr>
            <w:noProof/>
            <w:webHidden/>
          </w:rPr>
          <w:fldChar w:fldCharType="begin"/>
        </w:r>
        <w:r w:rsidR="00D65D1E">
          <w:rPr>
            <w:noProof/>
            <w:webHidden/>
          </w:rPr>
          <w:instrText xml:space="preserve"> PAGEREF _Toc58502790 \h </w:instrText>
        </w:r>
        <w:r w:rsidR="00D65D1E">
          <w:rPr>
            <w:noProof/>
            <w:webHidden/>
          </w:rPr>
        </w:r>
        <w:r w:rsidR="00D65D1E">
          <w:rPr>
            <w:noProof/>
            <w:webHidden/>
          </w:rPr>
          <w:fldChar w:fldCharType="separate"/>
        </w:r>
        <w:r w:rsidR="00D65D1E">
          <w:rPr>
            <w:noProof/>
            <w:webHidden/>
          </w:rPr>
          <w:t>7</w:t>
        </w:r>
        <w:r w:rsidR="00D65D1E">
          <w:rPr>
            <w:noProof/>
            <w:webHidden/>
          </w:rPr>
          <w:fldChar w:fldCharType="end"/>
        </w:r>
      </w:hyperlink>
    </w:p>
    <w:p w14:paraId="0100665B" w14:textId="54B393F4" w:rsidR="00D65D1E" w:rsidRDefault="00000000">
      <w:pPr>
        <w:pStyle w:val="TOC2"/>
        <w:rPr>
          <w:rFonts w:eastAsiaTheme="minorEastAsia" w:cstheme="minorBidi"/>
          <w:noProof/>
          <w:szCs w:val="22"/>
          <w:lang w:eastAsia="en-AU"/>
        </w:rPr>
      </w:pPr>
      <w:hyperlink w:anchor="_Toc58502791" w:history="1">
        <w:r w:rsidR="00D65D1E" w:rsidRPr="002A2485">
          <w:rPr>
            <w:rStyle w:val="Hyperlink"/>
            <w:rFonts w:ascii="Arial" w:hAnsi="Arial"/>
            <w:noProof/>
          </w:rPr>
          <w:t>2.1</w:t>
        </w:r>
        <w:r w:rsidR="00D65D1E">
          <w:rPr>
            <w:rFonts w:eastAsiaTheme="minorEastAsia" w:cstheme="minorBidi"/>
            <w:noProof/>
            <w:szCs w:val="22"/>
            <w:lang w:eastAsia="en-AU"/>
          </w:rPr>
          <w:tab/>
        </w:r>
        <w:r w:rsidR="00D65D1E" w:rsidRPr="002A2485">
          <w:rPr>
            <w:rStyle w:val="Hyperlink"/>
            <w:rFonts w:ascii="Arial" w:hAnsi="Arial"/>
            <w:noProof/>
          </w:rPr>
          <w:t>Managing environmental health risks in Australia</w:t>
        </w:r>
        <w:r w:rsidR="00D65D1E">
          <w:rPr>
            <w:noProof/>
            <w:webHidden/>
          </w:rPr>
          <w:tab/>
        </w:r>
        <w:r w:rsidR="00D65D1E">
          <w:rPr>
            <w:noProof/>
            <w:webHidden/>
          </w:rPr>
          <w:fldChar w:fldCharType="begin"/>
        </w:r>
        <w:r w:rsidR="00D65D1E">
          <w:rPr>
            <w:noProof/>
            <w:webHidden/>
          </w:rPr>
          <w:instrText xml:space="preserve"> PAGEREF _Toc58502791 \h </w:instrText>
        </w:r>
        <w:r w:rsidR="00D65D1E">
          <w:rPr>
            <w:noProof/>
            <w:webHidden/>
          </w:rPr>
        </w:r>
        <w:r w:rsidR="00D65D1E">
          <w:rPr>
            <w:noProof/>
            <w:webHidden/>
          </w:rPr>
          <w:fldChar w:fldCharType="separate"/>
        </w:r>
        <w:r w:rsidR="00D65D1E">
          <w:rPr>
            <w:noProof/>
            <w:webHidden/>
          </w:rPr>
          <w:t>7</w:t>
        </w:r>
        <w:r w:rsidR="00D65D1E">
          <w:rPr>
            <w:noProof/>
            <w:webHidden/>
          </w:rPr>
          <w:fldChar w:fldCharType="end"/>
        </w:r>
      </w:hyperlink>
    </w:p>
    <w:p w14:paraId="07637087" w14:textId="470F46C6" w:rsidR="00D65D1E" w:rsidRDefault="00000000">
      <w:pPr>
        <w:pStyle w:val="TOC2"/>
        <w:rPr>
          <w:rFonts w:eastAsiaTheme="minorEastAsia" w:cstheme="minorBidi"/>
          <w:noProof/>
          <w:szCs w:val="22"/>
          <w:lang w:eastAsia="en-AU"/>
        </w:rPr>
      </w:pPr>
      <w:hyperlink w:anchor="_Toc58502792" w:history="1">
        <w:r w:rsidR="00D65D1E" w:rsidRPr="002A2485">
          <w:rPr>
            <w:rStyle w:val="Hyperlink"/>
            <w:rFonts w:ascii="Arial" w:hAnsi="Arial"/>
            <w:noProof/>
          </w:rPr>
          <w:t>2.2</w:t>
        </w:r>
        <w:r w:rsidR="00D65D1E">
          <w:rPr>
            <w:rFonts w:eastAsiaTheme="minorEastAsia" w:cstheme="minorBidi"/>
            <w:noProof/>
            <w:szCs w:val="22"/>
            <w:lang w:eastAsia="en-AU"/>
          </w:rPr>
          <w:tab/>
        </w:r>
        <w:r w:rsidR="00D65D1E" w:rsidRPr="002A2485">
          <w:rPr>
            <w:rStyle w:val="Hyperlink"/>
            <w:rFonts w:ascii="Arial" w:hAnsi="Arial"/>
            <w:noProof/>
          </w:rPr>
          <w:t>The role of health agencies in environmental health</w:t>
        </w:r>
        <w:r w:rsidR="00D65D1E">
          <w:rPr>
            <w:noProof/>
            <w:webHidden/>
          </w:rPr>
          <w:tab/>
        </w:r>
        <w:r w:rsidR="00D65D1E">
          <w:rPr>
            <w:noProof/>
            <w:webHidden/>
          </w:rPr>
          <w:fldChar w:fldCharType="begin"/>
        </w:r>
        <w:r w:rsidR="00D65D1E">
          <w:rPr>
            <w:noProof/>
            <w:webHidden/>
          </w:rPr>
          <w:instrText xml:space="preserve"> PAGEREF _Toc58502792 \h </w:instrText>
        </w:r>
        <w:r w:rsidR="00D65D1E">
          <w:rPr>
            <w:noProof/>
            <w:webHidden/>
          </w:rPr>
        </w:r>
        <w:r w:rsidR="00D65D1E">
          <w:rPr>
            <w:noProof/>
            <w:webHidden/>
          </w:rPr>
          <w:fldChar w:fldCharType="separate"/>
        </w:r>
        <w:r w:rsidR="00D65D1E">
          <w:rPr>
            <w:noProof/>
            <w:webHidden/>
          </w:rPr>
          <w:t>8</w:t>
        </w:r>
        <w:r w:rsidR="00D65D1E">
          <w:rPr>
            <w:noProof/>
            <w:webHidden/>
          </w:rPr>
          <w:fldChar w:fldCharType="end"/>
        </w:r>
      </w:hyperlink>
    </w:p>
    <w:p w14:paraId="0CE098C1" w14:textId="03D71B65" w:rsidR="00D65D1E" w:rsidRDefault="00000000">
      <w:pPr>
        <w:pStyle w:val="TOC2"/>
        <w:rPr>
          <w:rFonts w:eastAsiaTheme="minorEastAsia" w:cstheme="minorBidi"/>
          <w:noProof/>
          <w:szCs w:val="22"/>
          <w:lang w:eastAsia="en-AU"/>
        </w:rPr>
      </w:pPr>
      <w:hyperlink w:anchor="_Toc58502793" w:history="1">
        <w:r w:rsidR="00D65D1E" w:rsidRPr="002A2485">
          <w:rPr>
            <w:rStyle w:val="Hyperlink"/>
            <w:rFonts w:ascii="Arial" w:hAnsi="Arial"/>
            <w:noProof/>
          </w:rPr>
          <w:t>2.3</w:t>
        </w:r>
        <w:r w:rsidR="00D65D1E">
          <w:rPr>
            <w:rFonts w:eastAsiaTheme="minorEastAsia" w:cstheme="minorBidi"/>
            <w:noProof/>
            <w:szCs w:val="22"/>
            <w:lang w:eastAsia="en-AU"/>
          </w:rPr>
          <w:tab/>
        </w:r>
        <w:r w:rsidR="00D65D1E" w:rsidRPr="002A2485">
          <w:rPr>
            <w:rStyle w:val="Hyperlink"/>
            <w:rFonts w:ascii="Arial" w:hAnsi="Arial"/>
            <w:noProof/>
          </w:rPr>
          <w:t>About enHealth</w:t>
        </w:r>
        <w:r w:rsidR="00D65D1E">
          <w:rPr>
            <w:noProof/>
            <w:webHidden/>
          </w:rPr>
          <w:tab/>
        </w:r>
        <w:r w:rsidR="00D65D1E">
          <w:rPr>
            <w:noProof/>
            <w:webHidden/>
          </w:rPr>
          <w:fldChar w:fldCharType="begin"/>
        </w:r>
        <w:r w:rsidR="00D65D1E">
          <w:rPr>
            <w:noProof/>
            <w:webHidden/>
          </w:rPr>
          <w:instrText xml:space="preserve"> PAGEREF _Toc58502793 \h </w:instrText>
        </w:r>
        <w:r w:rsidR="00D65D1E">
          <w:rPr>
            <w:noProof/>
            <w:webHidden/>
          </w:rPr>
        </w:r>
        <w:r w:rsidR="00D65D1E">
          <w:rPr>
            <w:noProof/>
            <w:webHidden/>
          </w:rPr>
          <w:fldChar w:fldCharType="separate"/>
        </w:r>
        <w:r w:rsidR="00D65D1E">
          <w:rPr>
            <w:noProof/>
            <w:webHidden/>
          </w:rPr>
          <w:t>8</w:t>
        </w:r>
        <w:r w:rsidR="00D65D1E">
          <w:rPr>
            <w:noProof/>
            <w:webHidden/>
          </w:rPr>
          <w:fldChar w:fldCharType="end"/>
        </w:r>
      </w:hyperlink>
    </w:p>
    <w:p w14:paraId="1F50DB73" w14:textId="5CFDD13B" w:rsidR="00D65D1E" w:rsidRDefault="00000000">
      <w:pPr>
        <w:pStyle w:val="TOC2"/>
        <w:rPr>
          <w:rFonts w:eastAsiaTheme="minorEastAsia" w:cstheme="minorBidi"/>
          <w:noProof/>
          <w:szCs w:val="22"/>
          <w:lang w:eastAsia="en-AU"/>
        </w:rPr>
      </w:pPr>
      <w:hyperlink w:anchor="_Toc58502794" w:history="1">
        <w:r w:rsidR="00D65D1E" w:rsidRPr="002A2485">
          <w:rPr>
            <w:rStyle w:val="Hyperlink"/>
            <w:rFonts w:ascii="Arial" w:hAnsi="Arial"/>
            <w:noProof/>
          </w:rPr>
          <w:t>2.4</w:t>
        </w:r>
        <w:r w:rsidR="00D65D1E">
          <w:rPr>
            <w:rFonts w:eastAsiaTheme="minorEastAsia" w:cstheme="minorBidi"/>
            <w:noProof/>
            <w:szCs w:val="22"/>
            <w:lang w:eastAsia="en-AU"/>
          </w:rPr>
          <w:tab/>
        </w:r>
        <w:r w:rsidR="00D65D1E" w:rsidRPr="002A2485">
          <w:rPr>
            <w:rStyle w:val="Hyperlink"/>
            <w:rFonts w:ascii="Arial" w:hAnsi="Arial"/>
            <w:noProof/>
          </w:rPr>
          <w:t>Terms of Reference</w:t>
        </w:r>
        <w:r w:rsidR="00D65D1E">
          <w:rPr>
            <w:noProof/>
            <w:webHidden/>
          </w:rPr>
          <w:tab/>
        </w:r>
        <w:r w:rsidR="00D65D1E">
          <w:rPr>
            <w:noProof/>
            <w:webHidden/>
          </w:rPr>
          <w:fldChar w:fldCharType="begin"/>
        </w:r>
        <w:r w:rsidR="00D65D1E">
          <w:rPr>
            <w:noProof/>
            <w:webHidden/>
          </w:rPr>
          <w:instrText xml:space="preserve"> PAGEREF _Toc58502794 \h </w:instrText>
        </w:r>
        <w:r w:rsidR="00D65D1E">
          <w:rPr>
            <w:noProof/>
            <w:webHidden/>
          </w:rPr>
        </w:r>
        <w:r w:rsidR="00D65D1E">
          <w:rPr>
            <w:noProof/>
            <w:webHidden/>
          </w:rPr>
          <w:fldChar w:fldCharType="separate"/>
        </w:r>
        <w:r w:rsidR="00D65D1E">
          <w:rPr>
            <w:noProof/>
            <w:webHidden/>
          </w:rPr>
          <w:t>9</w:t>
        </w:r>
        <w:r w:rsidR="00D65D1E">
          <w:rPr>
            <w:noProof/>
            <w:webHidden/>
          </w:rPr>
          <w:fldChar w:fldCharType="end"/>
        </w:r>
      </w:hyperlink>
    </w:p>
    <w:p w14:paraId="7BFF96DD" w14:textId="43A512DE" w:rsidR="00D65D1E" w:rsidRDefault="00000000">
      <w:pPr>
        <w:pStyle w:val="TOC2"/>
        <w:rPr>
          <w:rFonts w:eastAsiaTheme="minorEastAsia" w:cstheme="minorBidi"/>
          <w:noProof/>
          <w:szCs w:val="22"/>
          <w:lang w:eastAsia="en-AU"/>
        </w:rPr>
      </w:pPr>
      <w:hyperlink w:anchor="_Toc58502795" w:history="1">
        <w:r w:rsidR="00D65D1E" w:rsidRPr="002A2485">
          <w:rPr>
            <w:rStyle w:val="Hyperlink"/>
            <w:rFonts w:ascii="Arial" w:hAnsi="Arial"/>
            <w:noProof/>
          </w:rPr>
          <w:t>2.5</w:t>
        </w:r>
        <w:r w:rsidR="00D65D1E">
          <w:rPr>
            <w:rFonts w:eastAsiaTheme="minorEastAsia" w:cstheme="minorBidi"/>
            <w:noProof/>
            <w:szCs w:val="22"/>
            <w:lang w:eastAsia="en-AU"/>
          </w:rPr>
          <w:tab/>
        </w:r>
        <w:r w:rsidR="00D65D1E" w:rsidRPr="002A2485">
          <w:rPr>
            <w:rStyle w:val="Hyperlink"/>
            <w:rFonts w:ascii="Arial" w:hAnsi="Arial"/>
            <w:noProof/>
          </w:rPr>
          <w:t>Work plan</w:t>
        </w:r>
        <w:r w:rsidR="00D65D1E">
          <w:rPr>
            <w:noProof/>
            <w:webHidden/>
          </w:rPr>
          <w:tab/>
        </w:r>
        <w:r w:rsidR="00D65D1E">
          <w:rPr>
            <w:noProof/>
            <w:webHidden/>
          </w:rPr>
          <w:fldChar w:fldCharType="begin"/>
        </w:r>
        <w:r w:rsidR="00D65D1E">
          <w:rPr>
            <w:noProof/>
            <w:webHidden/>
          </w:rPr>
          <w:instrText xml:space="preserve"> PAGEREF _Toc58502795 \h </w:instrText>
        </w:r>
        <w:r w:rsidR="00D65D1E">
          <w:rPr>
            <w:noProof/>
            <w:webHidden/>
          </w:rPr>
        </w:r>
        <w:r w:rsidR="00D65D1E">
          <w:rPr>
            <w:noProof/>
            <w:webHidden/>
          </w:rPr>
          <w:fldChar w:fldCharType="separate"/>
        </w:r>
        <w:r w:rsidR="00D65D1E">
          <w:rPr>
            <w:noProof/>
            <w:webHidden/>
          </w:rPr>
          <w:t>10</w:t>
        </w:r>
        <w:r w:rsidR="00D65D1E">
          <w:rPr>
            <w:noProof/>
            <w:webHidden/>
          </w:rPr>
          <w:fldChar w:fldCharType="end"/>
        </w:r>
      </w:hyperlink>
    </w:p>
    <w:p w14:paraId="174B9ACE" w14:textId="3C086056" w:rsidR="00D65D1E" w:rsidRDefault="00000000">
      <w:pPr>
        <w:pStyle w:val="TOC2"/>
        <w:rPr>
          <w:rFonts w:eastAsiaTheme="minorEastAsia" w:cstheme="minorBidi"/>
          <w:noProof/>
          <w:szCs w:val="22"/>
          <w:lang w:eastAsia="en-AU"/>
        </w:rPr>
      </w:pPr>
      <w:hyperlink w:anchor="_Toc58502796" w:history="1">
        <w:r w:rsidR="00D65D1E" w:rsidRPr="002A2485">
          <w:rPr>
            <w:rStyle w:val="Hyperlink"/>
            <w:rFonts w:ascii="Arial" w:hAnsi="Arial"/>
            <w:noProof/>
          </w:rPr>
          <w:t>2.6</w:t>
        </w:r>
        <w:r w:rsidR="00D65D1E">
          <w:rPr>
            <w:rFonts w:eastAsiaTheme="minorEastAsia" w:cstheme="minorBidi"/>
            <w:noProof/>
            <w:szCs w:val="22"/>
            <w:lang w:eastAsia="en-AU"/>
          </w:rPr>
          <w:tab/>
        </w:r>
        <w:r w:rsidR="00D65D1E" w:rsidRPr="002A2485">
          <w:rPr>
            <w:rStyle w:val="Hyperlink"/>
            <w:rFonts w:ascii="Arial" w:hAnsi="Arial"/>
            <w:noProof/>
          </w:rPr>
          <w:t>Expert Reference Panels</w:t>
        </w:r>
        <w:r w:rsidR="00D65D1E">
          <w:rPr>
            <w:noProof/>
            <w:webHidden/>
          </w:rPr>
          <w:tab/>
        </w:r>
        <w:r w:rsidR="00D65D1E">
          <w:rPr>
            <w:noProof/>
            <w:webHidden/>
          </w:rPr>
          <w:fldChar w:fldCharType="begin"/>
        </w:r>
        <w:r w:rsidR="00D65D1E">
          <w:rPr>
            <w:noProof/>
            <w:webHidden/>
          </w:rPr>
          <w:instrText xml:space="preserve"> PAGEREF _Toc58502796 \h </w:instrText>
        </w:r>
        <w:r w:rsidR="00D65D1E">
          <w:rPr>
            <w:noProof/>
            <w:webHidden/>
          </w:rPr>
        </w:r>
        <w:r w:rsidR="00D65D1E">
          <w:rPr>
            <w:noProof/>
            <w:webHidden/>
          </w:rPr>
          <w:fldChar w:fldCharType="separate"/>
        </w:r>
        <w:r w:rsidR="00D65D1E">
          <w:rPr>
            <w:noProof/>
            <w:webHidden/>
          </w:rPr>
          <w:t>10</w:t>
        </w:r>
        <w:r w:rsidR="00D65D1E">
          <w:rPr>
            <w:noProof/>
            <w:webHidden/>
          </w:rPr>
          <w:fldChar w:fldCharType="end"/>
        </w:r>
      </w:hyperlink>
    </w:p>
    <w:p w14:paraId="4A7E8C1B" w14:textId="2D8A511B" w:rsidR="00D65D1E" w:rsidRDefault="00000000">
      <w:pPr>
        <w:pStyle w:val="TOC1"/>
        <w:rPr>
          <w:rFonts w:eastAsiaTheme="minorEastAsia" w:cstheme="minorBidi"/>
          <w:b w:val="0"/>
          <w:noProof/>
          <w:szCs w:val="22"/>
          <w:lang w:eastAsia="en-AU"/>
        </w:rPr>
      </w:pPr>
      <w:hyperlink w:anchor="_Toc58502797" w:history="1">
        <w:r w:rsidR="00D65D1E" w:rsidRPr="002A2485">
          <w:rPr>
            <w:rStyle w:val="Hyperlink"/>
            <w:rFonts w:ascii="Arial" w:hAnsi="Arial"/>
            <w:noProof/>
            <w14:scene3d>
              <w14:camera w14:prst="orthographicFront"/>
              <w14:lightRig w14:rig="threePt" w14:dir="t">
                <w14:rot w14:lat="0" w14:lon="0" w14:rev="0"/>
              </w14:lightRig>
            </w14:scene3d>
          </w:rPr>
          <w:t>3</w:t>
        </w:r>
        <w:r w:rsidR="00D65D1E">
          <w:rPr>
            <w:rFonts w:eastAsiaTheme="minorEastAsia" w:cstheme="minorBidi"/>
            <w:b w:val="0"/>
            <w:noProof/>
            <w:szCs w:val="22"/>
            <w:lang w:eastAsia="en-AU"/>
          </w:rPr>
          <w:tab/>
        </w:r>
        <w:r w:rsidR="00D65D1E" w:rsidRPr="002A2485">
          <w:rPr>
            <w:rStyle w:val="Hyperlink"/>
            <w:rFonts w:ascii="Arial" w:hAnsi="Arial"/>
            <w:caps/>
            <w:noProof/>
          </w:rPr>
          <w:t>Strategic OVerVIEW</w:t>
        </w:r>
        <w:r w:rsidR="00D65D1E">
          <w:rPr>
            <w:noProof/>
            <w:webHidden/>
          </w:rPr>
          <w:tab/>
        </w:r>
        <w:r w:rsidR="00D65D1E">
          <w:rPr>
            <w:noProof/>
            <w:webHidden/>
          </w:rPr>
          <w:fldChar w:fldCharType="begin"/>
        </w:r>
        <w:r w:rsidR="00D65D1E">
          <w:rPr>
            <w:noProof/>
            <w:webHidden/>
          </w:rPr>
          <w:instrText xml:space="preserve"> PAGEREF _Toc58502797 \h </w:instrText>
        </w:r>
        <w:r w:rsidR="00D65D1E">
          <w:rPr>
            <w:noProof/>
            <w:webHidden/>
          </w:rPr>
        </w:r>
        <w:r w:rsidR="00D65D1E">
          <w:rPr>
            <w:noProof/>
            <w:webHidden/>
          </w:rPr>
          <w:fldChar w:fldCharType="separate"/>
        </w:r>
        <w:r w:rsidR="00D65D1E">
          <w:rPr>
            <w:noProof/>
            <w:webHidden/>
          </w:rPr>
          <w:t>11</w:t>
        </w:r>
        <w:r w:rsidR="00D65D1E">
          <w:rPr>
            <w:noProof/>
            <w:webHidden/>
          </w:rPr>
          <w:fldChar w:fldCharType="end"/>
        </w:r>
      </w:hyperlink>
    </w:p>
    <w:p w14:paraId="73D1B548" w14:textId="1972E6FB" w:rsidR="00D65D1E" w:rsidRDefault="00000000">
      <w:pPr>
        <w:pStyle w:val="TOC2"/>
        <w:rPr>
          <w:rFonts w:eastAsiaTheme="minorEastAsia" w:cstheme="minorBidi"/>
          <w:noProof/>
          <w:szCs w:val="22"/>
          <w:lang w:eastAsia="en-AU"/>
        </w:rPr>
      </w:pPr>
      <w:hyperlink w:anchor="_Toc58502798" w:history="1">
        <w:r w:rsidR="00D65D1E" w:rsidRPr="002A2485">
          <w:rPr>
            <w:rStyle w:val="Hyperlink"/>
            <w:rFonts w:ascii="Arial" w:hAnsi="Arial"/>
            <w:noProof/>
          </w:rPr>
          <w:t>Environmental health</w:t>
        </w:r>
        <w:r w:rsidR="00D65D1E">
          <w:rPr>
            <w:noProof/>
            <w:webHidden/>
          </w:rPr>
          <w:tab/>
        </w:r>
        <w:r w:rsidR="00D65D1E">
          <w:rPr>
            <w:noProof/>
            <w:webHidden/>
          </w:rPr>
          <w:fldChar w:fldCharType="begin"/>
        </w:r>
        <w:r w:rsidR="00D65D1E">
          <w:rPr>
            <w:noProof/>
            <w:webHidden/>
          </w:rPr>
          <w:instrText xml:space="preserve"> PAGEREF _Toc58502798 \h </w:instrText>
        </w:r>
        <w:r w:rsidR="00D65D1E">
          <w:rPr>
            <w:noProof/>
            <w:webHidden/>
          </w:rPr>
        </w:r>
        <w:r w:rsidR="00D65D1E">
          <w:rPr>
            <w:noProof/>
            <w:webHidden/>
          </w:rPr>
          <w:fldChar w:fldCharType="separate"/>
        </w:r>
        <w:r w:rsidR="00D65D1E">
          <w:rPr>
            <w:noProof/>
            <w:webHidden/>
          </w:rPr>
          <w:t>11</w:t>
        </w:r>
        <w:r w:rsidR="00D65D1E">
          <w:rPr>
            <w:noProof/>
            <w:webHidden/>
          </w:rPr>
          <w:fldChar w:fldCharType="end"/>
        </w:r>
      </w:hyperlink>
    </w:p>
    <w:p w14:paraId="4F248451" w14:textId="77C2D5D8" w:rsidR="00D65D1E" w:rsidRDefault="00000000">
      <w:pPr>
        <w:pStyle w:val="TOC2"/>
        <w:rPr>
          <w:rFonts w:eastAsiaTheme="minorEastAsia" w:cstheme="minorBidi"/>
          <w:noProof/>
          <w:szCs w:val="22"/>
          <w:lang w:eastAsia="en-AU"/>
        </w:rPr>
      </w:pPr>
      <w:hyperlink w:anchor="_Toc58502799" w:history="1">
        <w:r w:rsidR="00D65D1E" w:rsidRPr="002A2485">
          <w:rPr>
            <w:rStyle w:val="Hyperlink"/>
            <w:rFonts w:ascii="Arial" w:hAnsi="Arial"/>
            <w:noProof/>
          </w:rPr>
          <w:t>Antimicrobial resistance</w:t>
        </w:r>
        <w:r w:rsidR="00D65D1E">
          <w:rPr>
            <w:noProof/>
            <w:webHidden/>
          </w:rPr>
          <w:tab/>
        </w:r>
        <w:r w:rsidR="00D65D1E">
          <w:rPr>
            <w:noProof/>
            <w:webHidden/>
          </w:rPr>
          <w:fldChar w:fldCharType="begin"/>
        </w:r>
        <w:r w:rsidR="00D65D1E">
          <w:rPr>
            <w:noProof/>
            <w:webHidden/>
          </w:rPr>
          <w:instrText xml:space="preserve"> PAGEREF _Toc58502799 \h </w:instrText>
        </w:r>
        <w:r w:rsidR="00D65D1E">
          <w:rPr>
            <w:noProof/>
            <w:webHidden/>
          </w:rPr>
        </w:r>
        <w:r w:rsidR="00D65D1E">
          <w:rPr>
            <w:noProof/>
            <w:webHidden/>
          </w:rPr>
          <w:fldChar w:fldCharType="separate"/>
        </w:r>
        <w:r w:rsidR="00D65D1E">
          <w:rPr>
            <w:noProof/>
            <w:webHidden/>
          </w:rPr>
          <w:t>11</w:t>
        </w:r>
        <w:r w:rsidR="00D65D1E">
          <w:rPr>
            <w:noProof/>
            <w:webHidden/>
          </w:rPr>
          <w:fldChar w:fldCharType="end"/>
        </w:r>
      </w:hyperlink>
    </w:p>
    <w:p w14:paraId="46F4E653" w14:textId="18AA95DF" w:rsidR="00D65D1E" w:rsidRDefault="00000000">
      <w:pPr>
        <w:pStyle w:val="TOC2"/>
        <w:rPr>
          <w:rFonts w:eastAsiaTheme="minorEastAsia" w:cstheme="minorBidi"/>
          <w:noProof/>
          <w:szCs w:val="22"/>
          <w:lang w:eastAsia="en-AU"/>
        </w:rPr>
      </w:pPr>
      <w:hyperlink w:anchor="_Toc58502800" w:history="1">
        <w:r w:rsidR="00D65D1E" w:rsidRPr="002A2485">
          <w:rPr>
            <w:rStyle w:val="Hyperlink"/>
            <w:rFonts w:ascii="Arial" w:hAnsi="Arial"/>
            <w:noProof/>
          </w:rPr>
          <w:t>Climate change</w:t>
        </w:r>
        <w:r w:rsidR="00D65D1E">
          <w:rPr>
            <w:noProof/>
            <w:webHidden/>
          </w:rPr>
          <w:tab/>
        </w:r>
        <w:r w:rsidR="00D65D1E">
          <w:rPr>
            <w:noProof/>
            <w:webHidden/>
          </w:rPr>
          <w:fldChar w:fldCharType="begin"/>
        </w:r>
        <w:r w:rsidR="00D65D1E">
          <w:rPr>
            <w:noProof/>
            <w:webHidden/>
          </w:rPr>
          <w:instrText xml:space="preserve"> PAGEREF _Toc58502800 \h </w:instrText>
        </w:r>
        <w:r w:rsidR="00D65D1E">
          <w:rPr>
            <w:noProof/>
            <w:webHidden/>
          </w:rPr>
        </w:r>
        <w:r w:rsidR="00D65D1E">
          <w:rPr>
            <w:noProof/>
            <w:webHidden/>
          </w:rPr>
          <w:fldChar w:fldCharType="separate"/>
        </w:r>
        <w:r w:rsidR="00D65D1E">
          <w:rPr>
            <w:noProof/>
            <w:webHidden/>
          </w:rPr>
          <w:t>12</w:t>
        </w:r>
        <w:r w:rsidR="00D65D1E">
          <w:rPr>
            <w:noProof/>
            <w:webHidden/>
          </w:rPr>
          <w:fldChar w:fldCharType="end"/>
        </w:r>
      </w:hyperlink>
    </w:p>
    <w:p w14:paraId="3C34E242" w14:textId="5A618F27" w:rsidR="00D65D1E" w:rsidRDefault="00000000">
      <w:pPr>
        <w:pStyle w:val="TOC2"/>
        <w:rPr>
          <w:rFonts w:eastAsiaTheme="minorEastAsia" w:cstheme="minorBidi"/>
          <w:noProof/>
          <w:szCs w:val="22"/>
          <w:lang w:eastAsia="en-AU"/>
        </w:rPr>
      </w:pPr>
      <w:hyperlink w:anchor="_Toc58502801" w:history="1">
        <w:r w:rsidR="00D65D1E" w:rsidRPr="002A2485">
          <w:rPr>
            <w:rStyle w:val="Hyperlink"/>
            <w:rFonts w:ascii="Arial" w:hAnsi="Arial"/>
            <w:noProof/>
          </w:rPr>
          <w:t>3.1</w:t>
        </w:r>
        <w:r w:rsidR="00D65D1E">
          <w:rPr>
            <w:rFonts w:eastAsiaTheme="minorEastAsia" w:cstheme="minorBidi"/>
            <w:noProof/>
            <w:szCs w:val="22"/>
            <w:lang w:eastAsia="en-AU"/>
          </w:rPr>
          <w:tab/>
        </w:r>
        <w:r w:rsidR="00D65D1E" w:rsidRPr="002A2485">
          <w:rPr>
            <w:rStyle w:val="Hyperlink"/>
            <w:rFonts w:ascii="Arial" w:hAnsi="Arial"/>
            <w:noProof/>
          </w:rPr>
          <w:t>Principles</w:t>
        </w:r>
        <w:r w:rsidR="00D65D1E">
          <w:rPr>
            <w:noProof/>
            <w:webHidden/>
          </w:rPr>
          <w:tab/>
        </w:r>
        <w:r w:rsidR="00D65D1E">
          <w:rPr>
            <w:noProof/>
            <w:webHidden/>
          </w:rPr>
          <w:fldChar w:fldCharType="begin"/>
        </w:r>
        <w:r w:rsidR="00D65D1E">
          <w:rPr>
            <w:noProof/>
            <w:webHidden/>
          </w:rPr>
          <w:instrText xml:space="preserve"> PAGEREF _Toc58502801 \h </w:instrText>
        </w:r>
        <w:r w:rsidR="00D65D1E">
          <w:rPr>
            <w:noProof/>
            <w:webHidden/>
          </w:rPr>
        </w:r>
        <w:r w:rsidR="00D65D1E">
          <w:rPr>
            <w:noProof/>
            <w:webHidden/>
          </w:rPr>
          <w:fldChar w:fldCharType="separate"/>
        </w:r>
        <w:r w:rsidR="00D65D1E">
          <w:rPr>
            <w:noProof/>
            <w:webHidden/>
          </w:rPr>
          <w:t>12</w:t>
        </w:r>
        <w:r w:rsidR="00D65D1E">
          <w:rPr>
            <w:noProof/>
            <w:webHidden/>
          </w:rPr>
          <w:fldChar w:fldCharType="end"/>
        </w:r>
      </w:hyperlink>
    </w:p>
    <w:p w14:paraId="53D8CB3A" w14:textId="3B909FB8" w:rsidR="00D65D1E" w:rsidRDefault="00000000">
      <w:pPr>
        <w:pStyle w:val="TOC2"/>
        <w:rPr>
          <w:rFonts w:eastAsiaTheme="minorEastAsia" w:cstheme="minorBidi"/>
          <w:noProof/>
          <w:szCs w:val="22"/>
          <w:lang w:eastAsia="en-AU"/>
        </w:rPr>
      </w:pPr>
      <w:hyperlink w:anchor="_Toc58502802" w:history="1">
        <w:r w:rsidR="00D65D1E" w:rsidRPr="002A2485">
          <w:rPr>
            <w:rStyle w:val="Hyperlink"/>
            <w:rFonts w:ascii="Arial" w:hAnsi="Arial"/>
            <w:noProof/>
          </w:rPr>
          <w:t>3.2</w:t>
        </w:r>
        <w:r w:rsidR="00D65D1E">
          <w:rPr>
            <w:rFonts w:eastAsiaTheme="minorEastAsia" w:cstheme="minorBidi"/>
            <w:noProof/>
            <w:szCs w:val="22"/>
            <w:lang w:eastAsia="en-AU"/>
          </w:rPr>
          <w:tab/>
        </w:r>
        <w:r w:rsidR="00D65D1E" w:rsidRPr="002A2485">
          <w:rPr>
            <w:rStyle w:val="Hyperlink"/>
            <w:rFonts w:ascii="Arial" w:hAnsi="Arial"/>
            <w:noProof/>
          </w:rPr>
          <w:t>Objectives</w:t>
        </w:r>
        <w:r w:rsidR="00D65D1E">
          <w:rPr>
            <w:noProof/>
            <w:webHidden/>
          </w:rPr>
          <w:tab/>
        </w:r>
        <w:r w:rsidR="00D65D1E">
          <w:rPr>
            <w:noProof/>
            <w:webHidden/>
          </w:rPr>
          <w:fldChar w:fldCharType="begin"/>
        </w:r>
        <w:r w:rsidR="00D65D1E">
          <w:rPr>
            <w:noProof/>
            <w:webHidden/>
          </w:rPr>
          <w:instrText xml:space="preserve"> PAGEREF _Toc58502802 \h </w:instrText>
        </w:r>
        <w:r w:rsidR="00D65D1E">
          <w:rPr>
            <w:noProof/>
            <w:webHidden/>
          </w:rPr>
        </w:r>
        <w:r w:rsidR="00D65D1E">
          <w:rPr>
            <w:noProof/>
            <w:webHidden/>
          </w:rPr>
          <w:fldChar w:fldCharType="separate"/>
        </w:r>
        <w:r w:rsidR="00D65D1E">
          <w:rPr>
            <w:noProof/>
            <w:webHidden/>
          </w:rPr>
          <w:t>12</w:t>
        </w:r>
        <w:r w:rsidR="00D65D1E">
          <w:rPr>
            <w:noProof/>
            <w:webHidden/>
          </w:rPr>
          <w:fldChar w:fldCharType="end"/>
        </w:r>
      </w:hyperlink>
    </w:p>
    <w:p w14:paraId="3EF95453" w14:textId="1A70B21B" w:rsidR="00D65D1E" w:rsidRDefault="00000000">
      <w:pPr>
        <w:pStyle w:val="TOC2"/>
        <w:rPr>
          <w:rFonts w:eastAsiaTheme="minorEastAsia" w:cstheme="minorBidi"/>
          <w:noProof/>
          <w:szCs w:val="22"/>
          <w:lang w:eastAsia="en-AU"/>
        </w:rPr>
      </w:pPr>
      <w:hyperlink w:anchor="_Toc58502803" w:history="1">
        <w:r w:rsidR="00D65D1E" w:rsidRPr="002A2485">
          <w:rPr>
            <w:rStyle w:val="Hyperlink"/>
            <w:rFonts w:ascii="Arial" w:hAnsi="Arial"/>
            <w:noProof/>
          </w:rPr>
          <w:t>3.3</w:t>
        </w:r>
        <w:r w:rsidR="00D65D1E">
          <w:rPr>
            <w:rFonts w:eastAsiaTheme="minorEastAsia" w:cstheme="minorBidi"/>
            <w:noProof/>
            <w:szCs w:val="22"/>
            <w:lang w:eastAsia="en-AU"/>
          </w:rPr>
          <w:tab/>
        </w:r>
        <w:r w:rsidR="00D65D1E" w:rsidRPr="002A2485">
          <w:rPr>
            <w:rStyle w:val="Hyperlink"/>
            <w:rFonts w:ascii="Arial" w:hAnsi="Arial"/>
            <w:noProof/>
          </w:rPr>
          <w:t>Enablers</w:t>
        </w:r>
        <w:r w:rsidR="00D65D1E">
          <w:rPr>
            <w:noProof/>
            <w:webHidden/>
          </w:rPr>
          <w:tab/>
        </w:r>
        <w:r w:rsidR="00D65D1E">
          <w:rPr>
            <w:noProof/>
            <w:webHidden/>
          </w:rPr>
          <w:fldChar w:fldCharType="begin"/>
        </w:r>
        <w:r w:rsidR="00D65D1E">
          <w:rPr>
            <w:noProof/>
            <w:webHidden/>
          </w:rPr>
          <w:instrText xml:space="preserve"> PAGEREF _Toc58502803 \h </w:instrText>
        </w:r>
        <w:r w:rsidR="00D65D1E">
          <w:rPr>
            <w:noProof/>
            <w:webHidden/>
          </w:rPr>
        </w:r>
        <w:r w:rsidR="00D65D1E">
          <w:rPr>
            <w:noProof/>
            <w:webHidden/>
          </w:rPr>
          <w:fldChar w:fldCharType="separate"/>
        </w:r>
        <w:r w:rsidR="00D65D1E">
          <w:rPr>
            <w:noProof/>
            <w:webHidden/>
          </w:rPr>
          <w:t>12</w:t>
        </w:r>
        <w:r w:rsidR="00D65D1E">
          <w:rPr>
            <w:noProof/>
            <w:webHidden/>
          </w:rPr>
          <w:fldChar w:fldCharType="end"/>
        </w:r>
      </w:hyperlink>
    </w:p>
    <w:p w14:paraId="7E24CF56" w14:textId="15514EE1" w:rsidR="00D65D1E" w:rsidRDefault="00000000">
      <w:pPr>
        <w:pStyle w:val="TOC2"/>
        <w:rPr>
          <w:rFonts w:eastAsiaTheme="minorEastAsia" w:cstheme="minorBidi"/>
          <w:noProof/>
          <w:szCs w:val="22"/>
          <w:lang w:eastAsia="en-AU"/>
        </w:rPr>
      </w:pPr>
      <w:hyperlink w:anchor="_Toc58502804" w:history="1">
        <w:r w:rsidR="00D65D1E" w:rsidRPr="002A2485">
          <w:rPr>
            <w:rStyle w:val="Hyperlink"/>
            <w:rFonts w:ascii="Arial" w:hAnsi="Arial"/>
            <w:noProof/>
          </w:rPr>
          <w:t>3.4</w:t>
        </w:r>
        <w:r w:rsidR="00D65D1E">
          <w:rPr>
            <w:rFonts w:eastAsiaTheme="minorEastAsia" w:cstheme="minorBidi"/>
            <w:noProof/>
            <w:szCs w:val="22"/>
            <w:lang w:eastAsia="en-AU"/>
          </w:rPr>
          <w:tab/>
        </w:r>
        <w:r w:rsidR="00D65D1E" w:rsidRPr="002A2485">
          <w:rPr>
            <w:rStyle w:val="Hyperlink"/>
            <w:rFonts w:ascii="Arial" w:hAnsi="Arial"/>
            <w:noProof/>
          </w:rPr>
          <w:t>Approach</w:t>
        </w:r>
        <w:r w:rsidR="00D65D1E">
          <w:rPr>
            <w:noProof/>
            <w:webHidden/>
          </w:rPr>
          <w:tab/>
        </w:r>
        <w:r w:rsidR="00D65D1E">
          <w:rPr>
            <w:noProof/>
            <w:webHidden/>
          </w:rPr>
          <w:fldChar w:fldCharType="begin"/>
        </w:r>
        <w:r w:rsidR="00D65D1E">
          <w:rPr>
            <w:noProof/>
            <w:webHidden/>
          </w:rPr>
          <w:instrText xml:space="preserve"> PAGEREF _Toc58502804 \h </w:instrText>
        </w:r>
        <w:r w:rsidR="00D65D1E">
          <w:rPr>
            <w:noProof/>
            <w:webHidden/>
          </w:rPr>
        </w:r>
        <w:r w:rsidR="00D65D1E">
          <w:rPr>
            <w:noProof/>
            <w:webHidden/>
          </w:rPr>
          <w:fldChar w:fldCharType="separate"/>
        </w:r>
        <w:r w:rsidR="00D65D1E">
          <w:rPr>
            <w:noProof/>
            <w:webHidden/>
          </w:rPr>
          <w:t>13</w:t>
        </w:r>
        <w:r w:rsidR="00D65D1E">
          <w:rPr>
            <w:noProof/>
            <w:webHidden/>
          </w:rPr>
          <w:fldChar w:fldCharType="end"/>
        </w:r>
      </w:hyperlink>
    </w:p>
    <w:p w14:paraId="6533189E" w14:textId="0F1166E3" w:rsidR="00D65D1E" w:rsidRDefault="00000000">
      <w:pPr>
        <w:pStyle w:val="TOC2"/>
        <w:rPr>
          <w:rFonts w:eastAsiaTheme="minorEastAsia" w:cstheme="minorBidi"/>
          <w:noProof/>
          <w:szCs w:val="22"/>
          <w:lang w:eastAsia="en-AU"/>
        </w:rPr>
      </w:pPr>
      <w:hyperlink w:anchor="_Toc58502805" w:history="1">
        <w:r w:rsidR="00D65D1E" w:rsidRPr="002A2485">
          <w:rPr>
            <w:rStyle w:val="Hyperlink"/>
            <w:rFonts w:ascii="Arial" w:hAnsi="Arial"/>
            <w:noProof/>
          </w:rPr>
          <w:t>3.5</w:t>
        </w:r>
        <w:r w:rsidR="00D65D1E">
          <w:rPr>
            <w:rFonts w:eastAsiaTheme="minorEastAsia" w:cstheme="minorBidi"/>
            <w:noProof/>
            <w:szCs w:val="22"/>
            <w:lang w:eastAsia="en-AU"/>
          </w:rPr>
          <w:tab/>
        </w:r>
        <w:r w:rsidR="00D65D1E" w:rsidRPr="002A2485">
          <w:rPr>
            <w:rStyle w:val="Hyperlink"/>
            <w:rFonts w:ascii="Arial" w:hAnsi="Arial"/>
            <w:noProof/>
          </w:rPr>
          <w:t>Opportunities, Challenges and Threats</w:t>
        </w:r>
        <w:r w:rsidR="00D65D1E">
          <w:rPr>
            <w:noProof/>
            <w:webHidden/>
          </w:rPr>
          <w:tab/>
        </w:r>
        <w:r w:rsidR="00D65D1E">
          <w:rPr>
            <w:noProof/>
            <w:webHidden/>
          </w:rPr>
          <w:fldChar w:fldCharType="begin"/>
        </w:r>
        <w:r w:rsidR="00D65D1E">
          <w:rPr>
            <w:noProof/>
            <w:webHidden/>
          </w:rPr>
          <w:instrText xml:space="preserve"> PAGEREF _Toc58502805 \h </w:instrText>
        </w:r>
        <w:r w:rsidR="00D65D1E">
          <w:rPr>
            <w:noProof/>
            <w:webHidden/>
          </w:rPr>
        </w:r>
        <w:r w:rsidR="00D65D1E">
          <w:rPr>
            <w:noProof/>
            <w:webHidden/>
          </w:rPr>
          <w:fldChar w:fldCharType="separate"/>
        </w:r>
        <w:r w:rsidR="00D65D1E">
          <w:rPr>
            <w:noProof/>
            <w:webHidden/>
          </w:rPr>
          <w:t>14</w:t>
        </w:r>
        <w:r w:rsidR="00D65D1E">
          <w:rPr>
            <w:noProof/>
            <w:webHidden/>
          </w:rPr>
          <w:fldChar w:fldCharType="end"/>
        </w:r>
      </w:hyperlink>
    </w:p>
    <w:p w14:paraId="74444155" w14:textId="4A9DFF5D" w:rsidR="00D65D1E" w:rsidRDefault="00000000">
      <w:pPr>
        <w:pStyle w:val="TOC1"/>
        <w:rPr>
          <w:rFonts w:eastAsiaTheme="minorEastAsia" w:cstheme="minorBidi"/>
          <w:b w:val="0"/>
          <w:noProof/>
          <w:szCs w:val="22"/>
          <w:lang w:eastAsia="en-AU"/>
        </w:rPr>
      </w:pPr>
      <w:hyperlink w:anchor="_Toc58502806" w:history="1">
        <w:r w:rsidR="00D65D1E" w:rsidRPr="002A2485">
          <w:rPr>
            <w:rStyle w:val="Hyperlink"/>
            <w:rFonts w:ascii="Arial" w:hAnsi="Arial"/>
            <w:noProof/>
            <w14:scene3d>
              <w14:camera w14:prst="orthographicFront"/>
              <w14:lightRig w14:rig="threePt" w14:dir="t">
                <w14:rot w14:lat="0" w14:lon="0" w14:rev="0"/>
              </w14:lightRig>
            </w14:scene3d>
          </w:rPr>
          <w:t>4</w:t>
        </w:r>
        <w:r w:rsidR="00D65D1E">
          <w:rPr>
            <w:rFonts w:eastAsiaTheme="minorEastAsia" w:cstheme="minorBidi"/>
            <w:b w:val="0"/>
            <w:noProof/>
            <w:szCs w:val="22"/>
            <w:lang w:eastAsia="en-AU"/>
          </w:rPr>
          <w:tab/>
        </w:r>
        <w:r w:rsidR="00D65D1E" w:rsidRPr="002A2485">
          <w:rPr>
            <w:rStyle w:val="Hyperlink"/>
            <w:rFonts w:ascii="Arial" w:hAnsi="Arial"/>
            <w:caps/>
            <w:noProof/>
          </w:rPr>
          <w:t>KEY FOCUS AREAS</w:t>
        </w:r>
        <w:r w:rsidR="00D65D1E">
          <w:rPr>
            <w:noProof/>
            <w:webHidden/>
          </w:rPr>
          <w:tab/>
        </w:r>
        <w:r w:rsidR="00D65D1E">
          <w:rPr>
            <w:noProof/>
            <w:webHidden/>
          </w:rPr>
          <w:fldChar w:fldCharType="begin"/>
        </w:r>
        <w:r w:rsidR="00D65D1E">
          <w:rPr>
            <w:noProof/>
            <w:webHidden/>
          </w:rPr>
          <w:instrText xml:space="preserve"> PAGEREF _Toc58502806 \h </w:instrText>
        </w:r>
        <w:r w:rsidR="00D65D1E">
          <w:rPr>
            <w:noProof/>
            <w:webHidden/>
          </w:rPr>
        </w:r>
        <w:r w:rsidR="00D65D1E">
          <w:rPr>
            <w:noProof/>
            <w:webHidden/>
          </w:rPr>
          <w:fldChar w:fldCharType="separate"/>
        </w:r>
        <w:r w:rsidR="00D65D1E">
          <w:rPr>
            <w:noProof/>
            <w:webHidden/>
          </w:rPr>
          <w:t>18</w:t>
        </w:r>
        <w:r w:rsidR="00D65D1E">
          <w:rPr>
            <w:noProof/>
            <w:webHidden/>
          </w:rPr>
          <w:fldChar w:fldCharType="end"/>
        </w:r>
      </w:hyperlink>
    </w:p>
    <w:p w14:paraId="798B5535" w14:textId="2DB3AB17" w:rsidR="00D65D1E" w:rsidRDefault="00000000">
      <w:pPr>
        <w:pStyle w:val="TOC2"/>
        <w:rPr>
          <w:rFonts w:eastAsiaTheme="minorEastAsia" w:cstheme="minorBidi"/>
          <w:noProof/>
          <w:szCs w:val="22"/>
          <w:lang w:eastAsia="en-AU"/>
        </w:rPr>
      </w:pPr>
      <w:hyperlink w:anchor="_Toc58502807" w:history="1">
        <w:r w:rsidR="00D65D1E" w:rsidRPr="002A2485">
          <w:rPr>
            <w:rStyle w:val="Hyperlink"/>
            <w:rFonts w:ascii="Arial" w:hAnsi="Arial" w:cs="Arial"/>
            <w:b/>
            <w:bCs/>
            <w:iCs/>
            <w:noProof/>
          </w:rPr>
          <w:t>A.  Timely, coordinated, evidence-based response to emerging environmental health issues of national concern</w:t>
        </w:r>
        <w:r w:rsidR="00D65D1E">
          <w:rPr>
            <w:noProof/>
            <w:webHidden/>
          </w:rPr>
          <w:tab/>
        </w:r>
        <w:r w:rsidR="00D65D1E">
          <w:rPr>
            <w:noProof/>
            <w:webHidden/>
          </w:rPr>
          <w:fldChar w:fldCharType="begin"/>
        </w:r>
        <w:r w:rsidR="00D65D1E">
          <w:rPr>
            <w:noProof/>
            <w:webHidden/>
          </w:rPr>
          <w:instrText xml:space="preserve"> PAGEREF _Toc58502807 \h </w:instrText>
        </w:r>
        <w:r w:rsidR="00D65D1E">
          <w:rPr>
            <w:noProof/>
            <w:webHidden/>
          </w:rPr>
        </w:r>
        <w:r w:rsidR="00D65D1E">
          <w:rPr>
            <w:noProof/>
            <w:webHidden/>
          </w:rPr>
          <w:fldChar w:fldCharType="separate"/>
        </w:r>
        <w:r w:rsidR="00D65D1E">
          <w:rPr>
            <w:noProof/>
            <w:webHidden/>
          </w:rPr>
          <w:t>18</w:t>
        </w:r>
        <w:r w:rsidR="00D65D1E">
          <w:rPr>
            <w:noProof/>
            <w:webHidden/>
          </w:rPr>
          <w:fldChar w:fldCharType="end"/>
        </w:r>
      </w:hyperlink>
    </w:p>
    <w:p w14:paraId="7150D1DB" w14:textId="576E76A7" w:rsidR="00D65D1E" w:rsidRDefault="00000000">
      <w:pPr>
        <w:pStyle w:val="TOC2"/>
        <w:rPr>
          <w:rFonts w:eastAsiaTheme="minorEastAsia" w:cstheme="minorBidi"/>
          <w:noProof/>
          <w:szCs w:val="22"/>
          <w:lang w:eastAsia="en-AU"/>
        </w:rPr>
      </w:pPr>
      <w:hyperlink w:anchor="_Toc58502808" w:history="1">
        <w:r w:rsidR="00D65D1E" w:rsidRPr="002A2485">
          <w:rPr>
            <w:rStyle w:val="Hyperlink"/>
            <w:rFonts w:ascii="Arial" w:hAnsi="Arial" w:cs="Arial"/>
            <w:b/>
            <w:bCs/>
            <w:iCs/>
            <w:noProof/>
          </w:rPr>
          <w:t>B. Nationally consistent evidence base for risk assessment, management and communication of significant environmental health issues of concern to the community.</w:t>
        </w:r>
        <w:r w:rsidR="00D65D1E">
          <w:rPr>
            <w:noProof/>
            <w:webHidden/>
          </w:rPr>
          <w:tab/>
        </w:r>
        <w:r w:rsidR="00D65D1E">
          <w:rPr>
            <w:noProof/>
            <w:webHidden/>
          </w:rPr>
          <w:fldChar w:fldCharType="begin"/>
        </w:r>
        <w:r w:rsidR="00D65D1E">
          <w:rPr>
            <w:noProof/>
            <w:webHidden/>
          </w:rPr>
          <w:instrText xml:space="preserve"> PAGEREF _Toc58502808 \h </w:instrText>
        </w:r>
        <w:r w:rsidR="00D65D1E">
          <w:rPr>
            <w:noProof/>
            <w:webHidden/>
          </w:rPr>
        </w:r>
        <w:r w:rsidR="00D65D1E">
          <w:rPr>
            <w:noProof/>
            <w:webHidden/>
          </w:rPr>
          <w:fldChar w:fldCharType="separate"/>
        </w:r>
        <w:r w:rsidR="00D65D1E">
          <w:rPr>
            <w:noProof/>
            <w:webHidden/>
          </w:rPr>
          <w:t>19</w:t>
        </w:r>
        <w:r w:rsidR="00D65D1E">
          <w:rPr>
            <w:noProof/>
            <w:webHidden/>
          </w:rPr>
          <w:fldChar w:fldCharType="end"/>
        </w:r>
      </w:hyperlink>
    </w:p>
    <w:p w14:paraId="448FA549" w14:textId="61376B5B" w:rsidR="00D65D1E" w:rsidRDefault="00000000">
      <w:pPr>
        <w:pStyle w:val="TOC2"/>
        <w:rPr>
          <w:rFonts w:eastAsiaTheme="minorEastAsia" w:cstheme="minorBidi"/>
          <w:noProof/>
          <w:szCs w:val="22"/>
          <w:lang w:eastAsia="en-AU"/>
        </w:rPr>
      </w:pPr>
      <w:hyperlink w:anchor="_Toc58502809" w:history="1">
        <w:r w:rsidR="00D65D1E" w:rsidRPr="002A2485">
          <w:rPr>
            <w:rStyle w:val="Hyperlink"/>
            <w:rFonts w:ascii="Arial" w:hAnsi="Arial" w:cs="Arial"/>
            <w:b/>
            <w:bCs/>
            <w:iCs/>
            <w:noProof/>
          </w:rPr>
          <w:t>C. Provision of national science policy and practice frameworks for environmental health.</w:t>
        </w:r>
        <w:r w:rsidR="00D65D1E">
          <w:rPr>
            <w:noProof/>
            <w:webHidden/>
          </w:rPr>
          <w:tab/>
        </w:r>
        <w:r w:rsidR="00D65D1E">
          <w:rPr>
            <w:noProof/>
            <w:webHidden/>
          </w:rPr>
          <w:fldChar w:fldCharType="begin"/>
        </w:r>
        <w:r w:rsidR="00D65D1E">
          <w:rPr>
            <w:noProof/>
            <w:webHidden/>
          </w:rPr>
          <w:instrText xml:space="preserve"> PAGEREF _Toc58502809 \h </w:instrText>
        </w:r>
        <w:r w:rsidR="00D65D1E">
          <w:rPr>
            <w:noProof/>
            <w:webHidden/>
          </w:rPr>
        </w:r>
        <w:r w:rsidR="00D65D1E">
          <w:rPr>
            <w:noProof/>
            <w:webHidden/>
          </w:rPr>
          <w:fldChar w:fldCharType="separate"/>
        </w:r>
        <w:r w:rsidR="00D65D1E">
          <w:rPr>
            <w:noProof/>
            <w:webHidden/>
          </w:rPr>
          <w:t>19</w:t>
        </w:r>
        <w:r w:rsidR="00D65D1E">
          <w:rPr>
            <w:noProof/>
            <w:webHidden/>
          </w:rPr>
          <w:fldChar w:fldCharType="end"/>
        </w:r>
      </w:hyperlink>
    </w:p>
    <w:p w14:paraId="55C4BC8E" w14:textId="06A1C95F" w:rsidR="00D65D1E" w:rsidRDefault="00000000">
      <w:pPr>
        <w:pStyle w:val="TOC2"/>
        <w:rPr>
          <w:rFonts w:eastAsiaTheme="minorEastAsia" w:cstheme="minorBidi"/>
          <w:noProof/>
          <w:szCs w:val="22"/>
          <w:lang w:eastAsia="en-AU"/>
        </w:rPr>
      </w:pPr>
      <w:hyperlink w:anchor="_Toc58502810" w:history="1">
        <w:r w:rsidR="00D65D1E" w:rsidRPr="002A2485">
          <w:rPr>
            <w:rStyle w:val="Hyperlink"/>
            <w:rFonts w:ascii="Arial" w:hAnsi="Arial" w:cs="Arial"/>
            <w:b/>
            <w:bCs/>
            <w:iCs/>
            <w:noProof/>
          </w:rPr>
          <w:t>D. Sufficient and appropriately skilled workforce to address environmental health challenges.</w:t>
        </w:r>
        <w:r w:rsidR="00D65D1E">
          <w:rPr>
            <w:noProof/>
            <w:webHidden/>
          </w:rPr>
          <w:tab/>
        </w:r>
        <w:r w:rsidR="00D65D1E">
          <w:rPr>
            <w:noProof/>
            <w:webHidden/>
          </w:rPr>
          <w:fldChar w:fldCharType="begin"/>
        </w:r>
        <w:r w:rsidR="00D65D1E">
          <w:rPr>
            <w:noProof/>
            <w:webHidden/>
          </w:rPr>
          <w:instrText xml:space="preserve"> PAGEREF _Toc58502810 \h </w:instrText>
        </w:r>
        <w:r w:rsidR="00D65D1E">
          <w:rPr>
            <w:noProof/>
            <w:webHidden/>
          </w:rPr>
        </w:r>
        <w:r w:rsidR="00D65D1E">
          <w:rPr>
            <w:noProof/>
            <w:webHidden/>
          </w:rPr>
          <w:fldChar w:fldCharType="separate"/>
        </w:r>
        <w:r w:rsidR="00D65D1E">
          <w:rPr>
            <w:noProof/>
            <w:webHidden/>
          </w:rPr>
          <w:t>20</w:t>
        </w:r>
        <w:r w:rsidR="00D65D1E">
          <w:rPr>
            <w:noProof/>
            <w:webHidden/>
          </w:rPr>
          <w:fldChar w:fldCharType="end"/>
        </w:r>
      </w:hyperlink>
    </w:p>
    <w:p w14:paraId="77828805" w14:textId="7078FC94" w:rsidR="00D65D1E" w:rsidRDefault="00000000">
      <w:pPr>
        <w:pStyle w:val="TOC2"/>
        <w:rPr>
          <w:rFonts w:eastAsiaTheme="minorEastAsia" w:cstheme="minorBidi"/>
          <w:noProof/>
          <w:szCs w:val="22"/>
          <w:lang w:eastAsia="en-AU"/>
        </w:rPr>
      </w:pPr>
      <w:hyperlink w:anchor="_Toc58502811" w:history="1">
        <w:r w:rsidR="00D65D1E" w:rsidRPr="002A2485">
          <w:rPr>
            <w:rStyle w:val="Hyperlink"/>
            <w:rFonts w:ascii="Arial" w:hAnsi="Arial" w:cs="Arial"/>
            <w:b/>
            <w:bCs/>
            <w:iCs/>
            <w:noProof/>
          </w:rPr>
          <w:t>E. Promoting improved environmental health conditions and outcomes for Aboriginal and Torres Strait Islander communities</w:t>
        </w:r>
        <w:r w:rsidR="00D65D1E">
          <w:rPr>
            <w:noProof/>
            <w:webHidden/>
          </w:rPr>
          <w:tab/>
        </w:r>
        <w:r w:rsidR="00D65D1E">
          <w:rPr>
            <w:noProof/>
            <w:webHidden/>
          </w:rPr>
          <w:fldChar w:fldCharType="begin"/>
        </w:r>
        <w:r w:rsidR="00D65D1E">
          <w:rPr>
            <w:noProof/>
            <w:webHidden/>
          </w:rPr>
          <w:instrText xml:space="preserve"> PAGEREF _Toc58502811 \h </w:instrText>
        </w:r>
        <w:r w:rsidR="00D65D1E">
          <w:rPr>
            <w:noProof/>
            <w:webHidden/>
          </w:rPr>
        </w:r>
        <w:r w:rsidR="00D65D1E">
          <w:rPr>
            <w:noProof/>
            <w:webHidden/>
          </w:rPr>
          <w:fldChar w:fldCharType="separate"/>
        </w:r>
        <w:r w:rsidR="00D65D1E">
          <w:rPr>
            <w:noProof/>
            <w:webHidden/>
          </w:rPr>
          <w:t>20</w:t>
        </w:r>
        <w:r w:rsidR="00D65D1E">
          <w:rPr>
            <w:noProof/>
            <w:webHidden/>
          </w:rPr>
          <w:fldChar w:fldCharType="end"/>
        </w:r>
      </w:hyperlink>
    </w:p>
    <w:p w14:paraId="65A9325B" w14:textId="49F64F41" w:rsidR="00D65D1E" w:rsidRDefault="00000000">
      <w:pPr>
        <w:pStyle w:val="TOC2"/>
        <w:rPr>
          <w:rFonts w:eastAsiaTheme="minorEastAsia" w:cstheme="minorBidi"/>
          <w:noProof/>
          <w:szCs w:val="22"/>
          <w:lang w:eastAsia="en-AU"/>
        </w:rPr>
      </w:pPr>
      <w:hyperlink w:anchor="_Toc58502812" w:history="1">
        <w:r w:rsidR="00D65D1E" w:rsidRPr="002A2485">
          <w:rPr>
            <w:rStyle w:val="Hyperlink"/>
            <w:rFonts w:ascii="Arial" w:hAnsi="Arial" w:cs="Arial"/>
            <w:b/>
            <w:bCs/>
            <w:iCs/>
            <w:noProof/>
          </w:rPr>
          <w:t>F. Nationally consistent frameworks for public and environmental health regulation.</w:t>
        </w:r>
        <w:r w:rsidR="00D65D1E">
          <w:rPr>
            <w:noProof/>
            <w:webHidden/>
          </w:rPr>
          <w:tab/>
        </w:r>
        <w:r w:rsidR="00D65D1E">
          <w:rPr>
            <w:noProof/>
            <w:webHidden/>
          </w:rPr>
          <w:fldChar w:fldCharType="begin"/>
        </w:r>
        <w:r w:rsidR="00D65D1E">
          <w:rPr>
            <w:noProof/>
            <w:webHidden/>
          </w:rPr>
          <w:instrText xml:space="preserve"> PAGEREF _Toc58502812 \h </w:instrText>
        </w:r>
        <w:r w:rsidR="00D65D1E">
          <w:rPr>
            <w:noProof/>
            <w:webHidden/>
          </w:rPr>
        </w:r>
        <w:r w:rsidR="00D65D1E">
          <w:rPr>
            <w:noProof/>
            <w:webHidden/>
          </w:rPr>
          <w:fldChar w:fldCharType="separate"/>
        </w:r>
        <w:r w:rsidR="00D65D1E">
          <w:rPr>
            <w:noProof/>
            <w:webHidden/>
          </w:rPr>
          <w:t>21</w:t>
        </w:r>
        <w:r w:rsidR="00D65D1E">
          <w:rPr>
            <w:noProof/>
            <w:webHidden/>
          </w:rPr>
          <w:fldChar w:fldCharType="end"/>
        </w:r>
      </w:hyperlink>
    </w:p>
    <w:p w14:paraId="26FDC7B8" w14:textId="3D9E0D80" w:rsidR="00D65D1E" w:rsidRDefault="00000000">
      <w:pPr>
        <w:pStyle w:val="TOC2"/>
        <w:rPr>
          <w:rFonts w:eastAsiaTheme="minorEastAsia" w:cstheme="minorBidi"/>
          <w:noProof/>
          <w:szCs w:val="22"/>
          <w:lang w:eastAsia="en-AU"/>
        </w:rPr>
      </w:pPr>
      <w:hyperlink w:anchor="_Toc58502813" w:history="1">
        <w:r w:rsidR="00D65D1E" w:rsidRPr="002A2485">
          <w:rPr>
            <w:rStyle w:val="Hyperlink"/>
            <w:rFonts w:ascii="Arial" w:hAnsi="Arial" w:cs="Arial"/>
            <w:b/>
            <w:bCs/>
            <w:iCs/>
            <w:noProof/>
          </w:rPr>
          <w:t>G. Effective networking and partnerships with stakeholders to ensure a coordinated approach to addressing environmental risks to health.</w:t>
        </w:r>
        <w:r w:rsidR="00D65D1E">
          <w:rPr>
            <w:noProof/>
            <w:webHidden/>
          </w:rPr>
          <w:tab/>
        </w:r>
        <w:r w:rsidR="00D65D1E">
          <w:rPr>
            <w:noProof/>
            <w:webHidden/>
          </w:rPr>
          <w:fldChar w:fldCharType="begin"/>
        </w:r>
        <w:r w:rsidR="00D65D1E">
          <w:rPr>
            <w:noProof/>
            <w:webHidden/>
          </w:rPr>
          <w:instrText xml:space="preserve"> PAGEREF _Toc58502813 \h </w:instrText>
        </w:r>
        <w:r w:rsidR="00D65D1E">
          <w:rPr>
            <w:noProof/>
            <w:webHidden/>
          </w:rPr>
        </w:r>
        <w:r w:rsidR="00D65D1E">
          <w:rPr>
            <w:noProof/>
            <w:webHidden/>
          </w:rPr>
          <w:fldChar w:fldCharType="separate"/>
        </w:r>
        <w:r w:rsidR="00D65D1E">
          <w:rPr>
            <w:noProof/>
            <w:webHidden/>
          </w:rPr>
          <w:t>21</w:t>
        </w:r>
        <w:r w:rsidR="00D65D1E">
          <w:rPr>
            <w:noProof/>
            <w:webHidden/>
          </w:rPr>
          <w:fldChar w:fldCharType="end"/>
        </w:r>
      </w:hyperlink>
    </w:p>
    <w:p w14:paraId="70E39E94" w14:textId="04F0D2F5" w:rsidR="00D65D1E" w:rsidRDefault="00000000">
      <w:pPr>
        <w:pStyle w:val="TOC2"/>
        <w:rPr>
          <w:rFonts w:eastAsiaTheme="minorEastAsia" w:cstheme="minorBidi"/>
          <w:noProof/>
          <w:szCs w:val="22"/>
          <w:lang w:eastAsia="en-AU"/>
        </w:rPr>
      </w:pPr>
      <w:hyperlink w:anchor="_Toc58502814" w:history="1">
        <w:r w:rsidR="00D65D1E" w:rsidRPr="002A2485">
          <w:rPr>
            <w:rStyle w:val="Hyperlink"/>
            <w:rFonts w:ascii="Arial" w:hAnsi="Arial" w:cs="Arial"/>
            <w:b/>
            <w:bCs/>
            <w:iCs/>
            <w:noProof/>
          </w:rPr>
          <w:t>H. Strengthened research and data capacity, to assist translation of research and data to environmental health policy and interventions.</w:t>
        </w:r>
        <w:r w:rsidR="00D65D1E">
          <w:rPr>
            <w:noProof/>
            <w:webHidden/>
          </w:rPr>
          <w:tab/>
        </w:r>
        <w:r w:rsidR="00D65D1E">
          <w:rPr>
            <w:noProof/>
            <w:webHidden/>
          </w:rPr>
          <w:fldChar w:fldCharType="begin"/>
        </w:r>
        <w:r w:rsidR="00D65D1E">
          <w:rPr>
            <w:noProof/>
            <w:webHidden/>
          </w:rPr>
          <w:instrText xml:space="preserve"> PAGEREF _Toc58502814 \h </w:instrText>
        </w:r>
        <w:r w:rsidR="00D65D1E">
          <w:rPr>
            <w:noProof/>
            <w:webHidden/>
          </w:rPr>
        </w:r>
        <w:r w:rsidR="00D65D1E">
          <w:rPr>
            <w:noProof/>
            <w:webHidden/>
          </w:rPr>
          <w:fldChar w:fldCharType="separate"/>
        </w:r>
        <w:r w:rsidR="00D65D1E">
          <w:rPr>
            <w:noProof/>
            <w:webHidden/>
          </w:rPr>
          <w:t>22</w:t>
        </w:r>
        <w:r w:rsidR="00D65D1E">
          <w:rPr>
            <w:noProof/>
            <w:webHidden/>
          </w:rPr>
          <w:fldChar w:fldCharType="end"/>
        </w:r>
      </w:hyperlink>
    </w:p>
    <w:p w14:paraId="67479191" w14:textId="1E20D61B" w:rsidR="00D65D1E" w:rsidRDefault="00000000">
      <w:pPr>
        <w:pStyle w:val="TOC1"/>
        <w:rPr>
          <w:rFonts w:eastAsiaTheme="minorEastAsia" w:cstheme="minorBidi"/>
          <w:b w:val="0"/>
          <w:noProof/>
          <w:szCs w:val="22"/>
          <w:lang w:eastAsia="en-AU"/>
        </w:rPr>
      </w:pPr>
      <w:hyperlink w:anchor="_Toc58502815" w:history="1">
        <w:r w:rsidR="00D65D1E" w:rsidRPr="002A2485">
          <w:rPr>
            <w:rStyle w:val="Hyperlink"/>
            <w:rFonts w:ascii="Arial" w:hAnsi="Arial"/>
            <w:noProof/>
            <w14:scene3d>
              <w14:camera w14:prst="orthographicFront"/>
              <w14:lightRig w14:rig="threePt" w14:dir="t">
                <w14:rot w14:lat="0" w14:lon="0" w14:rev="0"/>
              </w14:lightRig>
            </w14:scene3d>
          </w:rPr>
          <w:t>5</w:t>
        </w:r>
        <w:r w:rsidR="00D65D1E">
          <w:rPr>
            <w:rFonts w:eastAsiaTheme="minorEastAsia" w:cstheme="minorBidi"/>
            <w:b w:val="0"/>
            <w:noProof/>
            <w:szCs w:val="22"/>
            <w:lang w:eastAsia="en-AU"/>
          </w:rPr>
          <w:tab/>
        </w:r>
        <w:r w:rsidR="00D65D1E" w:rsidRPr="002A2485">
          <w:rPr>
            <w:rStyle w:val="Hyperlink"/>
            <w:rFonts w:ascii="Arial" w:hAnsi="Arial"/>
            <w:caps/>
            <w:noProof/>
          </w:rPr>
          <w:t>ACCOUNTABILITY AND REPORTING</w:t>
        </w:r>
        <w:r w:rsidR="00D65D1E">
          <w:rPr>
            <w:noProof/>
            <w:webHidden/>
          </w:rPr>
          <w:tab/>
        </w:r>
        <w:r w:rsidR="00D65D1E">
          <w:rPr>
            <w:noProof/>
            <w:webHidden/>
          </w:rPr>
          <w:fldChar w:fldCharType="begin"/>
        </w:r>
        <w:r w:rsidR="00D65D1E">
          <w:rPr>
            <w:noProof/>
            <w:webHidden/>
          </w:rPr>
          <w:instrText xml:space="preserve"> PAGEREF _Toc58502815 \h </w:instrText>
        </w:r>
        <w:r w:rsidR="00D65D1E">
          <w:rPr>
            <w:noProof/>
            <w:webHidden/>
          </w:rPr>
        </w:r>
        <w:r w:rsidR="00D65D1E">
          <w:rPr>
            <w:noProof/>
            <w:webHidden/>
          </w:rPr>
          <w:fldChar w:fldCharType="separate"/>
        </w:r>
        <w:r w:rsidR="00D65D1E">
          <w:rPr>
            <w:noProof/>
            <w:webHidden/>
          </w:rPr>
          <w:t>23</w:t>
        </w:r>
        <w:r w:rsidR="00D65D1E">
          <w:rPr>
            <w:noProof/>
            <w:webHidden/>
          </w:rPr>
          <w:fldChar w:fldCharType="end"/>
        </w:r>
      </w:hyperlink>
    </w:p>
    <w:p w14:paraId="3FA866FB" w14:textId="00883C91" w:rsidR="00D65D1E" w:rsidRDefault="00000000">
      <w:pPr>
        <w:pStyle w:val="TOC1"/>
        <w:rPr>
          <w:rFonts w:eastAsiaTheme="minorEastAsia" w:cstheme="minorBidi"/>
          <w:b w:val="0"/>
          <w:noProof/>
          <w:szCs w:val="22"/>
          <w:lang w:eastAsia="en-AU"/>
        </w:rPr>
      </w:pPr>
      <w:hyperlink w:anchor="_Toc58502816" w:history="1">
        <w:r w:rsidR="00D65D1E" w:rsidRPr="002A2485">
          <w:rPr>
            <w:rStyle w:val="Hyperlink"/>
            <w:rFonts w:ascii="Arial" w:hAnsi="Arial"/>
            <w:noProof/>
            <w14:scene3d>
              <w14:camera w14:prst="orthographicFront"/>
              <w14:lightRig w14:rig="threePt" w14:dir="t">
                <w14:rot w14:lat="0" w14:lon="0" w14:rev="0"/>
              </w14:lightRig>
            </w14:scene3d>
          </w:rPr>
          <w:t>6</w:t>
        </w:r>
        <w:r w:rsidR="00D65D1E">
          <w:rPr>
            <w:rFonts w:eastAsiaTheme="minorEastAsia" w:cstheme="minorBidi"/>
            <w:b w:val="0"/>
            <w:noProof/>
            <w:szCs w:val="22"/>
            <w:lang w:eastAsia="en-AU"/>
          </w:rPr>
          <w:tab/>
        </w:r>
        <w:r w:rsidR="00D65D1E" w:rsidRPr="002A2485">
          <w:rPr>
            <w:rStyle w:val="Hyperlink"/>
            <w:rFonts w:ascii="Arial" w:hAnsi="Arial"/>
            <w:caps/>
            <w:noProof/>
          </w:rPr>
          <w:t>Glossary OF KEY TERMS</w:t>
        </w:r>
        <w:r w:rsidR="00D65D1E">
          <w:rPr>
            <w:noProof/>
            <w:webHidden/>
          </w:rPr>
          <w:tab/>
        </w:r>
        <w:r w:rsidR="00D65D1E">
          <w:rPr>
            <w:noProof/>
            <w:webHidden/>
          </w:rPr>
          <w:fldChar w:fldCharType="begin"/>
        </w:r>
        <w:r w:rsidR="00D65D1E">
          <w:rPr>
            <w:noProof/>
            <w:webHidden/>
          </w:rPr>
          <w:instrText xml:space="preserve"> PAGEREF _Toc58502816 \h </w:instrText>
        </w:r>
        <w:r w:rsidR="00D65D1E">
          <w:rPr>
            <w:noProof/>
            <w:webHidden/>
          </w:rPr>
        </w:r>
        <w:r w:rsidR="00D65D1E">
          <w:rPr>
            <w:noProof/>
            <w:webHidden/>
          </w:rPr>
          <w:fldChar w:fldCharType="separate"/>
        </w:r>
        <w:r w:rsidR="00D65D1E">
          <w:rPr>
            <w:noProof/>
            <w:webHidden/>
          </w:rPr>
          <w:t>24</w:t>
        </w:r>
        <w:r w:rsidR="00D65D1E">
          <w:rPr>
            <w:noProof/>
            <w:webHidden/>
          </w:rPr>
          <w:fldChar w:fldCharType="end"/>
        </w:r>
      </w:hyperlink>
    </w:p>
    <w:p w14:paraId="3A8375F6" w14:textId="1895C3A2" w:rsidR="00D65D1E" w:rsidRDefault="00000000">
      <w:pPr>
        <w:pStyle w:val="TOC1"/>
        <w:rPr>
          <w:rFonts w:eastAsiaTheme="minorEastAsia" w:cstheme="minorBidi"/>
          <w:b w:val="0"/>
          <w:noProof/>
          <w:szCs w:val="22"/>
          <w:lang w:eastAsia="en-AU"/>
        </w:rPr>
      </w:pPr>
      <w:hyperlink w:anchor="_Toc58502817" w:history="1">
        <w:r w:rsidR="00D65D1E" w:rsidRPr="002A2485">
          <w:rPr>
            <w:rStyle w:val="Hyperlink"/>
            <w:rFonts w:ascii="Arial" w:hAnsi="Arial"/>
            <w:caps/>
            <w:noProof/>
          </w:rPr>
          <w:t>Appendix 1:  enHealth stakeholders</w:t>
        </w:r>
        <w:r w:rsidR="00D65D1E">
          <w:rPr>
            <w:noProof/>
            <w:webHidden/>
          </w:rPr>
          <w:tab/>
        </w:r>
        <w:r w:rsidR="00D65D1E">
          <w:rPr>
            <w:noProof/>
            <w:webHidden/>
          </w:rPr>
          <w:fldChar w:fldCharType="begin"/>
        </w:r>
        <w:r w:rsidR="00D65D1E">
          <w:rPr>
            <w:noProof/>
            <w:webHidden/>
          </w:rPr>
          <w:instrText xml:space="preserve"> PAGEREF _Toc58502817 \h </w:instrText>
        </w:r>
        <w:r w:rsidR="00D65D1E">
          <w:rPr>
            <w:noProof/>
            <w:webHidden/>
          </w:rPr>
        </w:r>
        <w:r w:rsidR="00D65D1E">
          <w:rPr>
            <w:noProof/>
            <w:webHidden/>
          </w:rPr>
          <w:fldChar w:fldCharType="separate"/>
        </w:r>
        <w:r w:rsidR="00D65D1E">
          <w:rPr>
            <w:noProof/>
            <w:webHidden/>
          </w:rPr>
          <w:t>25</w:t>
        </w:r>
        <w:r w:rsidR="00D65D1E">
          <w:rPr>
            <w:noProof/>
            <w:webHidden/>
          </w:rPr>
          <w:fldChar w:fldCharType="end"/>
        </w:r>
      </w:hyperlink>
    </w:p>
    <w:p w14:paraId="605142D8" w14:textId="4AB60841" w:rsidR="00D65D1E" w:rsidRDefault="00000000">
      <w:pPr>
        <w:pStyle w:val="TOC1"/>
        <w:rPr>
          <w:rFonts w:eastAsiaTheme="minorEastAsia" w:cstheme="minorBidi"/>
          <w:b w:val="0"/>
          <w:noProof/>
          <w:szCs w:val="22"/>
          <w:lang w:eastAsia="en-AU"/>
        </w:rPr>
      </w:pPr>
      <w:hyperlink w:anchor="_Toc58502818" w:history="1">
        <w:r w:rsidR="00D65D1E" w:rsidRPr="002A2485">
          <w:rPr>
            <w:rStyle w:val="Hyperlink"/>
            <w:rFonts w:ascii="Arial" w:hAnsi="Arial"/>
            <w:caps/>
            <w:noProof/>
          </w:rPr>
          <w:t>Appendix 2: enHEALTH expert reference panels</w:t>
        </w:r>
        <w:r w:rsidR="00D65D1E">
          <w:rPr>
            <w:noProof/>
            <w:webHidden/>
          </w:rPr>
          <w:tab/>
        </w:r>
        <w:r w:rsidR="00D65D1E">
          <w:rPr>
            <w:noProof/>
            <w:webHidden/>
          </w:rPr>
          <w:fldChar w:fldCharType="begin"/>
        </w:r>
        <w:r w:rsidR="00D65D1E">
          <w:rPr>
            <w:noProof/>
            <w:webHidden/>
          </w:rPr>
          <w:instrText xml:space="preserve"> PAGEREF _Toc58502818 \h </w:instrText>
        </w:r>
        <w:r w:rsidR="00D65D1E">
          <w:rPr>
            <w:noProof/>
            <w:webHidden/>
          </w:rPr>
        </w:r>
        <w:r w:rsidR="00D65D1E">
          <w:rPr>
            <w:noProof/>
            <w:webHidden/>
          </w:rPr>
          <w:fldChar w:fldCharType="separate"/>
        </w:r>
        <w:r w:rsidR="00D65D1E">
          <w:rPr>
            <w:noProof/>
            <w:webHidden/>
          </w:rPr>
          <w:t>26</w:t>
        </w:r>
        <w:r w:rsidR="00D65D1E">
          <w:rPr>
            <w:noProof/>
            <w:webHidden/>
          </w:rPr>
          <w:fldChar w:fldCharType="end"/>
        </w:r>
      </w:hyperlink>
    </w:p>
    <w:p w14:paraId="287E4890" w14:textId="4B5010A0" w:rsidR="00D65D1E" w:rsidRDefault="00000000">
      <w:pPr>
        <w:pStyle w:val="TOC2"/>
        <w:rPr>
          <w:rFonts w:eastAsiaTheme="minorEastAsia" w:cstheme="minorBidi"/>
          <w:noProof/>
          <w:szCs w:val="22"/>
          <w:lang w:eastAsia="en-AU"/>
        </w:rPr>
      </w:pPr>
      <w:hyperlink w:anchor="_Toc58502819" w:history="1">
        <w:r w:rsidR="00D65D1E" w:rsidRPr="002A2485">
          <w:rPr>
            <w:rStyle w:val="Hyperlink"/>
            <w:rFonts w:eastAsia="Batang"/>
            <w:noProof/>
          </w:rPr>
          <w:t>Expert Reference Panel on Aboriginal and Torres Strait Islander Environmental Health (ERPATSIEH)</w:t>
        </w:r>
        <w:r w:rsidR="00D65D1E">
          <w:rPr>
            <w:noProof/>
            <w:webHidden/>
          </w:rPr>
          <w:tab/>
        </w:r>
        <w:r w:rsidR="00D65D1E">
          <w:rPr>
            <w:noProof/>
            <w:webHidden/>
          </w:rPr>
          <w:fldChar w:fldCharType="begin"/>
        </w:r>
        <w:r w:rsidR="00D65D1E">
          <w:rPr>
            <w:noProof/>
            <w:webHidden/>
          </w:rPr>
          <w:instrText xml:space="preserve"> PAGEREF _Toc58502819 \h </w:instrText>
        </w:r>
        <w:r w:rsidR="00D65D1E">
          <w:rPr>
            <w:noProof/>
            <w:webHidden/>
          </w:rPr>
        </w:r>
        <w:r w:rsidR="00D65D1E">
          <w:rPr>
            <w:noProof/>
            <w:webHidden/>
          </w:rPr>
          <w:fldChar w:fldCharType="separate"/>
        </w:r>
        <w:r w:rsidR="00D65D1E">
          <w:rPr>
            <w:noProof/>
            <w:webHidden/>
          </w:rPr>
          <w:t>26</w:t>
        </w:r>
        <w:r w:rsidR="00D65D1E">
          <w:rPr>
            <w:noProof/>
            <w:webHidden/>
          </w:rPr>
          <w:fldChar w:fldCharType="end"/>
        </w:r>
      </w:hyperlink>
    </w:p>
    <w:p w14:paraId="0FB28BF7" w14:textId="6DC76833" w:rsidR="00D65D1E" w:rsidRDefault="00000000">
      <w:pPr>
        <w:pStyle w:val="TOC2"/>
        <w:rPr>
          <w:rFonts w:eastAsiaTheme="minorEastAsia" w:cstheme="minorBidi"/>
          <w:noProof/>
          <w:szCs w:val="22"/>
          <w:lang w:eastAsia="en-AU"/>
        </w:rPr>
      </w:pPr>
      <w:hyperlink w:anchor="_Toc58502820" w:history="1">
        <w:r w:rsidR="00D65D1E" w:rsidRPr="002A2485">
          <w:rPr>
            <w:rStyle w:val="Hyperlink"/>
            <w:rFonts w:eastAsia="Batang"/>
            <w:noProof/>
          </w:rPr>
          <w:t>Expert Reference Panel on Environmental Health (ERPEH, formerly Technical Working Group on Environmental Health)</w:t>
        </w:r>
        <w:r w:rsidR="00D65D1E">
          <w:rPr>
            <w:noProof/>
            <w:webHidden/>
          </w:rPr>
          <w:tab/>
        </w:r>
        <w:r w:rsidR="00D65D1E">
          <w:rPr>
            <w:noProof/>
            <w:webHidden/>
          </w:rPr>
          <w:fldChar w:fldCharType="begin"/>
        </w:r>
        <w:r w:rsidR="00D65D1E">
          <w:rPr>
            <w:noProof/>
            <w:webHidden/>
          </w:rPr>
          <w:instrText xml:space="preserve"> PAGEREF _Toc58502820 \h </w:instrText>
        </w:r>
        <w:r w:rsidR="00D65D1E">
          <w:rPr>
            <w:noProof/>
            <w:webHidden/>
          </w:rPr>
        </w:r>
        <w:r w:rsidR="00D65D1E">
          <w:rPr>
            <w:noProof/>
            <w:webHidden/>
          </w:rPr>
          <w:fldChar w:fldCharType="separate"/>
        </w:r>
        <w:r w:rsidR="00D65D1E">
          <w:rPr>
            <w:noProof/>
            <w:webHidden/>
          </w:rPr>
          <w:t>26</w:t>
        </w:r>
        <w:r w:rsidR="00D65D1E">
          <w:rPr>
            <w:noProof/>
            <w:webHidden/>
          </w:rPr>
          <w:fldChar w:fldCharType="end"/>
        </w:r>
      </w:hyperlink>
    </w:p>
    <w:p w14:paraId="4FB0396D" w14:textId="5C62D994" w:rsidR="00D65D1E" w:rsidRDefault="00000000">
      <w:pPr>
        <w:pStyle w:val="TOC2"/>
        <w:rPr>
          <w:rFonts w:eastAsiaTheme="minorEastAsia" w:cstheme="minorBidi"/>
          <w:noProof/>
          <w:szCs w:val="22"/>
          <w:lang w:eastAsia="en-AU"/>
        </w:rPr>
      </w:pPr>
      <w:hyperlink w:anchor="_Toc58502821" w:history="1">
        <w:r w:rsidR="00D65D1E" w:rsidRPr="002A2485">
          <w:rPr>
            <w:rStyle w:val="Hyperlink"/>
            <w:noProof/>
          </w:rPr>
          <w:t>Water Quality Expert Reference Panel (WQERP)</w:t>
        </w:r>
        <w:r w:rsidR="00D65D1E">
          <w:rPr>
            <w:noProof/>
            <w:webHidden/>
          </w:rPr>
          <w:tab/>
        </w:r>
        <w:r w:rsidR="00D65D1E">
          <w:rPr>
            <w:noProof/>
            <w:webHidden/>
          </w:rPr>
          <w:fldChar w:fldCharType="begin"/>
        </w:r>
        <w:r w:rsidR="00D65D1E">
          <w:rPr>
            <w:noProof/>
            <w:webHidden/>
          </w:rPr>
          <w:instrText xml:space="preserve"> PAGEREF _Toc58502821 \h </w:instrText>
        </w:r>
        <w:r w:rsidR="00D65D1E">
          <w:rPr>
            <w:noProof/>
            <w:webHidden/>
          </w:rPr>
        </w:r>
        <w:r w:rsidR="00D65D1E">
          <w:rPr>
            <w:noProof/>
            <w:webHidden/>
          </w:rPr>
          <w:fldChar w:fldCharType="separate"/>
        </w:r>
        <w:r w:rsidR="00D65D1E">
          <w:rPr>
            <w:noProof/>
            <w:webHidden/>
          </w:rPr>
          <w:t>26</w:t>
        </w:r>
        <w:r w:rsidR="00D65D1E">
          <w:rPr>
            <w:noProof/>
            <w:webHidden/>
          </w:rPr>
          <w:fldChar w:fldCharType="end"/>
        </w:r>
      </w:hyperlink>
    </w:p>
    <w:p w14:paraId="3697FB5E" w14:textId="7C423E1A" w:rsidR="00D65D1E" w:rsidRDefault="00000000">
      <w:pPr>
        <w:pStyle w:val="TOC2"/>
        <w:rPr>
          <w:rFonts w:eastAsiaTheme="minorEastAsia" w:cstheme="minorBidi"/>
          <w:noProof/>
          <w:szCs w:val="22"/>
          <w:lang w:eastAsia="en-AU"/>
        </w:rPr>
      </w:pPr>
      <w:hyperlink w:anchor="_Toc58502822" w:history="1">
        <w:r w:rsidR="00D65D1E" w:rsidRPr="002A2485">
          <w:rPr>
            <w:rStyle w:val="Hyperlink"/>
            <w:noProof/>
          </w:rPr>
          <w:t>Radiation Health Expert Reference Panel (RHERP)</w:t>
        </w:r>
        <w:r w:rsidR="00D65D1E">
          <w:rPr>
            <w:noProof/>
            <w:webHidden/>
          </w:rPr>
          <w:tab/>
        </w:r>
        <w:r w:rsidR="00D65D1E">
          <w:rPr>
            <w:noProof/>
            <w:webHidden/>
          </w:rPr>
          <w:fldChar w:fldCharType="begin"/>
        </w:r>
        <w:r w:rsidR="00D65D1E">
          <w:rPr>
            <w:noProof/>
            <w:webHidden/>
          </w:rPr>
          <w:instrText xml:space="preserve"> PAGEREF _Toc58502822 \h </w:instrText>
        </w:r>
        <w:r w:rsidR="00D65D1E">
          <w:rPr>
            <w:noProof/>
            <w:webHidden/>
          </w:rPr>
        </w:r>
        <w:r w:rsidR="00D65D1E">
          <w:rPr>
            <w:noProof/>
            <w:webHidden/>
          </w:rPr>
          <w:fldChar w:fldCharType="separate"/>
        </w:r>
        <w:r w:rsidR="00D65D1E">
          <w:rPr>
            <w:noProof/>
            <w:webHidden/>
          </w:rPr>
          <w:t>27</w:t>
        </w:r>
        <w:r w:rsidR="00D65D1E">
          <w:rPr>
            <w:noProof/>
            <w:webHidden/>
          </w:rPr>
          <w:fldChar w:fldCharType="end"/>
        </w:r>
      </w:hyperlink>
    </w:p>
    <w:p w14:paraId="7F9306C8" w14:textId="5C124921" w:rsidR="00D65D1E" w:rsidRDefault="00000000">
      <w:pPr>
        <w:pStyle w:val="TOC1"/>
        <w:rPr>
          <w:rFonts w:eastAsiaTheme="minorEastAsia" w:cstheme="minorBidi"/>
          <w:b w:val="0"/>
          <w:noProof/>
          <w:szCs w:val="22"/>
          <w:lang w:eastAsia="en-AU"/>
        </w:rPr>
      </w:pPr>
      <w:hyperlink w:anchor="_Toc58502823" w:history="1">
        <w:r w:rsidR="00D65D1E" w:rsidRPr="002A2485">
          <w:rPr>
            <w:rStyle w:val="Hyperlink"/>
            <w:rFonts w:ascii="Arial" w:hAnsi="Arial"/>
            <w:caps/>
            <w:noProof/>
          </w:rPr>
          <w:t>Appendix 3:  enHealth KEY FOCUS AREA STRATEGIES</w:t>
        </w:r>
        <w:r w:rsidR="00D65D1E">
          <w:rPr>
            <w:noProof/>
            <w:webHidden/>
          </w:rPr>
          <w:tab/>
        </w:r>
        <w:r w:rsidR="00D65D1E">
          <w:rPr>
            <w:noProof/>
            <w:webHidden/>
          </w:rPr>
          <w:fldChar w:fldCharType="begin"/>
        </w:r>
        <w:r w:rsidR="00D65D1E">
          <w:rPr>
            <w:noProof/>
            <w:webHidden/>
          </w:rPr>
          <w:instrText xml:space="preserve"> PAGEREF _Toc58502823 \h </w:instrText>
        </w:r>
        <w:r w:rsidR="00D65D1E">
          <w:rPr>
            <w:noProof/>
            <w:webHidden/>
          </w:rPr>
        </w:r>
        <w:r w:rsidR="00D65D1E">
          <w:rPr>
            <w:noProof/>
            <w:webHidden/>
          </w:rPr>
          <w:fldChar w:fldCharType="separate"/>
        </w:r>
        <w:r w:rsidR="00D65D1E">
          <w:rPr>
            <w:noProof/>
            <w:webHidden/>
          </w:rPr>
          <w:t>28</w:t>
        </w:r>
        <w:r w:rsidR="00D65D1E">
          <w:rPr>
            <w:noProof/>
            <w:webHidden/>
          </w:rPr>
          <w:fldChar w:fldCharType="end"/>
        </w:r>
      </w:hyperlink>
    </w:p>
    <w:p w14:paraId="716F6A8F" w14:textId="6DD6573F" w:rsidR="00480EC6" w:rsidRPr="00E16EC6" w:rsidRDefault="00480EC6" w:rsidP="00081B35">
      <w:pPr>
        <w:pStyle w:val="ListParagraph"/>
        <w:ind w:left="0"/>
        <w:rPr>
          <w:snapToGrid w:val="0"/>
          <w:sz w:val="24"/>
          <w:szCs w:val="24"/>
        </w:rPr>
      </w:pPr>
      <w:r w:rsidRPr="00D378CB">
        <w:rPr>
          <w:snapToGrid w:val="0"/>
          <w:szCs w:val="22"/>
        </w:rPr>
        <w:fldChar w:fldCharType="end"/>
      </w:r>
    </w:p>
    <w:p w14:paraId="5A57DB3F" w14:textId="77777777" w:rsidR="00480EC6" w:rsidRPr="00D378CB" w:rsidRDefault="00480EC6" w:rsidP="00081B35">
      <w:pPr>
        <w:pStyle w:val="Heading1"/>
        <w:ind w:left="0" w:firstLine="0"/>
        <w:rPr>
          <w:rFonts w:ascii="Arial" w:hAnsi="Arial"/>
          <w:sz w:val="32"/>
        </w:rPr>
      </w:pPr>
      <w:bookmarkStart w:id="3" w:name="_Toc389384587"/>
      <w:bookmarkStart w:id="4" w:name="_Toc58502786"/>
      <w:r w:rsidRPr="00D378CB">
        <w:rPr>
          <w:rFonts w:ascii="Arial" w:hAnsi="Arial"/>
          <w:sz w:val="32"/>
        </w:rPr>
        <w:lastRenderedPageBreak/>
        <w:t>I</w:t>
      </w:r>
      <w:r w:rsidRPr="00D378CB">
        <w:rPr>
          <w:rFonts w:ascii="Arial" w:hAnsi="Arial"/>
          <w:caps/>
          <w:sz w:val="32"/>
        </w:rPr>
        <w:t>ntroduction</w:t>
      </w:r>
      <w:bookmarkEnd w:id="3"/>
      <w:bookmarkEnd w:id="4"/>
    </w:p>
    <w:p w14:paraId="7782DDEB" w14:textId="77777777" w:rsidR="00C055DF" w:rsidRPr="0048634B" w:rsidRDefault="00C055DF" w:rsidP="003B72A9">
      <w:pPr>
        <w:pStyle w:val="BodyText1"/>
        <w:ind w:left="0"/>
        <w:rPr>
          <w:rFonts w:ascii="Arial" w:hAnsi="Arial" w:cs="Arial"/>
          <w:szCs w:val="22"/>
          <w:lang w:eastAsia="en-AU"/>
        </w:rPr>
      </w:pPr>
      <w:r w:rsidRPr="0048634B">
        <w:rPr>
          <w:rFonts w:ascii="Arial" w:hAnsi="Arial" w:cs="Arial"/>
          <w:szCs w:val="22"/>
          <w:lang w:eastAsia="en-AU"/>
        </w:rPr>
        <w:t>The Environmental H</w:t>
      </w:r>
      <w:r w:rsidR="003B72A9" w:rsidRPr="00D378CB">
        <w:rPr>
          <w:rFonts w:ascii="Arial" w:hAnsi="Arial" w:cs="Arial"/>
          <w:szCs w:val="22"/>
          <w:lang w:eastAsia="en-AU"/>
        </w:rPr>
        <w:t>ealth</w:t>
      </w:r>
      <w:r w:rsidR="003B72A9" w:rsidRPr="0048634B">
        <w:rPr>
          <w:rFonts w:ascii="Arial" w:hAnsi="Arial" w:cs="Arial"/>
          <w:szCs w:val="22"/>
          <w:lang w:eastAsia="en-AU"/>
        </w:rPr>
        <w:t xml:space="preserve"> </w:t>
      </w:r>
      <w:r w:rsidRPr="0048634B">
        <w:rPr>
          <w:rFonts w:ascii="Arial" w:hAnsi="Arial" w:cs="Arial"/>
          <w:szCs w:val="22"/>
          <w:lang w:eastAsia="en-AU"/>
        </w:rPr>
        <w:t xml:space="preserve">Standing Committee (enHealth) is established under the Australian Health Protection Principal Committee (AHPPC) as the primary </w:t>
      </w:r>
      <w:r w:rsidR="00F37E95" w:rsidRPr="0048634B">
        <w:rPr>
          <w:rFonts w:ascii="Arial" w:hAnsi="Arial" w:cs="Arial"/>
          <w:szCs w:val="22"/>
          <w:lang w:eastAsia="en-AU"/>
        </w:rPr>
        <w:t>structure for the delivery of environmental health advice and national leadership in Australia.</w:t>
      </w:r>
    </w:p>
    <w:p w14:paraId="72887EFF" w14:textId="3E5B24E2" w:rsidR="00F37E95" w:rsidRPr="0048634B" w:rsidRDefault="00F37E95" w:rsidP="003B72A9">
      <w:pPr>
        <w:pStyle w:val="BodyText1"/>
        <w:ind w:left="0"/>
        <w:rPr>
          <w:rFonts w:ascii="Arial" w:hAnsi="Arial" w:cs="Arial"/>
          <w:szCs w:val="22"/>
          <w:lang w:eastAsia="en-AU"/>
        </w:rPr>
      </w:pPr>
      <w:r w:rsidRPr="0048634B">
        <w:rPr>
          <w:rFonts w:ascii="Arial" w:hAnsi="Arial" w:cs="Arial"/>
          <w:szCs w:val="22"/>
          <w:lang w:eastAsia="en-AU"/>
        </w:rPr>
        <w:t>The purpose of this document is to set out the strategic priorities of enHealth for the period 20</w:t>
      </w:r>
      <w:r w:rsidR="002E673A">
        <w:rPr>
          <w:rFonts w:ascii="Arial" w:hAnsi="Arial" w:cs="Arial"/>
          <w:szCs w:val="22"/>
          <w:lang w:eastAsia="en-AU"/>
        </w:rPr>
        <w:t>20</w:t>
      </w:r>
      <w:r w:rsidRPr="0048634B">
        <w:rPr>
          <w:rFonts w:ascii="Arial" w:hAnsi="Arial" w:cs="Arial"/>
          <w:szCs w:val="22"/>
          <w:lang w:eastAsia="en-AU"/>
        </w:rPr>
        <w:t xml:space="preserve"> to 2023. The intended audience for this plan is enHealth, the AHPPC, Australian Government personnel, state and territory health authorities</w:t>
      </w:r>
      <w:r w:rsidR="00FA507A">
        <w:rPr>
          <w:rFonts w:ascii="Arial" w:hAnsi="Arial" w:cs="Arial"/>
          <w:szCs w:val="22"/>
          <w:lang w:eastAsia="en-AU"/>
        </w:rPr>
        <w:t>, and other stakeholders</w:t>
      </w:r>
      <w:r w:rsidRPr="0048634B">
        <w:rPr>
          <w:rFonts w:ascii="Arial" w:hAnsi="Arial" w:cs="Arial"/>
          <w:szCs w:val="22"/>
          <w:lang w:eastAsia="en-AU"/>
        </w:rPr>
        <w:t>.</w:t>
      </w:r>
    </w:p>
    <w:p w14:paraId="797CFBF0" w14:textId="5EDD6225" w:rsidR="00F37E95" w:rsidRDefault="00F37E95" w:rsidP="003B72A9">
      <w:pPr>
        <w:pStyle w:val="BodyText1"/>
        <w:ind w:left="0"/>
        <w:rPr>
          <w:rFonts w:ascii="Arial" w:hAnsi="Arial" w:cs="Arial"/>
          <w:lang w:eastAsia="en-AU"/>
        </w:rPr>
      </w:pPr>
      <w:r w:rsidRPr="0048634B">
        <w:rPr>
          <w:rFonts w:ascii="Arial" w:hAnsi="Arial" w:cs="Arial"/>
          <w:szCs w:val="22"/>
          <w:lang w:eastAsia="en-AU"/>
        </w:rPr>
        <w:t xml:space="preserve">This document should be read in conjunction with the </w:t>
      </w:r>
      <w:r w:rsidRPr="000771E6">
        <w:rPr>
          <w:rFonts w:ascii="Arial" w:hAnsi="Arial" w:cs="Arial"/>
          <w:szCs w:val="22"/>
          <w:lang w:eastAsia="en-AU"/>
        </w:rPr>
        <w:t>AHPPC Strategic Plan</w:t>
      </w:r>
      <w:r w:rsidR="0048634B" w:rsidRPr="000771E6">
        <w:rPr>
          <w:rFonts w:ascii="Arial" w:hAnsi="Arial" w:cs="Arial"/>
          <w:szCs w:val="22"/>
          <w:lang w:eastAsia="en-AU"/>
        </w:rPr>
        <w:t xml:space="preserve"> 2019-2023</w:t>
      </w:r>
      <w:r w:rsidRPr="0048634B">
        <w:rPr>
          <w:rFonts w:ascii="Arial" w:hAnsi="Arial" w:cs="Arial"/>
          <w:szCs w:val="22"/>
          <w:lang w:eastAsia="en-AU"/>
        </w:rPr>
        <w:t>, Operating Guidelines, and Terms of Reference</w:t>
      </w:r>
      <w:r w:rsidR="00D272AE">
        <w:rPr>
          <w:rFonts w:ascii="Arial" w:hAnsi="Arial" w:cs="Arial"/>
          <w:szCs w:val="22"/>
          <w:lang w:eastAsia="en-AU"/>
        </w:rPr>
        <w:t>,</w:t>
      </w:r>
      <w:r w:rsidRPr="0048634B">
        <w:rPr>
          <w:rFonts w:ascii="Arial" w:hAnsi="Arial" w:cs="Arial"/>
          <w:szCs w:val="22"/>
          <w:lang w:eastAsia="en-AU"/>
        </w:rPr>
        <w:t xml:space="preserve"> as well as the enHealth </w:t>
      </w:r>
      <w:r w:rsidR="00836B59" w:rsidRPr="0048634B">
        <w:rPr>
          <w:rFonts w:ascii="Arial" w:hAnsi="Arial" w:cs="Arial"/>
          <w:szCs w:val="22"/>
          <w:lang w:eastAsia="en-AU"/>
        </w:rPr>
        <w:t>Terms of Reference</w:t>
      </w:r>
      <w:r w:rsidR="003900A7">
        <w:rPr>
          <w:rFonts w:ascii="Arial" w:hAnsi="Arial" w:cs="Arial"/>
          <w:szCs w:val="22"/>
          <w:lang w:eastAsia="en-AU"/>
        </w:rPr>
        <w:t>, Strategic Priorities</w:t>
      </w:r>
      <w:r w:rsidR="00B75A30">
        <w:rPr>
          <w:rFonts w:ascii="Arial" w:hAnsi="Arial" w:cs="Arial"/>
          <w:szCs w:val="22"/>
          <w:lang w:eastAsia="en-AU"/>
        </w:rPr>
        <w:t>,</w:t>
      </w:r>
      <w:r w:rsidR="00836B59">
        <w:rPr>
          <w:rFonts w:ascii="Arial" w:hAnsi="Arial" w:cs="Arial"/>
          <w:szCs w:val="22"/>
          <w:lang w:eastAsia="en-AU"/>
        </w:rPr>
        <w:t xml:space="preserve"> Work Plan,</w:t>
      </w:r>
      <w:r w:rsidR="00836B59" w:rsidRPr="0048634B">
        <w:rPr>
          <w:rFonts w:ascii="Arial" w:hAnsi="Arial" w:cs="Arial"/>
          <w:szCs w:val="22"/>
          <w:lang w:eastAsia="en-AU"/>
        </w:rPr>
        <w:t xml:space="preserve"> </w:t>
      </w:r>
      <w:r w:rsidRPr="0048634B">
        <w:rPr>
          <w:rFonts w:ascii="Arial" w:hAnsi="Arial" w:cs="Arial"/>
          <w:szCs w:val="22"/>
          <w:lang w:eastAsia="en-AU"/>
        </w:rPr>
        <w:t xml:space="preserve">Operating Guidelines, </w:t>
      </w:r>
      <w:r w:rsidR="00836B59">
        <w:rPr>
          <w:rFonts w:ascii="Arial" w:hAnsi="Arial" w:cs="Arial"/>
          <w:szCs w:val="22"/>
          <w:lang w:eastAsia="en-AU"/>
        </w:rPr>
        <w:t xml:space="preserve">and </w:t>
      </w:r>
      <w:r w:rsidRPr="0048634B">
        <w:rPr>
          <w:rFonts w:ascii="Arial" w:hAnsi="Arial" w:cs="Arial"/>
          <w:szCs w:val="22"/>
          <w:lang w:eastAsia="en-AU"/>
        </w:rPr>
        <w:t>Publications and Communications Policy</w:t>
      </w:r>
      <w:r w:rsidR="00836B59">
        <w:rPr>
          <w:rFonts w:ascii="Arial" w:hAnsi="Arial" w:cs="Arial"/>
          <w:szCs w:val="22"/>
          <w:lang w:eastAsia="en-AU"/>
        </w:rPr>
        <w:t>.</w:t>
      </w:r>
    </w:p>
    <w:p w14:paraId="4ADA1767" w14:textId="77777777" w:rsidR="00C055DF" w:rsidRPr="00205C98" w:rsidRDefault="00C055DF" w:rsidP="00C055DF">
      <w:pPr>
        <w:pStyle w:val="Heading2"/>
        <w:ind w:left="0" w:firstLine="0"/>
        <w:rPr>
          <w:rFonts w:ascii="Arial" w:hAnsi="Arial"/>
          <w:color w:val="365F91" w:themeColor="accent1" w:themeShade="BF"/>
          <w:sz w:val="22"/>
          <w:szCs w:val="22"/>
        </w:rPr>
      </w:pPr>
      <w:bookmarkStart w:id="5" w:name="_Toc58502787"/>
      <w:r w:rsidRPr="00205C98">
        <w:rPr>
          <w:rFonts w:ascii="Arial" w:hAnsi="Arial"/>
          <w:sz w:val="22"/>
          <w:szCs w:val="22"/>
        </w:rPr>
        <w:t>Environmental health and environmental public health</w:t>
      </w:r>
      <w:bookmarkEnd w:id="5"/>
    </w:p>
    <w:p w14:paraId="2BC0B5F1" w14:textId="10B13F6A" w:rsidR="003B72A9" w:rsidRPr="00801436" w:rsidRDefault="00C055DF" w:rsidP="00D378CB">
      <w:pPr>
        <w:pStyle w:val="BodyText1"/>
        <w:spacing w:line="276" w:lineRule="auto"/>
        <w:ind w:left="0"/>
        <w:rPr>
          <w:rFonts w:ascii="Arial" w:hAnsi="Arial" w:cs="Arial"/>
          <w:lang w:eastAsia="en-AU"/>
        </w:rPr>
      </w:pPr>
      <w:r w:rsidRPr="00D378CB">
        <w:rPr>
          <w:rFonts w:ascii="Arial" w:hAnsi="Arial" w:cs="Arial"/>
          <w:b/>
          <w:lang w:eastAsia="en-AU"/>
        </w:rPr>
        <w:t>Environmental health</w:t>
      </w:r>
      <w:r>
        <w:rPr>
          <w:rFonts w:ascii="Arial" w:hAnsi="Arial" w:cs="Arial"/>
          <w:lang w:eastAsia="en-AU"/>
        </w:rPr>
        <w:t xml:space="preserve"> </w:t>
      </w:r>
      <w:r w:rsidR="003B72A9">
        <w:rPr>
          <w:rFonts w:ascii="Arial" w:hAnsi="Arial" w:cs="Arial"/>
          <w:lang w:eastAsia="en-AU"/>
        </w:rPr>
        <w:t>is defined by t</w:t>
      </w:r>
      <w:r w:rsidR="003B72A9" w:rsidRPr="00AA2B88">
        <w:rPr>
          <w:rFonts w:ascii="Arial" w:hAnsi="Arial" w:cs="Arial"/>
          <w:lang w:eastAsia="en-AU"/>
        </w:rPr>
        <w:t>he</w:t>
      </w:r>
      <w:r w:rsidR="003B72A9" w:rsidRPr="00801436">
        <w:rPr>
          <w:rFonts w:ascii="Arial" w:hAnsi="Arial" w:cs="Arial"/>
          <w:lang w:eastAsia="en-AU"/>
        </w:rPr>
        <w:t xml:space="preserve"> W</w:t>
      </w:r>
      <w:r w:rsidR="00602930">
        <w:rPr>
          <w:rFonts w:ascii="Arial" w:hAnsi="Arial" w:cs="Arial"/>
          <w:lang w:eastAsia="en-AU"/>
        </w:rPr>
        <w:t xml:space="preserve">orld </w:t>
      </w:r>
      <w:r w:rsidR="003B72A9" w:rsidRPr="00801436">
        <w:rPr>
          <w:rFonts w:ascii="Arial" w:hAnsi="Arial" w:cs="Arial"/>
          <w:lang w:eastAsia="en-AU"/>
        </w:rPr>
        <w:t>H</w:t>
      </w:r>
      <w:r w:rsidR="00602930">
        <w:rPr>
          <w:rFonts w:ascii="Arial" w:hAnsi="Arial" w:cs="Arial"/>
          <w:lang w:eastAsia="en-AU"/>
        </w:rPr>
        <w:t xml:space="preserve">ealth </w:t>
      </w:r>
      <w:r w:rsidR="003B72A9" w:rsidRPr="00801436">
        <w:rPr>
          <w:rFonts w:ascii="Arial" w:hAnsi="Arial" w:cs="Arial"/>
          <w:lang w:eastAsia="en-AU"/>
        </w:rPr>
        <w:t>O</w:t>
      </w:r>
      <w:r w:rsidR="00602930">
        <w:rPr>
          <w:rFonts w:ascii="Arial" w:hAnsi="Arial" w:cs="Arial"/>
          <w:lang w:eastAsia="en-AU"/>
        </w:rPr>
        <w:t>rganisation (WHO)</w:t>
      </w:r>
      <w:r w:rsidR="003B72A9" w:rsidRPr="00801436">
        <w:rPr>
          <w:rFonts w:ascii="Arial" w:hAnsi="Arial" w:cs="Arial"/>
          <w:lang w:eastAsia="en-AU"/>
        </w:rPr>
        <w:t xml:space="preserve"> </w:t>
      </w:r>
      <w:r w:rsidR="003B72A9">
        <w:rPr>
          <w:rFonts w:ascii="Arial" w:hAnsi="Arial" w:cs="Arial"/>
          <w:lang w:eastAsia="en-AU"/>
        </w:rPr>
        <w:t xml:space="preserve">as all the </w:t>
      </w:r>
      <w:r w:rsidR="003B72A9" w:rsidRPr="00801436">
        <w:rPr>
          <w:rFonts w:ascii="Arial" w:hAnsi="Arial" w:cs="Arial"/>
          <w:lang w:eastAsia="en-AU"/>
        </w:rPr>
        <w:t>physical, chemical and biological factors external to a person, and all the relate</w:t>
      </w:r>
      <w:r w:rsidR="003B72A9">
        <w:rPr>
          <w:rFonts w:ascii="Arial" w:hAnsi="Arial" w:cs="Arial"/>
          <w:lang w:eastAsia="en-AU"/>
        </w:rPr>
        <w:t xml:space="preserve">d factors impacting behaviours. </w:t>
      </w:r>
      <w:r w:rsidR="003B72A9" w:rsidRPr="00801436">
        <w:rPr>
          <w:rFonts w:ascii="Arial" w:hAnsi="Arial" w:cs="Arial"/>
          <w:lang w:eastAsia="en-AU"/>
        </w:rPr>
        <w:t xml:space="preserve">It encompasses the assessment and control of those </w:t>
      </w:r>
      <w:r w:rsidR="003B72A9" w:rsidRPr="00801436">
        <w:rPr>
          <w:rFonts w:ascii="Arial" w:hAnsi="Arial" w:cs="Arial"/>
        </w:rPr>
        <w:t>environmental</w:t>
      </w:r>
      <w:r w:rsidR="003B72A9" w:rsidRPr="00801436">
        <w:rPr>
          <w:rFonts w:ascii="Arial" w:hAnsi="Arial" w:cs="Arial"/>
          <w:lang w:eastAsia="en-AU"/>
        </w:rPr>
        <w:t xml:space="preserve"> factors that can potentially affect health. It is targeted towards preventing disease and creating health-supportive environment</w:t>
      </w:r>
      <w:r w:rsidR="003B72A9">
        <w:rPr>
          <w:rFonts w:ascii="Arial" w:hAnsi="Arial" w:cs="Arial"/>
          <w:lang w:eastAsia="en-AU"/>
        </w:rPr>
        <w:t>s.</w:t>
      </w:r>
      <w:r w:rsidR="00C449BF" w:rsidRPr="00C449BF">
        <w:rPr>
          <w:rFonts w:ascii="Arial" w:hAnsi="Arial" w:cs="Arial"/>
          <w:lang w:eastAsia="en-AU"/>
        </w:rPr>
        <w:t xml:space="preserve"> This definition excludes behaviour not related to environment, as well as behaviour related to the social and cultural environment, and genetics.</w:t>
      </w:r>
      <w:r w:rsidR="003B72A9">
        <w:rPr>
          <w:rStyle w:val="FootnoteReference"/>
          <w:rFonts w:ascii="Arial" w:hAnsi="Arial" w:cs="Arial"/>
          <w:lang w:eastAsia="en-AU"/>
        </w:rPr>
        <w:footnoteReference w:id="2"/>
      </w:r>
    </w:p>
    <w:p w14:paraId="1B10AB21" w14:textId="24AB1160" w:rsidR="00B81DEA" w:rsidRDefault="00D03551" w:rsidP="00D378CB">
      <w:pPr>
        <w:autoSpaceDE w:val="0"/>
        <w:autoSpaceDN w:val="0"/>
        <w:adjustRightInd w:val="0"/>
        <w:spacing w:after="0" w:line="276" w:lineRule="auto"/>
        <w:rPr>
          <w:rFonts w:ascii="Arial" w:eastAsia="Batang" w:hAnsi="Arial" w:cs="Arial"/>
        </w:rPr>
      </w:pPr>
      <w:r w:rsidRPr="00D03551">
        <w:rPr>
          <w:rFonts w:ascii="Arial" w:eastAsia="Batang" w:hAnsi="Arial" w:cs="Arial"/>
          <w:lang w:val="en"/>
        </w:rPr>
        <w:t>Over the years, estimates have been made of the portions of human mortality and morbidity that can be attributed to environmental factors.</w:t>
      </w:r>
      <w:r>
        <w:rPr>
          <w:rFonts w:ascii="Arial" w:eastAsia="Batang" w:hAnsi="Arial" w:cs="Arial"/>
          <w:lang w:val="en"/>
        </w:rPr>
        <w:t xml:space="preserve"> </w:t>
      </w:r>
      <w:r w:rsidR="004A3EFC" w:rsidRPr="00081B35">
        <w:rPr>
          <w:rFonts w:ascii="Arial" w:eastAsia="Batang" w:hAnsi="Arial" w:cs="Arial"/>
        </w:rPr>
        <w:t>Air quality, drinking water quality, food safety, chemical use</w:t>
      </w:r>
      <w:r w:rsidR="004A3EFC">
        <w:rPr>
          <w:rFonts w:ascii="Arial" w:eastAsia="Batang" w:hAnsi="Arial" w:cs="Arial"/>
        </w:rPr>
        <w:t>,</w:t>
      </w:r>
      <w:r w:rsidR="004A3EFC" w:rsidRPr="00081B35">
        <w:rPr>
          <w:rFonts w:ascii="Arial" w:eastAsia="Batang" w:hAnsi="Arial" w:cs="Arial"/>
        </w:rPr>
        <w:t xml:space="preserve"> and soil and groundwater contamination </w:t>
      </w:r>
      <w:r w:rsidR="00BB50FB">
        <w:rPr>
          <w:rFonts w:ascii="Arial" w:eastAsia="Batang" w:hAnsi="Arial" w:cs="Arial"/>
        </w:rPr>
        <w:t xml:space="preserve">all </w:t>
      </w:r>
      <w:r w:rsidR="004A3EFC" w:rsidRPr="00081B35">
        <w:rPr>
          <w:rFonts w:ascii="Arial" w:eastAsia="Batang" w:hAnsi="Arial" w:cs="Arial"/>
        </w:rPr>
        <w:t>contr</w:t>
      </w:r>
      <w:r w:rsidR="004A3EFC">
        <w:rPr>
          <w:rFonts w:ascii="Arial" w:eastAsia="Batang" w:hAnsi="Arial" w:cs="Arial"/>
        </w:rPr>
        <w:t>ibute to these adverse health outcomes.</w:t>
      </w:r>
      <w:r w:rsidR="004A3EFC" w:rsidRPr="00081B35">
        <w:rPr>
          <w:rStyle w:val="FootnoteReference"/>
          <w:rFonts w:ascii="Arial" w:eastAsia="Batang" w:hAnsi="Arial" w:cs="Arial"/>
        </w:rPr>
        <w:footnoteReference w:id="3"/>
      </w:r>
      <w:r w:rsidR="004A3EFC">
        <w:rPr>
          <w:rFonts w:ascii="Arial" w:eastAsia="Batang" w:hAnsi="Arial" w:cs="Arial"/>
        </w:rPr>
        <w:t xml:space="preserve"> </w:t>
      </w:r>
      <w:r w:rsidR="004A3EFC">
        <w:rPr>
          <w:rFonts w:ascii="Arial" w:eastAsia="Batang" w:hAnsi="Arial" w:cs="Arial"/>
          <w:lang w:val="en"/>
        </w:rPr>
        <w:t xml:space="preserve">In 2006, </w:t>
      </w:r>
      <w:r w:rsidR="004A3EFC">
        <w:rPr>
          <w:rFonts w:ascii="Arial" w:eastAsia="Batang" w:hAnsi="Arial" w:cs="Arial"/>
        </w:rPr>
        <w:t>t</w:t>
      </w:r>
      <w:r w:rsidR="00480EC6" w:rsidRPr="00081B35">
        <w:rPr>
          <w:rFonts w:ascii="Arial" w:eastAsia="Batang" w:hAnsi="Arial" w:cs="Arial"/>
        </w:rPr>
        <w:t>he WHO estimate</w:t>
      </w:r>
      <w:r w:rsidR="004A3EFC">
        <w:rPr>
          <w:rFonts w:ascii="Arial" w:eastAsia="Batang" w:hAnsi="Arial" w:cs="Arial"/>
        </w:rPr>
        <w:t>d</w:t>
      </w:r>
      <w:r w:rsidR="00480EC6" w:rsidRPr="00081B35">
        <w:rPr>
          <w:rFonts w:ascii="Arial" w:eastAsia="Batang" w:hAnsi="Arial" w:cs="Arial"/>
        </w:rPr>
        <w:t xml:space="preserve"> that</w:t>
      </w:r>
      <w:r w:rsidR="004A3EFC">
        <w:rPr>
          <w:rFonts w:ascii="Arial" w:eastAsia="Batang" w:hAnsi="Arial" w:cs="Arial"/>
        </w:rPr>
        <w:t xml:space="preserve"> </w:t>
      </w:r>
      <w:r w:rsidR="004A3EFC" w:rsidRPr="00081B35">
        <w:rPr>
          <w:rFonts w:ascii="Arial" w:eastAsia="Batang" w:hAnsi="Arial" w:cs="Arial"/>
        </w:rPr>
        <w:t>environmental factors account</w:t>
      </w:r>
      <w:r w:rsidR="004A3EFC">
        <w:rPr>
          <w:rFonts w:ascii="Arial" w:eastAsia="Batang" w:hAnsi="Arial" w:cs="Arial"/>
        </w:rPr>
        <w:t>ed</w:t>
      </w:r>
      <w:r w:rsidR="004A3EFC" w:rsidRPr="00081B35">
        <w:rPr>
          <w:rFonts w:ascii="Arial" w:eastAsia="Batang" w:hAnsi="Arial" w:cs="Arial"/>
        </w:rPr>
        <w:t xml:space="preserve"> for</w:t>
      </w:r>
      <w:r w:rsidR="004A3EFC">
        <w:rPr>
          <w:rFonts w:ascii="Arial" w:eastAsia="Batang" w:hAnsi="Arial" w:cs="Arial"/>
        </w:rPr>
        <w:t xml:space="preserve"> 24 per cent</w:t>
      </w:r>
      <w:r w:rsidR="004A3EFC" w:rsidRPr="00081B35">
        <w:rPr>
          <w:rFonts w:ascii="Arial" w:eastAsia="Batang" w:hAnsi="Arial" w:cs="Arial"/>
        </w:rPr>
        <w:t xml:space="preserve"> of t</w:t>
      </w:r>
      <w:r w:rsidR="004A3EFC">
        <w:rPr>
          <w:rFonts w:ascii="Arial" w:eastAsia="Batang" w:hAnsi="Arial" w:cs="Arial"/>
        </w:rPr>
        <w:t>he global disease burden and 23 per cent of all deaths</w:t>
      </w:r>
      <w:r w:rsidR="00B81DEA">
        <w:rPr>
          <w:rFonts w:ascii="Arial" w:eastAsia="Batang" w:hAnsi="Arial" w:cs="Arial"/>
        </w:rPr>
        <w:t>.</w:t>
      </w:r>
      <w:r w:rsidR="00B81DEA">
        <w:rPr>
          <w:rStyle w:val="FootnoteReference"/>
          <w:rFonts w:ascii="Arial" w:eastAsia="Batang" w:hAnsi="Arial" w:cs="Arial"/>
        </w:rPr>
        <w:footnoteReference w:id="4"/>
      </w:r>
      <w:r w:rsidR="00480EC6" w:rsidRPr="00081B35">
        <w:rPr>
          <w:rFonts w:ascii="Arial" w:eastAsia="Batang" w:hAnsi="Arial" w:cs="Arial"/>
        </w:rPr>
        <w:t xml:space="preserve"> </w:t>
      </w:r>
      <w:r w:rsidRPr="00D378CB">
        <w:rPr>
          <w:rFonts w:ascii="Arial" w:eastAsiaTheme="minorHAnsi" w:hAnsi="Arial" w:cs="Arial"/>
          <w:szCs w:val="22"/>
        </w:rPr>
        <w:t>This is an approximate estimate because our understanding of the links between our environment and health, and</w:t>
      </w:r>
      <w:r w:rsidR="007B5404">
        <w:rPr>
          <w:rFonts w:ascii="Arial" w:eastAsiaTheme="minorHAnsi" w:hAnsi="Arial" w:cs="Arial"/>
          <w:szCs w:val="22"/>
        </w:rPr>
        <w:t xml:space="preserve"> </w:t>
      </w:r>
      <w:r w:rsidRPr="00D378CB">
        <w:rPr>
          <w:rFonts w:ascii="Arial" w:eastAsiaTheme="minorHAnsi" w:hAnsi="Arial" w:cs="Arial"/>
          <w:szCs w:val="22"/>
        </w:rPr>
        <w:t>how to mitigate the risks to health, is far from complete. Further research therefore needs to cover a wide range</w:t>
      </w:r>
      <w:r w:rsidR="007B5404">
        <w:rPr>
          <w:rFonts w:ascii="Arial" w:eastAsiaTheme="minorHAnsi" w:hAnsi="Arial" w:cs="Arial"/>
          <w:szCs w:val="22"/>
        </w:rPr>
        <w:t xml:space="preserve"> </w:t>
      </w:r>
      <w:r w:rsidRPr="00D378CB">
        <w:rPr>
          <w:rFonts w:ascii="Arial" w:eastAsiaTheme="minorHAnsi" w:hAnsi="Arial" w:cs="Arial"/>
          <w:szCs w:val="22"/>
        </w:rPr>
        <w:t>of investigations from the evaluation of risks associated with environmental exposures, through mechanisms for</w:t>
      </w:r>
      <w:r w:rsidR="004A3EFC">
        <w:rPr>
          <w:rFonts w:ascii="Arial" w:eastAsiaTheme="minorHAnsi" w:hAnsi="Arial" w:cs="Arial"/>
          <w:szCs w:val="22"/>
        </w:rPr>
        <w:t xml:space="preserve"> </w:t>
      </w:r>
      <w:r w:rsidRPr="00D378CB">
        <w:rPr>
          <w:rFonts w:ascii="Arial" w:eastAsiaTheme="minorHAnsi" w:hAnsi="Arial" w:cs="Arial"/>
          <w:szCs w:val="22"/>
        </w:rPr>
        <w:t>prevention, to ways of incorporating these measure</w:t>
      </w:r>
      <w:r w:rsidR="007B5404" w:rsidRPr="007B5404">
        <w:rPr>
          <w:rFonts w:ascii="Arial" w:eastAsiaTheme="minorHAnsi" w:hAnsi="Arial" w:cs="Arial"/>
          <w:szCs w:val="22"/>
        </w:rPr>
        <w:t xml:space="preserve">s into the delivery of </w:t>
      </w:r>
      <w:r w:rsidR="003B72A9">
        <w:rPr>
          <w:rFonts w:ascii="Arial" w:eastAsiaTheme="minorHAnsi" w:hAnsi="Arial" w:cs="Arial"/>
          <w:szCs w:val="22"/>
        </w:rPr>
        <w:t xml:space="preserve">policy and </w:t>
      </w:r>
      <w:r w:rsidR="007B5404" w:rsidRPr="007B5404">
        <w:rPr>
          <w:rFonts w:ascii="Arial" w:eastAsiaTheme="minorHAnsi" w:hAnsi="Arial" w:cs="Arial"/>
          <w:szCs w:val="22"/>
        </w:rPr>
        <w:t>services</w:t>
      </w:r>
      <w:r w:rsidRPr="00D378CB">
        <w:rPr>
          <w:rFonts w:ascii="Arial" w:eastAsiaTheme="minorHAnsi" w:hAnsi="Arial" w:cs="Arial"/>
          <w:szCs w:val="22"/>
        </w:rPr>
        <w:t>. The solutions that reduce</w:t>
      </w:r>
      <w:r w:rsidR="007B5404">
        <w:rPr>
          <w:rFonts w:ascii="Arial" w:eastAsiaTheme="minorHAnsi" w:hAnsi="Arial" w:cs="Arial"/>
          <w:szCs w:val="22"/>
        </w:rPr>
        <w:t xml:space="preserve"> </w:t>
      </w:r>
      <w:r w:rsidRPr="00D378CB">
        <w:rPr>
          <w:rFonts w:ascii="Arial" w:eastAsiaTheme="minorHAnsi" w:hAnsi="Arial" w:cs="Arial"/>
          <w:szCs w:val="22"/>
        </w:rPr>
        <w:t>environmental health risks will come from both within the health sector and beyond it.</w:t>
      </w:r>
      <w:r w:rsidR="00B81DEA">
        <w:rPr>
          <w:rStyle w:val="FootnoteReference"/>
          <w:rFonts w:ascii="Arial" w:eastAsiaTheme="minorHAnsi" w:hAnsi="Arial" w:cs="Arial"/>
          <w:szCs w:val="22"/>
        </w:rPr>
        <w:footnoteReference w:id="5"/>
      </w:r>
    </w:p>
    <w:p w14:paraId="6981DCE3" w14:textId="77777777" w:rsidR="00B81DEA" w:rsidRDefault="00B81DEA" w:rsidP="00D378CB">
      <w:pPr>
        <w:autoSpaceDE w:val="0"/>
        <w:autoSpaceDN w:val="0"/>
        <w:adjustRightInd w:val="0"/>
        <w:spacing w:after="0" w:line="276" w:lineRule="auto"/>
        <w:rPr>
          <w:rFonts w:ascii="Arial" w:eastAsia="Batang" w:hAnsi="Arial" w:cs="Arial"/>
        </w:rPr>
      </w:pPr>
    </w:p>
    <w:p w14:paraId="3603F0BE" w14:textId="0455E76B" w:rsidR="00602930" w:rsidRPr="00AA2B88" w:rsidRDefault="00602930" w:rsidP="00D378CB">
      <w:pPr>
        <w:pStyle w:val="BodyText1"/>
        <w:spacing w:line="276" w:lineRule="auto"/>
        <w:ind w:left="0"/>
        <w:rPr>
          <w:rFonts w:ascii="Arial" w:hAnsi="Arial" w:cs="Arial"/>
        </w:rPr>
      </w:pPr>
      <w:r w:rsidRPr="0048220B">
        <w:rPr>
          <w:rFonts w:ascii="Arial" w:hAnsi="Arial" w:cs="Arial"/>
          <w:b/>
        </w:rPr>
        <w:t>Environmental public health</w:t>
      </w:r>
      <w:r>
        <w:rPr>
          <w:rFonts w:ascii="Arial" w:hAnsi="Arial" w:cs="Arial"/>
        </w:rPr>
        <w:t xml:space="preserve"> (also termed environmental health)</w:t>
      </w:r>
      <w:r w:rsidRPr="00AA2B88">
        <w:rPr>
          <w:rFonts w:ascii="Arial" w:hAnsi="Arial" w:cs="Arial"/>
        </w:rPr>
        <w:t xml:space="preserve"> is a term common</w:t>
      </w:r>
      <w:r>
        <w:rPr>
          <w:rFonts w:ascii="Arial" w:hAnsi="Arial" w:cs="Arial"/>
        </w:rPr>
        <w:t>ly used</w:t>
      </w:r>
      <w:r w:rsidRPr="00AA2B88">
        <w:rPr>
          <w:rFonts w:ascii="Arial" w:hAnsi="Arial" w:cs="Arial"/>
        </w:rPr>
        <w:t xml:space="preserve"> in the United States and the United Kingdom to describe public health work</w:t>
      </w:r>
      <w:r>
        <w:rPr>
          <w:rFonts w:ascii="Arial" w:hAnsi="Arial" w:cs="Arial"/>
        </w:rPr>
        <w:t xml:space="preserve"> and</w:t>
      </w:r>
      <w:r w:rsidRPr="00AA2B88">
        <w:rPr>
          <w:rFonts w:ascii="Arial" w:hAnsi="Arial" w:cs="Arial"/>
        </w:rPr>
        <w:t xml:space="preserve"> </w:t>
      </w:r>
      <w:r>
        <w:rPr>
          <w:rFonts w:ascii="Arial" w:hAnsi="Arial" w:cs="Arial"/>
        </w:rPr>
        <w:t>includes</w:t>
      </w:r>
      <w:r w:rsidRPr="00AA2B88">
        <w:rPr>
          <w:rFonts w:ascii="Arial" w:hAnsi="Arial" w:cs="Arial"/>
        </w:rPr>
        <w:t xml:space="preserve"> the surveillance, investigation, control and prevention of non-communicable environmental hazards and their associated health effects (especially chemicals, radiation, and physical hazards). Environmental public health also embraces work relating to the wider impact of environmental determinants on human health.</w:t>
      </w:r>
      <w:r w:rsidRPr="00AA2B88">
        <w:rPr>
          <w:rStyle w:val="FootnoteReference"/>
          <w:rFonts w:ascii="Arial" w:hAnsi="Arial" w:cs="Arial"/>
        </w:rPr>
        <w:footnoteReference w:id="6"/>
      </w:r>
      <w:r w:rsidRPr="00AA2B88">
        <w:rPr>
          <w:rFonts w:ascii="Arial" w:hAnsi="Arial" w:cs="Arial"/>
        </w:rPr>
        <w:t xml:space="preserve"> </w:t>
      </w:r>
      <w:r w:rsidRPr="00AA2B88">
        <w:rPr>
          <w:rStyle w:val="FootnoteReference"/>
          <w:rFonts w:ascii="Arial" w:hAnsi="Arial" w:cs="Arial"/>
        </w:rPr>
        <w:footnoteReference w:id="7"/>
      </w:r>
    </w:p>
    <w:p w14:paraId="503781AA" w14:textId="715AC960" w:rsidR="00602930" w:rsidRDefault="00602930" w:rsidP="00F2213D">
      <w:pPr>
        <w:autoSpaceDE w:val="0"/>
        <w:autoSpaceDN w:val="0"/>
        <w:adjustRightInd w:val="0"/>
        <w:spacing w:line="276" w:lineRule="auto"/>
        <w:rPr>
          <w:rFonts w:ascii="Arial" w:eastAsia="Batang" w:hAnsi="Arial" w:cs="Arial"/>
        </w:rPr>
      </w:pPr>
      <w:r w:rsidRPr="00AA2B88">
        <w:rPr>
          <w:rFonts w:ascii="Arial" w:eastAsia="Batang" w:hAnsi="Arial" w:cs="Arial"/>
        </w:rPr>
        <w:t>Environmental public health sits within the broader scope of health protection functions, which seek to reduce the likelihood and minimise the consequence</w:t>
      </w:r>
      <w:r>
        <w:rPr>
          <w:rFonts w:ascii="Arial" w:eastAsia="Batang" w:hAnsi="Arial" w:cs="Arial"/>
        </w:rPr>
        <w:t>s</w:t>
      </w:r>
      <w:r w:rsidRPr="00AA2B88">
        <w:rPr>
          <w:rFonts w:ascii="Arial" w:eastAsia="Batang" w:hAnsi="Arial" w:cs="Arial"/>
        </w:rPr>
        <w:t xml:space="preserve"> of both known and unknown risks that arise, either directly or indirectly</w:t>
      </w:r>
      <w:r>
        <w:rPr>
          <w:rFonts w:ascii="Arial" w:eastAsia="Batang" w:hAnsi="Arial" w:cs="Arial"/>
        </w:rPr>
        <w:t>,</w:t>
      </w:r>
      <w:r w:rsidRPr="00AA2B88">
        <w:rPr>
          <w:rFonts w:ascii="Arial" w:eastAsia="Batang" w:hAnsi="Arial" w:cs="Arial"/>
        </w:rPr>
        <w:t xml:space="preserve"> from hazards such as infectious diseases, chemicals, radiological agents, natural disasters and other mass casualty events</w:t>
      </w:r>
      <w:r>
        <w:rPr>
          <w:rFonts w:ascii="Arial" w:eastAsia="Batang" w:hAnsi="Arial" w:cs="Arial"/>
        </w:rPr>
        <w:t xml:space="preserve"> (including acts of terrorism). Health p</w:t>
      </w:r>
      <w:r w:rsidRPr="00AA2B88">
        <w:rPr>
          <w:rFonts w:ascii="Arial" w:eastAsia="Batang" w:hAnsi="Arial" w:cs="Arial"/>
        </w:rPr>
        <w:t xml:space="preserve">rotection encompasses </w:t>
      </w:r>
      <w:r w:rsidRPr="00AA2B88">
        <w:rPr>
          <w:rFonts w:ascii="Arial" w:eastAsia="Batang" w:hAnsi="Arial" w:cs="Arial"/>
        </w:rPr>
        <w:lastRenderedPageBreak/>
        <w:t>all health hazards and associated risks that require a range of prevention, p</w:t>
      </w:r>
      <w:r w:rsidR="00304F21">
        <w:rPr>
          <w:rFonts w:ascii="Arial" w:eastAsia="Batang" w:hAnsi="Arial" w:cs="Arial"/>
        </w:rPr>
        <w:t>reparedness</w:t>
      </w:r>
      <w:r w:rsidRPr="00AA2B88">
        <w:rPr>
          <w:rFonts w:ascii="Arial" w:eastAsia="Batang" w:hAnsi="Arial" w:cs="Arial"/>
        </w:rPr>
        <w:t>, response and recovery programs and other risk management treatments</w:t>
      </w:r>
      <w:r>
        <w:rPr>
          <w:rFonts w:ascii="Arial" w:eastAsia="Batang" w:hAnsi="Arial" w:cs="Arial"/>
        </w:rPr>
        <w:t>.</w:t>
      </w:r>
    </w:p>
    <w:p w14:paraId="7C762C06" w14:textId="77777777" w:rsidR="00602930" w:rsidRPr="00205C98" w:rsidRDefault="00602930" w:rsidP="00602930">
      <w:pPr>
        <w:pStyle w:val="Heading2"/>
        <w:ind w:left="0" w:firstLine="0"/>
        <w:rPr>
          <w:rFonts w:ascii="Arial" w:hAnsi="Arial"/>
          <w:color w:val="365F91" w:themeColor="accent1" w:themeShade="BF"/>
          <w:sz w:val="22"/>
          <w:szCs w:val="22"/>
        </w:rPr>
      </w:pPr>
      <w:bookmarkStart w:id="6" w:name="_Toc58502788"/>
      <w:r>
        <w:rPr>
          <w:rFonts w:ascii="Arial" w:hAnsi="Arial"/>
          <w:sz w:val="22"/>
          <w:szCs w:val="22"/>
        </w:rPr>
        <w:t>Environmental health in Australia</w:t>
      </w:r>
      <w:bookmarkEnd w:id="6"/>
    </w:p>
    <w:p w14:paraId="5C83D724" w14:textId="309B4392" w:rsidR="00602930" w:rsidRPr="00AB65FC" w:rsidRDefault="00602930" w:rsidP="00D378CB">
      <w:pPr>
        <w:pStyle w:val="BodyText11"/>
        <w:spacing w:line="276" w:lineRule="auto"/>
        <w:ind w:left="0"/>
        <w:rPr>
          <w:rFonts w:ascii="Arial" w:hAnsi="Arial" w:cs="Arial"/>
          <w:lang w:eastAsia="en-AU"/>
        </w:rPr>
      </w:pPr>
      <w:r w:rsidRPr="00801436">
        <w:rPr>
          <w:rFonts w:ascii="Arial" w:hAnsi="Arial" w:cs="Arial"/>
          <w:lang w:eastAsia="en-AU"/>
        </w:rPr>
        <w:t xml:space="preserve">The Australian Government Department of Health </w:t>
      </w:r>
      <w:r>
        <w:rPr>
          <w:rFonts w:ascii="Arial" w:hAnsi="Arial" w:cs="Arial"/>
          <w:lang w:eastAsia="en-AU"/>
        </w:rPr>
        <w:t>adopts</w:t>
      </w:r>
      <w:r w:rsidRPr="00801436">
        <w:rPr>
          <w:rFonts w:ascii="Arial" w:hAnsi="Arial" w:cs="Arial"/>
          <w:lang w:eastAsia="en-AU"/>
        </w:rPr>
        <w:t xml:space="preserve"> the WHO definition of environmental health</w:t>
      </w:r>
      <w:r w:rsidR="00EA0C59">
        <w:rPr>
          <w:rFonts w:ascii="Arial" w:hAnsi="Arial" w:cs="Arial"/>
          <w:lang w:eastAsia="en-AU"/>
        </w:rPr>
        <w:t>. It</w:t>
      </w:r>
      <w:r>
        <w:rPr>
          <w:rFonts w:ascii="Arial" w:hAnsi="Arial" w:cs="Arial"/>
          <w:lang w:eastAsia="en-AU"/>
        </w:rPr>
        <w:t xml:space="preserve"> </w:t>
      </w:r>
      <w:r w:rsidR="003B11AC">
        <w:rPr>
          <w:rFonts w:ascii="Arial" w:hAnsi="Arial" w:cs="Arial"/>
          <w:lang w:eastAsia="en-AU"/>
        </w:rPr>
        <w:t>further</w:t>
      </w:r>
      <w:r>
        <w:rPr>
          <w:rFonts w:ascii="Arial" w:hAnsi="Arial" w:cs="Arial"/>
          <w:lang w:eastAsia="en-AU"/>
        </w:rPr>
        <w:t xml:space="preserve"> state</w:t>
      </w:r>
      <w:r w:rsidR="003B11AC">
        <w:rPr>
          <w:rFonts w:ascii="Arial" w:hAnsi="Arial" w:cs="Arial"/>
          <w:lang w:eastAsia="en-AU"/>
        </w:rPr>
        <w:t>s</w:t>
      </w:r>
      <w:r>
        <w:rPr>
          <w:rFonts w:ascii="Arial" w:hAnsi="Arial" w:cs="Arial"/>
          <w:lang w:eastAsia="en-AU"/>
        </w:rPr>
        <w:t xml:space="preserve"> that environmental health</w:t>
      </w:r>
      <w:r w:rsidR="00EA0C59">
        <w:rPr>
          <w:rFonts w:ascii="Arial" w:hAnsi="Arial" w:cs="Arial"/>
          <w:lang w:eastAsia="en-AU"/>
        </w:rPr>
        <w:t xml:space="preserve"> </w:t>
      </w:r>
      <w:r w:rsidRPr="00545C21">
        <w:rPr>
          <w:rFonts w:ascii="Arial" w:hAnsi="Arial" w:cs="Arial"/>
          <w:lang w:eastAsia="en-AU"/>
        </w:rPr>
        <w:t>involves those aspects of public health concerned with factors, circumstances, and conditions in the environment or surroundings of humans that can exert an influence on health and well-being</w:t>
      </w:r>
      <w:r w:rsidR="00EA0C59">
        <w:rPr>
          <w:rFonts w:ascii="Arial" w:hAnsi="Arial" w:cs="Arial"/>
          <w:lang w:eastAsia="en-AU"/>
        </w:rPr>
        <w:t>. In this way, environmental health p</w:t>
      </w:r>
      <w:r w:rsidRPr="00545C21">
        <w:rPr>
          <w:rFonts w:ascii="Arial" w:hAnsi="Arial" w:cs="Arial"/>
          <w:lang w:eastAsia="en-AU"/>
        </w:rPr>
        <w:t>rovides the basis of public health</w:t>
      </w:r>
      <w:r>
        <w:rPr>
          <w:rFonts w:ascii="Arial" w:hAnsi="Arial" w:cs="Arial"/>
          <w:lang w:eastAsia="en-AU"/>
        </w:rPr>
        <w:t>, with i</w:t>
      </w:r>
      <w:r w:rsidRPr="00545C21">
        <w:rPr>
          <w:rFonts w:ascii="Arial" w:hAnsi="Arial" w:cs="Arial"/>
          <w:lang w:eastAsia="en-AU"/>
        </w:rPr>
        <w:t xml:space="preserve">mprovements in sanitation, drinking water quality, food safety, disease control, and housing conditions central to the significant improvement in quality of life and longevity experienced over the </w:t>
      </w:r>
      <w:r w:rsidR="003B11AC">
        <w:rPr>
          <w:rFonts w:ascii="Arial" w:hAnsi="Arial" w:cs="Arial"/>
          <w:lang w:eastAsia="en-AU"/>
        </w:rPr>
        <w:t>p</w:t>
      </w:r>
      <w:r w:rsidRPr="00545C21">
        <w:rPr>
          <w:rFonts w:ascii="Arial" w:hAnsi="Arial" w:cs="Arial"/>
          <w:lang w:eastAsia="en-AU"/>
        </w:rPr>
        <w:t>ast hundred years.</w:t>
      </w:r>
      <w:r w:rsidR="00EA0C59">
        <w:rPr>
          <w:rFonts w:ascii="Arial" w:hAnsi="Arial" w:cs="Arial"/>
          <w:lang w:eastAsia="en-AU"/>
        </w:rPr>
        <w:t xml:space="preserve"> </w:t>
      </w:r>
      <w:r w:rsidRPr="00AB65FC">
        <w:rPr>
          <w:rFonts w:ascii="Arial" w:hAnsi="Arial" w:cs="Arial"/>
          <w:lang w:eastAsia="en-AU"/>
        </w:rPr>
        <w:t>Environmental health practice</w:t>
      </w:r>
      <w:r>
        <w:rPr>
          <w:rFonts w:ascii="Arial" w:hAnsi="Arial" w:cs="Arial"/>
          <w:lang w:eastAsia="en-AU"/>
        </w:rPr>
        <w:t xml:space="preserve">, therefore, </w:t>
      </w:r>
      <w:r w:rsidRPr="00AB65FC">
        <w:rPr>
          <w:rFonts w:ascii="Arial" w:hAnsi="Arial" w:cs="Arial"/>
          <w:lang w:eastAsia="en-AU"/>
        </w:rPr>
        <w:t>addresses emerging health risk</w:t>
      </w:r>
      <w:r>
        <w:rPr>
          <w:rFonts w:ascii="Arial" w:hAnsi="Arial" w:cs="Arial"/>
          <w:lang w:eastAsia="en-AU"/>
        </w:rPr>
        <w:t>s</w:t>
      </w:r>
      <w:r w:rsidRPr="00AB65FC">
        <w:rPr>
          <w:rFonts w:ascii="Arial" w:hAnsi="Arial" w:cs="Arial"/>
          <w:lang w:eastAsia="en-AU"/>
        </w:rPr>
        <w:t xml:space="preserve"> arising from the pressures that human development places on the environment.</w:t>
      </w:r>
      <w:r w:rsidRPr="00AB65FC">
        <w:rPr>
          <w:rStyle w:val="FootnoteReference"/>
          <w:rFonts w:ascii="Arial" w:hAnsi="Arial" w:cs="Arial"/>
          <w:lang w:eastAsia="en-AU"/>
        </w:rPr>
        <w:footnoteReference w:id="8"/>
      </w:r>
    </w:p>
    <w:p w14:paraId="48E16EBF" w14:textId="77777777" w:rsidR="0048220B" w:rsidRDefault="0048220B" w:rsidP="00D378CB">
      <w:pPr>
        <w:autoSpaceDE w:val="0"/>
        <w:autoSpaceDN w:val="0"/>
        <w:adjustRightInd w:val="0"/>
        <w:spacing w:after="0" w:line="276" w:lineRule="auto"/>
        <w:rPr>
          <w:rFonts w:ascii="Arial" w:hAnsi="Arial" w:cs="Arial"/>
        </w:rPr>
      </w:pPr>
      <w:r w:rsidRPr="00AA2B88">
        <w:rPr>
          <w:rFonts w:ascii="Arial" w:hAnsi="Arial" w:cs="Arial"/>
        </w:rPr>
        <w:t>Environmental public health programs are located in all state and territory health departments around Australia. Environmental public health is a core discipline within the public health portfolio</w:t>
      </w:r>
      <w:r w:rsidR="003B11AC">
        <w:rPr>
          <w:rFonts w:ascii="Arial" w:hAnsi="Arial" w:cs="Arial"/>
        </w:rPr>
        <w:t>,</w:t>
      </w:r>
      <w:r w:rsidRPr="00AA2B88">
        <w:rPr>
          <w:rFonts w:ascii="Arial" w:hAnsi="Arial" w:cs="Arial"/>
        </w:rPr>
        <w:t xml:space="preserve"> overseen by Chief Health Officers (or equivalent) in </w:t>
      </w:r>
      <w:r>
        <w:rPr>
          <w:rFonts w:ascii="Arial" w:hAnsi="Arial" w:cs="Arial"/>
        </w:rPr>
        <w:t xml:space="preserve">each </w:t>
      </w:r>
      <w:r w:rsidRPr="00AA2B88">
        <w:rPr>
          <w:rFonts w:ascii="Arial" w:hAnsi="Arial" w:cs="Arial"/>
        </w:rPr>
        <w:t>jurisdiction.</w:t>
      </w:r>
      <w:r w:rsidR="00EA0C59">
        <w:rPr>
          <w:rFonts w:ascii="Arial" w:hAnsi="Arial" w:cs="Arial"/>
        </w:rPr>
        <w:t xml:space="preserve"> </w:t>
      </w:r>
      <w:r w:rsidRPr="00AA2B88">
        <w:rPr>
          <w:rFonts w:ascii="Arial" w:hAnsi="Arial" w:cs="Arial"/>
        </w:rPr>
        <w:t>This public health protection function plays a key advisory role to state</w:t>
      </w:r>
      <w:r>
        <w:rPr>
          <w:rFonts w:ascii="Arial" w:hAnsi="Arial" w:cs="Arial"/>
        </w:rPr>
        <w:t>, territory</w:t>
      </w:r>
      <w:r w:rsidRPr="00AA2B88">
        <w:rPr>
          <w:rFonts w:ascii="Arial" w:hAnsi="Arial" w:cs="Arial"/>
        </w:rPr>
        <w:t xml:space="preserve"> and national government</w:t>
      </w:r>
      <w:r>
        <w:rPr>
          <w:rFonts w:ascii="Arial" w:hAnsi="Arial" w:cs="Arial"/>
        </w:rPr>
        <w:t>s</w:t>
      </w:r>
      <w:r w:rsidR="003B11AC">
        <w:rPr>
          <w:rFonts w:ascii="Arial" w:hAnsi="Arial" w:cs="Arial"/>
        </w:rPr>
        <w:t>,</w:t>
      </w:r>
      <w:r w:rsidRPr="00AA2B88">
        <w:rPr>
          <w:rFonts w:ascii="Arial" w:hAnsi="Arial" w:cs="Arial"/>
        </w:rPr>
        <w:t xml:space="preserve"> working together with </w:t>
      </w:r>
      <w:r>
        <w:rPr>
          <w:rFonts w:ascii="Arial" w:hAnsi="Arial" w:cs="Arial"/>
        </w:rPr>
        <w:t>environmental health practitioners</w:t>
      </w:r>
      <w:r w:rsidRPr="00AA2B88">
        <w:rPr>
          <w:rFonts w:ascii="Arial" w:hAnsi="Arial" w:cs="Arial"/>
        </w:rPr>
        <w:t xml:space="preserve"> and their respective Chief Health Officers to ensure public health is protected from hazards in the environment.</w:t>
      </w:r>
    </w:p>
    <w:p w14:paraId="0B627A18" w14:textId="77777777" w:rsidR="00EA0C59" w:rsidRPr="00AA2B88" w:rsidRDefault="00EA0C59" w:rsidP="00D378CB">
      <w:pPr>
        <w:autoSpaceDE w:val="0"/>
        <w:autoSpaceDN w:val="0"/>
        <w:adjustRightInd w:val="0"/>
        <w:spacing w:after="0" w:line="276" w:lineRule="auto"/>
        <w:rPr>
          <w:rFonts w:ascii="Arial" w:hAnsi="Arial" w:cs="Arial"/>
        </w:rPr>
      </w:pPr>
    </w:p>
    <w:p w14:paraId="5BF2A2FD" w14:textId="77777777" w:rsidR="0048220B" w:rsidRDefault="0048220B" w:rsidP="00D378CB">
      <w:pPr>
        <w:autoSpaceDE w:val="0"/>
        <w:autoSpaceDN w:val="0"/>
        <w:adjustRightInd w:val="0"/>
        <w:spacing w:after="0" w:line="276" w:lineRule="auto"/>
        <w:rPr>
          <w:rFonts w:ascii="Arial" w:hAnsi="Arial" w:cs="Arial"/>
        </w:rPr>
      </w:pPr>
      <w:r w:rsidRPr="00AA2B88">
        <w:rPr>
          <w:rFonts w:ascii="Arial" w:hAnsi="Arial" w:cs="Arial"/>
        </w:rPr>
        <w:t xml:space="preserve">The work of environmental public health programs </w:t>
      </w:r>
      <w:r>
        <w:rPr>
          <w:rFonts w:ascii="Arial" w:hAnsi="Arial" w:cs="Arial"/>
        </w:rPr>
        <w:t xml:space="preserve">predominantly </w:t>
      </w:r>
      <w:r w:rsidRPr="00AA2B88">
        <w:rPr>
          <w:rFonts w:ascii="Arial" w:hAnsi="Arial" w:cs="Arial"/>
        </w:rPr>
        <w:t>focuses on understanding community concerns about health and wellbei</w:t>
      </w:r>
      <w:r>
        <w:rPr>
          <w:rFonts w:ascii="Arial" w:hAnsi="Arial" w:cs="Arial"/>
        </w:rPr>
        <w:t>ng in a societal context, i</w:t>
      </w:r>
      <w:r w:rsidRPr="00AA2B88">
        <w:rPr>
          <w:rFonts w:ascii="Arial" w:hAnsi="Arial" w:cs="Arial"/>
        </w:rPr>
        <w:t xml:space="preserve">.e. recognising that the environment is one component of many interacting dimensions that affect health. In this </w:t>
      </w:r>
      <w:r w:rsidR="007B09DA" w:rsidRPr="00AA2B88">
        <w:rPr>
          <w:rFonts w:ascii="Arial" w:hAnsi="Arial" w:cs="Arial"/>
        </w:rPr>
        <w:t>context,</w:t>
      </w:r>
      <w:r w:rsidRPr="00AA2B88">
        <w:rPr>
          <w:rFonts w:ascii="Arial" w:hAnsi="Arial" w:cs="Arial"/>
        </w:rPr>
        <w:t xml:space="preserve"> the potential risks to public health are determined and actions, including population health interventions, are proposed to manage these public health risks. The management of environmental public health risks is centred around the provision of advice to communities on protective actions that can be taken to reduce or remove potential exposure to environmental hazards, and control of risks through </w:t>
      </w:r>
      <w:r w:rsidR="003900A7">
        <w:rPr>
          <w:rFonts w:ascii="Arial" w:hAnsi="Arial" w:cs="Arial"/>
        </w:rPr>
        <w:t xml:space="preserve">policy and </w:t>
      </w:r>
      <w:r w:rsidRPr="00AA2B88">
        <w:rPr>
          <w:rFonts w:ascii="Arial" w:hAnsi="Arial" w:cs="Arial"/>
        </w:rPr>
        <w:t>regulation.</w:t>
      </w:r>
    </w:p>
    <w:p w14:paraId="0663AD90" w14:textId="77777777" w:rsidR="0048220B" w:rsidRDefault="0048220B" w:rsidP="00D378CB">
      <w:pPr>
        <w:autoSpaceDE w:val="0"/>
        <w:autoSpaceDN w:val="0"/>
        <w:adjustRightInd w:val="0"/>
        <w:spacing w:after="0" w:line="276" w:lineRule="auto"/>
        <w:rPr>
          <w:rFonts w:ascii="Arial" w:hAnsi="Arial" w:cs="Arial"/>
        </w:rPr>
      </w:pPr>
    </w:p>
    <w:p w14:paraId="39062523" w14:textId="15A2907C" w:rsidR="00191E38" w:rsidRDefault="00191E38" w:rsidP="00D378CB">
      <w:pPr>
        <w:autoSpaceDE w:val="0"/>
        <w:autoSpaceDN w:val="0"/>
        <w:adjustRightInd w:val="0"/>
        <w:spacing w:after="0" w:line="276" w:lineRule="auto"/>
        <w:rPr>
          <w:rFonts w:ascii="Arial" w:hAnsi="Arial" w:cs="Arial"/>
        </w:rPr>
      </w:pPr>
      <w:r>
        <w:rPr>
          <w:rFonts w:ascii="Arial" w:hAnsi="Arial" w:cs="Arial"/>
        </w:rPr>
        <w:t>Environmental health efforts focus on preserving the health of the Australian community by reducing the likelihood and minimising the consequences of risks that arise, either directly or indirectly, from environmental health hazards. This approach encompasses all environmental health hazards and associated risks that require prevention, p</w:t>
      </w:r>
      <w:r w:rsidR="00812980">
        <w:rPr>
          <w:rFonts w:ascii="Arial" w:hAnsi="Arial" w:cs="Arial"/>
        </w:rPr>
        <w:t>reparedness</w:t>
      </w:r>
      <w:r>
        <w:rPr>
          <w:rFonts w:ascii="Arial" w:hAnsi="Arial" w:cs="Arial"/>
        </w:rPr>
        <w:t>, response and recovery programs.</w:t>
      </w:r>
    </w:p>
    <w:p w14:paraId="3BCB6F8E" w14:textId="77777777" w:rsidR="00191E38" w:rsidRDefault="00191E38" w:rsidP="00D378CB">
      <w:pPr>
        <w:autoSpaceDE w:val="0"/>
        <w:autoSpaceDN w:val="0"/>
        <w:adjustRightInd w:val="0"/>
        <w:spacing w:after="0" w:line="276" w:lineRule="auto"/>
        <w:rPr>
          <w:rFonts w:ascii="Arial" w:hAnsi="Arial" w:cs="Arial"/>
        </w:rPr>
      </w:pPr>
    </w:p>
    <w:p w14:paraId="06836B23" w14:textId="77777777" w:rsidR="00191E38" w:rsidRDefault="00191E38" w:rsidP="00191E38">
      <w:pPr>
        <w:autoSpaceDE w:val="0"/>
        <w:autoSpaceDN w:val="0"/>
        <w:adjustRightInd w:val="0"/>
        <w:spacing w:after="0" w:line="276" w:lineRule="auto"/>
        <w:rPr>
          <w:rFonts w:ascii="Arial" w:hAnsi="Arial" w:cs="Arial"/>
          <w:lang w:val="en-US"/>
        </w:rPr>
      </w:pPr>
      <w:r w:rsidRPr="00191E38">
        <w:rPr>
          <w:rFonts w:ascii="Arial" w:hAnsi="Arial" w:cs="Arial"/>
        </w:rPr>
        <w:t>Health protection</w:t>
      </w:r>
      <w:r>
        <w:rPr>
          <w:rFonts w:ascii="Arial" w:hAnsi="Arial" w:cs="Arial"/>
        </w:rPr>
        <w:t>, including environmental health,</w:t>
      </w:r>
      <w:r w:rsidRPr="00191E38">
        <w:rPr>
          <w:rFonts w:ascii="Arial" w:hAnsi="Arial" w:cs="Arial"/>
        </w:rPr>
        <w:t xml:space="preserve"> is also inherently linked to broader national security with most, if not all, </w:t>
      </w:r>
      <w:r w:rsidR="007B09DA" w:rsidRPr="00191E38">
        <w:rPr>
          <w:rFonts w:ascii="Arial" w:hAnsi="Arial" w:cs="Arial"/>
        </w:rPr>
        <w:t>large-scale</w:t>
      </w:r>
      <w:r w:rsidRPr="00191E38">
        <w:rPr>
          <w:rFonts w:ascii="Arial" w:hAnsi="Arial" w:cs="Arial"/>
        </w:rPr>
        <w:t xml:space="preserve"> emergencies and disasters having the potential to </w:t>
      </w:r>
      <w:r w:rsidRPr="00191E38">
        <w:rPr>
          <w:rFonts w:ascii="Arial" w:hAnsi="Arial" w:cs="Arial"/>
          <w:lang w:val="en-US"/>
        </w:rPr>
        <w:t>cause adverse impacts on the health of affected communities and populations</w:t>
      </w:r>
      <w:r>
        <w:rPr>
          <w:rFonts w:ascii="Arial" w:hAnsi="Arial" w:cs="Arial"/>
          <w:lang w:val="en-US"/>
        </w:rPr>
        <w:t xml:space="preserve"> through environmental factors</w:t>
      </w:r>
      <w:r w:rsidRPr="00191E38">
        <w:rPr>
          <w:rFonts w:ascii="Arial" w:hAnsi="Arial" w:cs="Arial"/>
          <w:lang w:val="en-US"/>
        </w:rPr>
        <w:t xml:space="preserve">. For this reason, </w:t>
      </w:r>
      <w:r>
        <w:rPr>
          <w:rFonts w:ascii="Arial" w:hAnsi="Arial" w:cs="Arial"/>
          <w:lang w:val="en-US"/>
        </w:rPr>
        <w:t xml:space="preserve">environmental health’s involvement in </w:t>
      </w:r>
      <w:r w:rsidRPr="00191E38">
        <w:rPr>
          <w:rFonts w:ascii="Arial" w:hAnsi="Arial" w:cs="Arial"/>
          <w:lang w:val="en-US"/>
        </w:rPr>
        <w:t xml:space="preserve">emergency preparedness and planning are essential to </w:t>
      </w:r>
      <w:proofErr w:type="spellStart"/>
      <w:r w:rsidRPr="00191E38">
        <w:rPr>
          <w:rFonts w:ascii="Arial" w:hAnsi="Arial" w:cs="Arial"/>
          <w:lang w:val="en-US"/>
        </w:rPr>
        <w:t>minimise</w:t>
      </w:r>
      <w:proofErr w:type="spellEnd"/>
      <w:r w:rsidRPr="00191E38">
        <w:rPr>
          <w:rFonts w:ascii="Arial" w:hAnsi="Arial" w:cs="Arial"/>
          <w:lang w:val="en-US"/>
        </w:rPr>
        <w:t xml:space="preserve"> the impacts of these threats on the public.</w:t>
      </w:r>
    </w:p>
    <w:p w14:paraId="7AB1DB4D" w14:textId="77777777" w:rsidR="00191E38" w:rsidRPr="00191E38" w:rsidRDefault="00191E38" w:rsidP="00191E38">
      <w:pPr>
        <w:autoSpaceDE w:val="0"/>
        <w:autoSpaceDN w:val="0"/>
        <w:adjustRightInd w:val="0"/>
        <w:spacing w:after="0" w:line="276" w:lineRule="auto"/>
        <w:rPr>
          <w:rFonts w:ascii="Arial" w:hAnsi="Arial" w:cs="Arial"/>
          <w:lang w:val="en-US"/>
        </w:rPr>
      </w:pPr>
    </w:p>
    <w:p w14:paraId="14372504" w14:textId="24DCD1E1" w:rsidR="001D03CF" w:rsidRDefault="00191E38" w:rsidP="00D378CB">
      <w:pPr>
        <w:autoSpaceDE w:val="0"/>
        <w:autoSpaceDN w:val="0"/>
        <w:adjustRightInd w:val="0"/>
        <w:spacing w:after="0" w:line="276" w:lineRule="auto"/>
        <w:rPr>
          <w:rFonts w:ascii="Arial" w:hAnsi="Arial" w:cs="Arial"/>
          <w:lang w:val="en-US"/>
        </w:rPr>
      </w:pPr>
      <w:r w:rsidRPr="00191E38">
        <w:rPr>
          <w:rFonts w:ascii="Arial" w:hAnsi="Arial" w:cs="Arial"/>
          <w:lang w:val="en-US"/>
        </w:rPr>
        <w:t xml:space="preserve">Health protection efforts in Australia also consider the broader regional and global context. As a state party to the </w:t>
      </w:r>
      <w:r w:rsidRPr="00191E38">
        <w:rPr>
          <w:rFonts w:ascii="Arial" w:hAnsi="Arial" w:cs="Arial"/>
          <w:i/>
          <w:lang w:val="en-US"/>
        </w:rPr>
        <w:t>International Health Regulations (2005)</w:t>
      </w:r>
      <w:r>
        <w:rPr>
          <w:rStyle w:val="FootnoteReference"/>
          <w:rFonts w:ascii="Arial" w:hAnsi="Arial" w:cs="Arial"/>
          <w:i/>
          <w:lang w:val="en-US"/>
        </w:rPr>
        <w:footnoteReference w:id="9"/>
      </w:r>
      <w:r w:rsidRPr="00191E38">
        <w:rPr>
          <w:rFonts w:ascii="Arial" w:hAnsi="Arial" w:cs="Arial"/>
          <w:lang w:val="en-US"/>
        </w:rPr>
        <w:t xml:space="preserve">, Australia is required to meet a range of </w:t>
      </w:r>
      <w:r w:rsidR="007B09DA" w:rsidRPr="00191E38">
        <w:rPr>
          <w:rFonts w:ascii="Arial" w:hAnsi="Arial" w:cs="Arial"/>
          <w:lang w:val="en-US"/>
        </w:rPr>
        <w:t>obligations, which</w:t>
      </w:r>
      <w:r w:rsidRPr="00191E38">
        <w:rPr>
          <w:rFonts w:ascii="Arial" w:hAnsi="Arial" w:cs="Arial"/>
          <w:lang w:val="en-US"/>
        </w:rPr>
        <w:t xml:space="preserve"> contribute to international health security</w:t>
      </w:r>
      <w:r w:rsidR="00F024CC">
        <w:rPr>
          <w:rFonts w:ascii="Arial" w:hAnsi="Arial" w:cs="Arial"/>
          <w:lang w:val="en-US"/>
        </w:rPr>
        <w:t xml:space="preserve">, as elaborated on in </w:t>
      </w:r>
      <w:r w:rsidR="00BB50FB" w:rsidRPr="00D378CB">
        <w:rPr>
          <w:rFonts w:ascii="Arial" w:hAnsi="Arial" w:cs="Arial"/>
          <w:i/>
          <w:lang w:val="en-US"/>
        </w:rPr>
        <w:t xml:space="preserve">Australia’s </w:t>
      </w:r>
      <w:r w:rsidR="00F024CC" w:rsidRPr="00D378CB">
        <w:rPr>
          <w:rFonts w:ascii="Arial" w:hAnsi="Arial" w:cs="Arial"/>
          <w:i/>
          <w:lang w:val="en-US"/>
        </w:rPr>
        <w:t>National Action Plan for Health Security 2019-2023</w:t>
      </w:r>
      <w:r w:rsidR="00812980">
        <w:rPr>
          <w:rFonts w:ascii="Arial" w:hAnsi="Arial" w:cs="Arial"/>
          <w:i/>
          <w:lang w:val="en-US"/>
        </w:rPr>
        <w:t xml:space="preserve"> </w:t>
      </w:r>
      <w:r w:rsidR="00812980">
        <w:rPr>
          <w:rFonts w:ascii="Arial" w:hAnsi="Arial" w:cs="Arial"/>
          <w:lang w:val="en-US"/>
        </w:rPr>
        <w:t>(NAPHS)</w:t>
      </w:r>
      <w:r w:rsidRPr="00191E38">
        <w:rPr>
          <w:rFonts w:ascii="Arial" w:hAnsi="Arial" w:cs="Arial"/>
          <w:lang w:val="en-US"/>
        </w:rPr>
        <w:t>.</w:t>
      </w:r>
      <w:r w:rsidR="00BB50FB">
        <w:rPr>
          <w:rStyle w:val="FootnoteReference"/>
          <w:rFonts w:ascii="Arial" w:hAnsi="Arial" w:cs="Arial"/>
          <w:lang w:val="en-US"/>
        </w:rPr>
        <w:footnoteReference w:id="10"/>
      </w:r>
      <w:r w:rsidRPr="00191E38">
        <w:rPr>
          <w:rFonts w:ascii="Arial" w:hAnsi="Arial" w:cs="Arial"/>
          <w:lang w:val="en-US"/>
        </w:rPr>
        <w:t xml:space="preserve"> Collaboration across jurisdictions, with research institutions, non</w:t>
      </w:r>
      <w:r w:rsidR="003B11AC">
        <w:rPr>
          <w:rFonts w:ascii="Arial" w:hAnsi="Arial" w:cs="Arial"/>
          <w:lang w:val="en-US"/>
        </w:rPr>
        <w:noBreakHyphen/>
      </w:r>
      <w:r w:rsidRPr="00191E38">
        <w:rPr>
          <w:rFonts w:ascii="Arial" w:hAnsi="Arial" w:cs="Arial"/>
          <w:lang w:val="en-US"/>
        </w:rPr>
        <w:t xml:space="preserve">government stakeholders and international bodies is critical to ensure Australia is well prepared to plan for, mitigate and manage a range of threats, including </w:t>
      </w:r>
      <w:r w:rsidR="00BB50FB">
        <w:rPr>
          <w:rFonts w:ascii="Arial" w:hAnsi="Arial" w:cs="Arial"/>
          <w:lang w:val="en-US"/>
        </w:rPr>
        <w:t>environmental health hazards</w:t>
      </w:r>
      <w:r w:rsidRPr="00191E38">
        <w:rPr>
          <w:rFonts w:ascii="Arial" w:hAnsi="Arial" w:cs="Arial"/>
          <w:lang w:val="en-US"/>
        </w:rPr>
        <w:t>.</w:t>
      </w:r>
    </w:p>
    <w:p w14:paraId="2293D0AA" w14:textId="77777777" w:rsidR="00987FEA" w:rsidRDefault="00987FEA" w:rsidP="00D378CB">
      <w:pPr>
        <w:autoSpaceDE w:val="0"/>
        <w:autoSpaceDN w:val="0"/>
        <w:adjustRightInd w:val="0"/>
        <w:spacing w:after="0" w:line="276" w:lineRule="auto"/>
        <w:rPr>
          <w:rFonts w:ascii="Arial" w:eastAsia="Batang" w:hAnsi="Arial" w:cs="Arial"/>
          <w:szCs w:val="22"/>
        </w:rPr>
      </w:pPr>
    </w:p>
    <w:p w14:paraId="1BB8C4CE" w14:textId="77A97314" w:rsidR="005F1839" w:rsidRPr="00205C98" w:rsidRDefault="005F1839" w:rsidP="005F1839">
      <w:pPr>
        <w:pStyle w:val="Heading2"/>
        <w:ind w:left="0" w:firstLine="0"/>
        <w:rPr>
          <w:rFonts w:ascii="Arial" w:hAnsi="Arial"/>
          <w:color w:val="365F91" w:themeColor="accent1" w:themeShade="BF"/>
          <w:sz w:val="22"/>
          <w:szCs w:val="22"/>
        </w:rPr>
      </w:pPr>
      <w:bookmarkStart w:id="7" w:name="_Toc22060618"/>
      <w:bookmarkStart w:id="8" w:name="_Toc22060703"/>
      <w:bookmarkStart w:id="9" w:name="_Toc22060777"/>
      <w:bookmarkStart w:id="10" w:name="_Toc22060982"/>
      <w:bookmarkStart w:id="11" w:name="_Toc25919631"/>
      <w:bookmarkStart w:id="12" w:name="_Toc17476485"/>
      <w:bookmarkStart w:id="13" w:name="_Toc18068750"/>
      <w:bookmarkStart w:id="14" w:name="_Toc18073049"/>
      <w:bookmarkStart w:id="15" w:name="_Toc18074574"/>
      <w:bookmarkStart w:id="16" w:name="_Toc22060619"/>
      <w:bookmarkStart w:id="17" w:name="_Toc22060704"/>
      <w:bookmarkStart w:id="18" w:name="_Toc22060778"/>
      <w:bookmarkStart w:id="19" w:name="_Toc22060983"/>
      <w:bookmarkStart w:id="20" w:name="_Toc25919632"/>
      <w:bookmarkStart w:id="21" w:name="_Toc17476486"/>
      <w:bookmarkStart w:id="22" w:name="_Toc18068751"/>
      <w:bookmarkStart w:id="23" w:name="_Toc18073050"/>
      <w:bookmarkStart w:id="24" w:name="_Toc18074575"/>
      <w:bookmarkStart w:id="25" w:name="_Toc22060620"/>
      <w:bookmarkStart w:id="26" w:name="_Toc22060705"/>
      <w:bookmarkStart w:id="27" w:name="_Toc22060779"/>
      <w:bookmarkStart w:id="28" w:name="_Toc22060984"/>
      <w:bookmarkStart w:id="29" w:name="_Toc25919633"/>
      <w:bookmarkStart w:id="30" w:name="_Toc17476487"/>
      <w:bookmarkStart w:id="31" w:name="_Toc18068752"/>
      <w:bookmarkStart w:id="32" w:name="_Toc18073051"/>
      <w:bookmarkStart w:id="33" w:name="_Toc18074576"/>
      <w:bookmarkStart w:id="34" w:name="_Toc22060621"/>
      <w:bookmarkStart w:id="35" w:name="_Toc22060706"/>
      <w:bookmarkStart w:id="36" w:name="_Toc22060780"/>
      <w:bookmarkStart w:id="37" w:name="_Toc22060985"/>
      <w:bookmarkStart w:id="38" w:name="_Toc259196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5F1839">
        <w:rPr>
          <w:rFonts w:ascii="Arial" w:hAnsi="Arial"/>
          <w:sz w:val="22"/>
          <w:szCs w:val="22"/>
        </w:rPr>
        <w:lastRenderedPageBreak/>
        <w:t xml:space="preserve"> </w:t>
      </w:r>
      <w:bookmarkStart w:id="39" w:name="_Toc58502789"/>
      <w:r>
        <w:rPr>
          <w:rFonts w:ascii="Arial" w:hAnsi="Arial"/>
          <w:sz w:val="22"/>
          <w:szCs w:val="22"/>
        </w:rPr>
        <w:t>Governance arrangements</w:t>
      </w:r>
      <w:bookmarkEnd w:id="39"/>
    </w:p>
    <w:p w14:paraId="1A62CB69" w14:textId="77777777" w:rsidR="00BF318B" w:rsidRDefault="00BF318B" w:rsidP="00191E38">
      <w:pPr>
        <w:autoSpaceDE w:val="0"/>
        <w:autoSpaceDN w:val="0"/>
        <w:adjustRightInd w:val="0"/>
        <w:spacing w:after="0" w:line="276" w:lineRule="auto"/>
        <w:rPr>
          <w:rFonts w:ascii="Arial" w:hAnsi="Arial" w:cs="Arial"/>
        </w:rPr>
      </w:pPr>
      <w:r>
        <w:rPr>
          <w:rFonts w:ascii="Arial" w:hAnsi="Arial" w:cs="Arial"/>
        </w:rPr>
        <w:t xml:space="preserve">The management of health protection, including environmental health, in Australia is governed through a complex set of </w:t>
      </w:r>
      <w:r w:rsidR="007B09DA">
        <w:rPr>
          <w:rFonts w:ascii="Arial" w:hAnsi="Arial" w:cs="Arial"/>
        </w:rPr>
        <w:t>cross-jurisdictional</w:t>
      </w:r>
      <w:r>
        <w:rPr>
          <w:rFonts w:ascii="Arial" w:hAnsi="Arial" w:cs="Arial"/>
        </w:rPr>
        <w:t xml:space="preserve"> relationships and underpinned by the principle of shared responsibility. </w:t>
      </w:r>
    </w:p>
    <w:p w14:paraId="5B2233F0" w14:textId="77777777" w:rsidR="00BF318B" w:rsidRDefault="00BF318B" w:rsidP="00191E38">
      <w:pPr>
        <w:autoSpaceDE w:val="0"/>
        <w:autoSpaceDN w:val="0"/>
        <w:adjustRightInd w:val="0"/>
        <w:spacing w:after="0" w:line="276" w:lineRule="auto"/>
        <w:rPr>
          <w:rFonts w:ascii="Arial" w:hAnsi="Arial" w:cs="Arial"/>
        </w:rPr>
      </w:pPr>
    </w:p>
    <w:p w14:paraId="77FA06FC" w14:textId="322A067E" w:rsidR="009E3009" w:rsidRDefault="003E509D" w:rsidP="003E509D">
      <w:pPr>
        <w:autoSpaceDE w:val="0"/>
        <w:autoSpaceDN w:val="0"/>
        <w:adjustRightInd w:val="0"/>
        <w:spacing w:after="0" w:line="276" w:lineRule="auto"/>
        <w:rPr>
          <w:rFonts w:ascii="Arial" w:hAnsi="Arial" w:cs="Arial"/>
        </w:rPr>
      </w:pPr>
      <w:r>
        <w:rPr>
          <w:rFonts w:ascii="Arial" w:hAnsi="Arial" w:cs="Arial"/>
        </w:rPr>
        <w:t xml:space="preserve">The </w:t>
      </w:r>
      <w:r w:rsidRPr="00D378CB">
        <w:rPr>
          <w:rFonts w:ascii="Arial" w:hAnsi="Arial" w:cs="Arial"/>
          <w:b/>
        </w:rPr>
        <w:t>Australian Health Protection Principal Committee</w:t>
      </w:r>
      <w:r>
        <w:rPr>
          <w:rFonts w:ascii="Arial" w:hAnsi="Arial" w:cs="Arial"/>
        </w:rPr>
        <w:t xml:space="preserve"> (AHPPC) provides overa</w:t>
      </w:r>
      <w:r w:rsidR="007B09DA">
        <w:rPr>
          <w:rFonts w:ascii="Arial" w:hAnsi="Arial" w:cs="Arial"/>
        </w:rPr>
        <w:t>r</w:t>
      </w:r>
      <w:r>
        <w:rPr>
          <w:rFonts w:ascii="Arial" w:hAnsi="Arial" w:cs="Arial"/>
        </w:rPr>
        <w:t>ching national leadership through cross</w:t>
      </w:r>
      <w:r w:rsidR="007B09DA">
        <w:rPr>
          <w:rFonts w:ascii="Arial" w:hAnsi="Arial" w:cs="Arial"/>
        </w:rPr>
        <w:t>-</w:t>
      </w:r>
      <w:r>
        <w:rPr>
          <w:rFonts w:ascii="Arial" w:hAnsi="Arial" w:cs="Arial"/>
        </w:rPr>
        <w:t xml:space="preserve">jurisdictional collaboration on health protection matters in a context of prevention, preparedness, response and recovery. </w:t>
      </w:r>
      <w:r w:rsidRPr="003E509D">
        <w:rPr>
          <w:rFonts w:ascii="Arial" w:hAnsi="Arial" w:cs="Arial"/>
        </w:rPr>
        <w:t xml:space="preserve">The AHPPC is comprised of senior officials from the Australian Government Department of Health, each state and territory health authority, New Zealand Ministry of Health, Australian Government departments responsible for emergency management, and subject matter experts. The </w:t>
      </w:r>
      <w:r w:rsidR="007B09DA" w:rsidRPr="003E509D">
        <w:rPr>
          <w:rFonts w:ascii="Arial" w:hAnsi="Arial" w:cs="Arial"/>
        </w:rPr>
        <w:t>Commonwealth Chief Medical Officer</w:t>
      </w:r>
      <w:r w:rsidR="007B09DA">
        <w:rPr>
          <w:rFonts w:ascii="Arial" w:hAnsi="Arial" w:cs="Arial"/>
        </w:rPr>
        <w:t xml:space="preserve"> (CMO)</w:t>
      </w:r>
      <w:r w:rsidR="007B09DA" w:rsidRPr="003E509D">
        <w:rPr>
          <w:rFonts w:ascii="Arial" w:hAnsi="Arial" w:cs="Arial"/>
        </w:rPr>
        <w:t xml:space="preserve"> chairs the AHPPC</w:t>
      </w:r>
      <w:r w:rsidRPr="003E509D">
        <w:rPr>
          <w:rFonts w:ascii="Arial" w:hAnsi="Arial" w:cs="Arial"/>
        </w:rPr>
        <w:t>.</w:t>
      </w:r>
      <w:r>
        <w:rPr>
          <w:rFonts w:ascii="Arial" w:hAnsi="Arial" w:cs="Arial"/>
        </w:rPr>
        <w:t xml:space="preserve"> </w:t>
      </w:r>
      <w:r w:rsidRPr="003E509D">
        <w:rPr>
          <w:rFonts w:ascii="Arial" w:hAnsi="Arial" w:cs="Arial"/>
        </w:rPr>
        <w:t xml:space="preserve">The work of the AHPPC is supported through five expert </w:t>
      </w:r>
      <w:r w:rsidR="00B6292D">
        <w:rPr>
          <w:rFonts w:ascii="Arial" w:hAnsi="Arial" w:cs="Arial"/>
        </w:rPr>
        <w:t>s</w:t>
      </w:r>
      <w:r w:rsidRPr="003E509D">
        <w:rPr>
          <w:rFonts w:ascii="Arial" w:hAnsi="Arial" w:cs="Arial"/>
        </w:rPr>
        <w:t xml:space="preserve">tanding </w:t>
      </w:r>
      <w:r w:rsidR="00B6292D">
        <w:rPr>
          <w:rFonts w:ascii="Arial" w:hAnsi="Arial" w:cs="Arial"/>
        </w:rPr>
        <w:t>c</w:t>
      </w:r>
      <w:r w:rsidRPr="003E509D">
        <w:rPr>
          <w:rFonts w:ascii="Arial" w:hAnsi="Arial" w:cs="Arial"/>
        </w:rPr>
        <w:t>ommittees</w:t>
      </w:r>
      <w:r>
        <w:rPr>
          <w:rFonts w:ascii="Arial" w:hAnsi="Arial" w:cs="Arial"/>
        </w:rPr>
        <w:t>, including enHealth</w:t>
      </w:r>
      <w:r w:rsidR="00812980">
        <w:rPr>
          <w:rFonts w:ascii="Arial" w:hAnsi="Arial" w:cs="Arial"/>
        </w:rPr>
        <w:t xml:space="preserve"> (see </w:t>
      </w:r>
      <w:r w:rsidR="00812980" w:rsidRPr="000771E6">
        <w:rPr>
          <w:rFonts w:ascii="Arial" w:hAnsi="Arial" w:cs="Arial"/>
          <w:b/>
        </w:rPr>
        <w:t>Figure 1</w:t>
      </w:r>
      <w:r w:rsidR="00812980">
        <w:rPr>
          <w:rFonts w:ascii="Arial" w:hAnsi="Arial" w:cs="Arial"/>
        </w:rPr>
        <w:t>)</w:t>
      </w:r>
      <w:r>
        <w:rPr>
          <w:rFonts w:ascii="Arial" w:hAnsi="Arial" w:cs="Arial"/>
        </w:rPr>
        <w:t>.</w:t>
      </w:r>
    </w:p>
    <w:p w14:paraId="1147EDA9" w14:textId="77777777" w:rsidR="00E0334C" w:rsidRDefault="00E0334C" w:rsidP="003E509D">
      <w:pPr>
        <w:autoSpaceDE w:val="0"/>
        <w:autoSpaceDN w:val="0"/>
        <w:adjustRightInd w:val="0"/>
        <w:spacing w:after="0" w:line="276" w:lineRule="auto"/>
        <w:rPr>
          <w:rFonts w:ascii="Arial" w:hAnsi="Arial" w:cs="Arial"/>
        </w:rPr>
      </w:pPr>
    </w:p>
    <w:p w14:paraId="4DEAFA11" w14:textId="21143953" w:rsidR="009E3009" w:rsidRDefault="00A0212A" w:rsidP="003E509D">
      <w:pPr>
        <w:autoSpaceDE w:val="0"/>
        <w:autoSpaceDN w:val="0"/>
        <w:adjustRightInd w:val="0"/>
        <w:spacing w:after="0" w:line="276" w:lineRule="auto"/>
        <w:rPr>
          <w:rFonts w:ascii="Arial" w:hAnsi="Arial" w:cs="Arial"/>
        </w:rPr>
      </w:pPr>
      <w:r>
        <w:rPr>
          <w:rFonts w:ascii="Arial" w:hAnsi="Arial" w:cs="Arial"/>
          <w:noProof/>
        </w:rPr>
        <w:pict w14:anchorId="27858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graph depicts the governance framework for health protection in Australia. " style="width:508.45pt;height:270.8pt;mso-width-percent:0;mso-height-percent:0;mso-width-percent:0;mso-height-percent:0">
            <v:imagedata r:id="rId15" o:title="figure 1"/>
          </v:shape>
        </w:pict>
      </w:r>
    </w:p>
    <w:p w14:paraId="4A883637" w14:textId="76B81B57" w:rsidR="009E3009" w:rsidRDefault="009E3009" w:rsidP="009E3009">
      <w:pPr>
        <w:jc w:val="center"/>
        <w:rPr>
          <w:rFonts w:ascii="Arial" w:hAnsi="Arial" w:cs="Arial"/>
        </w:rPr>
      </w:pPr>
    </w:p>
    <w:p w14:paraId="6694C63A" w14:textId="0FFDD48A" w:rsidR="009E3009" w:rsidRPr="00D378CB" w:rsidRDefault="009E3009" w:rsidP="009E3009">
      <w:pPr>
        <w:pStyle w:val="Caption"/>
        <w:rPr>
          <w:rFonts w:ascii="Arial" w:hAnsi="Arial" w:cs="Arial"/>
          <w:b w:val="0"/>
          <w:noProof/>
          <w:color w:val="000000" w:themeColor="text1"/>
          <w:sz w:val="20"/>
          <w:szCs w:val="22"/>
        </w:rPr>
      </w:pPr>
      <w:r w:rsidRPr="00E047FC">
        <w:rPr>
          <w:rFonts w:ascii="Arial" w:hAnsi="Arial" w:cs="Arial"/>
          <w:color w:val="000000" w:themeColor="text1"/>
          <w:sz w:val="20"/>
          <w:szCs w:val="22"/>
        </w:rPr>
        <w:t xml:space="preserve">Figure </w:t>
      </w:r>
      <w:r>
        <w:rPr>
          <w:rFonts w:ascii="Arial" w:hAnsi="Arial" w:cs="Arial"/>
          <w:color w:val="000000" w:themeColor="text1"/>
          <w:sz w:val="20"/>
          <w:szCs w:val="22"/>
        </w:rPr>
        <w:t>1.</w:t>
      </w:r>
      <w:r w:rsidRPr="00E047FC">
        <w:rPr>
          <w:rFonts w:ascii="Arial" w:hAnsi="Arial" w:cs="Arial"/>
          <w:b w:val="0"/>
          <w:noProof/>
          <w:color w:val="000000" w:themeColor="text1"/>
          <w:sz w:val="20"/>
          <w:szCs w:val="22"/>
        </w:rPr>
        <w:t xml:space="preserve"> Governance </w:t>
      </w:r>
      <w:r>
        <w:rPr>
          <w:rFonts w:ascii="Arial" w:hAnsi="Arial" w:cs="Arial"/>
          <w:b w:val="0"/>
          <w:noProof/>
          <w:color w:val="000000" w:themeColor="text1"/>
          <w:sz w:val="20"/>
          <w:szCs w:val="22"/>
        </w:rPr>
        <w:t>framework for</w:t>
      </w:r>
      <w:r w:rsidRPr="00E047FC">
        <w:rPr>
          <w:rFonts w:ascii="Arial" w:hAnsi="Arial" w:cs="Arial"/>
          <w:b w:val="0"/>
          <w:noProof/>
          <w:color w:val="000000" w:themeColor="text1"/>
          <w:sz w:val="20"/>
          <w:szCs w:val="22"/>
        </w:rPr>
        <w:t xml:space="preserve"> health protection in Australia</w:t>
      </w:r>
      <w:r>
        <w:rPr>
          <w:rFonts w:ascii="Arial" w:hAnsi="Arial" w:cs="Arial"/>
          <w:b w:val="0"/>
          <w:noProof/>
          <w:color w:val="000000" w:themeColor="text1"/>
          <w:sz w:val="20"/>
          <w:szCs w:val="22"/>
        </w:rPr>
        <w:t>. It</w:t>
      </w:r>
      <w:r w:rsidRPr="009E3009">
        <w:rPr>
          <w:rFonts w:ascii="Arial" w:eastAsia="Batang" w:hAnsi="Arial" w:cs="Arial"/>
        </w:rPr>
        <w:t xml:space="preserve"> </w:t>
      </w:r>
      <w:r w:rsidRPr="00D378CB">
        <w:rPr>
          <w:rFonts w:ascii="Arial" w:hAnsi="Arial" w:cs="Arial"/>
          <w:b w:val="0"/>
          <w:noProof/>
          <w:color w:val="000000" w:themeColor="text1"/>
          <w:sz w:val="20"/>
          <w:szCs w:val="22"/>
        </w:rPr>
        <w:t xml:space="preserve">reflects the importance of separate roles for the Commonwealth and </w:t>
      </w:r>
      <w:r w:rsidR="0083308C">
        <w:rPr>
          <w:rFonts w:ascii="Arial" w:hAnsi="Arial" w:cs="Arial"/>
          <w:b w:val="0"/>
          <w:noProof/>
          <w:color w:val="000000" w:themeColor="text1"/>
          <w:sz w:val="20"/>
          <w:szCs w:val="22"/>
        </w:rPr>
        <w:t>s</w:t>
      </w:r>
      <w:r w:rsidRPr="00D378CB">
        <w:rPr>
          <w:rFonts w:ascii="Arial" w:hAnsi="Arial" w:cs="Arial"/>
          <w:b w:val="0"/>
          <w:noProof/>
          <w:color w:val="000000" w:themeColor="text1"/>
          <w:sz w:val="20"/>
          <w:szCs w:val="22"/>
        </w:rPr>
        <w:t xml:space="preserve">tates and </w:t>
      </w:r>
      <w:r w:rsidR="0083308C">
        <w:rPr>
          <w:rFonts w:ascii="Arial" w:hAnsi="Arial" w:cs="Arial"/>
          <w:b w:val="0"/>
          <w:noProof/>
          <w:color w:val="000000" w:themeColor="text1"/>
          <w:sz w:val="20"/>
          <w:szCs w:val="22"/>
        </w:rPr>
        <w:t>t</w:t>
      </w:r>
      <w:r w:rsidRPr="00D378CB">
        <w:rPr>
          <w:rFonts w:ascii="Arial" w:hAnsi="Arial" w:cs="Arial"/>
          <w:b w:val="0"/>
          <w:noProof/>
          <w:color w:val="000000" w:themeColor="text1"/>
          <w:sz w:val="20"/>
          <w:szCs w:val="22"/>
        </w:rPr>
        <w:t xml:space="preserve">erritories. </w:t>
      </w:r>
    </w:p>
    <w:p w14:paraId="74858EA3" w14:textId="77777777" w:rsidR="005F1839" w:rsidRPr="00D378CB" w:rsidRDefault="00E8776F" w:rsidP="005F1839">
      <w:pPr>
        <w:pStyle w:val="Heading1"/>
        <w:ind w:left="0" w:firstLine="0"/>
        <w:rPr>
          <w:sz w:val="32"/>
        </w:rPr>
      </w:pPr>
      <w:bookmarkStart w:id="40" w:name="_Toc18074578"/>
      <w:bookmarkStart w:id="41" w:name="_Toc22060623"/>
      <w:bookmarkStart w:id="42" w:name="_Toc22060708"/>
      <w:bookmarkStart w:id="43" w:name="_Toc22060782"/>
      <w:bookmarkStart w:id="44" w:name="_Toc22060987"/>
      <w:bookmarkStart w:id="45" w:name="_Toc25919636"/>
      <w:bookmarkStart w:id="46" w:name="_Toc58502790"/>
      <w:bookmarkEnd w:id="40"/>
      <w:bookmarkEnd w:id="41"/>
      <w:bookmarkEnd w:id="42"/>
      <w:bookmarkEnd w:id="43"/>
      <w:bookmarkEnd w:id="44"/>
      <w:bookmarkEnd w:id="45"/>
      <w:r w:rsidRPr="00D378CB">
        <w:rPr>
          <w:rFonts w:ascii="Arial" w:hAnsi="Arial"/>
          <w:sz w:val="32"/>
        </w:rPr>
        <w:lastRenderedPageBreak/>
        <w:t>ENVIRONMENTAL HEA</w:t>
      </w:r>
      <w:r w:rsidR="0048634B" w:rsidRPr="0048634B">
        <w:rPr>
          <w:rFonts w:ascii="Arial" w:hAnsi="Arial"/>
          <w:sz w:val="32"/>
        </w:rPr>
        <w:t>LTH STANDING COMMITTEE</w:t>
      </w:r>
      <w:bookmarkEnd w:id="46"/>
      <w:r w:rsidRPr="00D378CB">
        <w:rPr>
          <w:sz w:val="32"/>
        </w:rPr>
        <w:t xml:space="preserve"> </w:t>
      </w:r>
    </w:p>
    <w:p w14:paraId="42BDEED0" w14:textId="77777777" w:rsidR="0048220B" w:rsidRDefault="0048220B" w:rsidP="0048220B">
      <w:pPr>
        <w:pStyle w:val="BodyText1"/>
        <w:spacing w:line="276" w:lineRule="auto"/>
        <w:ind w:left="0"/>
        <w:rPr>
          <w:rFonts w:ascii="Arial" w:hAnsi="Arial" w:cs="Arial"/>
        </w:rPr>
      </w:pPr>
      <w:r>
        <w:rPr>
          <w:rFonts w:ascii="Arial" w:eastAsia="Batang" w:hAnsi="Arial" w:cs="Arial"/>
          <w:szCs w:val="22"/>
        </w:rPr>
        <w:t xml:space="preserve">The </w:t>
      </w:r>
      <w:r w:rsidRPr="00AA2B88">
        <w:rPr>
          <w:rFonts w:ascii="Arial" w:eastAsia="Batang" w:hAnsi="Arial" w:cs="Arial"/>
          <w:b/>
          <w:szCs w:val="22"/>
        </w:rPr>
        <w:t>Environmental Health Standing Committee</w:t>
      </w:r>
      <w:r>
        <w:rPr>
          <w:rFonts w:ascii="Arial" w:eastAsia="Batang" w:hAnsi="Arial" w:cs="Arial"/>
          <w:szCs w:val="22"/>
        </w:rPr>
        <w:t xml:space="preserve"> (enHealth) supports the work of the AHPPC. enHealth provides policy advice, coordination of national responses to environmental health issues, and guides the development and coordination of research, information and resources on environmental health matters, as well as coordinating health input into environmental standards.</w:t>
      </w:r>
      <w:r w:rsidRPr="00740A4F">
        <w:rPr>
          <w:rFonts w:ascii="Arial" w:hAnsi="Arial" w:cs="Arial"/>
        </w:rPr>
        <w:t xml:space="preserve"> </w:t>
      </w:r>
    </w:p>
    <w:p w14:paraId="0B7F751C" w14:textId="593B6EFC" w:rsidR="0048220B" w:rsidRDefault="0048220B" w:rsidP="0048220B">
      <w:pPr>
        <w:pStyle w:val="BodyText1"/>
        <w:spacing w:line="276" w:lineRule="auto"/>
        <w:ind w:left="0"/>
      </w:pPr>
      <w:r>
        <w:rPr>
          <w:rFonts w:ascii="Arial" w:hAnsi="Arial" w:cs="Arial"/>
        </w:rPr>
        <w:t>enHealth is</w:t>
      </w:r>
      <w:r w:rsidRPr="00081B35">
        <w:rPr>
          <w:rFonts w:ascii="Arial" w:hAnsi="Arial" w:cs="Arial"/>
        </w:rPr>
        <w:t xml:space="preserve"> especially committed to addressing inequalities in health status due to environmental factors, particularly in Aboriginal and Torres Strait Islander communities, and safeguarding the health of populations </w:t>
      </w:r>
      <w:r>
        <w:rPr>
          <w:rFonts w:ascii="Arial" w:hAnsi="Arial" w:cs="Arial"/>
        </w:rPr>
        <w:t xml:space="preserve">that </w:t>
      </w:r>
      <w:r w:rsidRPr="00081B35">
        <w:rPr>
          <w:rFonts w:ascii="Arial" w:hAnsi="Arial" w:cs="Arial"/>
        </w:rPr>
        <w:t>are particularly vulnerable to</w:t>
      </w:r>
      <w:r>
        <w:rPr>
          <w:rFonts w:ascii="Arial" w:hAnsi="Arial" w:cs="Arial"/>
        </w:rPr>
        <w:t xml:space="preserve"> certain environmental hazards</w:t>
      </w:r>
      <w:r w:rsidR="0083308C">
        <w:rPr>
          <w:rFonts w:ascii="Arial" w:hAnsi="Arial" w:cs="Arial"/>
        </w:rPr>
        <w:t xml:space="preserve">, such as </w:t>
      </w:r>
      <w:r w:rsidR="0083308C" w:rsidRPr="00081B35">
        <w:rPr>
          <w:rFonts w:ascii="Arial" w:hAnsi="Arial" w:cs="Arial"/>
        </w:rPr>
        <w:t>children, the elderly, and people with disabilities</w:t>
      </w:r>
      <w:r w:rsidRPr="00081B35">
        <w:rPr>
          <w:rFonts w:ascii="Arial" w:hAnsi="Arial" w:cs="Arial"/>
        </w:rPr>
        <w:t>.</w:t>
      </w:r>
    </w:p>
    <w:p w14:paraId="33BC7AF4" w14:textId="77777777" w:rsidR="00480EC6" w:rsidRPr="00AA2B88" w:rsidRDefault="0048220B" w:rsidP="00D378CB">
      <w:pPr>
        <w:pStyle w:val="BodyText1"/>
        <w:spacing w:line="276" w:lineRule="auto"/>
        <w:ind w:left="0"/>
        <w:rPr>
          <w:rFonts w:ascii="Arial" w:hAnsi="Arial" w:cs="Arial"/>
        </w:rPr>
      </w:pPr>
      <w:r>
        <w:rPr>
          <w:rFonts w:ascii="Arial" w:eastAsia="Batang" w:hAnsi="Arial" w:cs="Arial"/>
        </w:rPr>
        <w:t xml:space="preserve">enHealth </w:t>
      </w:r>
      <w:r>
        <w:rPr>
          <w:rFonts w:ascii="Arial" w:hAnsi="Arial" w:cs="Arial"/>
        </w:rPr>
        <w:t>provides</w:t>
      </w:r>
      <w:r w:rsidRPr="00081B35">
        <w:rPr>
          <w:rFonts w:ascii="Arial" w:hAnsi="Arial" w:cs="Arial"/>
        </w:rPr>
        <w:t xml:space="preserve"> a national focus on maintaining and improving the health of Australians by promoting a healthy environment and by preventing premature death, avoidable illness and disability caused by non-infectious, non-occupational env</w:t>
      </w:r>
      <w:r>
        <w:rPr>
          <w:rFonts w:ascii="Arial" w:hAnsi="Arial" w:cs="Arial"/>
        </w:rPr>
        <w:t>ironmental and related factors.</w:t>
      </w:r>
    </w:p>
    <w:p w14:paraId="60C5BCED" w14:textId="77777777" w:rsidR="00480EC6" w:rsidRPr="00D378CB" w:rsidRDefault="007F633B" w:rsidP="00081B35">
      <w:pPr>
        <w:pStyle w:val="Heading2"/>
        <w:ind w:left="0" w:firstLine="0"/>
        <w:rPr>
          <w:rFonts w:ascii="Arial" w:hAnsi="Arial"/>
          <w:sz w:val="22"/>
          <w:szCs w:val="22"/>
        </w:rPr>
      </w:pPr>
      <w:bookmarkStart w:id="47" w:name="_Toc58502791"/>
      <w:r w:rsidRPr="00D378CB">
        <w:rPr>
          <w:rFonts w:ascii="Arial" w:hAnsi="Arial"/>
          <w:sz w:val="22"/>
          <w:szCs w:val="22"/>
        </w:rPr>
        <w:t>Managing environmental health ri</w:t>
      </w:r>
      <w:r w:rsidR="00480EC6" w:rsidRPr="00D378CB">
        <w:rPr>
          <w:rFonts w:ascii="Arial" w:hAnsi="Arial"/>
          <w:sz w:val="22"/>
          <w:szCs w:val="22"/>
        </w:rPr>
        <w:t>sks in Australia</w:t>
      </w:r>
      <w:bookmarkEnd w:id="47"/>
    </w:p>
    <w:p w14:paraId="1CEDCB95" w14:textId="0CFDC661" w:rsidR="0048634B" w:rsidRDefault="00480EC6" w:rsidP="0048634B">
      <w:pPr>
        <w:pStyle w:val="BodyText1"/>
        <w:spacing w:line="276" w:lineRule="auto"/>
        <w:ind w:left="0"/>
        <w:rPr>
          <w:rFonts w:ascii="Arial" w:eastAsia="Batang" w:hAnsi="Arial" w:cs="Arial"/>
        </w:rPr>
      </w:pPr>
      <w:r w:rsidRPr="00362401">
        <w:rPr>
          <w:rFonts w:ascii="Arial" w:eastAsia="Batang" w:hAnsi="Arial" w:cs="Arial"/>
          <w:b/>
        </w:rPr>
        <w:t>Environmental health risks</w:t>
      </w:r>
      <w:r w:rsidRPr="00362401">
        <w:rPr>
          <w:rFonts w:ascii="Arial" w:eastAsia="Batang" w:hAnsi="Arial" w:cs="Arial"/>
        </w:rPr>
        <w:t xml:space="preserve"> are largely managed by an array of complementary national</w:t>
      </w:r>
      <w:r w:rsidR="001D03CF">
        <w:rPr>
          <w:rFonts w:ascii="Arial" w:eastAsia="Batang" w:hAnsi="Arial" w:cs="Arial"/>
        </w:rPr>
        <w:t>,</w:t>
      </w:r>
      <w:r w:rsidRPr="00362401">
        <w:rPr>
          <w:rFonts w:ascii="Arial" w:eastAsia="Batang" w:hAnsi="Arial" w:cs="Arial"/>
        </w:rPr>
        <w:t xml:space="preserve"> state </w:t>
      </w:r>
      <w:r w:rsidR="00362401">
        <w:rPr>
          <w:rFonts w:ascii="Arial" w:eastAsia="Batang" w:hAnsi="Arial" w:cs="Arial"/>
        </w:rPr>
        <w:t xml:space="preserve">and territory </w:t>
      </w:r>
      <w:r w:rsidRPr="00362401">
        <w:rPr>
          <w:rFonts w:ascii="Arial" w:eastAsia="Batang" w:hAnsi="Arial" w:cs="Arial"/>
        </w:rPr>
        <w:t>agencies, all of wh</w:t>
      </w:r>
      <w:r w:rsidR="007B09DA">
        <w:rPr>
          <w:rFonts w:ascii="Arial" w:eastAsia="Batang" w:hAnsi="Arial" w:cs="Arial"/>
        </w:rPr>
        <w:t>om</w:t>
      </w:r>
      <w:r w:rsidRPr="00362401">
        <w:rPr>
          <w:rFonts w:ascii="Arial" w:eastAsia="Batang" w:hAnsi="Arial" w:cs="Arial"/>
        </w:rPr>
        <w:t xml:space="preserve"> contribute to a nationa</w:t>
      </w:r>
      <w:r w:rsidR="00362401">
        <w:rPr>
          <w:rFonts w:ascii="Arial" w:eastAsia="Batang" w:hAnsi="Arial" w:cs="Arial"/>
        </w:rPr>
        <w:t xml:space="preserve">l system of health protection. </w:t>
      </w:r>
      <w:r w:rsidRPr="00362401">
        <w:rPr>
          <w:rFonts w:ascii="Arial" w:eastAsia="Batang" w:hAnsi="Arial" w:cs="Arial"/>
        </w:rPr>
        <w:t xml:space="preserve">In general, risks are managed through regulatory frameworks administered by health and other agencies at </w:t>
      </w:r>
      <w:r w:rsidR="00362401">
        <w:rPr>
          <w:rFonts w:ascii="Arial" w:eastAsia="Batang" w:hAnsi="Arial" w:cs="Arial"/>
        </w:rPr>
        <w:t xml:space="preserve">the state and territory level. </w:t>
      </w:r>
      <w:r w:rsidRPr="00362401">
        <w:rPr>
          <w:rFonts w:ascii="Arial" w:eastAsia="Batang" w:hAnsi="Arial" w:cs="Arial"/>
        </w:rPr>
        <w:t>These regulatory frameworks operate within a context of nationally coordinated policy and standard setting</w:t>
      </w:r>
      <w:r w:rsidR="00362401">
        <w:rPr>
          <w:rFonts w:ascii="Arial" w:eastAsia="Batang" w:hAnsi="Arial" w:cs="Arial"/>
        </w:rPr>
        <w:t xml:space="preserve">. </w:t>
      </w:r>
      <w:r w:rsidRPr="00362401">
        <w:rPr>
          <w:rFonts w:ascii="Arial" w:eastAsia="Batang" w:hAnsi="Arial" w:cs="Arial"/>
        </w:rPr>
        <w:t xml:space="preserve">The Australian Government, through its own legislation, manages those environmental health risks associated with services </w:t>
      </w:r>
      <w:r w:rsidR="00362401">
        <w:rPr>
          <w:rFonts w:ascii="Arial" w:eastAsia="Batang" w:hAnsi="Arial" w:cs="Arial"/>
        </w:rPr>
        <w:t>and</w:t>
      </w:r>
      <w:r w:rsidRPr="00362401">
        <w:rPr>
          <w:rFonts w:ascii="Arial" w:eastAsia="Batang" w:hAnsi="Arial" w:cs="Arial"/>
        </w:rPr>
        <w:t xml:space="preserve"> facilities it manages.</w:t>
      </w:r>
    </w:p>
    <w:p w14:paraId="69A7D3CA" w14:textId="7EB027DD" w:rsidR="000A59D4" w:rsidRDefault="0002498F" w:rsidP="00D378CB">
      <w:pPr>
        <w:pStyle w:val="BodyText1"/>
        <w:keepNext/>
        <w:ind w:left="0"/>
        <w:jc w:val="center"/>
      </w:pPr>
      <w:r>
        <w:rPr>
          <w:rFonts w:eastAsia="Batang"/>
          <w:noProof/>
          <w:lang w:eastAsia="en-AU"/>
        </w:rPr>
        <w:drawing>
          <wp:inline distT="0" distB="0" distL="0" distR="0" wp14:anchorId="0F544F1F" wp14:editId="3E89C046">
            <wp:extent cx="5676405" cy="4498042"/>
            <wp:effectExtent l="0" t="0" r="635" b="0"/>
            <wp:docPr id="26" name="Picture 26" descr="Environmental health systems in Australia - illustrating relevant environmental health related decision making, advisory and regulatory agencies." title="Managing enviromental health risk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2.png"/>
                    <pic:cNvPicPr/>
                  </pic:nvPicPr>
                  <pic:blipFill>
                    <a:blip r:embed="rId16">
                      <a:extLst>
                        <a:ext uri="{28A0092B-C50C-407E-A947-70E740481C1C}">
                          <a14:useLocalDpi xmlns:a14="http://schemas.microsoft.com/office/drawing/2010/main" val="0"/>
                        </a:ext>
                      </a:extLst>
                    </a:blip>
                    <a:stretch>
                      <a:fillRect/>
                    </a:stretch>
                  </pic:blipFill>
                  <pic:spPr>
                    <a:xfrm>
                      <a:off x="0" y="0"/>
                      <a:ext cx="5696043" cy="4513603"/>
                    </a:xfrm>
                    <a:prstGeom prst="rect">
                      <a:avLst/>
                    </a:prstGeom>
                  </pic:spPr>
                </pic:pic>
              </a:graphicData>
            </a:graphic>
          </wp:inline>
        </w:drawing>
      </w:r>
    </w:p>
    <w:p w14:paraId="6674E338" w14:textId="643A3EFC" w:rsidR="00480EC6" w:rsidRPr="00E047FC" w:rsidRDefault="000A59D4" w:rsidP="00081B35">
      <w:pPr>
        <w:pStyle w:val="Caption"/>
        <w:rPr>
          <w:rFonts w:ascii="Arial" w:hAnsi="Arial" w:cs="Arial"/>
          <w:b w:val="0"/>
          <w:noProof/>
          <w:color w:val="auto"/>
          <w:sz w:val="20"/>
        </w:rPr>
      </w:pPr>
      <w:r w:rsidRPr="00E047FC">
        <w:rPr>
          <w:rFonts w:ascii="Arial" w:hAnsi="Arial" w:cs="Arial"/>
          <w:color w:val="auto"/>
          <w:sz w:val="20"/>
        </w:rPr>
        <w:t xml:space="preserve">Figure </w:t>
      </w:r>
      <w:r w:rsidR="009E3009">
        <w:rPr>
          <w:rFonts w:ascii="Arial" w:hAnsi="Arial" w:cs="Arial"/>
          <w:noProof/>
          <w:color w:val="auto"/>
          <w:sz w:val="20"/>
        </w:rPr>
        <w:t>2</w:t>
      </w:r>
      <w:r w:rsidR="005E1196" w:rsidRPr="00E047FC">
        <w:rPr>
          <w:rFonts w:ascii="Arial" w:hAnsi="Arial" w:cs="Arial"/>
          <w:noProof/>
          <w:color w:val="auto"/>
          <w:sz w:val="20"/>
        </w:rPr>
        <w:t>.</w:t>
      </w:r>
      <w:r w:rsidR="004C6427" w:rsidRPr="00E047FC">
        <w:rPr>
          <w:rFonts w:ascii="Arial" w:hAnsi="Arial" w:cs="Arial"/>
          <w:noProof/>
          <w:color w:val="auto"/>
          <w:sz w:val="20"/>
        </w:rPr>
        <w:t xml:space="preserve"> </w:t>
      </w:r>
      <w:r w:rsidR="004C6427" w:rsidRPr="00E047FC">
        <w:rPr>
          <w:rFonts w:ascii="Arial" w:hAnsi="Arial" w:cs="Arial"/>
          <w:b w:val="0"/>
          <w:noProof/>
          <w:color w:val="auto"/>
          <w:sz w:val="20"/>
        </w:rPr>
        <w:t>Environmental healt</w:t>
      </w:r>
      <w:r w:rsidR="00E0757D" w:rsidRPr="00E047FC">
        <w:rPr>
          <w:rFonts w:ascii="Arial" w:hAnsi="Arial" w:cs="Arial"/>
          <w:b w:val="0"/>
          <w:noProof/>
          <w:color w:val="auto"/>
          <w:sz w:val="20"/>
        </w:rPr>
        <w:t>h</w:t>
      </w:r>
      <w:r w:rsidR="004C6427" w:rsidRPr="00E047FC">
        <w:rPr>
          <w:rFonts w:ascii="Arial" w:hAnsi="Arial" w:cs="Arial"/>
          <w:b w:val="0"/>
          <w:noProof/>
          <w:color w:val="auto"/>
          <w:sz w:val="20"/>
        </w:rPr>
        <w:t xml:space="preserve"> systems in Australia</w:t>
      </w:r>
      <w:r w:rsidR="001D03CF">
        <w:rPr>
          <w:rFonts w:ascii="Arial" w:hAnsi="Arial" w:cs="Arial"/>
          <w:b w:val="0"/>
          <w:noProof/>
          <w:color w:val="auto"/>
          <w:sz w:val="20"/>
        </w:rPr>
        <w:t xml:space="preserve"> -</w:t>
      </w:r>
      <w:r w:rsidR="001D03CF" w:rsidRPr="001D03CF">
        <w:rPr>
          <w:rFonts w:ascii="Arial" w:eastAsia="Batang" w:hAnsi="Arial" w:cs="Arial"/>
        </w:rPr>
        <w:t xml:space="preserve"> </w:t>
      </w:r>
      <w:r w:rsidR="001D03CF" w:rsidRPr="00D378CB">
        <w:rPr>
          <w:rFonts w:ascii="Arial" w:hAnsi="Arial" w:cs="Arial"/>
          <w:b w:val="0"/>
          <w:noProof/>
          <w:color w:val="auto"/>
          <w:sz w:val="20"/>
        </w:rPr>
        <w:t>illustrat</w:t>
      </w:r>
      <w:r w:rsidR="001D03CF">
        <w:rPr>
          <w:rFonts w:ascii="Arial" w:hAnsi="Arial" w:cs="Arial"/>
          <w:b w:val="0"/>
          <w:noProof/>
          <w:color w:val="auto"/>
          <w:sz w:val="20"/>
        </w:rPr>
        <w:t>ing</w:t>
      </w:r>
      <w:r w:rsidR="001D03CF" w:rsidRPr="00D378CB">
        <w:rPr>
          <w:rFonts w:ascii="Arial" w:hAnsi="Arial" w:cs="Arial"/>
          <w:b w:val="0"/>
          <w:noProof/>
          <w:color w:val="auto"/>
          <w:sz w:val="20"/>
        </w:rPr>
        <w:t xml:space="preserve"> relevant environmental health related decision</w:t>
      </w:r>
      <w:r w:rsidR="0083308C">
        <w:rPr>
          <w:rFonts w:ascii="Arial" w:hAnsi="Arial" w:cs="Arial"/>
          <w:b w:val="0"/>
          <w:noProof/>
          <w:color w:val="auto"/>
          <w:sz w:val="20"/>
        </w:rPr>
        <w:noBreakHyphen/>
      </w:r>
      <w:r w:rsidR="001D03CF" w:rsidRPr="00D378CB">
        <w:rPr>
          <w:rFonts w:ascii="Arial" w:hAnsi="Arial" w:cs="Arial"/>
          <w:b w:val="0"/>
          <w:noProof/>
          <w:color w:val="auto"/>
          <w:sz w:val="20"/>
        </w:rPr>
        <w:t>making, advisory and regulatory agencies.</w:t>
      </w:r>
    </w:p>
    <w:p w14:paraId="2D3DB855" w14:textId="77777777" w:rsidR="00480EC6" w:rsidRPr="00D378CB" w:rsidRDefault="004C6427" w:rsidP="00081B35">
      <w:pPr>
        <w:pStyle w:val="Heading2"/>
        <w:ind w:left="0" w:firstLine="0"/>
        <w:rPr>
          <w:rFonts w:ascii="Arial" w:hAnsi="Arial"/>
          <w:sz w:val="22"/>
          <w:szCs w:val="22"/>
        </w:rPr>
      </w:pPr>
      <w:bookmarkStart w:id="48" w:name="_Toc22060626"/>
      <w:bookmarkStart w:id="49" w:name="_Toc22060711"/>
      <w:bookmarkStart w:id="50" w:name="_Toc22060785"/>
      <w:bookmarkStart w:id="51" w:name="_Toc22060990"/>
      <w:bookmarkStart w:id="52" w:name="_Toc25919639"/>
      <w:bookmarkStart w:id="53" w:name="_Toc58502792"/>
      <w:bookmarkEnd w:id="48"/>
      <w:bookmarkEnd w:id="49"/>
      <w:bookmarkEnd w:id="50"/>
      <w:bookmarkEnd w:id="51"/>
      <w:bookmarkEnd w:id="52"/>
      <w:r w:rsidRPr="00D378CB">
        <w:rPr>
          <w:rFonts w:ascii="Arial" w:hAnsi="Arial"/>
          <w:sz w:val="22"/>
          <w:szCs w:val="22"/>
        </w:rPr>
        <w:lastRenderedPageBreak/>
        <w:t>The role of health agencies in environmental h</w:t>
      </w:r>
      <w:r w:rsidR="00480EC6" w:rsidRPr="00D378CB">
        <w:rPr>
          <w:rFonts w:ascii="Arial" w:hAnsi="Arial"/>
          <w:sz w:val="22"/>
          <w:szCs w:val="22"/>
        </w:rPr>
        <w:t>ealth</w:t>
      </w:r>
      <w:bookmarkEnd w:id="53"/>
    </w:p>
    <w:p w14:paraId="33D55851" w14:textId="77777777" w:rsidR="00480EC6" w:rsidRPr="005E1196" w:rsidRDefault="00480EC6" w:rsidP="00D378CB">
      <w:pPr>
        <w:pStyle w:val="BodyText1"/>
        <w:spacing w:line="276" w:lineRule="auto"/>
        <w:ind w:left="0"/>
        <w:rPr>
          <w:rFonts w:ascii="Arial" w:eastAsia="Batang" w:hAnsi="Arial" w:cs="Arial"/>
        </w:rPr>
      </w:pPr>
      <w:r w:rsidRPr="005E1196">
        <w:rPr>
          <w:rFonts w:ascii="Arial" w:eastAsia="Batang" w:hAnsi="Arial" w:cs="Arial"/>
        </w:rPr>
        <w:t xml:space="preserve">Environmental health functions within health agencies play a pivotal role in </w:t>
      </w:r>
      <w:r w:rsidR="005E1196">
        <w:rPr>
          <w:rFonts w:ascii="Arial" w:eastAsia="Batang" w:hAnsi="Arial" w:cs="Arial"/>
        </w:rPr>
        <w:t xml:space="preserve">the </w:t>
      </w:r>
      <w:r w:rsidRPr="005E1196">
        <w:rPr>
          <w:rFonts w:ascii="Arial" w:eastAsia="Batang" w:hAnsi="Arial" w:cs="Arial"/>
        </w:rPr>
        <w:t>multi-agency health protection system in Australia</w:t>
      </w:r>
      <w:r w:rsidR="005E1196">
        <w:rPr>
          <w:rFonts w:ascii="Arial" w:eastAsia="Batang" w:hAnsi="Arial" w:cs="Arial"/>
        </w:rPr>
        <w:t>.</w:t>
      </w:r>
      <w:r w:rsidRPr="005E1196">
        <w:rPr>
          <w:rFonts w:ascii="Arial" w:eastAsia="Batang" w:hAnsi="Arial" w:cs="Arial"/>
        </w:rPr>
        <w:t xml:space="preserve"> </w:t>
      </w:r>
      <w:r w:rsidR="00D85F53" w:rsidRPr="005E1196">
        <w:rPr>
          <w:rFonts w:ascii="Arial" w:eastAsia="Batang" w:hAnsi="Arial" w:cs="Arial"/>
        </w:rPr>
        <w:t xml:space="preserve">As </w:t>
      </w:r>
      <w:r w:rsidR="00EA4699">
        <w:rPr>
          <w:rFonts w:ascii="Arial" w:eastAsia="Batang" w:hAnsi="Arial" w:cs="Arial"/>
        </w:rPr>
        <w:t>noted</w:t>
      </w:r>
      <w:r w:rsidR="00D85F53" w:rsidRPr="005E1196">
        <w:rPr>
          <w:rFonts w:ascii="Arial" w:eastAsia="Batang" w:hAnsi="Arial" w:cs="Arial"/>
        </w:rPr>
        <w:t xml:space="preserve"> </w:t>
      </w:r>
      <w:r w:rsidR="007B09DA" w:rsidRPr="005E1196">
        <w:rPr>
          <w:rFonts w:ascii="Arial" w:eastAsia="Batang" w:hAnsi="Arial" w:cs="Arial"/>
        </w:rPr>
        <w:t>above</w:t>
      </w:r>
      <w:r w:rsidR="00EA4699">
        <w:rPr>
          <w:rFonts w:ascii="Arial" w:eastAsia="Batang" w:hAnsi="Arial" w:cs="Arial"/>
        </w:rPr>
        <w:t xml:space="preserve"> and shown in </w:t>
      </w:r>
      <w:r w:rsidR="00EA4699" w:rsidRPr="000771E6">
        <w:rPr>
          <w:rFonts w:ascii="Arial" w:eastAsia="Batang" w:hAnsi="Arial" w:cs="Arial"/>
          <w:b/>
        </w:rPr>
        <w:t xml:space="preserve">Figure </w:t>
      </w:r>
      <w:r w:rsidR="00D378CB" w:rsidRPr="000771E6">
        <w:rPr>
          <w:rFonts w:ascii="Arial" w:eastAsia="Batang" w:hAnsi="Arial" w:cs="Arial"/>
          <w:b/>
        </w:rPr>
        <w:t>2</w:t>
      </w:r>
      <w:r w:rsidR="00EA4699">
        <w:rPr>
          <w:rFonts w:ascii="Arial" w:eastAsia="Batang" w:hAnsi="Arial" w:cs="Arial"/>
        </w:rPr>
        <w:t>,</w:t>
      </w:r>
      <w:r w:rsidRPr="005E1196">
        <w:rPr>
          <w:rFonts w:ascii="Arial" w:eastAsia="Batang" w:hAnsi="Arial" w:cs="Arial"/>
        </w:rPr>
        <w:t xml:space="preserve"> a range of agencies have responsibili</w:t>
      </w:r>
      <w:r w:rsidR="00EA4699">
        <w:rPr>
          <w:rFonts w:ascii="Arial" w:eastAsia="Batang" w:hAnsi="Arial" w:cs="Arial"/>
        </w:rPr>
        <w:t xml:space="preserve">ty for regulating environmental </w:t>
      </w:r>
      <w:r w:rsidRPr="005E1196">
        <w:rPr>
          <w:rFonts w:ascii="Arial" w:eastAsia="Batang" w:hAnsi="Arial" w:cs="Arial"/>
        </w:rPr>
        <w:t>f</w:t>
      </w:r>
      <w:r w:rsidR="00D85F53" w:rsidRPr="005E1196">
        <w:rPr>
          <w:rFonts w:ascii="Arial" w:eastAsia="Batang" w:hAnsi="Arial" w:cs="Arial"/>
        </w:rPr>
        <w:t>actors. H</w:t>
      </w:r>
      <w:r w:rsidRPr="005E1196">
        <w:rPr>
          <w:rFonts w:ascii="Arial" w:eastAsia="Batang" w:hAnsi="Arial" w:cs="Arial"/>
        </w:rPr>
        <w:t xml:space="preserve">owever, when </w:t>
      </w:r>
      <w:r w:rsidR="00EA4699">
        <w:rPr>
          <w:rFonts w:ascii="Arial" w:eastAsia="Batang" w:hAnsi="Arial" w:cs="Arial"/>
        </w:rPr>
        <w:t xml:space="preserve">environmental </w:t>
      </w:r>
      <w:r w:rsidRPr="005E1196">
        <w:rPr>
          <w:rFonts w:ascii="Arial" w:eastAsia="Batang" w:hAnsi="Arial" w:cs="Arial"/>
        </w:rPr>
        <w:t>health</w:t>
      </w:r>
      <w:r w:rsidR="00EA4699">
        <w:rPr>
          <w:rFonts w:ascii="Arial" w:eastAsia="Batang" w:hAnsi="Arial" w:cs="Arial"/>
        </w:rPr>
        <w:t>-specific</w:t>
      </w:r>
      <w:r w:rsidRPr="005E1196">
        <w:rPr>
          <w:rFonts w:ascii="Arial" w:eastAsia="Batang" w:hAnsi="Arial" w:cs="Arial"/>
        </w:rPr>
        <w:t xml:space="preserve"> risks emerge, the community expects health agencies to provide specific guidance info</w:t>
      </w:r>
      <w:r w:rsidR="00EA4699">
        <w:rPr>
          <w:rFonts w:ascii="Arial" w:eastAsia="Batang" w:hAnsi="Arial" w:cs="Arial"/>
        </w:rPr>
        <w:t>rmed by a clinical perspective.</w:t>
      </w:r>
    </w:p>
    <w:p w14:paraId="1AA9E130" w14:textId="77777777" w:rsidR="00480EC6" w:rsidRPr="005E1196" w:rsidRDefault="00480EC6" w:rsidP="00D378CB">
      <w:pPr>
        <w:pStyle w:val="BodyText1"/>
        <w:spacing w:line="276" w:lineRule="auto"/>
        <w:ind w:left="0"/>
        <w:rPr>
          <w:rFonts w:ascii="Arial" w:hAnsi="Arial" w:cs="Arial"/>
        </w:rPr>
      </w:pPr>
      <w:r w:rsidRPr="005E1196">
        <w:rPr>
          <w:rFonts w:ascii="Arial" w:hAnsi="Arial" w:cs="Arial"/>
        </w:rPr>
        <w:t>Historically, all these functions we</w:t>
      </w:r>
      <w:r w:rsidR="00EA4699">
        <w:rPr>
          <w:rFonts w:ascii="Arial" w:hAnsi="Arial" w:cs="Arial"/>
        </w:rPr>
        <w:t>re located in health agencies. More recently</w:t>
      </w:r>
      <w:r w:rsidRPr="005E1196">
        <w:rPr>
          <w:rFonts w:ascii="Arial" w:hAnsi="Arial" w:cs="Arial"/>
        </w:rPr>
        <w:t>, as the community</w:t>
      </w:r>
      <w:r w:rsidR="00EA4699">
        <w:rPr>
          <w:rFonts w:ascii="Arial" w:hAnsi="Arial" w:cs="Arial"/>
        </w:rPr>
        <w:t xml:space="preserve"> required a greater investment i</w:t>
      </w:r>
      <w:r w:rsidRPr="005E1196">
        <w:rPr>
          <w:rFonts w:ascii="Arial" w:hAnsi="Arial" w:cs="Arial"/>
        </w:rPr>
        <w:t>n these risks, agencies with a specific focus on certain parts of the environmental health system were establ</w:t>
      </w:r>
      <w:r w:rsidR="00EA4699">
        <w:rPr>
          <w:rFonts w:ascii="Arial" w:hAnsi="Arial" w:cs="Arial"/>
        </w:rPr>
        <w:t xml:space="preserve">ished. </w:t>
      </w:r>
      <w:r w:rsidRPr="005E1196">
        <w:rPr>
          <w:rFonts w:ascii="Arial" w:hAnsi="Arial" w:cs="Arial"/>
        </w:rPr>
        <w:t xml:space="preserve">Certain </w:t>
      </w:r>
      <w:r w:rsidR="00EA210D" w:rsidRPr="005E1196">
        <w:rPr>
          <w:rFonts w:ascii="Arial" w:hAnsi="Arial" w:cs="Arial"/>
        </w:rPr>
        <w:t>high-risk</w:t>
      </w:r>
      <w:r w:rsidRPr="005E1196">
        <w:rPr>
          <w:rFonts w:ascii="Arial" w:hAnsi="Arial" w:cs="Arial"/>
        </w:rPr>
        <w:t xml:space="preserve"> hazards continue to be regulated by health agencies, particularly in partnership wit</w:t>
      </w:r>
      <w:r w:rsidR="00EA4699">
        <w:rPr>
          <w:rFonts w:ascii="Arial" w:hAnsi="Arial" w:cs="Arial"/>
        </w:rPr>
        <w:t>h local government. States and t</w:t>
      </w:r>
      <w:r w:rsidRPr="005E1196">
        <w:rPr>
          <w:rFonts w:ascii="Arial" w:hAnsi="Arial" w:cs="Arial"/>
        </w:rPr>
        <w:t>erritories vary to the extent to which certain environmental hazards continue to be managed by health or other agencies.</w:t>
      </w:r>
    </w:p>
    <w:p w14:paraId="0230A60A" w14:textId="77777777" w:rsidR="00480EC6" w:rsidRPr="005E1196" w:rsidRDefault="00480EC6" w:rsidP="00D378CB">
      <w:pPr>
        <w:pStyle w:val="BodyText1"/>
        <w:spacing w:line="276" w:lineRule="auto"/>
        <w:ind w:left="0"/>
        <w:rPr>
          <w:rFonts w:ascii="Arial" w:hAnsi="Arial" w:cs="Arial"/>
        </w:rPr>
      </w:pPr>
      <w:r w:rsidRPr="005E1196">
        <w:rPr>
          <w:rFonts w:ascii="Arial" w:hAnsi="Arial" w:cs="Arial"/>
        </w:rPr>
        <w:t xml:space="preserve">Nevertheless, certain core health responsibilities will always remain with health agencies consistent with their role as being an agency whose primary and sole accountability </w:t>
      </w:r>
      <w:r w:rsidR="00EA4699">
        <w:rPr>
          <w:rFonts w:ascii="Arial" w:hAnsi="Arial" w:cs="Arial"/>
        </w:rPr>
        <w:t xml:space="preserve">is the health of the community. </w:t>
      </w:r>
      <w:r w:rsidRPr="005E1196">
        <w:rPr>
          <w:rFonts w:ascii="Arial" w:hAnsi="Arial" w:cs="Arial"/>
        </w:rPr>
        <w:t>This role is unencumbered by the associated responsibilities for industry development.</w:t>
      </w:r>
    </w:p>
    <w:p w14:paraId="1F5E7892" w14:textId="37988F0A" w:rsidR="00480EC6" w:rsidRPr="005E1196" w:rsidRDefault="00480EC6" w:rsidP="00D378CB">
      <w:pPr>
        <w:pStyle w:val="BodyText1"/>
        <w:spacing w:line="276" w:lineRule="auto"/>
        <w:ind w:left="0"/>
        <w:rPr>
          <w:rFonts w:ascii="Arial" w:hAnsi="Arial" w:cs="Arial"/>
        </w:rPr>
      </w:pPr>
      <w:r w:rsidRPr="005E1196">
        <w:rPr>
          <w:rFonts w:ascii="Arial" w:hAnsi="Arial" w:cs="Arial"/>
        </w:rPr>
        <w:t>Health agencies, therefo</w:t>
      </w:r>
      <w:r w:rsidR="00EA4699">
        <w:rPr>
          <w:rFonts w:ascii="Arial" w:hAnsi="Arial" w:cs="Arial"/>
        </w:rPr>
        <w:t xml:space="preserve">re, are the primary advisors to national, state and territory </w:t>
      </w:r>
      <w:r w:rsidR="0083308C">
        <w:rPr>
          <w:rFonts w:ascii="Arial" w:hAnsi="Arial" w:cs="Arial"/>
        </w:rPr>
        <w:t xml:space="preserve">governments </w:t>
      </w:r>
      <w:r w:rsidRPr="005E1196">
        <w:rPr>
          <w:rFonts w:ascii="Arial" w:hAnsi="Arial" w:cs="Arial"/>
        </w:rPr>
        <w:t>on whether a particular hazard</w:t>
      </w:r>
      <w:r w:rsidR="00EA4699">
        <w:rPr>
          <w:rFonts w:ascii="Arial" w:hAnsi="Arial" w:cs="Arial"/>
        </w:rPr>
        <w:t xml:space="preserve"> constitutes a risk to health. </w:t>
      </w:r>
      <w:r w:rsidRPr="005E1196">
        <w:rPr>
          <w:rFonts w:ascii="Arial" w:hAnsi="Arial" w:cs="Arial"/>
        </w:rPr>
        <w:t>Once codified into standards</w:t>
      </w:r>
      <w:r w:rsidR="007F4CE5">
        <w:rPr>
          <w:rFonts w:ascii="Arial" w:hAnsi="Arial" w:cs="Arial"/>
        </w:rPr>
        <w:t xml:space="preserve"> </w:t>
      </w:r>
      <w:r w:rsidR="00B16887">
        <w:rPr>
          <w:rFonts w:ascii="Arial" w:hAnsi="Arial" w:cs="Arial"/>
        </w:rPr>
        <w:t>or guidelines</w:t>
      </w:r>
      <w:r w:rsidRPr="005E1196">
        <w:rPr>
          <w:rFonts w:ascii="Arial" w:hAnsi="Arial" w:cs="Arial"/>
        </w:rPr>
        <w:t>, other non-health agencies are able to administer regulatory schemes to a</w:t>
      </w:r>
      <w:r w:rsidR="00EA4699">
        <w:rPr>
          <w:rFonts w:ascii="Arial" w:hAnsi="Arial" w:cs="Arial"/>
        </w:rPr>
        <w:t>chieve those standards. More recently, h</w:t>
      </w:r>
      <w:r w:rsidRPr="005E1196">
        <w:rPr>
          <w:rFonts w:ascii="Arial" w:hAnsi="Arial" w:cs="Arial"/>
        </w:rPr>
        <w:t>ealth agencies</w:t>
      </w:r>
      <w:r w:rsidR="00EA4699">
        <w:rPr>
          <w:rFonts w:ascii="Arial" w:hAnsi="Arial" w:cs="Arial"/>
        </w:rPr>
        <w:t xml:space="preserve"> </w:t>
      </w:r>
      <w:r w:rsidRPr="00B16887">
        <w:rPr>
          <w:rFonts w:ascii="Arial" w:hAnsi="Arial" w:cs="Arial"/>
        </w:rPr>
        <w:t xml:space="preserve">have shifted their focus to </w:t>
      </w:r>
      <w:r w:rsidR="00EA210D" w:rsidRPr="00B16887">
        <w:rPr>
          <w:rFonts w:ascii="Arial" w:hAnsi="Arial" w:cs="Arial"/>
        </w:rPr>
        <w:t>situations that are more complex</w:t>
      </w:r>
      <w:r w:rsidRPr="00B16887">
        <w:rPr>
          <w:rFonts w:ascii="Arial" w:hAnsi="Arial" w:cs="Arial"/>
        </w:rPr>
        <w:t xml:space="preserve"> and to </w:t>
      </w:r>
      <w:r w:rsidR="00F01A2B" w:rsidRPr="00B16887">
        <w:rPr>
          <w:rFonts w:ascii="Arial" w:hAnsi="Arial" w:cs="Arial"/>
        </w:rPr>
        <w:t xml:space="preserve">those hazards that are emerging, </w:t>
      </w:r>
      <w:r w:rsidRPr="00B16887">
        <w:rPr>
          <w:rFonts w:ascii="Arial" w:hAnsi="Arial" w:cs="Arial"/>
        </w:rPr>
        <w:t>uncommon or novel</w:t>
      </w:r>
      <w:r w:rsidR="00F01A2B" w:rsidRPr="00B16887">
        <w:rPr>
          <w:rFonts w:ascii="Arial" w:hAnsi="Arial" w:cs="Arial"/>
        </w:rPr>
        <w:t xml:space="preserve"> (</w:t>
      </w:r>
      <w:r w:rsidR="00EA210D" w:rsidRPr="00B16887">
        <w:rPr>
          <w:rFonts w:ascii="Arial" w:hAnsi="Arial" w:cs="Arial"/>
        </w:rPr>
        <w:t>e.g.,</w:t>
      </w:r>
      <w:r w:rsidR="00F01A2B" w:rsidRPr="00B16887">
        <w:rPr>
          <w:rFonts w:ascii="Arial" w:hAnsi="Arial" w:cs="Arial"/>
        </w:rPr>
        <w:t xml:space="preserve"> </w:t>
      </w:r>
      <w:r w:rsidR="00B16887" w:rsidRPr="00B16887">
        <w:rPr>
          <w:rFonts w:ascii="Arial" w:hAnsi="Arial" w:cs="Arial"/>
          <w:i/>
        </w:rPr>
        <w:t>development of environmental health standards is required</w:t>
      </w:r>
      <w:r w:rsidRPr="005E1196">
        <w:rPr>
          <w:rFonts w:ascii="Arial" w:hAnsi="Arial" w:cs="Arial"/>
        </w:rPr>
        <w:t xml:space="preserve">; </w:t>
      </w:r>
      <w:r w:rsidR="00EA210D" w:rsidRPr="005E1196">
        <w:rPr>
          <w:rFonts w:ascii="Arial" w:hAnsi="Arial" w:cs="Arial"/>
        </w:rPr>
        <w:t>emergencies</w:t>
      </w:r>
      <w:r w:rsidRPr="005E1196">
        <w:rPr>
          <w:rFonts w:ascii="Arial" w:hAnsi="Arial" w:cs="Arial"/>
        </w:rPr>
        <w:t>; and the investigation of non-communicable disease clusters</w:t>
      </w:r>
      <w:r w:rsidR="00F01A2B">
        <w:rPr>
          <w:rFonts w:ascii="Arial" w:hAnsi="Arial" w:cs="Arial"/>
        </w:rPr>
        <w:t>)</w:t>
      </w:r>
      <w:r w:rsidR="006B2A19">
        <w:rPr>
          <w:rFonts w:ascii="Arial" w:hAnsi="Arial" w:cs="Arial"/>
        </w:rPr>
        <w:t>. Importantly</w:t>
      </w:r>
      <w:r w:rsidRPr="005E1196">
        <w:rPr>
          <w:rFonts w:ascii="Arial" w:hAnsi="Arial" w:cs="Arial"/>
        </w:rPr>
        <w:t xml:space="preserve">, the advisory capacity of environmental public health programs to public health physicians, including Chief Health Officers, informs and enables </w:t>
      </w:r>
      <w:r w:rsidR="006B2A19">
        <w:rPr>
          <w:rFonts w:ascii="Arial" w:hAnsi="Arial" w:cs="Arial"/>
        </w:rPr>
        <w:t xml:space="preserve">robust </w:t>
      </w:r>
      <w:r w:rsidRPr="005E1196">
        <w:rPr>
          <w:rFonts w:ascii="Arial" w:hAnsi="Arial" w:cs="Arial"/>
        </w:rPr>
        <w:t xml:space="preserve">medical judgement about public health risks to the community. </w:t>
      </w:r>
    </w:p>
    <w:p w14:paraId="06442F98" w14:textId="77777777" w:rsidR="00480EC6" w:rsidRPr="005E1196" w:rsidRDefault="00480EC6" w:rsidP="00D378CB">
      <w:pPr>
        <w:pStyle w:val="BodyText1"/>
        <w:spacing w:line="276" w:lineRule="auto"/>
        <w:ind w:left="0"/>
        <w:rPr>
          <w:rFonts w:ascii="Arial" w:hAnsi="Arial" w:cs="Arial"/>
        </w:rPr>
      </w:pPr>
      <w:r w:rsidRPr="005E1196">
        <w:rPr>
          <w:rFonts w:ascii="Arial" w:hAnsi="Arial" w:cs="Arial"/>
        </w:rPr>
        <w:t>Environmental public health work is carried out by a range of individuals with qualifications and</w:t>
      </w:r>
      <w:r w:rsidR="006B2A19">
        <w:rPr>
          <w:rFonts w:ascii="Arial" w:hAnsi="Arial" w:cs="Arial"/>
        </w:rPr>
        <w:t xml:space="preserve"> expertise</w:t>
      </w:r>
      <w:r w:rsidRPr="005E1196">
        <w:rPr>
          <w:rFonts w:ascii="Arial" w:hAnsi="Arial" w:cs="Arial"/>
        </w:rPr>
        <w:t xml:space="preserve"> in the fields of public health, environmental science, environmental health, human health toxicology, chemistry, biology, physics, nuclear medicine, public health medicine, e</w:t>
      </w:r>
      <w:r w:rsidR="006B2A19">
        <w:rPr>
          <w:rFonts w:ascii="Arial" w:hAnsi="Arial" w:cs="Arial"/>
        </w:rPr>
        <w:t xml:space="preserve">pidemiology, risk communication, and community engagement. </w:t>
      </w:r>
      <w:r w:rsidRPr="005E1196">
        <w:rPr>
          <w:rFonts w:ascii="Arial" w:hAnsi="Arial" w:cs="Arial"/>
        </w:rPr>
        <w:t>Environmental public health is a related but distinct field from the practice of environment protection, which includes a core focus on regulatory tools and compliance with environmental standards to protect the community from pollution and waste, including legacy contamination of the environment.</w:t>
      </w:r>
    </w:p>
    <w:p w14:paraId="00E28754" w14:textId="77777777" w:rsidR="00480EC6" w:rsidRPr="00D378CB" w:rsidRDefault="00480EC6" w:rsidP="00081B35">
      <w:pPr>
        <w:pStyle w:val="Heading2"/>
        <w:ind w:left="0" w:firstLine="0"/>
        <w:rPr>
          <w:rFonts w:ascii="Arial" w:hAnsi="Arial"/>
          <w:color w:val="365F91" w:themeColor="accent1" w:themeShade="BF"/>
          <w:sz w:val="22"/>
          <w:szCs w:val="22"/>
        </w:rPr>
      </w:pPr>
      <w:bookmarkStart w:id="54" w:name="_Toc58502793"/>
      <w:r w:rsidRPr="00D378CB">
        <w:rPr>
          <w:rFonts w:ascii="Arial" w:hAnsi="Arial"/>
          <w:sz w:val="22"/>
          <w:szCs w:val="22"/>
        </w:rPr>
        <w:t>About enHealth</w:t>
      </w:r>
      <w:bookmarkEnd w:id="54"/>
    </w:p>
    <w:p w14:paraId="0D6E6255" w14:textId="797DA1A0" w:rsidR="00A65A72" w:rsidRDefault="00A5510E" w:rsidP="00D378CB">
      <w:pPr>
        <w:pStyle w:val="BodyText1"/>
        <w:spacing w:line="276" w:lineRule="auto"/>
        <w:ind w:left="0"/>
        <w:rPr>
          <w:rFonts w:ascii="Arial" w:eastAsia="Batang" w:hAnsi="Arial" w:cs="Arial"/>
        </w:rPr>
      </w:pPr>
      <w:r w:rsidRPr="00B864E7">
        <w:rPr>
          <w:rFonts w:ascii="Arial" w:eastAsia="Batang" w:hAnsi="Arial" w:cs="Arial"/>
        </w:rPr>
        <w:t xml:space="preserve">The </w:t>
      </w:r>
      <w:r w:rsidR="00480EC6" w:rsidRPr="00B864E7">
        <w:rPr>
          <w:rFonts w:ascii="Arial" w:eastAsia="Batang" w:hAnsi="Arial" w:cs="Arial"/>
          <w:b/>
        </w:rPr>
        <w:t>Environmental Health Standing Committee (enHealth)</w:t>
      </w:r>
      <w:r w:rsidR="00480EC6" w:rsidRPr="00B864E7">
        <w:rPr>
          <w:rFonts w:ascii="Arial" w:eastAsia="Batang" w:hAnsi="Arial" w:cs="Arial"/>
        </w:rPr>
        <w:t xml:space="preserve"> </w:t>
      </w:r>
      <w:r w:rsidR="00E047FC">
        <w:rPr>
          <w:rFonts w:ascii="Arial" w:eastAsia="Batang" w:hAnsi="Arial" w:cs="Arial"/>
        </w:rPr>
        <w:t>is comprised of senior environment health officials from the Australian Government Department of Health, state and territory environmental health authorities, the New Zealand Ministry of Health, and the National Health and Medical Research Council</w:t>
      </w:r>
      <w:r w:rsidR="0007136F">
        <w:rPr>
          <w:rFonts w:ascii="Arial" w:eastAsia="Batang" w:hAnsi="Arial" w:cs="Arial"/>
        </w:rPr>
        <w:t xml:space="preserve"> (NHMRC)</w:t>
      </w:r>
      <w:r w:rsidR="00EA210D">
        <w:rPr>
          <w:rFonts w:ascii="Arial" w:eastAsia="Batang" w:hAnsi="Arial" w:cs="Arial"/>
        </w:rPr>
        <w:t>.</w:t>
      </w:r>
      <w:r w:rsidR="00E047FC">
        <w:rPr>
          <w:rFonts w:ascii="Arial" w:eastAsia="Batang" w:hAnsi="Arial" w:cs="Arial"/>
        </w:rPr>
        <w:t xml:space="preserve"> </w:t>
      </w:r>
      <w:r w:rsidR="00EA210D">
        <w:rPr>
          <w:rFonts w:ascii="Arial" w:eastAsia="Batang" w:hAnsi="Arial" w:cs="Arial"/>
        </w:rPr>
        <w:t>A</w:t>
      </w:r>
      <w:r w:rsidR="00A65A72">
        <w:rPr>
          <w:rFonts w:ascii="Arial" w:eastAsia="Batang" w:hAnsi="Arial" w:cs="Arial"/>
        </w:rPr>
        <w:t xml:space="preserve">s such, </w:t>
      </w:r>
      <w:r w:rsidR="00EA210D">
        <w:rPr>
          <w:rFonts w:ascii="Arial" w:eastAsia="Batang" w:hAnsi="Arial" w:cs="Arial"/>
        </w:rPr>
        <w:t xml:space="preserve">it </w:t>
      </w:r>
      <w:r w:rsidR="00E047FC">
        <w:rPr>
          <w:rFonts w:ascii="Arial" w:eastAsia="Batang" w:hAnsi="Arial" w:cs="Arial"/>
        </w:rPr>
        <w:t xml:space="preserve">draws on a wealth of environmental health expertise from across the nation. It </w:t>
      </w:r>
      <w:r w:rsidR="00480EC6" w:rsidRPr="00B864E7">
        <w:rPr>
          <w:rFonts w:ascii="Arial" w:eastAsia="Batang" w:hAnsi="Arial" w:cs="Arial"/>
        </w:rPr>
        <w:t>is responsible for providing agreed environmental health policy advice, national coordination and support for responding to environmental health issues, consultation with key stakeholders, develop</w:t>
      </w:r>
      <w:r w:rsidR="0083308C">
        <w:rPr>
          <w:rFonts w:ascii="Arial" w:eastAsia="Batang" w:hAnsi="Arial" w:cs="Arial"/>
        </w:rPr>
        <w:t>ing</w:t>
      </w:r>
      <w:r w:rsidR="00480EC6" w:rsidRPr="00B864E7">
        <w:rPr>
          <w:rFonts w:ascii="Arial" w:eastAsia="Batang" w:hAnsi="Arial" w:cs="Arial"/>
        </w:rPr>
        <w:t xml:space="preserve"> and coordinatin</w:t>
      </w:r>
      <w:r w:rsidR="0083308C">
        <w:rPr>
          <w:rFonts w:ascii="Arial" w:eastAsia="Batang" w:hAnsi="Arial" w:cs="Arial"/>
        </w:rPr>
        <w:t>g</w:t>
      </w:r>
      <w:r w:rsidR="00480EC6" w:rsidRPr="00B864E7">
        <w:rPr>
          <w:rFonts w:ascii="Arial" w:eastAsia="Batang" w:hAnsi="Arial" w:cs="Arial"/>
        </w:rPr>
        <w:t xml:space="preserve"> research, information and practical resources on environmental health matters at a national level</w:t>
      </w:r>
      <w:r w:rsidR="00B864E7">
        <w:rPr>
          <w:rFonts w:ascii="Arial" w:eastAsia="Batang" w:hAnsi="Arial" w:cs="Arial"/>
        </w:rPr>
        <w:t>, and coordinatin</w:t>
      </w:r>
      <w:r w:rsidR="0083308C">
        <w:rPr>
          <w:rFonts w:ascii="Arial" w:eastAsia="Batang" w:hAnsi="Arial" w:cs="Arial"/>
        </w:rPr>
        <w:t>g</w:t>
      </w:r>
      <w:r w:rsidR="00B864E7">
        <w:rPr>
          <w:rFonts w:ascii="Arial" w:eastAsia="Batang" w:hAnsi="Arial" w:cs="Arial"/>
        </w:rPr>
        <w:t xml:space="preserve"> health </w:t>
      </w:r>
      <w:r w:rsidR="00480EC6" w:rsidRPr="00B864E7">
        <w:rPr>
          <w:rFonts w:ascii="Arial" w:eastAsia="Batang" w:hAnsi="Arial" w:cs="Arial"/>
        </w:rPr>
        <w:t>input into environmental standards.</w:t>
      </w:r>
      <w:r w:rsidR="00A65A72" w:rsidRPr="00A65A72">
        <w:rPr>
          <w:rFonts w:ascii="Arial" w:eastAsia="Batang" w:hAnsi="Arial" w:cs="Arial"/>
        </w:rPr>
        <w:t xml:space="preserve"> </w:t>
      </w:r>
      <w:r w:rsidR="00241C02">
        <w:rPr>
          <w:rFonts w:ascii="Arial" w:eastAsia="Batang" w:hAnsi="Arial" w:cs="Arial"/>
        </w:rPr>
        <w:t>enHealth frequently invites</w:t>
      </w:r>
      <w:r w:rsidR="0007136F">
        <w:rPr>
          <w:rFonts w:ascii="Arial" w:eastAsia="Batang" w:hAnsi="Arial" w:cs="Arial"/>
        </w:rPr>
        <w:t xml:space="preserve"> experts,</w:t>
      </w:r>
      <w:r w:rsidR="00241C02">
        <w:rPr>
          <w:rFonts w:ascii="Arial" w:eastAsia="Batang" w:hAnsi="Arial" w:cs="Arial"/>
        </w:rPr>
        <w:t xml:space="preserve"> observers and other stakeholders to present and provide advice at meetings. A list of </w:t>
      </w:r>
      <w:r w:rsidR="000771E6">
        <w:rPr>
          <w:rFonts w:ascii="Arial" w:eastAsia="Batang" w:hAnsi="Arial" w:cs="Arial"/>
        </w:rPr>
        <w:t xml:space="preserve">major </w:t>
      </w:r>
      <w:r w:rsidR="00241C02">
        <w:rPr>
          <w:rFonts w:ascii="Arial" w:eastAsia="Batang" w:hAnsi="Arial" w:cs="Arial"/>
        </w:rPr>
        <w:t xml:space="preserve">enHealth stakeholders is provided in </w:t>
      </w:r>
      <w:r w:rsidR="00241C02" w:rsidRPr="00D378CB">
        <w:rPr>
          <w:rFonts w:ascii="Arial" w:eastAsia="Batang" w:hAnsi="Arial" w:cs="Arial"/>
          <w:b/>
        </w:rPr>
        <w:t xml:space="preserve">Appendix </w:t>
      </w:r>
      <w:r w:rsidR="00FF7082" w:rsidRPr="00D378CB">
        <w:rPr>
          <w:rFonts w:ascii="Arial" w:eastAsia="Batang" w:hAnsi="Arial" w:cs="Arial"/>
          <w:b/>
        </w:rPr>
        <w:t>1</w:t>
      </w:r>
      <w:r w:rsidR="00241C02">
        <w:rPr>
          <w:rFonts w:ascii="Arial" w:eastAsia="Batang" w:hAnsi="Arial" w:cs="Arial"/>
        </w:rPr>
        <w:t>.</w:t>
      </w:r>
    </w:p>
    <w:p w14:paraId="5EBF0EED" w14:textId="231FC0BF" w:rsidR="00A65A72" w:rsidRPr="00B864E7" w:rsidRDefault="00A65A72" w:rsidP="00D378CB">
      <w:pPr>
        <w:pStyle w:val="BodyText1"/>
        <w:spacing w:line="276" w:lineRule="auto"/>
        <w:ind w:left="0"/>
        <w:rPr>
          <w:rFonts w:ascii="Arial" w:eastAsia="Batang" w:hAnsi="Arial" w:cs="Arial"/>
        </w:rPr>
      </w:pPr>
      <w:r w:rsidRPr="00B864E7">
        <w:rPr>
          <w:rFonts w:ascii="Arial" w:eastAsia="Batang" w:hAnsi="Arial" w:cs="Arial"/>
        </w:rPr>
        <w:t xml:space="preserve">The development of national advice by enHealth is based on significant collaboration and consultation with </w:t>
      </w:r>
      <w:r>
        <w:rPr>
          <w:rFonts w:ascii="Arial" w:eastAsia="Batang" w:hAnsi="Arial" w:cs="Arial"/>
        </w:rPr>
        <w:t>state</w:t>
      </w:r>
      <w:r w:rsidR="00B75A30">
        <w:rPr>
          <w:rFonts w:ascii="Arial" w:eastAsia="Batang" w:hAnsi="Arial" w:cs="Arial"/>
        </w:rPr>
        <w:t>, territory</w:t>
      </w:r>
      <w:r>
        <w:rPr>
          <w:rFonts w:ascii="Arial" w:eastAsia="Batang" w:hAnsi="Arial" w:cs="Arial"/>
        </w:rPr>
        <w:t xml:space="preserve"> and l</w:t>
      </w:r>
      <w:r w:rsidRPr="00B864E7">
        <w:rPr>
          <w:rFonts w:ascii="Arial" w:eastAsia="Batang" w:hAnsi="Arial" w:cs="Arial"/>
        </w:rPr>
        <w:t>ocal government agencies, departments, and organisations that deal with environmental health matters</w:t>
      </w:r>
      <w:r>
        <w:rPr>
          <w:rFonts w:ascii="Arial" w:eastAsia="Batang" w:hAnsi="Arial" w:cs="Arial"/>
        </w:rPr>
        <w:t>.</w:t>
      </w:r>
      <w:r w:rsidRPr="00B864E7">
        <w:rPr>
          <w:rFonts w:ascii="Arial" w:eastAsia="Batang" w:hAnsi="Arial" w:cs="Arial"/>
        </w:rPr>
        <w:t xml:space="preserve"> </w:t>
      </w:r>
      <w:proofErr w:type="spellStart"/>
      <w:r w:rsidRPr="00B864E7">
        <w:rPr>
          <w:rFonts w:ascii="Arial" w:eastAsia="Batang" w:hAnsi="Arial" w:cs="Arial"/>
        </w:rPr>
        <w:t>enHealth’s</w:t>
      </w:r>
      <w:proofErr w:type="spellEnd"/>
      <w:r w:rsidRPr="00B864E7">
        <w:rPr>
          <w:rFonts w:ascii="Arial" w:eastAsia="Batang" w:hAnsi="Arial" w:cs="Arial"/>
        </w:rPr>
        <w:t xml:space="preserve"> authoritative technical guidance is widely used by </w:t>
      </w:r>
      <w:r w:rsidRPr="00B864E7">
        <w:rPr>
          <w:rFonts w:ascii="Arial" w:eastAsia="Batang" w:hAnsi="Arial" w:cs="Arial"/>
        </w:rPr>
        <w:lastRenderedPageBreak/>
        <w:t xml:space="preserve">environmental health practitioners, </w:t>
      </w:r>
      <w:r w:rsidR="00BC16EC">
        <w:rPr>
          <w:rFonts w:ascii="Arial" w:eastAsia="Batang" w:hAnsi="Arial" w:cs="Arial"/>
        </w:rPr>
        <w:t>gover</w:t>
      </w:r>
      <w:r w:rsidR="006E1412">
        <w:rPr>
          <w:rFonts w:ascii="Arial" w:eastAsia="Batang" w:hAnsi="Arial" w:cs="Arial"/>
        </w:rPr>
        <w:t xml:space="preserve">nment </w:t>
      </w:r>
      <w:r w:rsidR="000D52C5">
        <w:rPr>
          <w:rFonts w:ascii="Arial" w:eastAsia="Batang" w:hAnsi="Arial" w:cs="Arial"/>
        </w:rPr>
        <w:t xml:space="preserve">departments and </w:t>
      </w:r>
      <w:r w:rsidR="006E1412">
        <w:rPr>
          <w:rFonts w:ascii="Arial" w:eastAsia="Batang" w:hAnsi="Arial" w:cs="Arial"/>
        </w:rPr>
        <w:t xml:space="preserve">agencies, </w:t>
      </w:r>
      <w:r w:rsidRPr="00B864E7">
        <w:rPr>
          <w:rFonts w:ascii="Arial" w:eastAsia="Batang" w:hAnsi="Arial" w:cs="Arial"/>
        </w:rPr>
        <w:t xml:space="preserve"> industry and the community to manage environmental health risks</w:t>
      </w:r>
      <w:r w:rsidR="00EA210D">
        <w:rPr>
          <w:rFonts w:ascii="Arial" w:eastAsia="Batang" w:hAnsi="Arial" w:cs="Arial"/>
        </w:rPr>
        <w:t xml:space="preserve"> </w:t>
      </w:r>
      <w:r w:rsidR="00EA210D" w:rsidRPr="00B864E7">
        <w:rPr>
          <w:rFonts w:ascii="Arial" w:eastAsia="Batang" w:hAnsi="Arial" w:cs="Arial"/>
        </w:rPr>
        <w:t>practically and effectively</w:t>
      </w:r>
      <w:r w:rsidRPr="00B864E7">
        <w:rPr>
          <w:rFonts w:ascii="Arial" w:eastAsia="Batang" w:hAnsi="Arial" w:cs="Arial"/>
        </w:rPr>
        <w:t>.</w:t>
      </w:r>
    </w:p>
    <w:p w14:paraId="62AC7A57" w14:textId="73FB229E" w:rsidR="00480EC6" w:rsidRPr="00B864E7" w:rsidRDefault="00480EC6" w:rsidP="00D378CB">
      <w:pPr>
        <w:pStyle w:val="BodyText1"/>
        <w:spacing w:line="276" w:lineRule="auto"/>
        <w:ind w:left="0"/>
        <w:rPr>
          <w:rFonts w:ascii="Arial" w:eastAsia="Batang" w:hAnsi="Arial" w:cs="Arial"/>
        </w:rPr>
      </w:pPr>
      <w:r w:rsidRPr="00B864E7">
        <w:rPr>
          <w:rFonts w:ascii="Arial" w:eastAsia="Batang" w:hAnsi="Arial" w:cs="Arial"/>
        </w:rPr>
        <w:t xml:space="preserve">enHealth operates within the </w:t>
      </w:r>
      <w:r w:rsidR="00A65A72">
        <w:rPr>
          <w:rFonts w:ascii="Arial" w:eastAsia="Batang" w:hAnsi="Arial" w:cs="Arial"/>
        </w:rPr>
        <w:t>governance</w:t>
      </w:r>
      <w:r w:rsidRPr="00B864E7">
        <w:rPr>
          <w:rFonts w:ascii="Arial" w:eastAsia="Batang" w:hAnsi="Arial" w:cs="Arial"/>
        </w:rPr>
        <w:t xml:space="preserve"> framework for health</w:t>
      </w:r>
      <w:r w:rsidR="00D0341D">
        <w:rPr>
          <w:rFonts w:ascii="Arial" w:eastAsia="Batang" w:hAnsi="Arial" w:cs="Arial"/>
        </w:rPr>
        <w:t>,</w:t>
      </w:r>
      <w:r w:rsidRPr="00B864E7">
        <w:rPr>
          <w:rFonts w:ascii="Arial" w:eastAsia="Batang" w:hAnsi="Arial" w:cs="Arial"/>
        </w:rPr>
        <w:t xml:space="preserve"> established </w:t>
      </w:r>
      <w:r w:rsidR="00C6128F">
        <w:rPr>
          <w:rFonts w:ascii="Arial" w:eastAsia="Batang" w:hAnsi="Arial" w:cs="Arial"/>
        </w:rPr>
        <w:t>as</w:t>
      </w:r>
      <w:r w:rsidR="00A65A72">
        <w:rPr>
          <w:rFonts w:ascii="Arial" w:eastAsia="Batang" w:hAnsi="Arial" w:cs="Arial"/>
        </w:rPr>
        <w:t xml:space="preserve"> one of five expert standing committees that support the AHPPC.</w:t>
      </w:r>
    </w:p>
    <w:p w14:paraId="0DDE54D8" w14:textId="40A80047" w:rsidR="00480EC6" w:rsidRDefault="00480EC6" w:rsidP="00D378CB">
      <w:pPr>
        <w:pStyle w:val="BodyText1"/>
        <w:spacing w:line="276" w:lineRule="auto"/>
        <w:ind w:left="0"/>
        <w:rPr>
          <w:rFonts w:ascii="Arial" w:eastAsia="Batang" w:hAnsi="Arial" w:cs="Arial"/>
        </w:rPr>
      </w:pPr>
      <w:r w:rsidRPr="000E2AF5">
        <w:rPr>
          <w:rFonts w:ascii="Arial" w:eastAsia="Batang" w:hAnsi="Arial" w:cs="Arial"/>
        </w:rPr>
        <w:t xml:space="preserve">enHealth supports and is supported by the work of other </w:t>
      </w:r>
      <w:r w:rsidR="00D0341D">
        <w:rPr>
          <w:rFonts w:ascii="Arial" w:eastAsia="Batang" w:hAnsi="Arial" w:cs="Arial"/>
        </w:rPr>
        <w:t>s</w:t>
      </w:r>
      <w:r w:rsidR="00EA210D">
        <w:rPr>
          <w:rFonts w:ascii="Arial" w:eastAsia="Batang" w:hAnsi="Arial" w:cs="Arial"/>
        </w:rPr>
        <w:t xml:space="preserve">tanding </w:t>
      </w:r>
      <w:r w:rsidR="00D0341D">
        <w:rPr>
          <w:rFonts w:ascii="Arial" w:eastAsia="Batang" w:hAnsi="Arial" w:cs="Arial"/>
        </w:rPr>
        <w:t>c</w:t>
      </w:r>
      <w:r w:rsidRPr="000E2AF5">
        <w:rPr>
          <w:rFonts w:ascii="Arial" w:eastAsia="Batang" w:hAnsi="Arial" w:cs="Arial"/>
        </w:rPr>
        <w:t xml:space="preserve">ommittees reporting to the Australian Health Protection </w:t>
      </w:r>
      <w:r w:rsidR="00D1439E">
        <w:rPr>
          <w:rFonts w:ascii="Arial" w:eastAsia="Batang" w:hAnsi="Arial" w:cs="Arial"/>
        </w:rPr>
        <w:t xml:space="preserve">Principal </w:t>
      </w:r>
      <w:r w:rsidRPr="000E2AF5">
        <w:rPr>
          <w:rFonts w:ascii="Arial" w:eastAsia="Batang" w:hAnsi="Arial" w:cs="Arial"/>
        </w:rPr>
        <w:t>Committee as follows:</w:t>
      </w:r>
    </w:p>
    <w:p w14:paraId="256991E6" w14:textId="77777777" w:rsidR="00EA210D" w:rsidRDefault="00EA210D" w:rsidP="00C72CF8">
      <w:pPr>
        <w:pStyle w:val="BodyText1"/>
        <w:numPr>
          <w:ilvl w:val="0"/>
          <w:numId w:val="83"/>
        </w:numPr>
        <w:spacing w:line="276" w:lineRule="auto"/>
        <w:ind w:left="360"/>
        <w:rPr>
          <w:rFonts w:ascii="Arial" w:eastAsia="Batang" w:hAnsi="Arial" w:cs="Arial"/>
        </w:rPr>
      </w:pPr>
      <w:r w:rsidRPr="00EA210D">
        <w:rPr>
          <w:rFonts w:ascii="Arial" w:eastAsia="Batang" w:hAnsi="Arial" w:cs="Arial"/>
        </w:rPr>
        <w:t xml:space="preserve">The </w:t>
      </w:r>
      <w:r w:rsidRPr="00EA210D">
        <w:rPr>
          <w:rFonts w:ascii="Arial" w:eastAsia="Batang" w:hAnsi="Arial" w:cs="Arial"/>
          <w:b/>
        </w:rPr>
        <w:t>Communicable Disease Network Australia (CDNA</w:t>
      </w:r>
      <w:r w:rsidRPr="00EA210D">
        <w:rPr>
          <w:rFonts w:ascii="Arial" w:eastAsia="Batang" w:hAnsi="Arial" w:cs="Arial"/>
        </w:rPr>
        <w:t>) is responsible for advising on national coordination of communicable disease surveillance, prevention and control, coordinating the investigation and control of outbreaks of communicable disease, and providing public health response advice in a pandemic or national communicable disease emergency.  Environmental factors, such as water or food, may be the source of communicable disease outbreaks.</w:t>
      </w:r>
    </w:p>
    <w:p w14:paraId="5E0EFD91" w14:textId="1F8A20AE" w:rsidR="00EA210D" w:rsidRDefault="00EA210D" w:rsidP="00C72CF8">
      <w:pPr>
        <w:pStyle w:val="BodyText1"/>
        <w:numPr>
          <w:ilvl w:val="0"/>
          <w:numId w:val="83"/>
        </w:numPr>
        <w:spacing w:line="276" w:lineRule="auto"/>
        <w:ind w:left="360"/>
        <w:rPr>
          <w:rFonts w:ascii="Arial" w:eastAsia="Batang" w:hAnsi="Arial" w:cs="Arial"/>
        </w:rPr>
      </w:pPr>
      <w:r w:rsidRPr="00E7070F">
        <w:rPr>
          <w:rFonts w:ascii="Arial" w:eastAsia="Batang" w:hAnsi="Arial" w:cs="Arial"/>
        </w:rPr>
        <w:t xml:space="preserve">The </w:t>
      </w:r>
      <w:r w:rsidRPr="00E7070F">
        <w:rPr>
          <w:rFonts w:ascii="Arial" w:eastAsia="Batang" w:hAnsi="Arial" w:cs="Arial"/>
          <w:b/>
        </w:rPr>
        <w:t xml:space="preserve">Public Health Laboratory Network (PHLN) </w:t>
      </w:r>
      <w:r w:rsidRPr="00E7070F">
        <w:rPr>
          <w:rFonts w:ascii="Arial" w:eastAsia="Batang" w:hAnsi="Arial" w:cs="Arial"/>
        </w:rPr>
        <w:t xml:space="preserve">advises on laboratory testing associated with environmental </w:t>
      </w:r>
      <w:r w:rsidR="00A4191D">
        <w:rPr>
          <w:rFonts w:ascii="Arial" w:eastAsia="Batang" w:hAnsi="Arial" w:cs="Arial"/>
        </w:rPr>
        <w:t xml:space="preserve">health </w:t>
      </w:r>
      <w:r w:rsidRPr="00E7070F">
        <w:rPr>
          <w:rFonts w:ascii="Arial" w:eastAsia="Batang" w:hAnsi="Arial" w:cs="Arial"/>
        </w:rPr>
        <w:t>risk factors</w:t>
      </w:r>
      <w:r>
        <w:rPr>
          <w:rFonts w:ascii="Arial" w:eastAsia="Batang" w:hAnsi="Arial" w:cs="Arial"/>
        </w:rPr>
        <w:t>.</w:t>
      </w:r>
    </w:p>
    <w:p w14:paraId="00229BCA" w14:textId="77777777" w:rsidR="00816DCE" w:rsidRDefault="00816DCE" w:rsidP="00C72CF8">
      <w:pPr>
        <w:pStyle w:val="BodyText1"/>
        <w:numPr>
          <w:ilvl w:val="0"/>
          <w:numId w:val="83"/>
        </w:numPr>
        <w:spacing w:line="276" w:lineRule="auto"/>
        <w:ind w:left="360"/>
        <w:rPr>
          <w:rFonts w:ascii="Arial" w:eastAsia="Batang" w:hAnsi="Arial" w:cs="Arial"/>
        </w:rPr>
      </w:pPr>
      <w:r w:rsidRPr="00E7070F">
        <w:rPr>
          <w:rFonts w:ascii="Arial" w:eastAsia="Batang" w:hAnsi="Arial" w:cs="Arial"/>
        </w:rPr>
        <w:t xml:space="preserve">The </w:t>
      </w:r>
      <w:r w:rsidRPr="00E7070F">
        <w:rPr>
          <w:rFonts w:ascii="Arial" w:eastAsia="Batang" w:hAnsi="Arial" w:cs="Arial"/>
          <w:b/>
        </w:rPr>
        <w:t>National Health Emergency Management Standing Committee (NHEMS)</w:t>
      </w:r>
      <w:r w:rsidRPr="00E7070F">
        <w:rPr>
          <w:rFonts w:ascii="Arial" w:eastAsia="Batang" w:hAnsi="Arial" w:cs="Arial"/>
        </w:rPr>
        <w:t xml:space="preserve"> addresses the operational aspects of disaster medicine and health emergency management in an all hazards context with a focus on preparedness and response.</w:t>
      </w:r>
    </w:p>
    <w:p w14:paraId="4ABF4E61" w14:textId="77777777" w:rsidR="00480EC6" w:rsidRPr="000E2AF5" w:rsidRDefault="00A65A72" w:rsidP="000E2AF5">
      <w:pPr>
        <w:pStyle w:val="Heading2"/>
        <w:ind w:left="0" w:firstLine="0"/>
        <w:rPr>
          <w:rFonts w:ascii="Arial" w:hAnsi="Arial"/>
          <w:sz w:val="22"/>
          <w:szCs w:val="22"/>
        </w:rPr>
      </w:pPr>
      <w:bookmarkStart w:id="55" w:name="_Toc22060629"/>
      <w:bookmarkStart w:id="56" w:name="_Toc22060714"/>
      <w:bookmarkStart w:id="57" w:name="_Toc22060788"/>
      <w:bookmarkStart w:id="58" w:name="_Toc22060993"/>
      <w:bookmarkStart w:id="59" w:name="_Toc25919642"/>
      <w:bookmarkStart w:id="60" w:name="_Toc22060631"/>
      <w:bookmarkStart w:id="61" w:name="_Toc22060716"/>
      <w:bookmarkStart w:id="62" w:name="_Toc22060790"/>
      <w:bookmarkStart w:id="63" w:name="_Toc22060995"/>
      <w:bookmarkStart w:id="64" w:name="_Toc25919644"/>
      <w:bookmarkStart w:id="65" w:name="_Toc456255384"/>
      <w:bookmarkStart w:id="66" w:name="_Toc456255470"/>
      <w:bookmarkStart w:id="67" w:name="_Toc456255385"/>
      <w:bookmarkStart w:id="68" w:name="_Toc456255471"/>
      <w:bookmarkStart w:id="69" w:name="_Toc456255386"/>
      <w:bookmarkStart w:id="70" w:name="_Toc456255472"/>
      <w:bookmarkStart w:id="71" w:name="_Toc456255387"/>
      <w:bookmarkStart w:id="72" w:name="_Toc456255473"/>
      <w:bookmarkStart w:id="73" w:name="_Toc456255388"/>
      <w:bookmarkStart w:id="74" w:name="_Toc456255474"/>
      <w:bookmarkStart w:id="75" w:name="_Toc456255389"/>
      <w:bookmarkStart w:id="76" w:name="_Toc456255475"/>
      <w:bookmarkStart w:id="77" w:name="_Toc456255390"/>
      <w:bookmarkStart w:id="78" w:name="_Toc456255476"/>
      <w:bookmarkStart w:id="79" w:name="_Toc456255391"/>
      <w:bookmarkStart w:id="80" w:name="_Toc456255477"/>
      <w:bookmarkStart w:id="81" w:name="_Toc456255392"/>
      <w:bookmarkStart w:id="82" w:name="_Toc456255478"/>
      <w:bookmarkStart w:id="83" w:name="_Toc456255394"/>
      <w:bookmarkStart w:id="84" w:name="_Toc456255480"/>
      <w:bookmarkStart w:id="85" w:name="_Toc456255395"/>
      <w:bookmarkStart w:id="86" w:name="_Toc456255481"/>
      <w:bookmarkStart w:id="87" w:name="_Toc456255396"/>
      <w:bookmarkStart w:id="88" w:name="_Toc456255482"/>
      <w:bookmarkStart w:id="89" w:name="_Toc456255397"/>
      <w:bookmarkStart w:id="90" w:name="_Toc456255483"/>
      <w:bookmarkStart w:id="91" w:name="_Toc456255398"/>
      <w:bookmarkStart w:id="92" w:name="_Toc456255484"/>
      <w:bookmarkStart w:id="93" w:name="_Toc456255399"/>
      <w:bookmarkStart w:id="94" w:name="_Toc456255485"/>
      <w:bookmarkStart w:id="95" w:name="_Toc456255400"/>
      <w:bookmarkStart w:id="96" w:name="_Toc456255486"/>
      <w:bookmarkStart w:id="97" w:name="_Toc22060632"/>
      <w:bookmarkStart w:id="98" w:name="_Toc22060717"/>
      <w:bookmarkStart w:id="99" w:name="_Toc22060791"/>
      <w:bookmarkStart w:id="100" w:name="_Toc22060996"/>
      <w:bookmarkStart w:id="101" w:name="_Toc25919645"/>
      <w:bookmarkStart w:id="102" w:name="_Toc5850279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0E2AF5">
        <w:rPr>
          <w:rFonts w:ascii="Arial" w:hAnsi="Arial"/>
          <w:sz w:val="22"/>
          <w:szCs w:val="22"/>
        </w:rPr>
        <w:t>T</w:t>
      </w:r>
      <w:r w:rsidR="00480EC6" w:rsidRPr="000E2AF5">
        <w:rPr>
          <w:rFonts w:ascii="Arial" w:hAnsi="Arial"/>
          <w:sz w:val="22"/>
          <w:szCs w:val="22"/>
        </w:rPr>
        <w:t>erms of Reference</w:t>
      </w:r>
      <w:bookmarkEnd w:id="102"/>
    </w:p>
    <w:p w14:paraId="282EA958" w14:textId="28571CBF" w:rsidR="00816DCE" w:rsidRPr="000E2AF5" w:rsidRDefault="00816DCE" w:rsidP="00C72CF8">
      <w:pPr>
        <w:pStyle w:val="BodyText"/>
        <w:spacing w:after="240" w:line="276" w:lineRule="auto"/>
        <w:jc w:val="both"/>
        <w:rPr>
          <w:rFonts w:ascii="Arial" w:hAnsi="Arial" w:cs="Arial"/>
          <w:sz w:val="22"/>
          <w:szCs w:val="22"/>
        </w:rPr>
      </w:pPr>
      <w:r w:rsidRPr="000E2AF5">
        <w:rPr>
          <w:rFonts w:ascii="Arial" w:hAnsi="Arial" w:cs="Arial"/>
          <w:sz w:val="22"/>
          <w:szCs w:val="22"/>
        </w:rPr>
        <w:t>Australian Health Protection Principal Committee (AHPPC) standing committees manage AHPPC’s business and provide advice to AHPPC.</w:t>
      </w:r>
    </w:p>
    <w:p w14:paraId="21236F7C" w14:textId="23533F86" w:rsidR="00816DCE" w:rsidRPr="000E2AF5" w:rsidRDefault="00816DCE" w:rsidP="00C72CF8">
      <w:pPr>
        <w:pStyle w:val="BodyText"/>
        <w:spacing w:after="240" w:line="276" w:lineRule="auto"/>
        <w:jc w:val="both"/>
        <w:rPr>
          <w:rFonts w:ascii="Arial" w:hAnsi="Arial" w:cs="Arial"/>
          <w:sz w:val="22"/>
          <w:szCs w:val="22"/>
        </w:rPr>
      </w:pPr>
      <w:r w:rsidRPr="000E2AF5">
        <w:rPr>
          <w:rFonts w:ascii="Arial" w:hAnsi="Arial" w:cs="Arial"/>
          <w:sz w:val="22"/>
          <w:szCs w:val="22"/>
        </w:rPr>
        <w:t>enHealth is responsible for providing agreed environmental health policy advice, implementin</w:t>
      </w:r>
      <w:r w:rsidR="00D0341D">
        <w:rPr>
          <w:rFonts w:ascii="Arial" w:hAnsi="Arial" w:cs="Arial"/>
          <w:sz w:val="22"/>
          <w:szCs w:val="22"/>
        </w:rPr>
        <w:t>g</w:t>
      </w:r>
      <w:r w:rsidRPr="000E2AF5">
        <w:rPr>
          <w:rFonts w:ascii="Arial" w:hAnsi="Arial" w:cs="Arial"/>
          <w:sz w:val="22"/>
          <w:szCs w:val="22"/>
        </w:rPr>
        <w:t xml:space="preserve"> </w:t>
      </w:r>
      <w:r w:rsidR="00D0341D">
        <w:rPr>
          <w:rFonts w:ascii="Arial" w:hAnsi="Arial" w:cs="Arial"/>
          <w:sz w:val="22"/>
          <w:szCs w:val="22"/>
        </w:rPr>
        <w:t xml:space="preserve">its </w:t>
      </w:r>
      <w:r w:rsidRPr="000E2AF5">
        <w:rPr>
          <w:rFonts w:ascii="Arial" w:hAnsi="Arial" w:cs="Arial"/>
          <w:sz w:val="22"/>
          <w:szCs w:val="22"/>
        </w:rPr>
        <w:t xml:space="preserve">Strategic Plan and Work Plan, consultation with key stakeholders, and </w:t>
      </w:r>
      <w:r w:rsidR="0007136F">
        <w:rPr>
          <w:rFonts w:ascii="Arial" w:hAnsi="Arial" w:cs="Arial"/>
          <w:sz w:val="22"/>
          <w:szCs w:val="22"/>
        </w:rPr>
        <w:t xml:space="preserve">the </w:t>
      </w:r>
      <w:r w:rsidRPr="000E2AF5">
        <w:rPr>
          <w:rFonts w:ascii="Arial" w:hAnsi="Arial" w:cs="Arial"/>
          <w:sz w:val="22"/>
          <w:szCs w:val="22"/>
        </w:rPr>
        <w:t>develop</w:t>
      </w:r>
      <w:r w:rsidR="00D0341D">
        <w:rPr>
          <w:rFonts w:ascii="Arial" w:hAnsi="Arial" w:cs="Arial"/>
          <w:sz w:val="22"/>
          <w:szCs w:val="22"/>
        </w:rPr>
        <w:t>ing</w:t>
      </w:r>
      <w:r w:rsidRPr="000E2AF5">
        <w:rPr>
          <w:rFonts w:ascii="Arial" w:hAnsi="Arial" w:cs="Arial"/>
          <w:sz w:val="22"/>
          <w:szCs w:val="22"/>
        </w:rPr>
        <w:t xml:space="preserve"> and coordinatin</w:t>
      </w:r>
      <w:r w:rsidR="00C72CF8">
        <w:rPr>
          <w:rFonts w:ascii="Arial" w:hAnsi="Arial" w:cs="Arial"/>
          <w:sz w:val="22"/>
          <w:szCs w:val="22"/>
        </w:rPr>
        <w:t>g</w:t>
      </w:r>
      <w:r w:rsidRPr="000E2AF5">
        <w:rPr>
          <w:rFonts w:ascii="Arial" w:hAnsi="Arial" w:cs="Arial"/>
          <w:sz w:val="22"/>
          <w:szCs w:val="22"/>
        </w:rPr>
        <w:t xml:space="preserve"> of research, information and practical resources on environmental health matters at a national level. The development of national advice by enHealth is based on significant collaboration and consultation with </w:t>
      </w:r>
      <w:r w:rsidR="0007136F">
        <w:rPr>
          <w:rFonts w:ascii="Arial" w:hAnsi="Arial" w:cs="Arial"/>
          <w:sz w:val="22"/>
          <w:szCs w:val="22"/>
        </w:rPr>
        <w:t>Commonwealth,</w:t>
      </w:r>
      <w:r w:rsidRPr="000E2AF5">
        <w:rPr>
          <w:rFonts w:ascii="Arial" w:hAnsi="Arial" w:cs="Arial"/>
          <w:sz w:val="22"/>
          <w:szCs w:val="22"/>
        </w:rPr>
        <w:t xml:space="preserve"> state and territory agencies, departments and organisations that deal with environmental health matters.</w:t>
      </w:r>
    </w:p>
    <w:p w14:paraId="6778ABB4" w14:textId="77777777" w:rsidR="00816DCE" w:rsidRPr="000E2AF5" w:rsidRDefault="00816DCE" w:rsidP="00C72CF8">
      <w:pPr>
        <w:pStyle w:val="BodyText"/>
        <w:spacing w:after="240" w:line="276" w:lineRule="auto"/>
        <w:jc w:val="both"/>
        <w:rPr>
          <w:rFonts w:ascii="Arial" w:hAnsi="Arial" w:cs="Arial"/>
          <w:sz w:val="22"/>
          <w:szCs w:val="22"/>
        </w:rPr>
      </w:pPr>
      <w:r w:rsidRPr="000E2AF5">
        <w:rPr>
          <w:rFonts w:ascii="Arial" w:hAnsi="Arial" w:cs="Arial"/>
          <w:sz w:val="22"/>
          <w:szCs w:val="22"/>
        </w:rPr>
        <w:t>enHealth achieves its objectives through regular engagement with other government departments and agencies. The committee also works with Australian local government associations, professional bodies, universities and non-government organisations.</w:t>
      </w:r>
    </w:p>
    <w:p w14:paraId="1B60196B" w14:textId="77777777" w:rsidR="00816DCE" w:rsidRPr="000E2AF5" w:rsidRDefault="00816DCE" w:rsidP="00C72CF8">
      <w:pPr>
        <w:pStyle w:val="BodyText"/>
        <w:spacing w:after="240" w:line="276" w:lineRule="auto"/>
        <w:jc w:val="both"/>
        <w:rPr>
          <w:rFonts w:ascii="Arial" w:hAnsi="Arial" w:cs="Arial"/>
          <w:sz w:val="22"/>
          <w:szCs w:val="22"/>
        </w:rPr>
      </w:pPr>
      <w:r w:rsidRPr="000E2AF5">
        <w:rPr>
          <w:rFonts w:ascii="Arial" w:hAnsi="Arial" w:cs="Arial"/>
          <w:sz w:val="22"/>
          <w:szCs w:val="22"/>
        </w:rPr>
        <w:t>The role of the Environmental Health Standing Committee (enHealth) is to:</w:t>
      </w:r>
    </w:p>
    <w:p w14:paraId="50BBEF78" w14:textId="7FC903C6" w:rsidR="00816DCE" w:rsidRDefault="002D0BD6" w:rsidP="00C72CF8">
      <w:pPr>
        <w:pStyle w:val="BodyText"/>
        <w:numPr>
          <w:ilvl w:val="0"/>
          <w:numId w:val="86"/>
        </w:numPr>
        <w:spacing w:before="60" w:line="276" w:lineRule="auto"/>
        <w:ind w:left="360"/>
        <w:jc w:val="both"/>
        <w:rPr>
          <w:rFonts w:ascii="Arial" w:hAnsi="Arial" w:cs="Arial"/>
          <w:sz w:val="22"/>
          <w:szCs w:val="22"/>
        </w:rPr>
      </w:pPr>
      <w:r>
        <w:rPr>
          <w:rFonts w:ascii="Arial" w:hAnsi="Arial" w:cs="Arial"/>
          <w:sz w:val="22"/>
          <w:szCs w:val="22"/>
        </w:rPr>
        <w:t>p</w:t>
      </w:r>
      <w:r w:rsidR="00816DCE" w:rsidRPr="000E2AF5">
        <w:rPr>
          <w:rFonts w:ascii="Arial" w:hAnsi="Arial" w:cs="Arial"/>
          <w:sz w:val="22"/>
          <w:szCs w:val="22"/>
        </w:rPr>
        <w:t>rovide nationally agreed environmental health policy advice, based on the best available evidence and expertise, to the AHPPC;</w:t>
      </w:r>
    </w:p>
    <w:p w14:paraId="54DEA104" w14:textId="0A0E9AA5" w:rsidR="00816DCE" w:rsidRDefault="002D0BD6" w:rsidP="00C72CF8">
      <w:pPr>
        <w:pStyle w:val="BodyText"/>
        <w:numPr>
          <w:ilvl w:val="0"/>
          <w:numId w:val="85"/>
        </w:numPr>
        <w:spacing w:before="60" w:line="276" w:lineRule="auto"/>
        <w:ind w:left="360"/>
        <w:jc w:val="both"/>
        <w:rPr>
          <w:rFonts w:ascii="Arial" w:hAnsi="Arial" w:cs="Arial"/>
          <w:sz w:val="22"/>
          <w:szCs w:val="22"/>
        </w:rPr>
      </w:pPr>
      <w:r>
        <w:rPr>
          <w:rFonts w:ascii="Arial" w:hAnsi="Arial" w:cs="Arial"/>
          <w:sz w:val="22"/>
          <w:szCs w:val="22"/>
        </w:rPr>
        <w:t>c</w:t>
      </w:r>
      <w:r w:rsidR="00816DCE" w:rsidRPr="000E2AF5">
        <w:rPr>
          <w:rFonts w:ascii="Arial" w:hAnsi="Arial" w:cs="Arial"/>
          <w:sz w:val="22"/>
          <w:szCs w:val="22"/>
        </w:rPr>
        <w:t>oordinate implementation of nationally agreed environmental health policies and approaches;</w:t>
      </w:r>
    </w:p>
    <w:p w14:paraId="7BD3E8CC" w14:textId="43779D36" w:rsidR="00816DCE" w:rsidRDefault="002D0BD6" w:rsidP="00C72CF8">
      <w:pPr>
        <w:pStyle w:val="BodyText"/>
        <w:numPr>
          <w:ilvl w:val="0"/>
          <w:numId w:val="85"/>
        </w:numPr>
        <w:spacing w:before="60" w:line="276" w:lineRule="auto"/>
        <w:ind w:left="360"/>
        <w:jc w:val="both"/>
        <w:rPr>
          <w:rFonts w:ascii="Arial" w:hAnsi="Arial" w:cs="Arial"/>
          <w:sz w:val="22"/>
          <w:szCs w:val="22"/>
        </w:rPr>
      </w:pPr>
      <w:r>
        <w:rPr>
          <w:rFonts w:ascii="Arial" w:hAnsi="Arial" w:cs="Arial"/>
          <w:sz w:val="22"/>
          <w:szCs w:val="22"/>
        </w:rPr>
        <w:t>p</w:t>
      </w:r>
      <w:r w:rsidR="00816DCE" w:rsidRPr="000E2AF5">
        <w:rPr>
          <w:rFonts w:ascii="Arial" w:hAnsi="Arial" w:cs="Arial"/>
          <w:sz w:val="22"/>
          <w:szCs w:val="22"/>
        </w:rPr>
        <w:t>rovide environmental health expertise and support for AHPPC’s emergency management role;</w:t>
      </w:r>
    </w:p>
    <w:p w14:paraId="0B96CBDB" w14:textId="5DA2CEF8" w:rsidR="00816DCE" w:rsidRDefault="002D0BD6" w:rsidP="00C72CF8">
      <w:pPr>
        <w:pStyle w:val="BodyText"/>
        <w:numPr>
          <w:ilvl w:val="0"/>
          <w:numId w:val="85"/>
        </w:numPr>
        <w:spacing w:before="60" w:line="276" w:lineRule="auto"/>
        <w:ind w:left="360"/>
        <w:jc w:val="both"/>
        <w:rPr>
          <w:rFonts w:ascii="Arial" w:hAnsi="Arial" w:cs="Arial"/>
          <w:sz w:val="22"/>
          <w:szCs w:val="22"/>
        </w:rPr>
      </w:pPr>
      <w:r>
        <w:rPr>
          <w:rFonts w:ascii="Arial" w:hAnsi="Arial" w:cs="Arial"/>
          <w:sz w:val="22"/>
          <w:szCs w:val="22"/>
        </w:rPr>
        <w:t>k</w:t>
      </w:r>
      <w:r w:rsidR="00816DCE" w:rsidRPr="000E2AF5">
        <w:rPr>
          <w:rFonts w:ascii="Arial" w:hAnsi="Arial" w:cs="Arial"/>
          <w:sz w:val="22"/>
          <w:szCs w:val="22"/>
        </w:rPr>
        <w:t>eep the AHPPC informed of developments in environmental policy with significant health implications and provide expert, and where nationally agreed, health advice in environmental policy forums;</w:t>
      </w:r>
    </w:p>
    <w:p w14:paraId="331739D8" w14:textId="0C2F230C" w:rsidR="00816DCE" w:rsidRDefault="002D0BD6" w:rsidP="00C72CF8">
      <w:pPr>
        <w:pStyle w:val="BodyText"/>
        <w:numPr>
          <w:ilvl w:val="0"/>
          <w:numId w:val="85"/>
        </w:numPr>
        <w:spacing w:before="60" w:line="276" w:lineRule="auto"/>
        <w:ind w:left="360"/>
        <w:jc w:val="both"/>
        <w:rPr>
          <w:rFonts w:ascii="Arial" w:hAnsi="Arial" w:cs="Arial"/>
          <w:sz w:val="22"/>
          <w:szCs w:val="22"/>
        </w:rPr>
      </w:pPr>
      <w:r>
        <w:rPr>
          <w:rFonts w:ascii="Arial" w:hAnsi="Arial" w:cs="Arial"/>
          <w:sz w:val="22"/>
          <w:szCs w:val="22"/>
        </w:rPr>
        <w:t>c</w:t>
      </w:r>
      <w:r w:rsidR="00816DCE" w:rsidRPr="000E2AF5">
        <w:rPr>
          <w:rFonts w:ascii="Arial" w:hAnsi="Arial" w:cs="Arial"/>
          <w:sz w:val="22"/>
          <w:szCs w:val="22"/>
        </w:rPr>
        <w:t>onsult with consumers and other stakeholders</w:t>
      </w:r>
      <w:r w:rsidR="002766F4">
        <w:rPr>
          <w:rFonts w:ascii="Arial" w:hAnsi="Arial" w:cs="Arial"/>
          <w:sz w:val="22"/>
          <w:szCs w:val="22"/>
        </w:rPr>
        <w:t>,</w:t>
      </w:r>
      <w:r w:rsidR="00816DCE" w:rsidRPr="000E2AF5">
        <w:rPr>
          <w:rFonts w:ascii="Arial" w:hAnsi="Arial" w:cs="Arial"/>
          <w:sz w:val="22"/>
          <w:szCs w:val="22"/>
        </w:rPr>
        <w:t xml:space="preserve"> as appropriate</w:t>
      </w:r>
      <w:r w:rsidR="002766F4">
        <w:rPr>
          <w:rFonts w:ascii="Arial" w:hAnsi="Arial" w:cs="Arial"/>
          <w:sz w:val="22"/>
          <w:szCs w:val="22"/>
        </w:rPr>
        <w:t>,</w:t>
      </w:r>
      <w:r w:rsidR="00816DCE" w:rsidRPr="000E2AF5">
        <w:rPr>
          <w:rFonts w:ascii="Arial" w:hAnsi="Arial" w:cs="Arial"/>
          <w:sz w:val="22"/>
          <w:szCs w:val="22"/>
        </w:rPr>
        <w:t xml:space="preserve"> in developing environmental health policy advice and implementing environmental health policies;</w:t>
      </w:r>
    </w:p>
    <w:p w14:paraId="1D12F088" w14:textId="07D6EC19" w:rsidR="00816DCE" w:rsidRDefault="002D0BD6" w:rsidP="00C72CF8">
      <w:pPr>
        <w:pStyle w:val="BodyText"/>
        <w:numPr>
          <w:ilvl w:val="0"/>
          <w:numId w:val="85"/>
        </w:numPr>
        <w:spacing w:before="60" w:line="276" w:lineRule="auto"/>
        <w:ind w:left="360"/>
        <w:jc w:val="both"/>
        <w:rPr>
          <w:rFonts w:ascii="Arial" w:hAnsi="Arial" w:cs="Arial"/>
          <w:sz w:val="22"/>
          <w:szCs w:val="22"/>
        </w:rPr>
      </w:pPr>
      <w:r>
        <w:rPr>
          <w:rFonts w:ascii="Arial" w:hAnsi="Arial" w:cs="Arial"/>
          <w:sz w:val="22"/>
          <w:szCs w:val="22"/>
        </w:rPr>
        <w:t>c</w:t>
      </w:r>
      <w:r w:rsidR="00816DCE" w:rsidRPr="000E2AF5">
        <w:rPr>
          <w:rFonts w:ascii="Arial" w:hAnsi="Arial" w:cs="Arial"/>
          <w:sz w:val="22"/>
          <w:szCs w:val="22"/>
        </w:rPr>
        <w:t xml:space="preserve">ontribute, through the Commonwealth, to international collaboration on environmental health issues; </w:t>
      </w:r>
    </w:p>
    <w:p w14:paraId="7AA25BCF" w14:textId="7717F677" w:rsidR="00C72CF8" w:rsidRDefault="002D0BD6" w:rsidP="00C72CF8">
      <w:pPr>
        <w:pStyle w:val="BodyText"/>
        <w:numPr>
          <w:ilvl w:val="0"/>
          <w:numId w:val="85"/>
        </w:numPr>
        <w:spacing w:before="60" w:after="240" w:line="276" w:lineRule="auto"/>
        <w:ind w:left="360"/>
        <w:jc w:val="both"/>
        <w:rPr>
          <w:rFonts w:ascii="Arial" w:hAnsi="Arial" w:cs="Arial"/>
          <w:sz w:val="22"/>
          <w:szCs w:val="22"/>
        </w:rPr>
      </w:pPr>
      <w:r>
        <w:rPr>
          <w:rFonts w:ascii="Arial" w:hAnsi="Arial" w:cs="Arial"/>
          <w:sz w:val="22"/>
          <w:szCs w:val="22"/>
        </w:rPr>
        <w:t>c</w:t>
      </w:r>
      <w:r w:rsidR="00816DCE" w:rsidRPr="000E2AF5">
        <w:rPr>
          <w:rFonts w:ascii="Arial" w:hAnsi="Arial" w:cs="Arial"/>
          <w:sz w:val="22"/>
          <w:szCs w:val="22"/>
        </w:rPr>
        <w:t>oordinate research, share information and develop practical environmental health resources, including through expert and/or nationally agreed publications as guided by the AHPPC.</w:t>
      </w:r>
    </w:p>
    <w:p w14:paraId="41A8FC33" w14:textId="77777777" w:rsidR="00816DCE" w:rsidRPr="00C72CF8" w:rsidRDefault="00816DCE" w:rsidP="00C72CF8">
      <w:pPr>
        <w:pStyle w:val="BodyText"/>
        <w:spacing w:before="60" w:after="240" w:line="276" w:lineRule="auto"/>
        <w:ind w:left="360"/>
        <w:jc w:val="both"/>
        <w:rPr>
          <w:rFonts w:ascii="Arial" w:hAnsi="Arial" w:cs="Arial"/>
          <w:sz w:val="22"/>
          <w:szCs w:val="22"/>
        </w:rPr>
      </w:pPr>
      <w:r w:rsidRPr="00C72CF8">
        <w:rPr>
          <w:rFonts w:ascii="Arial" w:hAnsi="Arial" w:cs="Arial"/>
          <w:sz w:val="22"/>
          <w:szCs w:val="22"/>
        </w:rPr>
        <w:lastRenderedPageBreak/>
        <w:t>In delivering its role, enHealth will:</w:t>
      </w:r>
    </w:p>
    <w:p w14:paraId="0AE00EDE" w14:textId="49EAECAA" w:rsidR="00816DCE" w:rsidRDefault="00816DCE" w:rsidP="00C72CF8">
      <w:pPr>
        <w:pStyle w:val="BodyText"/>
        <w:numPr>
          <w:ilvl w:val="0"/>
          <w:numId w:val="102"/>
        </w:numPr>
        <w:spacing w:line="276" w:lineRule="auto"/>
        <w:ind w:left="360"/>
        <w:jc w:val="both"/>
        <w:rPr>
          <w:rFonts w:ascii="Arial" w:hAnsi="Arial" w:cs="Arial"/>
          <w:sz w:val="22"/>
          <w:szCs w:val="22"/>
        </w:rPr>
      </w:pPr>
      <w:r w:rsidRPr="000E2AF5">
        <w:rPr>
          <w:rFonts w:ascii="Arial" w:hAnsi="Arial" w:cs="Arial"/>
          <w:sz w:val="22"/>
          <w:szCs w:val="22"/>
        </w:rPr>
        <w:t xml:space="preserve">advise and make recommendations to AHPPC on </w:t>
      </w:r>
      <w:r w:rsidR="002766F4">
        <w:rPr>
          <w:rFonts w:ascii="Arial" w:hAnsi="Arial" w:cs="Arial"/>
          <w:sz w:val="22"/>
          <w:szCs w:val="22"/>
        </w:rPr>
        <w:t xml:space="preserve">environmental </w:t>
      </w:r>
      <w:r w:rsidRPr="000E2AF5">
        <w:rPr>
          <w:rFonts w:ascii="Arial" w:hAnsi="Arial" w:cs="Arial"/>
          <w:sz w:val="22"/>
          <w:szCs w:val="22"/>
        </w:rPr>
        <w:t>health matters; to mitigate emerging health threats related to environmental health in the context of prevention, preparedness, response and recovery;</w:t>
      </w:r>
    </w:p>
    <w:p w14:paraId="50A7020F" w14:textId="77777777" w:rsidR="00816DCE" w:rsidRDefault="00816DCE" w:rsidP="00C72CF8">
      <w:pPr>
        <w:pStyle w:val="BodyText"/>
        <w:numPr>
          <w:ilvl w:val="0"/>
          <w:numId w:val="102"/>
        </w:numPr>
        <w:spacing w:line="276" w:lineRule="auto"/>
        <w:ind w:left="360"/>
        <w:jc w:val="both"/>
        <w:rPr>
          <w:rFonts w:ascii="Arial" w:hAnsi="Arial" w:cs="Arial"/>
          <w:sz w:val="22"/>
          <w:szCs w:val="22"/>
        </w:rPr>
      </w:pPr>
      <w:r w:rsidRPr="000E2AF5">
        <w:rPr>
          <w:rFonts w:ascii="Arial" w:hAnsi="Arial" w:cs="Arial"/>
          <w:sz w:val="22"/>
          <w:szCs w:val="22"/>
        </w:rPr>
        <w:t>advise on national environmental health priorities and the allocation of resources to these priorities;</w:t>
      </w:r>
    </w:p>
    <w:p w14:paraId="3206E81F" w14:textId="3A336773" w:rsidR="00816DCE" w:rsidRDefault="00816DCE" w:rsidP="00C72CF8">
      <w:pPr>
        <w:pStyle w:val="BodyText"/>
        <w:numPr>
          <w:ilvl w:val="0"/>
          <w:numId w:val="102"/>
        </w:numPr>
        <w:spacing w:line="276" w:lineRule="auto"/>
        <w:ind w:left="360"/>
        <w:jc w:val="both"/>
        <w:rPr>
          <w:rFonts w:ascii="Arial" w:hAnsi="Arial" w:cs="Arial"/>
          <w:sz w:val="22"/>
          <w:szCs w:val="22"/>
        </w:rPr>
      </w:pPr>
      <w:r w:rsidRPr="000E2AF5">
        <w:rPr>
          <w:rFonts w:ascii="Arial" w:hAnsi="Arial" w:cs="Arial"/>
          <w:sz w:val="22"/>
          <w:szCs w:val="22"/>
        </w:rPr>
        <w:t xml:space="preserve">provide national coordination of environmental health responses to disasters and </w:t>
      </w:r>
      <w:r w:rsidR="002766F4">
        <w:rPr>
          <w:rFonts w:ascii="Arial" w:hAnsi="Arial" w:cs="Arial"/>
          <w:sz w:val="22"/>
          <w:szCs w:val="22"/>
        </w:rPr>
        <w:t xml:space="preserve">environmental </w:t>
      </w:r>
      <w:r w:rsidRPr="000E2AF5">
        <w:rPr>
          <w:rFonts w:ascii="Arial" w:hAnsi="Arial" w:cs="Arial"/>
          <w:sz w:val="22"/>
          <w:szCs w:val="22"/>
        </w:rPr>
        <w:t>health issues of national significance;</w:t>
      </w:r>
    </w:p>
    <w:p w14:paraId="4E03AB9A" w14:textId="77777777" w:rsidR="00816DCE" w:rsidRDefault="00816DCE" w:rsidP="00C72CF8">
      <w:pPr>
        <w:pStyle w:val="BodyText"/>
        <w:numPr>
          <w:ilvl w:val="0"/>
          <w:numId w:val="102"/>
        </w:numPr>
        <w:spacing w:line="276" w:lineRule="auto"/>
        <w:ind w:left="360"/>
        <w:jc w:val="both"/>
        <w:rPr>
          <w:rFonts w:ascii="Arial" w:hAnsi="Arial" w:cs="Arial"/>
          <w:sz w:val="22"/>
          <w:szCs w:val="22"/>
        </w:rPr>
      </w:pPr>
      <w:r w:rsidRPr="000E2AF5">
        <w:rPr>
          <w:rFonts w:ascii="Arial" w:hAnsi="Arial" w:cs="Arial"/>
          <w:sz w:val="22"/>
          <w:szCs w:val="22"/>
        </w:rPr>
        <w:t>enable development and adoption by states and territories of national environmental health policies, guidelines and standards;</w:t>
      </w:r>
    </w:p>
    <w:p w14:paraId="6C6BFC05" w14:textId="77777777" w:rsidR="00890D58" w:rsidRPr="00496D22" w:rsidRDefault="00890D58" w:rsidP="00496D22">
      <w:pPr>
        <w:pStyle w:val="BodyText"/>
        <w:numPr>
          <w:ilvl w:val="0"/>
          <w:numId w:val="102"/>
        </w:numPr>
        <w:spacing w:line="276" w:lineRule="auto"/>
        <w:ind w:left="360"/>
        <w:jc w:val="both"/>
        <w:rPr>
          <w:rFonts w:ascii="Arial" w:hAnsi="Arial" w:cs="Arial"/>
          <w:sz w:val="22"/>
          <w:szCs w:val="22"/>
        </w:rPr>
      </w:pPr>
      <w:r w:rsidRPr="00496D22">
        <w:rPr>
          <w:rFonts w:ascii="Arial" w:hAnsi="Arial" w:cs="Arial"/>
          <w:sz w:val="22"/>
          <w:szCs w:val="22"/>
        </w:rPr>
        <w:t>give strategic direction to and support the work of its Expert Reference Panels and Project Reference Groups including; Expert Reference Panel on Aboriginal and Torres Strait Islander Environmental Health (ERPATSIEH), Expert Reference Panel on Environmental Health (ERPEH), Radiation Health Expert Reference Panel (RHERP) and Water Quality Expert Reference Panel (WQERP);</w:t>
      </w:r>
      <w:bookmarkStart w:id="103" w:name="_Toc46312062"/>
      <w:bookmarkStart w:id="104" w:name="_Toc46312395"/>
      <w:bookmarkStart w:id="105" w:name="_Toc46395820"/>
      <w:bookmarkStart w:id="106" w:name="_Toc46395966"/>
      <w:bookmarkEnd w:id="103"/>
      <w:bookmarkEnd w:id="104"/>
      <w:bookmarkEnd w:id="105"/>
      <w:bookmarkEnd w:id="106"/>
    </w:p>
    <w:p w14:paraId="583E446A" w14:textId="2D43F066" w:rsidR="00816DCE" w:rsidRDefault="00816DCE" w:rsidP="00C72CF8">
      <w:pPr>
        <w:pStyle w:val="BodyText"/>
        <w:numPr>
          <w:ilvl w:val="0"/>
          <w:numId w:val="102"/>
        </w:numPr>
        <w:spacing w:line="276" w:lineRule="auto"/>
        <w:ind w:left="360"/>
        <w:jc w:val="both"/>
        <w:rPr>
          <w:rFonts w:ascii="Arial" w:hAnsi="Arial" w:cs="Arial"/>
          <w:szCs w:val="22"/>
        </w:rPr>
      </w:pPr>
      <w:r w:rsidRPr="000E2AF5">
        <w:rPr>
          <w:rFonts w:ascii="Arial" w:hAnsi="Arial" w:cs="Arial"/>
          <w:sz w:val="22"/>
          <w:szCs w:val="22"/>
        </w:rPr>
        <w:t xml:space="preserve">consult and negotiate with other relevant agencies and committees, including other </w:t>
      </w:r>
      <w:r w:rsidR="00535A22">
        <w:rPr>
          <w:rFonts w:ascii="Arial" w:hAnsi="Arial" w:cs="Arial"/>
          <w:sz w:val="22"/>
          <w:szCs w:val="22"/>
        </w:rPr>
        <w:t>s</w:t>
      </w:r>
      <w:r w:rsidRPr="000E2AF5">
        <w:rPr>
          <w:rFonts w:ascii="Arial" w:hAnsi="Arial" w:cs="Arial"/>
          <w:sz w:val="22"/>
          <w:szCs w:val="22"/>
        </w:rPr>
        <w:t xml:space="preserve">tanding </w:t>
      </w:r>
      <w:r w:rsidR="00535A22">
        <w:rPr>
          <w:rFonts w:ascii="Arial" w:hAnsi="Arial" w:cs="Arial"/>
          <w:sz w:val="22"/>
          <w:szCs w:val="22"/>
        </w:rPr>
        <w:t>c</w:t>
      </w:r>
      <w:r w:rsidRPr="000E2AF5">
        <w:rPr>
          <w:rFonts w:ascii="Arial" w:hAnsi="Arial" w:cs="Arial"/>
          <w:sz w:val="22"/>
          <w:szCs w:val="22"/>
        </w:rPr>
        <w:t xml:space="preserve">ommittees and relevant expert committees, on </w:t>
      </w:r>
      <w:r w:rsidR="002766F4">
        <w:rPr>
          <w:rFonts w:ascii="Arial" w:hAnsi="Arial" w:cs="Arial"/>
          <w:sz w:val="22"/>
          <w:szCs w:val="22"/>
        </w:rPr>
        <w:t xml:space="preserve">environmental health matters related to </w:t>
      </w:r>
      <w:r w:rsidRPr="000E2AF5">
        <w:rPr>
          <w:rFonts w:ascii="Arial" w:hAnsi="Arial" w:cs="Arial"/>
          <w:sz w:val="22"/>
          <w:szCs w:val="22"/>
        </w:rPr>
        <w:t>the development of national public health emergency planning, coordination and control</w:t>
      </w:r>
      <w:r w:rsidR="002766F4">
        <w:rPr>
          <w:rFonts w:ascii="Arial" w:hAnsi="Arial" w:cs="Arial"/>
          <w:sz w:val="22"/>
          <w:szCs w:val="22"/>
        </w:rPr>
        <w:t>,</w:t>
      </w:r>
      <w:r w:rsidRPr="000E2AF5">
        <w:rPr>
          <w:rFonts w:ascii="Arial" w:hAnsi="Arial" w:cs="Arial"/>
          <w:sz w:val="22"/>
          <w:szCs w:val="22"/>
        </w:rPr>
        <w:t xml:space="preserve"> communicable disease</w:t>
      </w:r>
      <w:r w:rsidR="002766F4">
        <w:rPr>
          <w:rFonts w:ascii="Arial" w:hAnsi="Arial" w:cs="Arial"/>
          <w:sz w:val="22"/>
          <w:szCs w:val="22"/>
        </w:rPr>
        <w:t>s</w:t>
      </w:r>
      <w:r w:rsidRPr="000E2AF5">
        <w:rPr>
          <w:rFonts w:ascii="Arial" w:hAnsi="Arial" w:cs="Arial"/>
          <w:sz w:val="22"/>
          <w:szCs w:val="22"/>
        </w:rPr>
        <w:t xml:space="preserve">, </w:t>
      </w:r>
      <w:r w:rsidR="002766F4">
        <w:rPr>
          <w:rFonts w:ascii="Arial" w:hAnsi="Arial" w:cs="Arial"/>
          <w:sz w:val="22"/>
          <w:szCs w:val="22"/>
        </w:rPr>
        <w:t xml:space="preserve">public health laboratories, </w:t>
      </w:r>
      <w:r w:rsidRPr="000E2AF5">
        <w:rPr>
          <w:rFonts w:ascii="Arial" w:hAnsi="Arial" w:cs="Arial"/>
          <w:sz w:val="22"/>
          <w:szCs w:val="22"/>
        </w:rPr>
        <w:t>environmental health and other health protection priorities and strategies;</w:t>
      </w:r>
    </w:p>
    <w:p w14:paraId="67D374D7" w14:textId="77777777" w:rsidR="00E47137" w:rsidRDefault="00816DCE" w:rsidP="00C72CF8">
      <w:pPr>
        <w:pStyle w:val="BodyText"/>
        <w:numPr>
          <w:ilvl w:val="0"/>
          <w:numId w:val="102"/>
        </w:numPr>
        <w:spacing w:line="276" w:lineRule="auto"/>
        <w:ind w:left="360"/>
        <w:jc w:val="both"/>
        <w:rPr>
          <w:rFonts w:ascii="Arial" w:hAnsi="Arial" w:cs="Arial"/>
          <w:szCs w:val="22"/>
        </w:rPr>
      </w:pPr>
      <w:r w:rsidRPr="000E2AF5">
        <w:rPr>
          <w:rFonts w:ascii="Arial" w:hAnsi="Arial" w:cs="Arial"/>
          <w:sz w:val="22"/>
          <w:szCs w:val="22"/>
        </w:rPr>
        <w:t>promote the alignment of jurisdictional strategic plans and activities with agreed national priorities;</w:t>
      </w:r>
    </w:p>
    <w:p w14:paraId="3636503F" w14:textId="25A3BB85" w:rsidR="00816DCE" w:rsidRDefault="00816DCE" w:rsidP="00C72CF8">
      <w:pPr>
        <w:pStyle w:val="BodyText"/>
        <w:numPr>
          <w:ilvl w:val="0"/>
          <w:numId w:val="102"/>
        </w:numPr>
        <w:spacing w:line="276" w:lineRule="auto"/>
        <w:ind w:left="360"/>
        <w:jc w:val="both"/>
        <w:rPr>
          <w:rFonts w:ascii="Arial" w:hAnsi="Arial" w:cs="Arial"/>
          <w:szCs w:val="22"/>
        </w:rPr>
      </w:pPr>
      <w:r w:rsidRPr="000E2AF5">
        <w:rPr>
          <w:rFonts w:ascii="Arial" w:hAnsi="Arial" w:cs="Arial"/>
          <w:sz w:val="22"/>
          <w:szCs w:val="22"/>
        </w:rPr>
        <w:t>consider the role of en</w:t>
      </w:r>
      <w:r w:rsidR="002766F4">
        <w:rPr>
          <w:rFonts w:ascii="Arial" w:hAnsi="Arial" w:cs="Arial"/>
          <w:sz w:val="22"/>
          <w:szCs w:val="22"/>
        </w:rPr>
        <w:t>vironmental health</w:t>
      </w:r>
      <w:r w:rsidRPr="000E2AF5">
        <w:rPr>
          <w:rFonts w:ascii="Arial" w:hAnsi="Arial" w:cs="Arial"/>
          <w:sz w:val="22"/>
          <w:szCs w:val="22"/>
        </w:rPr>
        <w:t xml:space="preserve"> in the context of Aboriginal and Torres Strait Islander health outcomes; and</w:t>
      </w:r>
    </w:p>
    <w:p w14:paraId="5CB14931" w14:textId="77777777" w:rsidR="00816DCE" w:rsidRPr="007A4111" w:rsidRDefault="00816DCE" w:rsidP="00C72CF8">
      <w:pPr>
        <w:pStyle w:val="BodyText"/>
        <w:numPr>
          <w:ilvl w:val="0"/>
          <w:numId w:val="102"/>
        </w:numPr>
        <w:spacing w:after="240" w:line="276" w:lineRule="auto"/>
        <w:ind w:left="360"/>
        <w:jc w:val="both"/>
        <w:rPr>
          <w:rFonts w:ascii="Arial" w:hAnsi="Arial" w:cs="Arial"/>
          <w:szCs w:val="22"/>
        </w:rPr>
      </w:pPr>
      <w:r w:rsidRPr="000E2AF5">
        <w:rPr>
          <w:rFonts w:ascii="Arial" w:hAnsi="Arial" w:cs="Arial"/>
          <w:sz w:val="22"/>
          <w:szCs w:val="22"/>
        </w:rPr>
        <w:t>oversee national activities that strengthen environmental hea</w:t>
      </w:r>
      <w:r w:rsidR="00E47137" w:rsidRPr="000E2AF5">
        <w:rPr>
          <w:rFonts w:ascii="Arial" w:hAnsi="Arial" w:cs="Arial"/>
          <w:sz w:val="22"/>
          <w:szCs w:val="22"/>
        </w:rPr>
        <w:t>lth infrastructure and capacity</w:t>
      </w:r>
      <w:r w:rsidRPr="000E2AF5">
        <w:rPr>
          <w:rFonts w:ascii="Arial" w:hAnsi="Arial" w:cs="Arial"/>
          <w:sz w:val="22"/>
          <w:szCs w:val="22"/>
        </w:rPr>
        <w:t>.</w:t>
      </w:r>
    </w:p>
    <w:p w14:paraId="1851C182" w14:textId="77777777" w:rsidR="00480EC6" w:rsidRPr="000E2AF5" w:rsidRDefault="00480EC6" w:rsidP="000E2AF5">
      <w:pPr>
        <w:pStyle w:val="Heading2"/>
        <w:ind w:left="0" w:firstLine="0"/>
        <w:rPr>
          <w:rFonts w:ascii="Arial" w:hAnsi="Arial"/>
          <w:sz w:val="22"/>
          <w:szCs w:val="22"/>
        </w:rPr>
      </w:pPr>
      <w:bookmarkStart w:id="107" w:name="_Toc58502795"/>
      <w:r w:rsidRPr="000E2AF5">
        <w:rPr>
          <w:rFonts w:ascii="Arial" w:hAnsi="Arial"/>
          <w:sz w:val="22"/>
          <w:szCs w:val="22"/>
        </w:rPr>
        <w:t>Work</w:t>
      </w:r>
      <w:r w:rsidR="00A65A72" w:rsidRPr="000E2AF5">
        <w:rPr>
          <w:rFonts w:ascii="Arial" w:hAnsi="Arial"/>
          <w:sz w:val="22"/>
          <w:szCs w:val="22"/>
        </w:rPr>
        <w:t xml:space="preserve"> p</w:t>
      </w:r>
      <w:r w:rsidRPr="000E2AF5">
        <w:rPr>
          <w:rFonts w:ascii="Arial" w:hAnsi="Arial"/>
          <w:sz w:val="22"/>
          <w:szCs w:val="22"/>
        </w:rPr>
        <w:t>lan</w:t>
      </w:r>
      <w:bookmarkEnd w:id="107"/>
    </w:p>
    <w:p w14:paraId="13795080" w14:textId="2A1757B3" w:rsidR="00FF7082" w:rsidRDefault="00DF0CE8" w:rsidP="00F443D1">
      <w:pPr>
        <w:pStyle w:val="BodyText1"/>
        <w:spacing w:line="276" w:lineRule="auto"/>
        <w:ind w:left="0"/>
        <w:rPr>
          <w:rFonts w:ascii="Arial" w:hAnsi="Arial"/>
          <w:szCs w:val="22"/>
        </w:rPr>
      </w:pPr>
      <w:r w:rsidRPr="00DF0CE8">
        <w:rPr>
          <w:rFonts w:ascii="Arial" w:hAnsi="Arial" w:cs="Arial"/>
          <w:color w:val="222222"/>
        </w:rPr>
        <w:t>enHealth achieves its objectives</w:t>
      </w:r>
      <w:r>
        <w:rPr>
          <w:rFonts w:ascii="Arial" w:hAnsi="Arial" w:cs="Arial"/>
          <w:color w:val="222222"/>
        </w:rPr>
        <w:t xml:space="preserve"> imbedded in its Terms of Reference</w:t>
      </w:r>
      <w:r w:rsidRPr="00DF0CE8">
        <w:rPr>
          <w:rFonts w:ascii="Arial" w:hAnsi="Arial" w:cs="Arial"/>
          <w:color w:val="222222"/>
        </w:rPr>
        <w:t xml:space="preserve"> through projects, activities, publications, workshops and conferences, and regular stakeholder engagement. enHealth works with Australian, state and territory government departments and agencies, local governments, local government associations, professional bodies, universities and a range of other non-government organisations. This </w:t>
      </w:r>
      <w:r w:rsidR="00535A22">
        <w:rPr>
          <w:rFonts w:ascii="Arial" w:hAnsi="Arial" w:cs="Arial"/>
          <w:color w:val="222222"/>
        </w:rPr>
        <w:t>s</w:t>
      </w:r>
      <w:r w:rsidRPr="00DF0CE8">
        <w:rPr>
          <w:rFonts w:ascii="Arial" w:hAnsi="Arial" w:cs="Arial"/>
          <w:color w:val="222222"/>
        </w:rPr>
        <w:t xml:space="preserve">trategic </w:t>
      </w:r>
      <w:r w:rsidR="00535A22">
        <w:rPr>
          <w:rFonts w:ascii="Arial" w:hAnsi="Arial" w:cs="Arial"/>
          <w:color w:val="222222"/>
        </w:rPr>
        <w:t>p</w:t>
      </w:r>
      <w:r w:rsidRPr="00DF0CE8">
        <w:rPr>
          <w:rFonts w:ascii="Arial" w:hAnsi="Arial" w:cs="Arial"/>
          <w:color w:val="222222"/>
        </w:rPr>
        <w:t xml:space="preserve">lan outlines </w:t>
      </w:r>
      <w:r w:rsidR="00E47137">
        <w:rPr>
          <w:rFonts w:ascii="Arial" w:hAnsi="Arial" w:cs="Arial"/>
          <w:color w:val="222222"/>
        </w:rPr>
        <w:t>the strategic initiatives</w:t>
      </w:r>
      <w:r w:rsidRPr="00DF0CE8">
        <w:rPr>
          <w:rFonts w:ascii="Arial" w:hAnsi="Arial" w:cs="Arial"/>
          <w:color w:val="222222"/>
        </w:rPr>
        <w:t xml:space="preserve"> that will contribute to the achievement of </w:t>
      </w:r>
      <w:proofErr w:type="spellStart"/>
      <w:r w:rsidRPr="00DF0CE8">
        <w:rPr>
          <w:rFonts w:ascii="Arial" w:hAnsi="Arial" w:cs="Arial"/>
          <w:color w:val="222222"/>
        </w:rPr>
        <w:t>enHealth’s</w:t>
      </w:r>
      <w:proofErr w:type="spellEnd"/>
      <w:r w:rsidRPr="00DF0CE8">
        <w:rPr>
          <w:rFonts w:ascii="Arial" w:hAnsi="Arial" w:cs="Arial"/>
          <w:color w:val="222222"/>
        </w:rPr>
        <w:t xml:space="preserve"> objectives.</w:t>
      </w:r>
      <w:r w:rsidR="00E47137">
        <w:rPr>
          <w:rFonts w:ascii="Arial" w:hAnsi="Arial" w:cs="Arial"/>
          <w:color w:val="222222"/>
        </w:rPr>
        <w:t xml:space="preserve"> These are elaborated through </w:t>
      </w:r>
      <w:r w:rsidR="002766F4">
        <w:rPr>
          <w:rFonts w:ascii="Arial" w:hAnsi="Arial" w:cs="Arial"/>
          <w:color w:val="222222"/>
        </w:rPr>
        <w:t xml:space="preserve">the </w:t>
      </w:r>
      <w:r w:rsidR="00E47137" w:rsidRPr="00F443D1">
        <w:rPr>
          <w:rFonts w:ascii="Arial" w:hAnsi="Arial" w:cs="Arial"/>
          <w:i/>
          <w:color w:val="222222"/>
        </w:rPr>
        <w:t>enHealth Work Plan</w:t>
      </w:r>
      <w:r w:rsidR="0007136F">
        <w:rPr>
          <w:rFonts w:ascii="Arial" w:hAnsi="Arial" w:cs="Arial"/>
          <w:i/>
          <w:color w:val="222222"/>
        </w:rPr>
        <w:t xml:space="preserve"> 2020-2023</w:t>
      </w:r>
      <w:r w:rsidR="00E47137">
        <w:rPr>
          <w:rFonts w:ascii="Arial" w:hAnsi="Arial" w:cs="Arial"/>
          <w:color w:val="222222"/>
        </w:rPr>
        <w:t>.</w:t>
      </w:r>
    </w:p>
    <w:p w14:paraId="301201C9" w14:textId="77777777" w:rsidR="00552376" w:rsidRPr="00E7070F" w:rsidRDefault="00552376" w:rsidP="00552376">
      <w:pPr>
        <w:pStyle w:val="Heading2"/>
        <w:ind w:left="0" w:firstLine="0"/>
        <w:rPr>
          <w:rFonts w:ascii="Arial" w:hAnsi="Arial"/>
          <w:sz w:val="22"/>
          <w:szCs w:val="22"/>
        </w:rPr>
      </w:pPr>
      <w:bookmarkStart w:id="108" w:name="_Toc58502796"/>
      <w:r>
        <w:rPr>
          <w:rFonts w:ascii="Arial" w:hAnsi="Arial"/>
          <w:sz w:val="22"/>
          <w:szCs w:val="22"/>
        </w:rPr>
        <w:t>Expert Reference Panels</w:t>
      </w:r>
      <w:bookmarkEnd w:id="108"/>
    </w:p>
    <w:p w14:paraId="3DDB5A34" w14:textId="72E2516F" w:rsidR="00E47137" w:rsidRPr="00981574" w:rsidRDefault="00480EC6" w:rsidP="00C72CF8">
      <w:pPr>
        <w:pStyle w:val="BodyText1"/>
        <w:spacing w:after="120"/>
        <w:ind w:left="0"/>
      </w:pPr>
      <w:r w:rsidRPr="000E2AF5">
        <w:rPr>
          <w:rFonts w:ascii="Arial" w:hAnsi="Arial" w:cs="Arial"/>
        </w:rPr>
        <w:t>enHealth delivers i</w:t>
      </w:r>
      <w:r w:rsidR="00D85F53" w:rsidRPr="000E2AF5">
        <w:rPr>
          <w:rFonts w:ascii="Arial" w:hAnsi="Arial" w:cs="Arial"/>
        </w:rPr>
        <w:t>t</w:t>
      </w:r>
      <w:r w:rsidRPr="000E2AF5">
        <w:rPr>
          <w:rFonts w:ascii="Arial" w:hAnsi="Arial" w:cs="Arial"/>
        </w:rPr>
        <w:t xml:space="preserve">s </w:t>
      </w:r>
      <w:r w:rsidR="00E47137" w:rsidRPr="000E2AF5">
        <w:rPr>
          <w:rFonts w:ascii="Arial" w:hAnsi="Arial" w:cs="Arial"/>
        </w:rPr>
        <w:t>work</w:t>
      </w:r>
      <w:r w:rsidRPr="000E2AF5">
        <w:rPr>
          <w:rFonts w:ascii="Arial" w:hAnsi="Arial" w:cs="Arial"/>
        </w:rPr>
        <w:t xml:space="preserve"> plan with the support of </w:t>
      </w:r>
      <w:r w:rsidR="00E47137" w:rsidRPr="000E2AF5">
        <w:rPr>
          <w:rFonts w:ascii="Arial" w:hAnsi="Arial" w:cs="Arial"/>
        </w:rPr>
        <w:t>multiple</w:t>
      </w:r>
      <w:r w:rsidR="00981574" w:rsidRPr="000E2AF5">
        <w:rPr>
          <w:rFonts w:ascii="Arial" w:hAnsi="Arial" w:cs="Arial"/>
        </w:rPr>
        <w:t xml:space="preserve"> </w:t>
      </w:r>
      <w:r w:rsidR="00535A22">
        <w:rPr>
          <w:rFonts w:ascii="Arial" w:hAnsi="Arial" w:cs="Arial"/>
        </w:rPr>
        <w:t>e</w:t>
      </w:r>
      <w:r w:rsidR="00981574" w:rsidRPr="000E2AF5">
        <w:rPr>
          <w:rFonts w:ascii="Arial" w:hAnsi="Arial" w:cs="Arial"/>
        </w:rPr>
        <w:t>xpert</w:t>
      </w:r>
      <w:r w:rsidR="00394E58" w:rsidRPr="000E2AF5">
        <w:rPr>
          <w:rFonts w:ascii="Arial" w:hAnsi="Arial" w:cs="Arial"/>
        </w:rPr>
        <w:t xml:space="preserve"> </w:t>
      </w:r>
      <w:r w:rsidR="00535A22">
        <w:rPr>
          <w:rFonts w:ascii="Arial" w:hAnsi="Arial" w:cs="Arial"/>
        </w:rPr>
        <w:t>r</w:t>
      </w:r>
      <w:r w:rsidR="00394E58" w:rsidRPr="000E2AF5">
        <w:rPr>
          <w:rFonts w:ascii="Arial" w:hAnsi="Arial" w:cs="Arial"/>
        </w:rPr>
        <w:t>efer</w:t>
      </w:r>
      <w:r w:rsidR="00F62D7F" w:rsidRPr="000E2AF5">
        <w:rPr>
          <w:rFonts w:ascii="Arial" w:hAnsi="Arial" w:cs="Arial"/>
        </w:rPr>
        <w:t>e</w:t>
      </w:r>
      <w:r w:rsidR="00394E58" w:rsidRPr="000E2AF5">
        <w:rPr>
          <w:rFonts w:ascii="Arial" w:hAnsi="Arial" w:cs="Arial"/>
        </w:rPr>
        <w:t xml:space="preserve">nce </w:t>
      </w:r>
      <w:r w:rsidR="00535A22">
        <w:rPr>
          <w:rFonts w:ascii="Arial" w:hAnsi="Arial" w:cs="Arial"/>
        </w:rPr>
        <w:t>p</w:t>
      </w:r>
      <w:r w:rsidR="00394E58" w:rsidRPr="000E2AF5">
        <w:rPr>
          <w:rFonts w:ascii="Arial" w:hAnsi="Arial" w:cs="Arial"/>
        </w:rPr>
        <w:t>anels</w:t>
      </w:r>
      <w:r w:rsidRPr="000E2AF5">
        <w:rPr>
          <w:rFonts w:ascii="Arial" w:hAnsi="Arial" w:cs="Arial"/>
        </w:rPr>
        <w:t>:</w:t>
      </w:r>
    </w:p>
    <w:p w14:paraId="23206318" w14:textId="4A4003FD" w:rsidR="00E47137" w:rsidRDefault="00E47137" w:rsidP="00C72CF8">
      <w:pPr>
        <w:pStyle w:val="BodyText1"/>
        <w:numPr>
          <w:ilvl w:val="0"/>
          <w:numId w:val="88"/>
        </w:numPr>
        <w:spacing w:after="120" w:line="276" w:lineRule="auto"/>
        <w:ind w:left="360"/>
        <w:rPr>
          <w:rFonts w:ascii="Arial" w:eastAsia="Batang" w:hAnsi="Arial" w:cs="Arial"/>
        </w:rPr>
      </w:pPr>
      <w:r w:rsidRPr="00E47137">
        <w:rPr>
          <w:rFonts w:ascii="Arial" w:eastAsia="Batang" w:hAnsi="Arial" w:cs="Arial"/>
        </w:rPr>
        <w:t>Expert Reference Panel on Aboriginal and Torres Strait Islander Environmental Health</w:t>
      </w:r>
      <w:r w:rsidR="005639D8">
        <w:rPr>
          <w:rFonts w:ascii="Arial" w:eastAsia="Batang" w:hAnsi="Arial" w:cs="Arial"/>
        </w:rPr>
        <w:t>;</w:t>
      </w:r>
    </w:p>
    <w:p w14:paraId="2C866045" w14:textId="7408AA67" w:rsidR="00E47137" w:rsidRPr="00E47137" w:rsidRDefault="00E47137" w:rsidP="00C72CF8">
      <w:pPr>
        <w:pStyle w:val="BodyText1"/>
        <w:numPr>
          <w:ilvl w:val="0"/>
          <w:numId w:val="88"/>
        </w:numPr>
        <w:spacing w:after="120" w:line="276" w:lineRule="auto"/>
        <w:ind w:left="360"/>
        <w:rPr>
          <w:rFonts w:ascii="Arial" w:eastAsia="Batang" w:hAnsi="Arial" w:cs="Arial"/>
        </w:rPr>
      </w:pPr>
      <w:r w:rsidRPr="00535A22">
        <w:rPr>
          <w:rFonts w:ascii="Arial" w:eastAsia="Batang" w:hAnsi="Arial" w:cs="Arial"/>
        </w:rPr>
        <w:t>Expert Reference Panel on Environmental Health</w:t>
      </w:r>
      <w:r w:rsidR="00496D22">
        <w:rPr>
          <w:rFonts w:ascii="Arial" w:eastAsia="Batang" w:hAnsi="Arial" w:cs="Arial"/>
        </w:rPr>
        <w:t xml:space="preserve"> </w:t>
      </w:r>
      <w:r w:rsidRPr="00535A22">
        <w:rPr>
          <w:rFonts w:ascii="Arial" w:eastAsia="Batang" w:hAnsi="Arial" w:cs="Arial"/>
        </w:rPr>
        <w:t>(ERPEH)</w:t>
      </w:r>
      <w:r w:rsidR="00496D22">
        <w:rPr>
          <w:rFonts w:ascii="Arial" w:eastAsia="Batang" w:hAnsi="Arial" w:cs="Arial"/>
        </w:rPr>
        <w:t>;</w:t>
      </w:r>
    </w:p>
    <w:p w14:paraId="3A27F4A8" w14:textId="5470E732" w:rsidR="00E47137" w:rsidRPr="00535A22" w:rsidRDefault="00E47137" w:rsidP="00C72CF8">
      <w:pPr>
        <w:pStyle w:val="BodyText1"/>
        <w:numPr>
          <w:ilvl w:val="0"/>
          <w:numId w:val="88"/>
        </w:numPr>
        <w:spacing w:after="120" w:line="276" w:lineRule="auto"/>
        <w:ind w:left="360"/>
        <w:rPr>
          <w:rFonts w:ascii="Arial" w:eastAsia="Batang" w:hAnsi="Arial" w:cs="Arial"/>
        </w:rPr>
      </w:pPr>
      <w:r w:rsidRPr="00535A22">
        <w:rPr>
          <w:rFonts w:ascii="Arial" w:eastAsia="Batang" w:hAnsi="Arial" w:cs="Arial"/>
        </w:rPr>
        <w:t>Water Quality Expert Reference Panel</w:t>
      </w:r>
      <w:r w:rsidR="00496D22">
        <w:rPr>
          <w:rFonts w:ascii="Arial" w:eastAsia="Batang" w:hAnsi="Arial" w:cs="Arial"/>
        </w:rPr>
        <w:t xml:space="preserve"> </w:t>
      </w:r>
      <w:r w:rsidRPr="00535A22">
        <w:rPr>
          <w:rFonts w:ascii="Arial" w:eastAsia="Batang" w:hAnsi="Arial" w:cs="Arial"/>
        </w:rPr>
        <w:t>(WQERP)</w:t>
      </w:r>
      <w:r w:rsidR="00496D22">
        <w:rPr>
          <w:rFonts w:ascii="Arial" w:eastAsia="Batang" w:hAnsi="Arial" w:cs="Arial"/>
        </w:rPr>
        <w:t>; and</w:t>
      </w:r>
    </w:p>
    <w:p w14:paraId="29E1B6B6" w14:textId="4D6D3F44" w:rsidR="00E47137" w:rsidRDefault="00E47137" w:rsidP="007A1C9F">
      <w:pPr>
        <w:pStyle w:val="BodyText1"/>
        <w:numPr>
          <w:ilvl w:val="0"/>
          <w:numId w:val="88"/>
        </w:numPr>
        <w:spacing w:line="276" w:lineRule="auto"/>
        <w:ind w:left="360"/>
        <w:rPr>
          <w:rFonts w:ascii="Arial" w:eastAsia="Batang" w:hAnsi="Arial" w:cs="Arial"/>
        </w:rPr>
      </w:pPr>
      <w:r>
        <w:rPr>
          <w:rFonts w:ascii="Arial" w:eastAsia="Batang" w:hAnsi="Arial" w:cs="Arial"/>
        </w:rPr>
        <w:t>Radiation Health Expert Reference Panel (RHERP)</w:t>
      </w:r>
      <w:r w:rsidR="00496D22">
        <w:rPr>
          <w:rFonts w:ascii="Arial" w:eastAsia="Batang" w:hAnsi="Arial" w:cs="Arial"/>
        </w:rPr>
        <w:t>.</w:t>
      </w:r>
    </w:p>
    <w:p w14:paraId="212CE98D" w14:textId="1AB23AAA" w:rsidR="003949E9" w:rsidRDefault="00981574" w:rsidP="000E2AF5">
      <w:pPr>
        <w:pStyle w:val="BodyText1"/>
        <w:spacing w:after="0" w:line="276" w:lineRule="auto"/>
        <w:ind w:left="0"/>
        <w:rPr>
          <w:rFonts w:ascii="Arial" w:eastAsia="Batang" w:hAnsi="Arial" w:cs="Arial"/>
        </w:rPr>
      </w:pPr>
      <w:r>
        <w:rPr>
          <w:rFonts w:ascii="Arial" w:eastAsia="Batang" w:hAnsi="Arial" w:cs="Arial"/>
        </w:rPr>
        <w:t>The T</w:t>
      </w:r>
      <w:r w:rsidR="00480EC6" w:rsidRPr="00981574">
        <w:rPr>
          <w:rFonts w:ascii="Arial" w:eastAsia="Batang" w:hAnsi="Arial" w:cs="Arial"/>
        </w:rPr>
        <w:t xml:space="preserve">erms of </w:t>
      </w:r>
      <w:r>
        <w:rPr>
          <w:rFonts w:ascii="Arial" w:eastAsia="Batang" w:hAnsi="Arial" w:cs="Arial"/>
        </w:rPr>
        <w:t>R</w:t>
      </w:r>
      <w:r w:rsidR="00480EC6" w:rsidRPr="00981574">
        <w:rPr>
          <w:rFonts w:ascii="Arial" w:eastAsia="Batang" w:hAnsi="Arial" w:cs="Arial"/>
        </w:rPr>
        <w:t xml:space="preserve">eference for these </w:t>
      </w:r>
      <w:r w:rsidR="00E47137">
        <w:rPr>
          <w:rFonts w:ascii="Arial" w:eastAsia="Batang" w:hAnsi="Arial" w:cs="Arial"/>
        </w:rPr>
        <w:t>Expert Reference Panels are</w:t>
      </w:r>
      <w:r w:rsidR="0000378B">
        <w:rPr>
          <w:rFonts w:ascii="Arial" w:eastAsia="Batang" w:hAnsi="Arial" w:cs="Arial"/>
        </w:rPr>
        <w:t xml:space="preserve"> provi</w:t>
      </w:r>
      <w:r w:rsidR="00FA73D2">
        <w:rPr>
          <w:rFonts w:ascii="Arial" w:eastAsia="Batang" w:hAnsi="Arial" w:cs="Arial"/>
        </w:rPr>
        <w:t xml:space="preserve">ded in </w:t>
      </w:r>
      <w:r w:rsidR="00FA73D2" w:rsidRPr="000E2AF5">
        <w:rPr>
          <w:rFonts w:ascii="Arial" w:eastAsia="Batang" w:hAnsi="Arial" w:cs="Arial"/>
          <w:b/>
        </w:rPr>
        <w:t xml:space="preserve">Appendix </w:t>
      </w:r>
      <w:r w:rsidR="00FF7082" w:rsidRPr="00FF7082">
        <w:rPr>
          <w:rFonts w:ascii="Arial" w:eastAsia="Batang" w:hAnsi="Arial" w:cs="Arial"/>
          <w:b/>
        </w:rPr>
        <w:t>2</w:t>
      </w:r>
      <w:r w:rsidR="00480EC6" w:rsidRPr="00981574">
        <w:rPr>
          <w:rFonts w:ascii="Arial" w:eastAsia="Batang" w:hAnsi="Arial" w:cs="Arial"/>
        </w:rPr>
        <w:t>.</w:t>
      </w:r>
    </w:p>
    <w:p w14:paraId="47FA49FE" w14:textId="67852B59" w:rsidR="00480EC6" w:rsidRPr="000E2AF5" w:rsidRDefault="00981574" w:rsidP="00081B35">
      <w:pPr>
        <w:pStyle w:val="Heading1"/>
        <w:ind w:left="0" w:firstLine="0"/>
        <w:rPr>
          <w:rFonts w:ascii="Arial" w:hAnsi="Arial"/>
          <w:caps/>
          <w:sz w:val="32"/>
        </w:rPr>
      </w:pPr>
      <w:bookmarkStart w:id="109" w:name="_Toc22060796"/>
      <w:bookmarkStart w:id="110" w:name="_Toc22061000"/>
      <w:bookmarkStart w:id="111" w:name="_Toc25919649"/>
      <w:bookmarkStart w:id="112" w:name="_Toc22060637"/>
      <w:bookmarkStart w:id="113" w:name="_Toc22060722"/>
      <w:bookmarkStart w:id="114" w:name="_Toc22060797"/>
      <w:bookmarkStart w:id="115" w:name="_Toc22061001"/>
      <w:bookmarkStart w:id="116" w:name="_Toc25919650"/>
      <w:bookmarkStart w:id="117" w:name="_Toc22060638"/>
      <w:bookmarkStart w:id="118" w:name="_Toc22060723"/>
      <w:bookmarkStart w:id="119" w:name="_Toc22060798"/>
      <w:bookmarkStart w:id="120" w:name="_Toc22061002"/>
      <w:bookmarkStart w:id="121" w:name="_Toc25919651"/>
      <w:bookmarkStart w:id="122" w:name="_Toc456340381"/>
      <w:bookmarkStart w:id="123" w:name="_Toc58502797"/>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0E2AF5">
        <w:rPr>
          <w:rFonts w:ascii="Arial" w:hAnsi="Arial"/>
          <w:caps/>
          <w:sz w:val="32"/>
        </w:rPr>
        <w:lastRenderedPageBreak/>
        <w:t xml:space="preserve">Strategic </w:t>
      </w:r>
      <w:r w:rsidR="005F1839" w:rsidRPr="005F426F">
        <w:rPr>
          <w:rFonts w:ascii="Arial" w:hAnsi="Arial"/>
          <w:caps/>
          <w:sz w:val="32"/>
        </w:rPr>
        <w:t>OVerVIEW</w:t>
      </w:r>
      <w:bookmarkEnd w:id="123"/>
    </w:p>
    <w:p w14:paraId="67F5740E" w14:textId="588B5AEB" w:rsidR="00480EC6" w:rsidRDefault="00480EC6" w:rsidP="000E2AF5">
      <w:pPr>
        <w:pStyle w:val="BodyText1"/>
        <w:spacing w:line="276" w:lineRule="auto"/>
        <w:ind w:left="0"/>
        <w:rPr>
          <w:rFonts w:ascii="Arial" w:eastAsia="Batang" w:hAnsi="Arial" w:cs="Arial"/>
        </w:rPr>
      </w:pPr>
      <w:r w:rsidRPr="00BF1317">
        <w:rPr>
          <w:rFonts w:ascii="Arial" w:eastAsia="Batang" w:hAnsi="Arial" w:cs="Arial"/>
        </w:rPr>
        <w:t xml:space="preserve">The </w:t>
      </w:r>
      <w:r w:rsidR="00E47137" w:rsidRPr="0013275D">
        <w:rPr>
          <w:rFonts w:ascii="Arial" w:eastAsia="Batang" w:hAnsi="Arial" w:cs="Arial"/>
          <w:i/>
        </w:rPr>
        <w:t>enHealth Strategic Plan</w:t>
      </w:r>
      <w:r w:rsidRPr="0013275D">
        <w:rPr>
          <w:rFonts w:ascii="Arial" w:eastAsia="Batang" w:hAnsi="Arial" w:cs="Arial"/>
          <w:i/>
        </w:rPr>
        <w:t xml:space="preserve"> 20</w:t>
      </w:r>
      <w:r w:rsidR="002E673A">
        <w:rPr>
          <w:rFonts w:ascii="Arial" w:eastAsia="Batang" w:hAnsi="Arial" w:cs="Arial"/>
          <w:i/>
        </w:rPr>
        <w:t>20</w:t>
      </w:r>
      <w:r w:rsidRPr="0013275D">
        <w:rPr>
          <w:rFonts w:ascii="Arial" w:eastAsia="Batang" w:hAnsi="Arial" w:cs="Arial"/>
          <w:i/>
        </w:rPr>
        <w:t>-20</w:t>
      </w:r>
      <w:r w:rsidR="00C65400" w:rsidRPr="0013275D">
        <w:rPr>
          <w:rFonts w:ascii="Arial" w:eastAsia="Batang" w:hAnsi="Arial" w:cs="Arial"/>
          <w:i/>
        </w:rPr>
        <w:t>23</w:t>
      </w:r>
      <w:r w:rsidRPr="00BF1317">
        <w:rPr>
          <w:rFonts w:ascii="Arial" w:eastAsia="Batang" w:hAnsi="Arial" w:cs="Arial"/>
        </w:rPr>
        <w:t xml:space="preserve"> builds on the framework established by </w:t>
      </w:r>
      <w:r w:rsidR="005C19AE">
        <w:rPr>
          <w:rFonts w:ascii="Arial" w:eastAsia="Batang" w:hAnsi="Arial" w:cs="Arial"/>
        </w:rPr>
        <w:t xml:space="preserve">the </w:t>
      </w:r>
      <w:r w:rsidR="005C19AE" w:rsidRPr="00CB5150">
        <w:rPr>
          <w:rFonts w:ascii="Arial" w:eastAsia="Batang" w:hAnsi="Arial" w:cs="Arial"/>
          <w:i/>
        </w:rPr>
        <w:t>AHPPC Strategic Plan 2019-2023</w:t>
      </w:r>
      <w:r w:rsidR="005C19AE">
        <w:rPr>
          <w:rFonts w:ascii="Arial" w:eastAsia="Batang" w:hAnsi="Arial" w:cs="Arial"/>
        </w:rPr>
        <w:t xml:space="preserve"> and </w:t>
      </w:r>
      <w:r w:rsidRPr="00BF1317">
        <w:rPr>
          <w:rFonts w:ascii="Arial" w:eastAsia="Batang" w:hAnsi="Arial" w:cs="Arial"/>
        </w:rPr>
        <w:t xml:space="preserve">previous </w:t>
      </w:r>
      <w:r w:rsidR="005D2C83">
        <w:rPr>
          <w:rFonts w:ascii="Arial" w:eastAsia="Batang" w:hAnsi="Arial" w:cs="Arial"/>
        </w:rPr>
        <w:t xml:space="preserve">national environmental health </w:t>
      </w:r>
      <w:r w:rsidR="002D77D5">
        <w:rPr>
          <w:rFonts w:ascii="Arial" w:eastAsia="Batang" w:hAnsi="Arial" w:cs="Arial"/>
        </w:rPr>
        <w:t>strategies</w:t>
      </w:r>
      <w:r w:rsidR="00E47137">
        <w:rPr>
          <w:rFonts w:ascii="Arial" w:eastAsia="Batang" w:hAnsi="Arial" w:cs="Arial"/>
        </w:rPr>
        <w:t xml:space="preserve"> </w:t>
      </w:r>
      <w:r w:rsidRPr="00BF1317">
        <w:rPr>
          <w:rFonts w:ascii="Arial" w:eastAsia="Batang" w:hAnsi="Arial" w:cs="Arial"/>
        </w:rPr>
        <w:t>to identify the Australian environmental health sector’s role in developing and supporting health protection.</w:t>
      </w:r>
    </w:p>
    <w:p w14:paraId="1350366A" w14:textId="0B7C88C7" w:rsidR="005D2C83" w:rsidRPr="000E2AF5" w:rsidRDefault="005D2C83" w:rsidP="005D2C83">
      <w:pPr>
        <w:spacing w:line="276" w:lineRule="auto"/>
        <w:rPr>
          <w:rFonts w:ascii="Arial" w:hAnsi="Arial" w:cs="Arial"/>
        </w:rPr>
      </w:pPr>
      <w:r w:rsidRPr="000E2AF5">
        <w:rPr>
          <w:rFonts w:ascii="Arial" w:hAnsi="Arial" w:cs="Arial"/>
        </w:rPr>
        <w:t>The AHPPC has identified seven strategic priorities to guide its work in the period 20</w:t>
      </w:r>
      <w:r>
        <w:rPr>
          <w:rFonts w:ascii="Arial" w:hAnsi="Arial" w:cs="Arial"/>
        </w:rPr>
        <w:t>19</w:t>
      </w:r>
      <w:r w:rsidRPr="000E2AF5">
        <w:rPr>
          <w:rFonts w:ascii="Arial" w:hAnsi="Arial" w:cs="Arial"/>
        </w:rPr>
        <w:t xml:space="preserve"> to 2023, which reflect the </w:t>
      </w:r>
      <w:r>
        <w:rPr>
          <w:rFonts w:ascii="Arial" w:hAnsi="Arial" w:cs="Arial"/>
        </w:rPr>
        <w:t>c</w:t>
      </w:r>
      <w:r w:rsidRPr="000E2AF5">
        <w:rPr>
          <w:rFonts w:ascii="Arial" w:hAnsi="Arial" w:cs="Arial"/>
        </w:rPr>
        <w:t>ommittee’s core mandate and include</w:t>
      </w:r>
      <w:r w:rsidR="0007136F">
        <w:rPr>
          <w:rFonts w:ascii="Arial" w:hAnsi="Arial" w:cs="Arial"/>
        </w:rPr>
        <w:t>s</w:t>
      </w:r>
      <w:r w:rsidRPr="000E2AF5">
        <w:rPr>
          <w:rFonts w:ascii="Arial" w:hAnsi="Arial" w:cs="Arial"/>
        </w:rPr>
        <w:t xml:space="preserve"> two emerging issues of public health significance – antimicrobial resistance and climate change. </w:t>
      </w:r>
    </w:p>
    <w:p w14:paraId="758B0C97" w14:textId="724ABC52" w:rsidR="00E80698" w:rsidRPr="000E2AF5" w:rsidRDefault="005D2C83" w:rsidP="005D2C83">
      <w:pPr>
        <w:pStyle w:val="BodyText1"/>
        <w:spacing w:line="276" w:lineRule="auto"/>
        <w:ind w:left="0"/>
        <w:rPr>
          <w:rFonts w:ascii="Arial" w:hAnsi="Arial" w:cs="Arial"/>
        </w:rPr>
      </w:pPr>
      <w:r w:rsidRPr="000E2AF5">
        <w:rPr>
          <w:rFonts w:ascii="Arial" w:hAnsi="Arial" w:cs="Arial"/>
        </w:rPr>
        <w:t>Work under each of the strategic priorities will be guided by assessed health protection risks and vulnerabilities, as well as emerging risks identified through horizon scanning, within the all hazards</w:t>
      </w:r>
      <w:r>
        <w:rPr>
          <w:rFonts w:ascii="Arial" w:hAnsi="Arial" w:cs="Arial"/>
        </w:rPr>
        <w:t xml:space="preserve"> </w:t>
      </w:r>
      <w:r w:rsidRPr="0013275D">
        <w:rPr>
          <w:rFonts w:ascii="Arial" w:hAnsi="Arial" w:cs="Arial"/>
        </w:rPr>
        <w:t xml:space="preserve">prevention, preparedness, response and recovery </w:t>
      </w:r>
      <w:r>
        <w:rPr>
          <w:rFonts w:ascii="Arial" w:hAnsi="Arial" w:cs="Arial"/>
        </w:rPr>
        <w:t>(</w:t>
      </w:r>
      <w:r w:rsidRPr="000E2AF5">
        <w:rPr>
          <w:rFonts w:ascii="Arial" w:hAnsi="Arial" w:cs="Arial"/>
        </w:rPr>
        <w:t>PPRR</w:t>
      </w:r>
      <w:r>
        <w:rPr>
          <w:rFonts w:ascii="Arial" w:hAnsi="Arial" w:cs="Arial"/>
        </w:rPr>
        <w:t>)</w:t>
      </w:r>
      <w:r w:rsidRPr="000E2AF5">
        <w:rPr>
          <w:rFonts w:ascii="Arial" w:hAnsi="Arial" w:cs="Arial"/>
        </w:rPr>
        <w:t xml:space="preserve"> framework. In progressing work under the priorities, it is recognised that the AHPPC may need to plan for risks that fall outside the scope of individual </w:t>
      </w:r>
      <w:r w:rsidR="001415B5">
        <w:rPr>
          <w:rFonts w:ascii="Arial" w:hAnsi="Arial" w:cs="Arial"/>
        </w:rPr>
        <w:t>s</w:t>
      </w:r>
      <w:r w:rsidRPr="000E2AF5">
        <w:rPr>
          <w:rFonts w:ascii="Arial" w:hAnsi="Arial" w:cs="Arial"/>
        </w:rPr>
        <w:t xml:space="preserve">tanding </w:t>
      </w:r>
      <w:r w:rsidR="001415B5">
        <w:rPr>
          <w:rFonts w:ascii="Arial" w:hAnsi="Arial" w:cs="Arial"/>
        </w:rPr>
        <w:t>c</w:t>
      </w:r>
      <w:r w:rsidRPr="000E2AF5">
        <w:rPr>
          <w:rFonts w:ascii="Arial" w:hAnsi="Arial" w:cs="Arial"/>
        </w:rPr>
        <w:t>ommittees, and that the health protection responsibilities managed by AHPPC intersect with the responsibilities of other Commonwealth entities.</w:t>
      </w:r>
      <w:r w:rsidR="003C0AFD">
        <w:rPr>
          <w:rFonts w:ascii="Arial" w:hAnsi="Arial" w:cs="Arial"/>
        </w:rPr>
        <w:t xml:space="preserve"> </w:t>
      </w:r>
      <w:r w:rsidR="003C0AFD" w:rsidRPr="001415B5">
        <w:rPr>
          <w:rFonts w:ascii="Arial" w:hAnsi="Arial" w:cs="Arial"/>
        </w:rPr>
        <w:t>The seven strategic priorities of the AHPPC are:</w:t>
      </w:r>
    </w:p>
    <w:p w14:paraId="43E19FB2" w14:textId="6EEB43CB" w:rsid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Blood borne viruses and sexually transmitted infections;</w:t>
      </w:r>
    </w:p>
    <w:p w14:paraId="4EB7D921" w14:textId="47642ADC" w:rsidR="00E80698" w:rsidRP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Communicable diseases;</w:t>
      </w:r>
    </w:p>
    <w:p w14:paraId="6F565396" w14:textId="117A15FF" w:rsid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Emergency management;</w:t>
      </w:r>
    </w:p>
    <w:p w14:paraId="7273C210" w14:textId="7B411368" w:rsidR="00E80698" w:rsidRP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Environmental health;</w:t>
      </w:r>
    </w:p>
    <w:p w14:paraId="1EFDC9A2" w14:textId="49BD1320" w:rsid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Public health laboratories;</w:t>
      </w:r>
    </w:p>
    <w:p w14:paraId="6CE2264C" w14:textId="659C1431" w:rsidR="00E80698" w:rsidRP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Antimicrobial resistance; and</w:t>
      </w:r>
    </w:p>
    <w:p w14:paraId="2D67CFD0" w14:textId="7A2F8217" w:rsidR="005D2C83" w:rsidRPr="00E80698" w:rsidRDefault="005D2C83" w:rsidP="00CB5150">
      <w:pPr>
        <w:pStyle w:val="BodyText1"/>
        <w:numPr>
          <w:ilvl w:val="0"/>
          <w:numId w:val="108"/>
        </w:numPr>
        <w:spacing w:after="120" w:line="276" w:lineRule="auto"/>
        <w:ind w:left="360"/>
        <w:rPr>
          <w:rFonts w:ascii="Arial" w:hAnsi="Arial" w:cs="Arial"/>
        </w:rPr>
      </w:pPr>
      <w:r w:rsidRPr="00E80698">
        <w:rPr>
          <w:rFonts w:ascii="Arial" w:hAnsi="Arial" w:cs="Arial"/>
        </w:rPr>
        <w:t>Climate change.</w:t>
      </w:r>
    </w:p>
    <w:p w14:paraId="029C33FC" w14:textId="5399CE3A" w:rsidR="005D2C83" w:rsidRDefault="005D2C83" w:rsidP="005D2C83">
      <w:pPr>
        <w:pStyle w:val="BodyText1"/>
        <w:spacing w:line="276" w:lineRule="auto"/>
        <w:ind w:left="0"/>
      </w:pPr>
      <w:r>
        <w:rPr>
          <w:rFonts w:ascii="Arial" w:hAnsi="Arial" w:cs="Arial"/>
        </w:rPr>
        <w:t>T</w:t>
      </w:r>
      <w:r w:rsidRPr="000E2AF5">
        <w:rPr>
          <w:rFonts w:ascii="Arial" w:hAnsi="Arial" w:cs="Arial"/>
        </w:rPr>
        <w:t>he AHPPC currently has f</w:t>
      </w:r>
      <w:r>
        <w:rPr>
          <w:rFonts w:ascii="Arial" w:hAnsi="Arial" w:cs="Arial"/>
        </w:rPr>
        <w:t>ive</w:t>
      </w:r>
      <w:r w:rsidRPr="000E2AF5">
        <w:rPr>
          <w:rFonts w:ascii="Arial" w:hAnsi="Arial" w:cs="Arial"/>
        </w:rPr>
        <w:t xml:space="preserve"> </w:t>
      </w:r>
      <w:r>
        <w:rPr>
          <w:rFonts w:ascii="Arial" w:hAnsi="Arial" w:cs="Arial"/>
        </w:rPr>
        <w:t>s</w:t>
      </w:r>
      <w:r w:rsidRPr="000E2AF5">
        <w:rPr>
          <w:rFonts w:ascii="Arial" w:hAnsi="Arial" w:cs="Arial"/>
        </w:rPr>
        <w:t xml:space="preserve">tanding </w:t>
      </w:r>
      <w:r>
        <w:rPr>
          <w:rFonts w:ascii="Arial" w:hAnsi="Arial" w:cs="Arial"/>
        </w:rPr>
        <w:t>c</w:t>
      </w:r>
      <w:r w:rsidRPr="000E2AF5">
        <w:rPr>
          <w:rFonts w:ascii="Arial" w:hAnsi="Arial" w:cs="Arial"/>
        </w:rPr>
        <w:t>ommittees tasked with dealing with the first five strategic priorities as listed above</w:t>
      </w:r>
      <w:r>
        <w:rPr>
          <w:rFonts w:ascii="Arial" w:hAnsi="Arial" w:cs="Arial"/>
        </w:rPr>
        <w:t>,</w:t>
      </w:r>
      <w:r w:rsidRPr="00887384">
        <w:rPr>
          <w:rFonts w:ascii="Arial" w:hAnsi="Arial" w:cs="Arial"/>
        </w:rPr>
        <w:t xml:space="preserve"> </w:t>
      </w:r>
      <w:r>
        <w:rPr>
          <w:rFonts w:ascii="Arial" w:hAnsi="Arial" w:cs="Arial"/>
        </w:rPr>
        <w:t xml:space="preserve">with </w:t>
      </w:r>
      <w:r w:rsidRPr="00477F27">
        <w:rPr>
          <w:rFonts w:ascii="Arial" w:hAnsi="Arial" w:cs="Arial"/>
        </w:rPr>
        <w:t>enHealth focus</w:t>
      </w:r>
      <w:r>
        <w:rPr>
          <w:rFonts w:ascii="Arial" w:hAnsi="Arial" w:cs="Arial"/>
        </w:rPr>
        <w:t>ing</w:t>
      </w:r>
      <w:r w:rsidRPr="00477F27">
        <w:rPr>
          <w:rFonts w:ascii="Arial" w:hAnsi="Arial" w:cs="Arial"/>
        </w:rPr>
        <w:t xml:space="preserve"> on AHPPC’s fourth strategic priority</w:t>
      </w:r>
      <w:r>
        <w:rPr>
          <w:rFonts w:ascii="Arial" w:hAnsi="Arial" w:cs="Arial"/>
        </w:rPr>
        <w:t xml:space="preserve">, </w:t>
      </w:r>
      <w:r w:rsidRPr="00477F27">
        <w:rPr>
          <w:rFonts w:ascii="Arial" w:hAnsi="Arial" w:cs="Arial"/>
        </w:rPr>
        <w:t>environmental health.</w:t>
      </w:r>
      <w:r w:rsidRPr="000E2AF5">
        <w:rPr>
          <w:rFonts w:ascii="Arial" w:hAnsi="Arial" w:cs="Arial"/>
        </w:rPr>
        <w:t xml:space="preserve"> </w:t>
      </w:r>
      <w:r>
        <w:rPr>
          <w:rFonts w:ascii="Arial" w:hAnsi="Arial" w:cs="Arial"/>
        </w:rPr>
        <w:t>However, c</w:t>
      </w:r>
      <w:r w:rsidRPr="000E2AF5">
        <w:rPr>
          <w:rFonts w:ascii="Arial" w:hAnsi="Arial" w:cs="Arial"/>
        </w:rPr>
        <w:t xml:space="preserve">limate change and antimicrobial resistance fall outside the single scope of any particular </w:t>
      </w:r>
      <w:r>
        <w:rPr>
          <w:rFonts w:ascii="Arial" w:hAnsi="Arial" w:cs="Arial"/>
        </w:rPr>
        <w:t>s</w:t>
      </w:r>
      <w:r w:rsidRPr="000E2AF5">
        <w:rPr>
          <w:rFonts w:ascii="Arial" w:hAnsi="Arial" w:cs="Arial"/>
        </w:rPr>
        <w:t xml:space="preserve">tanding </w:t>
      </w:r>
      <w:r>
        <w:rPr>
          <w:rFonts w:ascii="Arial" w:hAnsi="Arial" w:cs="Arial"/>
        </w:rPr>
        <w:t>c</w:t>
      </w:r>
      <w:r w:rsidRPr="000E2AF5">
        <w:rPr>
          <w:rFonts w:ascii="Arial" w:hAnsi="Arial" w:cs="Arial"/>
        </w:rPr>
        <w:t xml:space="preserve">ommittee and will require management of the intersection of responsibilities, including linkages to the work of enHealth. </w:t>
      </w:r>
      <w:r w:rsidR="00B72F89">
        <w:rPr>
          <w:rFonts w:ascii="Arial" w:hAnsi="Arial" w:cs="Arial"/>
        </w:rPr>
        <w:t xml:space="preserve">Climate change is particularly relevant to the work of enHealth, while a supporting role could be expected on the environmental aspects of antimicrobial resistance. </w:t>
      </w:r>
      <w:r w:rsidRPr="000E2AF5">
        <w:rPr>
          <w:rFonts w:ascii="Arial" w:hAnsi="Arial" w:cs="Arial"/>
        </w:rPr>
        <w:t xml:space="preserve">AHPPC defines </w:t>
      </w:r>
      <w:r>
        <w:rPr>
          <w:rFonts w:ascii="Arial" w:hAnsi="Arial" w:cs="Arial"/>
        </w:rPr>
        <w:t xml:space="preserve">the </w:t>
      </w:r>
      <w:r w:rsidRPr="000E2AF5">
        <w:rPr>
          <w:rFonts w:ascii="Arial" w:hAnsi="Arial" w:cs="Arial"/>
        </w:rPr>
        <w:t>environmental health, climate change and antimicrobial resistance strategic priorities as follows:</w:t>
      </w:r>
    </w:p>
    <w:p w14:paraId="3D8300B8" w14:textId="77777777" w:rsidR="005D2C83" w:rsidRPr="007A1C9F" w:rsidRDefault="005D2C83" w:rsidP="005D2C83">
      <w:pPr>
        <w:pStyle w:val="Heading2"/>
        <w:keepNext w:val="0"/>
        <w:numPr>
          <w:ilvl w:val="0"/>
          <w:numId w:val="0"/>
        </w:numPr>
        <w:tabs>
          <w:tab w:val="clear" w:pos="851"/>
        </w:tabs>
        <w:spacing w:after="120" w:line="276" w:lineRule="auto"/>
        <w:rPr>
          <w:rFonts w:ascii="Arial" w:hAnsi="Arial"/>
          <w:color w:val="auto"/>
          <w:sz w:val="22"/>
          <w:szCs w:val="22"/>
        </w:rPr>
      </w:pPr>
      <w:bookmarkStart w:id="124" w:name="_Toc58502798"/>
      <w:r w:rsidRPr="007A1C9F">
        <w:rPr>
          <w:rFonts w:ascii="Arial" w:hAnsi="Arial"/>
          <w:color w:val="auto"/>
          <w:sz w:val="22"/>
          <w:szCs w:val="22"/>
        </w:rPr>
        <w:t>Environmental health</w:t>
      </w:r>
      <w:bookmarkEnd w:id="124"/>
    </w:p>
    <w:p w14:paraId="65BF7932" w14:textId="77777777" w:rsidR="005D2C83" w:rsidRPr="000E2AF5" w:rsidRDefault="005D2C83" w:rsidP="005D2C83">
      <w:pPr>
        <w:pStyle w:val="BodyText1"/>
        <w:spacing w:line="276" w:lineRule="auto"/>
        <w:ind w:left="0"/>
        <w:rPr>
          <w:rFonts w:ascii="Arial" w:hAnsi="Arial" w:cs="Arial"/>
        </w:rPr>
      </w:pPr>
      <w:r w:rsidRPr="000E2AF5">
        <w:rPr>
          <w:rFonts w:ascii="Arial" w:hAnsi="Arial" w:cs="Arial"/>
        </w:rPr>
        <w:t>Environmental health encompasses the assessment and control of physical, chemical and biological factors in the environment that potentially</w:t>
      </w:r>
      <w:r>
        <w:rPr>
          <w:rFonts w:ascii="Arial" w:hAnsi="Arial" w:cs="Arial"/>
        </w:rPr>
        <w:t xml:space="preserve"> could,</w:t>
      </w:r>
      <w:r w:rsidRPr="000E2AF5">
        <w:rPr>
          <w:rFonts w:ascii="Arial" w:hAnsi="Arial" w:cs="Arial"/>
        </w:rPr>
        <w:t xml:space="preserve"> or currently have</w:t>
      </w:r>
      <w:r>
        <w:rPr>
          <w:rFonts w:ascii="Arial" w:hAnsi="Arial" w:cs="Arial"/>
        </w:rPr>
        <w:t>,</w:t>
      </w:r>
      <w:r w:rsidRPr="000E2AF5">
        <w:rPr>
          <w:rFonts w:ascii="Arial" w:hAnsi="Arial" w:cs="Arial"/>
        </w:rPr>
        <w:t xml:space="preserve"> an impact on health. Improvements in environmental determinants of health such as water quality and food safety, and control of other environmentally-determined diseases are critical to reducing morbidity and mortality. Australia has a robust system for the management of environmental health, however</w:t>
      </w:r>
      <w:r>
        <w:rPr>
          <w:rFonts w:ascii="Arial" w:hAnsi="Arial" w:cs="Arial"/>
        </w:rPr>
        <w:t>,</w:t>
      </w:r>
      <w:r w:rsidRPr="000E2AF5">
        <w:rPr>
          <w:rFonts w:ascii="Arial" w:hAnsi="Arial" w:cs="Arial"/>
        </w:rPr>
        <w:t xml:space="preserve"> must continue to be responsive as globalisation, varying land</w:t>
      </w:r>
      <w:r>
        <w:rPr>
          <w:rFonts w:ascii="Arial" w:hAnsi="Arial" w:cs="Arial"/>
        </w:rPr>
        <w:t>-</w:t>
      </w:r>
      <w:r w:rsidRPr="000E2AF5">
        <w:rPr>
          <w:rFonts w:ascii="Arial" w:hAnsi="Arial" w:cs="Arial"/>
        </w:rPr>
        <w:t>use patterns and changing environmental conditions all have the potential to accelerate the emergence or re-emergence of threats and risks.</w:t>
      </w:r>
    </w:p>
    <w:p w14:paraId="7D9968A6" w14:textId="77777777" w:rsidR="005D2C83" w:rsidRPr="007A1C9F" w:rsidRDefault="005D2C83" w:rsidP="005D2C83">
      <w:pPr>
        <w:pStyle w:val="Heading2"/>
        <w:keepNext w:val="0"/>
        <w:numPr>
          <w:ilvl w:val="0"/>
          <w:numId w:val="0"/>
        </w:numPr>
        <w:tabs>
          <w:tab w:val="clear" w:pos="851"/>
        </w:tabs>
        <w:spacing w:after="120" w:line="276" w:lineRule="auto"/>
        <w:rPr>
          <w:rFonts w:ascii="Arial" w:hAnsi="Arial"/>
          <w:color w:val="auto"/>
          <w:sz w:val="22"/>
          <w:szCs w:val="22"/>
        </w:rPr>
      </w:pPr>
      <w:bookmarkStart w:id="125" w:name="_Toc58502799"/>
      <w:r w:rsidRPr="007A1C9F">
        <w:rPr>
          <w:rFonts w:ascii="Arial" w:hAnsi="Arial"/>
          <w:color w:val="auto"/>
          <w:sz w:val="22"/>
          <w:szCs w:val="22"/>
        </w:rPr>
        <w:t>Antimicrobial resistance</w:t>
      </w:r>
      <w:bookmarkEnd w:id="125"/>
    </w:p>
    <w:p w14:paraId="0150A151" w14:textId="67D3185F" w:rsidR="005D2C83" w:rsidRPr="000E2AF5" w:rsidRDefault="005D2C83" w:rsidP="005D2C83">
      <w:pPr>
        <w:pStyle w:val="BodyText1"/>
        <w:spacing w:line="276" w:lineRule="auto"/>
        <w:ind w:left="0"/>
        <w:rPr>
          <w:rFonts w:ascii="Arial" w:hAnsi="Arial" w:cs="Arial"/>
          <w:szCs w:val="22"/>
        </w:rPr>
      </w:pPr>
      <w:r w:rsidRPr="000E2AF5">
        <w:rPr>
          <w:rFonts w:ascii="Arial" w:hAnsi="Arial" w:cs="Arial"/>
          <w:szCs w:val="22"/>
        </w:rPr>
        <w:t>The rise of antimicrobial resistance (AMR) represents a serious threat to population health in Australia and globally. In 2018, the COAG Health Council reaffirmed AMR as a significant population health and patient safety issue that require</w:t>
      </w:r>
      <w:r>
        <w:rPr>
          <w:rFonts w:ascii="Arial" w:hAnsi="Arial" w:cs="Arial"/>
          <w:szCs w:val="22"/>
        </w:rPr>
        <w:t>d</w:t>
      </w:r>
      <w:r w:rsidRPr="000E2AF5">
        <w:rPr>
          <w:rFonts w:ascii="Arial" w:hAnsi="Arial" w:cs="Arial"/>
          <w:szCs w:val="22"/>
        </w:rPr>
        <w:t xml:space="preserve"> a coordinated national response across all levels of government. Australia has one of the highest antibiotic prescribing rates in the world and despite concerted effort, </w:t>
      </w:r>
      <w:r w:rsidRPr="000E2AF5">
        <w:rPr>
          <w:rFonts w:ascii="Arial" w:hAnsi="Arial" w:cs="Arial"/>
          <w:szCs w:val="22"/>
        </w:rPr>
        <w:lastRenderedPageBreak/>
        <w:t>AMR rates continu</w:t>
      </w:r>
      <w:r>
        <w:rPr>
          <w:rFonts w:ascii="Arial" w:hAnsi="Arial" w:cs="Arial"/>
          <w:szCs w:val="22"/>
        </w:rPr>
        <w:t>e</w:t>
      </w:r>
      <w:r w:rsidRPr="000E2AF5">
        <w:rPr>
          <w:rFonts w:ascii="Arial" w:hAnsi="Arial" w:cs="Arial"/>
          <w:szCs w:val="22"/>
        </w:rPr>
        <w:t xml:space="preserve"> to increase. The emergence of multi-drug resistant organisms also represents a significant challenge in health care, aged care</w:t>
      </w:r>
      <w:r w:rsidR="00FA5279">
        <w:rPr>
          <w:rFonts w:ascii="Arial" w:hAnsi="Arial" w:cs="Arial"/>
          <w:szCs w:val="22"/>
        </w:rPr>
        <w:t>,</w:t>
      </w:r>
      <w:r w:rsidRPr="000E2AF5">
        <w:rPr>
          <w:rFonts w:ascii="Arial" w:hAnsi="Arial" w:cs="Arial"/>
          <w:szCs w:val="22"/>
        </w:rPr>
        <w:t xml:space="preserve"> community </w:t>
      </w:r>
      <w:r w:rsidR="003C0AFD">
        <w:rPr>
          <w:rFonts w:ascii="Arial" w:hAnsi="Arial" w:cs="Arial"/>
          <w:szCs w:val="22"/>
        </w:rPr>
        <w:t xml:space="preserve">and environmental </w:t>
      </w:r>
      <w:r w:rsidRPr="000E2AF5">
        <w:rPr>
          <w:rFonts w:ascii="Arial" w:hAnsi="Arial" w:cs="Arial"/>
          <w:szCs w:val="22"/>
        </w:rPr>
        <w:t>settings.</w:t>
      </w:r>
      <w:r w:rsidR="006617AA" w:rsidRPr="006617AA">
        <w:rPr>
          <w:rFonts w:ascii="Arial" w:hAnsi="Arial" w:cs="Arial"/>
          <w:szCs w:val="22"/>
        </w:rPr>
        <w:t xml:space="preserve"> </w:t>
      </w:r>
      <w:r w:rsidR="006617AA">
        <w:rPr>
          <w:rFonts w:ascii="Arial" w:hAnsi="Arial" w:cs="Arial"/>
          <w:szCs w:val="22"/>
        </w:rPr>
        <w:t>The environment plays a key role in the development and transmission of antimicrobial resistance for example through food production, source and wastewater, and solid waste. The health of the environment should be considered alongside human and animal health as part of the ‘One Health’ approach.</w:t>
      </w:r>
    </w:p>
    <w:p w14:paraId="0D496164" w14:textId="77777777" w:rsidR="005D2C83" w:rsidRPr="007A1C9F" w:rsidRDefault="005D2C83" w:rsidP="005D2C83">
      <w:pPr>
        <w:pStyle w:val="Heading2"/>
        <w:keepNext w:val="0"/>
        <w:numPr>
          <w:ilvl w:val="0"/>
          <w:numId w:val="0"/>
        </w:numPr>
        <w:tabs>
          <w:tab w:val="clear" w:pos="851"/>
        </w:tabs>
        <w:spacing w:after="120" w:line="276" w:lineRule="auto"/>
        <w:rPr>
          <w:rFonts w:ascii="Arial" w:hAnsi="Arial"/>
          <w:color w:val="auto"/>
          <w:sz w:val="22"/>
          <w:szCs w:val="22"/>
        </w:rPr>
      </w:pPr>
      <w:bookmarkStart w:id="126" w:name="_Toc58502800"/>
      <w:r w:rsidRPr="007A1C9F">
        <w:rPr>
          <w:rFonts w:ascii="Arial" w:hAnsi="Arial"/>
          <w:color w:val="auto"/>
          <w:sz w:val="22"/>
          <w:szCs w:val="22"/>
        </w:rPr>
        <w:t>Climate change</w:t>
      </w:r>
      <w:bookmarkEnd w:id="126"/>
    </w:p>
    <w:p w14:paraId="512E5C52" w14:textId="69DE7F0C" w:rsidR="00A506E0" w:rsidRPr="000E2AF5" w:rsidRDefault="005D2C83" w:rsidP="006B1EB8">
      <w:pPr>
        <w:pStyle w:val="BodyText1"/>
        <w:spacing w:line="276" w:lineRule="auto"/>
        <w:ind w:left="0"/>
        <w:rPr>
          <w:rFonts w:ascii="Arial" w:hAnsi="Arial" w:cs="Arial"/>
        </w:rPr>
      </w:pPr>
      <w:r w:rsidRPr="000E2AF5">
        <w:rPr>
          <w:rFonts w:ascii="Arial" w:hAnsi="Arial" w:cs="Arial"/>
          <w:szCs w:val="22"/>
        </w:rPr>
        <w:t>The AHPPC has identified climate change as an emerging priority, noting the intersection between health protection risk factors and climate change. Increasing numbers of natural disasters, rising temperatures, sea-level rise and altered rainfall patterns all have the potential to adversely impact health. The direct impacts of climate change on health include heat</w:t>
      </w:r>
      <w:r>
        <w:rPr>
          <w:rFonts w:ascii="Arial" w:hAnsi="Arial" w:cs="Arial"/>
          <w:szCs w:val="22"/>
        </w:rPr>
        <w:t>-</w:t>
      </w:r>
      <w:r w:rsidRPr="000E2AF5">
        <w:rPr>
          <w:rFonts w:ascii="Arial" w:hAnsi="Arial" w:cs="Arial"/>
          <w:szCs w:val="22"/>
        </w:rPr>
        <w:t>related morbidity and mortality, increased respiratory illnesses and rising injuries and fatalities due to extreme weather events. Changing patterns of vectors, water</w:t>
      </w:r>
      <w:r w:rsidR="003B7486">
        <w:rPr>
          <w:rFonts w:ascii="Arial" w:hAnsi="Arial" w:cs="Arial"/>
          <w:szCs w:val="22"/>
        </w:rPr>
        <w:t>-</w:t>
      </w:r>
      <w:r w:rsidRPr="000E2AF5">
        <w:rPr>
          <w:rFonts w:ascii="Arial" w:hAnsi="Arial" w:cs="Arial"/>
          <w:szCs w:val="22"/>
        </w:rPr>
        <w:t xml:space="preserve"> or food</w:t>
      </w:r>
      <w:r w:rsidR="003B7486">
        <w:rPr>
          <w:rFonts w:ascii="Arial" w:hAnsi="Arial" w:cs="Arial"/>
          <w:szCs w:val="22"/>
        </w:rPr>
        <w:t>-</w:t>
      </w:r>
      <w:r w:rsidRPr="000E2AF5">
        <w:rPr>
          <w:rFonts w:ascii="Arial" w:hAnsi="Arial" w:cs="Arial"/>
          <w:szCs w:val="22"/>
        </w:rPr>
        <w:t>borne infectious diseases and reduced nutritional value of foods may also indirectly impact population health outcomes.</w:t>
      </w:r>
      <w:r w:rsidR="003C0AFD">
        <w:rPr>
          <w:rFonts w:ascii="Arial" w:hAnsi="Arial" w:cs="Arial"/>
          <w:szCs w:val="22"/>
        </w:rPr>
        <w:t xml:space="preserve"> </w:t>
      </w:r>
    </w:p>
    <w:p w14:paraId="7A988536" w14:textId="77777777" w:rsidR="00480EC6" w:rsidRPr="000E2AF5" w:rsidRDefault="00480EC6" w:rsidP="00081B35">
      <w:pPr>
        <w:pStyle w:val="Heading2"/>
        <w:ind w:left="0" w:firstLine="0"/>
        <w:rPr>
          <w:rFonts w:ascii="Arial" w:hAnsi="Arial"/>
          <w:color w:val="365F91" w:themeColor="accent1" w:themeShade="BF"/>
          <w:sz w:val="22"/>
          <w:szCs w:val="22"/>
        </w:rPr>
      </w:pPr>
      <w:bookmarkStart w:id="127" w:name="_Toc456255404"/>
      <w:bookmarkStart w:id="128" w:name="_Toc456255490"/>
      <w:bookmarkStart w:id="129" w:name="_Toc456255583"/>
      <w:bookmarkStart w:id="130" w:name="_Toc456255628"/>
      <w:bookmarkStart w:id="131" w:name="_Toc456276276"/>
      <w:bookmarkStart w:id="132" w:name="_Toc456278105"/>
      <w:bookmarkStart w:id="133" w:name="_Toc456340304"/>
      <w:bookmarkStart w:id="134" w:name="_Toc456340384"/>
      <w:bookmarkStart w:id="135" w:name="_Toc456340542"/>
      <w:bookmarkStart w:id="136" w:name="_Toc456340571"/>
      <w:bookmarkStart w:id="137" w:name="_Toc456340692"/>
      <w:bookmarkStart w:id="138" w:name="_Toc389384598"/>
      <w:bookmarkStart w:id="139" w:name="_Toc58502801"/>
      <w:bookmarkEnd w:id="127"/>
      <w:bookmarkEnd w:id="128"/>
      <w:bookmarkEnd w:id="129"/>
      <w:bookmarkEnd w:id="130"/>
      <w:bookmarkEnd w:id="131"/>
      <w:bookmarkEnd w:id="132"/>
      <w:bookmarkEnd w:id="133"/>
      <w:bookmarkEnd w:id="134"/>
      <w:bookmarkEnd w:id="135"/>
      <w:bookmarkEnd w:id="136"/>
      <w:bookmarkEnd w:id="137"/>
      <w:r w:rsidRPr="000E2AF5">
        <w:rPr>
          <w:rFonts w:ascii="Arial" w:hAnsi="Arial"/>
          <w:sz w:val="22"/>
          <w:szCs w:val="22"/>
        </w:rPr>
        <w:t>Principles</w:t>
      </w:r>
      <w:bookmarkEnd w:id="138"/>
      <w:bookmarkEnd w:id="139"/>
      <w:r w:rsidRPr="000E2AF5">
        <w:rPr>
          <w:rFonts w:ascii="Arial" w:hAnsi="Arial"/>
          <w:color w:val="365F91" w:themeColor="accent1" w:themeShade="BF"/>
          <w:sz w:val="22"/>
          <w:szCs w:val="22"/>
        </w:rPr>
        <w:t xml:space="preserve"> </w:t>
      </w:r>
    </w:p>
    <w:p w14:paraId="483B5723" w14:textId="792462EF" w:rsidR="00480EC6" w:rsidRPr="00F27629" w:rsidRDefault="00480EC6" w:rsidP="000E2AF5">
      <w:pPr>
        <w:pStyle w:val="BodyText1"/>
        <w:spacing w:line="276" w:lineRule="auto"/>
        <w:ind w:left="0"/>
        <w:rPr>
          <w:rFonts w:ascii="Arial" w:eastAsia="Batang" w:hAnsi="Arial" w:cs="Arial"/>
        </w:rPr>
      </w:pPr>
      <w:r w:rsidRPr="00F27629">
        <w:rPr>
          <w:rFonts w:ascii="Arial" w:eastAsia="Batang" w:hAnsi="Arial" w:cs="Arial"/>
          <w:b/>
        </w:rPr>
        <w:t>All hazards approach</w:t>
      </w:r>
      <w:r w:rsidRPr="00F27629">
        <w:rPr>
          <w:rFonts w:ascii="Arial" w:eastAsia="Batang" w:hAnsi="Arial" w:cs="Arial"/>
        </w:rPr>
        <w:t xml:space="preserve"> </w:t>
      </w:r>
      <w:r w:rsidR="0029551E">
        <w:rPr>
          <w:rFonts w:ascii="Arial" w:eastAsia="Batang" w:hAnsi="Arial" w:cs="Arial"/>
        </w:rPr>
        <w:t>–</w:t>
      </w:r>
      <w:r w:rsidRPr="00F27629">
        <w:rPr>
          <w:rFonts w:ascii="Arial" w:eastAsia="Batang" w:hAnsi="Arial" w:cs="Arial"/>
        </w:rPr>
        <w:t xml:space="preserve"> health protection work led by </w:t>
      </w:r>
      <w:r w:rsidR="00F27629">
        <w:rPr>
          <w:rFonts w:ascii="Arial" w:eastAsia="Batang" w:hAnsi="Arial" w:cs="Arial"/>
        </w:rPr>
        <w:t xml:space="preserve">the </w:t>
      </w:r>
      <w:r w:rsidRPr="00F27629">
        <w:rPr>
          <w:rFonts w:ascii="Arial" w:eastAsia="Batang" w:hAnsi="Arial" w:cs="Arial"/>
        </w:rPr>
        <w:t xml:space="preserve">AHPPC and </w:t>
      </w:r>
      <w:r w:rsidR="00F27629">
        <w:rPr>
          <w:rFonts w:ascii="Arial" w:eastAsia="Batang" w:hAnsi="Arial" w:cs="Arial"/>
        </w:rPr>
        <w:t>aided</w:t>
      </w:r>
      <w:r w:rsidRPr="00F27629">
        <w:rPr>
          <w:rFonts w:ascii="Arial" w:eastAsia="Batang" w:hAnsi="Arial" w:cs="Arial"/>
        </w:rPr>
        <w:t xml:space="preserve"> in delivery by enHealth needs to account for all health protection threats and </w:t>
      </w:r>
      <w:r w:rsidR="00851434">
        <w:rPr>
          <w:rFonts w:ascii="Arial" w:eastAsia="Batang" w:hAnsi="Arial" w:cs="Arial"/>
        </w:rPr>
        <w:t>hazards</w:t>
      </w:r>
      <w:r w:rsidRPr="00F27629">
        <w:rPr>
          <w:rFonts w:ascii="Arial" w:eastAsia="Batang" w:hAnsi="Arial" w:cs="Arial"/>
        </w:rPr>
        <w:t>.</w:t>
      </w:r>
    </w:p>
    <w:p w14:paraId="278AB08F" w14:textId="3E611F63" w:rsidR="00480EC6" w:rsidRPr="00F27629" w:rsidRDefault="00480EC6" w:rsidP="000E2AF5">
      <w:pPr>
        <w:pStyle w:val="BodyText1"/>
        <w:spacing w:line="276" w:lineRule="auto"/>
        <w:ind w:left="0"/>
        <w:rPr>
          <w:rFonts w:ascii="Arial" w:eastAsia="Batang" w:hAnsi="Arial" w:cs="Arial"/>
        </w:rPr>
      </w:pPr>
      <w:r w:rsidRPr="00F27629">
        <w:rPr>
          <w:rFonts w:ascii="Arial" w:eastAsia="Batang" w:hAnsi="Arial" w:cs="Arial"/>
          <w:b/>
        </w:rPr>
        <w:t>Risk based approach</w:t>
      </w:r>
      <w:r w:rsidRPr="00F27629">
        <w:rPr>
          <w:rFonts w:ascii="Arial" w:eastAsia="Batang" w:hAnsi="Arial" w:cs="Arial"/>
        </w:rPr>
        <w:t xml:space="preserve"> </w:t>
      </w:r>
      <w:r w:rsidR="0029551E">
        <w:rPr>
          <w:rFonts w:ascii="Arial" w:eastAsia="Batang" w:hAnsi="Arial" w:cs="Arial"/>
        </w:rPr>
        <w:t>–</w:t>
      </w:r>
      <w:r w:rsidRPr="00F27629">
        <w:rPr>
          <w:rFonts w:ascii="Arial" w:eastAsia="Batang" w:hAnsi="Arial" w:cs="Arial"/>
        </w:rPr>
        <w:t xml:space="preserve"> management of health protection </w:t>
      </w:r>
      <w:r w:rsidR="00851434">
        <w:rPr>
          <w:rFonts w:ascii="Arial" w:eastAsia="Batang" w:hAnsi="Arial" w:cs="Arial"/>
        </w:rPr>
        <w:t>issues follows a</w:t>
      </w:r>
      <w:r w:rsidRPr="00F27629">
        <w:rPr>
          <w:rFonts w:ascii="Arial" w:eastAsia="Batang" w:hAnsi="Arial" w:cs="Arial"/>
        </w:rPr>
        <w:t xml:space="preserve"> standardised approach to the classification, identification and management of environmental health risks, with clear delineation of risk mitigation responsibilities.</w:t>
      </w:r>
    </w:p>
    <w:p w14:paraId="0EA4256F" w14:textId="77777777" w:rsidR="00480EC6" w:rsidRPr="00F27629" w:rsidRDefault="00480EC6" w:rsidP="000E2AF5">
      <w:pPr>
        <w:pStyle w:val="BodyText1"/>
        <w:spacing w:line="276" w:lineRule="auto"/>
        <w:ind w:left="0"/>
        <w:rPr>
          <w:rFonts w:ascii="Arial" w:eastAsia="Batang" w:hAnsi="Arial" w:cs="Arial"/>
        </w:rPr>
      </w:pPr>
      <w:r w:rsidRPr="00F27629">
        <w:rPr>
          <w:rFonts w:ascii="Arial" w:eastAsia="Batang" w:hAnsi="Arial" w:cs="Arial"/>
          <w:b/>
        </w:rPr>
        <w:t>Principle of prevention</w:t>
      </w:r>
      <w:r w:rsidRPr="00F27629">
        <w:rPr>
          <w:rFonts w:ascii="Arial" w:eastAsia="Batang" w:hAnsi="Arial" w:cs="Arial"/>
        </w:rPr>
        <w:t xml:space="preserve"> – </w:t>
      </w:r>
      <w:r w:rsidR="00851434">
        <w:rPr>
          <w:rFonts w:ascii="Arial" w:eastAsia="Batang" w:hAnsi="Arial" w:cs="Arial"/>
        </w:rPr>
        <w:t>t</w:t>
      </w:r>
      <w:r w:rsidRPr="00F27629">
        <w:rPr>
          <w:rFonts w:ascii="Arial" w:eastAsia="Batang" w:hAnsi="Arial" w:cs="Arial"/>
        </w:rPr>
        <w:t xml:space="preserve">o the extent possible, emergent </w:t>
      </w:r>
      <w:r w:rsidR="00851434">
        <w:rPr>
          <w:rFonts w:ascii="Arial" w:eastAsia="Batang" w:hAnsi="Arial" w:cs="Arial"/>
        </w:rPr>
        <w:t xml:space="preserve">environmental </w:t>
      </w:r>
      <w:r w:rsidRPr="00F27629">
        <w:rPr>
          <w:rFonts w:ascii="Arial" w:eastAsia="Batang" w:hAnsi="Arial" w:cs="Arial"/>
        </w:rPr>
        <w:t>health risks and threats are better mitigated through hazard minimisation and exposure reduction strategies – requiring a commensurate focus on prevention as well as preparedness, response and recovery</w:t>
      </w:r>
      <w:r w:rsidR="00851434">
        <w:rPr>
          <w:rFonts w:ascii="Arial" w:eastAsia="Batang" w:hAnsi="Arial" w:cs="Arial"/>
        </w:rPr>
        <w:t>.</w:t>
      </w:r>
    </w:p>
    <w:p w14:paraId="4A3CD1BD" w14:textId="16DC3DB4" w:rsidR="00480EC6" w:rsidRPr="00F27629" w:rsidRDefault="00480EC6" w:rsidP="000E2AF5">
      <w:pPr>
        <w:pStyle w:val="BodyText1"/>
        <w:spacing w:line="276" w:lineRule="auto"/>
        <w:ind w:left="0"/>
        <w:rPr>
          <w:rFonts w:ascii="Arial" w:eastAsia="Batang" w:hAnsi="Arial" w:cs="Arial"/>
        </w:rPr>
      </w:pPr>
      <w:r w:rsidRPr="00F27629">
        <w:rPr>
          <w:rFonts w:ascii="Arial" w:eastAsia="Batang" w:hAnsi="Arial" w:cs="Arial"/>
          <w:b/>
        </w:rPr>
        <w:t>Shared responsibility</w:t>
      </w:r>
      <w:r w:rsidRPr="00F27629">
        <w:rPr>
          <w:rFonts w:ascii="Arial" w:eastAsia="Batang" w:hAnsi="Arial" w:cs="Arial"/>
        </w:rPr>
        <w:t xml:space="preserve"> </w:t>
      </w:r>
      <w:r w:rsidR="0029551E">
        <w:rPr>
          <w:rFonts w:ascii="Arial" w:eastAsia="Batang" w:hAnsi="Arial" w:cs="Arial"/>
        </w:rPr>
        <w:t>–</w:t>
      </w:r>
      <w:r w:rsidRPr="00F27629">
        <w:rPr>
          <w:rFonts w:ascii="Arial" w:eastAsia="Batang" w:hAnsi="Arial" w:cs="Arial"/>
        </w:rPr>
        <w:t xml:space="preserve"> </w:t>
      </w:r>
      <w:r w:rsidR="00D94D33">
        <w:rPr>
          <w:rFonts w:ascii="Arial" w:eastAsia="Batang" w:hAnsi="Arial" w:cs="Arial"/>
        </w:rPr>
        <w:t xml:space="preserve">environmental </w:t>
      </w:r>
      <w:r w:rsidRPr="00F27629">
        <w:rPr>
          <w:rFonts w:ascii="Arial" w:eastAsia="Batang" w:hAnsi="Arial" w:cs="Arial"/>
        </w:rPr>
        <w:t xml:space="preserve">health </w:t>
      </w:r>
      <w:r w:rsidR="00851434">
        <w:rPr>
          <w:rFonts w:ascii="Arial" w:eastAsia="Batang" w:hAnsi="Arial" w:cs="Arial"/>
        </w:rPr>
        <w:t>is</w:t>
      </w:r>
      <w:r w:rsidRPr="00F27629">
        <w:rPr>
          <w:rFonts w:ascii="Arial" w:eastAsia="Batang" w:hAnsi="Arial" w:cs="Arial"/>
        </w:rPr>
        <w:t xml:space="preserve"> managed across jurisdictions, </w:t>
      </w:r>
      <w:r w:rsidR="00A506E0">
        <w:rPr>
          <w:rFonts w:ascii="Arial" w:eastAsia="Batang" w:hAnsi="Arial" w:cs="Arial"/>
        </w:rPr>
        <w:t xml:space="preserve">other agencies, </w:t>
      </w:r>
      <w:r w:rsidRPr="00F27629">
        <w:rPr>
          <w:rFonts w:ascii="Arial" w:eastAsia="Batang" w:hAnsi="Arial" w:cs="Arial"/>
        </w:rPr>
        <w:t>and between the state and national division of responsibility</w:t>
      </w:r>
      <w:r w:rsidR="00851434">
        <w:rPr>
          <w:rFonts w:ascii="Arial" w:eastAsia="Batang" w:hAnsi="Arial" w:cs="Arial"/>
        </w:rPr>
        <w:t>, with an emphasis</w:t>
      </w:r>
      <w:r w:rsidRPr="00F27629">
        <w:rPr>
          <w:rFonts w:ascii="Arial" w:eastAsia="Batang" w:hAnsi="Arial" w:cs="Arial"/>
        </w:rPr>
        <w:t xml:space="preserve"> </w:t>
      </w:r>
      <w:r w:rsidR="00E47137">
        <w:rPr>
          <w:rFonts w:ascii="Arial" w:eastAsia="Batang" w:hAnsi="Arial" w:cs="Arial"/>
        </w:rPr>
        <w:t xml:space="preserve">on </w:t>
      </w:r>
      <w:r w:rsidRPr="00F27629">
        <w:rPr>
          <w:rFonts w:ascii="Arial" w:eastAsia="Batang" w:hAnsi="Arial" w:cs="Arial"/>
        </w:rPr>
        <w:t>the importance of inter</w:t>
      </w:r>
      <w:r w:rsidR="0029551E">
        <w:rPr>
          <w:rFonts w:ascii="Arial" w:eastAsia="Batang" w:hAnsi="Arial" w:cs="Arial"/>
        </w:rPr>
        <w:noBreakHyphen/>
      </w:r>
      <w:r w:rsidRPr="00F27629">
        <w:rPr>
          <w:rFonts w:ascii="Arial" w:eastAsia="Batang" w:hAnsi="Arial" w:cs="Arial"/>
        </w:rPr>
        <w:t>dependencies to deliver improved</w:t>
      </w:r>
      <w:r w:rsidR="00851434">
        <w:rPr>
          <w:rFonts w:ascii="Arial" w:eastAsia="Batang" w:hAnsi="Arial" w:cs="Arial"/>
        </w:rPr>
        <w:t xml:space="preserve"> environmental</w:t>
      </w:r>
      <w:r w:rsidRPr="00F27629">
        <w:rPr>
          <w:rFonts w:ascii="Arial" w:eastAsia="Batang" w:hAnsi="Arial" w:cs="Arial"/>
        </w:rPr>
        <w:t xml:space="preserve"> health protection outcomes for all Australians.</w:t>
      </w:r>
    </w:p>
    <w:p w14:paraId="1A472544" w14:textId="53658838" w:rsidR="00851434" w:rsidRDefault="00480EC6" w:rsidP="000E2AF5">
      <w:pPr>
        <w:pStyle w:val="BodyText1"/>
        <w:spacing w:line="276" w:lineRule="auto"/>
        <w:ind w:left="0"/>
        <w:rPr>
          <w:rFonts w:ascii="Arial" w:eastAsia="Batang" w:hAnsi="Arial" w:cs="Arial"/>
        </w:rPr>
      </w:pPr>
      <w:r w:rsidRPr="00F27629">
        <w:rPr>
          <w:rFonts w:ascii="Arial" w:eastAsia="Batang" w:hAnsi="Arial" w:cs="Arial"/>
          <w:b/>
        </w:rPr>
        <w:t xml:space="preserve">Improving Aboriginal and </w:t>
      </w:r>
      <w:r w:rsidR="00851434">
        <w:rPr>
          <w:rFonts w:ascii="Arial" w:eastAsia="Batang" w:hAnsi="Arial" w:cs="Arial"/>
          <w:b/>
        </w:rPr>
        <w:t>Torres Strait Islander health</w:t>
      </w:r>
      <w:r w:rsidR="00851434" w:rsidRPr="0013275D">
        <w:rPr>
          <w:rFonts w:ascii="Arial" w:eastAsia="Batang" w:hAnsi="Arial" w:cs="Arial"/>
        </w:rPr>
        <w:t xml:space="preserve"> – </w:t>
      </w:r>
      <w:r w:rsidR="00E47137">
        <w:rPr>
          <w:rFonts w:ascii="Arial" w:eastAsia="Batang" w:hAnsi="Arial" w:cs="Arial"/>
        </w:rPr>
        <w:t xml:space="preserve">this principle highlights a focus of enHealth on </w:t>
      </w:r>
      <w:r w:rsidR="00851434">
        <w:rPr>
          <w:rFonts w:ascii="Arial" w:eastAsia="Batang" w:hAnsi="Arial" w:cs="Arial"/>
        </w:rPr>
        <w:t xml:space="preserve">promoting improved environmental health conditions and outcomes for Aboriginal and Torres </w:t>
      </w:r>
      <w:r w:rsidR="007E4AF7">
        <w:rPr>
          <w:rFonts w:ascii="Arial" w:eastAsia="Batang" w:hAnsi="Arial" w:cs="Arial"/>
        </w:rPr>
        <w:t>Strait</w:t>
      </w:r>
      <w:r w:rsidR="00851434">
        <w:rPr>
          <w:rFonts w:ascii="Arial" w:eastAsia="Batang" w:hAnsi="Arial" w:cs="Arial"/>
        </w:rPr>
        <w:t xml:space="preserve"> Islander communities within the scope of </w:t>
      </w:r>
      <w:proofErr w:type="spellStart"/>
      <w:r w:rsidR="00851434">
        <w:rPr>
          <w:rFonts w:ascii="Arial" w:eastAsia="Batang" w:hAnsi="Arial" w:cs="Arial"/>
        </w:rPr>
        <w:t>enHealth’s</w:t>
      </w:r>
      <w:proofErr w:type="spellEnd"/>
      <w:r w:rsidR="00851434">
        <w:rPr>
          <w:rFonts w:ascii="Arial" w:eastAsia="Batang" w:hAnsi="Arial" w:cs="Arial"/>
        </w:rPr>
        <w:t xml:space="preserve"> Terms of Reference, including through the</w:t>
      </w:r>
      <w:r w:rsidR="00E47137">
        <w:rPr>
          <w:rFonts w:ascii="Arial" w:eastAsia="Batang" w:hAnsi="Arial" w:cs="Arial"/>
        </w:rPr>
        <w:t xml:space="preserve"> </w:t>
      </w:r>
      <w:r w:rsidR="00851434" w:rsidRPr="00851434">
        <w:rPr>
          <w:rFonts w:ascii="Arial" w:eastAsia="Batang" w:hAnsi="Arial" w:cs="Arial"/>
        </w:rPr>
        <w:t xml:space="preserve">Expert Reference Panel on Aboriginal and Torres Strait Islander </w:t>
      </w:r>
      <w:r w:rsidR="00C65400">
        <w:rPr>
          <w:rFonts w:ascii="Arial" w:eastAsia="Batang" w:hAnsi="Arial" w:cs="Arial"/>
        </w:rPr>
        <w:t xml:space="preserve">Environmental </w:t>
      </w:r>
      <w:r w:rsidR="00851434" w:rsidRPr="00851434">
        <w:rPr>
          <w:rFonts w:ascii="Arial" w:eastAsia="Batang" w:hAnsi="Arial" w:cs="Arial"/>
        </w:rPr>
        <w:t>Health (ERPATSI</w:t>
      </w:r>
      <w:r w:rsidR="00C65400">
        <w:rPr>
          <w:rFonts w:ascii="Arial" w:eastAsia="Batang" w:hAnsi="Arial" w:cs="Arial"/>
        </w:rPr>
        <w:t>E</w:t>
      </w:r>
      <w:r w:rsidR="00851434" w:rsidRPr="00851434">
        <w:rPr>
          <w:rFonts w:ascii="Arial" w:eastAsia="Batang" w:hAnsi="Arial" w:cs="Arial"/>
        </w:rPr>
        <w:t>H)</w:t>
      </w:r>
      <w:r w:rsidR="007E4AF7">
        <w:rPr>
          <w:rFonts w:ascii="Arial" w:eastAsia="Batang" w:hAnsi="Arial" w:cs="Arial"/>
        </w:rPr>
        <w:t>.</w:t>
      </w:r>
    </w:p>
    <w:p w14:paraId="1A5AF9A9" w14:textId="77777777" w:rsidR="00F67DDB" w:rsidRPr="00E7070F" w:rsidRDefault="00F67DDB" w:rsidP="00F67DDB">
      <w:pPr>
        <w:pStyle w:val="Heading2"/>
        <w:ind w:left="0" w:firstLine="0"/>
        <w:rPr>
          <w:rFonts w:ascii="Arial" w:hAnsi="Arial"/>
          <w:color w:val="365F91" w:themeColor="accent1" w:themeShade="BF"/>
          <w:sz w:val="22"/>
          <w:szCs w:val="22"/>
        </w:rPr>
      </w:pPr>
      <w:bookmarkStart w:id="140" w:name="_Toc58502802"/>
      <w:r w:rsidRPr="00E7070F">
        <w:rPr>
          <w:rFonts w:ascii="Arial" w:hAnsi="Arial"/>
          <w:sz w:val="22"/>
          <w:szCs w:val="22"/>
        </w:rPr>
        <w:t>Objective</w:t>
      </w:r>
      <w:r>
        <w:rPr>
          <w:rFonts w:ascii="Arial" w:hAnsi="Arial"/>
          <w:sz w:val="22"/>
          <w:szCs w:val="22"/>
        </w:rPr>
        <w:t>s</w:t>
      </w:r>
      <w:bookmarkEnd w:id="140"/>
    </w:p>
    <w:p w14:paraId="2F287727" w14:textId="146E0F7E" w:rsidR="00F67DDB" w:rsidRDefault="00F67DDB" w:rsidP="00F67DDB">
      <w:pPr>
        <w:pStyle w:val="BodyText1"/>
        <w:spacing w:line="276" w:lineRule="auto"/>
        <w:ind w:left="0"/>
        <w:rPr>
          <w:rFonts w:ascii="Arial" w:hAnsi="Arial" w:cs="Arial"/>
        </w:rPr>
      </w:pPr>
      <w:r>
        <w:rPr>
          <w:rFonts w:ascii="Arial" w:hAnsi="Arial" w:cs="Arial"/>
        </w:rPr>
        <w:t xml:space="preserve">enHealth </w:t>
      </w:r>
      <w:r w:rsidRPr="00241C02">
        <w:rPr>
          <w:rFonts w:ascii="Arial" w:hAnsi="Arial" w:cs="Arial"/>
        </w:rPr>
        <w:t xml:space="preserve">seeks to provide strategic direction to the management of </w:t>
      </w:r>
      <w:r>
        <w:rPr>
          <w:rFonts w:ascii="Arial" w:hAnsi="Arial" w:cs="Arial"/>
        </w:rPr>
        <w:t xml:space="preserve">environmental </w:t>
      </w:r>
      <w:r w:rsidRPr="00241C02">
        <w:rPr>
          <w:rFonts w:ascii="Arial" w:hAnsi="Arial" w:cs="Arial"/>
        </w:rPr>
        <w:t xml:space="preserve">health </w:t>
      </w:r>
      <w:r>
        <w:rPr>
          <w:rFonts w:ascii="Arial" w:hAnsi="Arial" w:cs="Arial"/>
        </w:rPr>
        <w:t xml:space="preserve">matters </w:t>
      </w:r>
      <w:r w:rsidRPr="00241C02">
        <w:rPr>
          <w:rFonts w:ascii="Arial" w:hAnsi="Arial" w:cs="Arial"/>
        </w:rPr>
        <w:t xml:space="preserve">in Australia across the spectrum of prevention, preparedness, response and recovery (the ‘PPRR’ framework). In doing so, </w:t>
      </w:r>
      <w:r>
        <w:rPr>
          <w:rFonts w:ascii="Arial" w:hAnsi="Arial" w:cs="Arial"/>
        </w:rPr>
        <w:t>enHealth</w:t>
      </w:r>
      <w:r w:rsidRPr="00241C02">
        <w:rPr>
          <w:rFonts w:ascii="Arial" w:hAnsi="Arial" w:cs="Arial"/>
        </w:rPr>
        <w:t xml:space="preserve"> leads and promotes coordination across jurisdictions to deliver national consistency in approaches to </w:t>
      </w:r>
      <w:r>
        <w:rPr>
          <w:rFonts w:ascii="Arial" w:hAnsi="Arial" w:cs="Arial"/>
        </w:rPr>
        <w:t xml:space="preserve">environmental </w:t>
      </w:r>
      <w:r w:rsidRPr="00241C02">
        <w:rPr>
          <w:rFonts w:ascii="Arial" w:hAnsi="Arial" w:cs="Arial"/>
        </w:rPr>
        <w:t>health</w:t>
      </w:r>
      <w:r w:rsidR="005C19AE">
        <w:rPr>
          <w:rFonts w:ascii="Arial" w:hAnsi="Arial" w:cs="Arial"/>
        </w:rPr>
        <w:t xml:space="preserve"> matters</w:t>
      </w:r>
      <w:r w:rsidRPr="00241C02">
        <w:rPr>
          <w:rFonts w:ascii="Arial" w:hAnsi="Arial" w:cs="Arial"/>
        </w:rPr>
        <w:t>.</w:t>
      </w:r>
    </w:p>
    <w:p w14:paraId="294C7027" w14:textId="4D4A25B0" w:rsidR="002F49A8" w:rsidRPr="000E2AF5" w:rsidRDefault="002F49A8" w:rsidP="002F49A8">
      <w:pPr>
        <w:pStyle w:val="Heading2"/>
        <w:ind w:left="0" w:firstLine="0"/>
        <w:rPr>
          <w:rFonts w:ascii="Arial" w:hAnsi="Arial"/>
          <w:sz w:val="22"/>
          <w:szCs w:val="22"/>
        </w:rPr>
      </w:pPr>
      <w:bookmarkStart w:id="141" w:name="_Toc58502803"/>
      <w:r>
        <w:rPr>
          <w:rFonts w:ascii="Arial" w:hAnsi="Arial"/>
          <w:sz w:val="22"/>
          <w:szCs w:val="22"/>
        </w:rPr>
        <w:t>Enablers</w:t>
      </w:r>
      <w:bookmarkEnd w:id="141"/>
    </w:p>
    <w:p w14:paraId="36A1F960" w14:textId="77777777" w:rsidR="002F49A8" w:rsidRPr="005F426F" w:rsidRDefault="002F49A8" w:rsidP="002F49A8">
      <w:pPr>
        <w:spacing w:after="120" w:line="276" w:lineRule="auto"/>
        <w:rPr>
          <w:rFonts w:ascii="Arial" w:hAnsi="Arial" w:cs="Arial"/>
          <w:szCs w:val="22"/>
        </w:rPr>
      </w:pPr>
      <w:r w:rsidRPr="005F426F">
        <w:rPr>
          <w:rFonts w:ascii="Arial" w:hAnsi="Arial" w:cs="Arial"/>
          <w:szCs w:val="22"/>
        </w:rPr>
        <w:t xml:space="preserve">Within each of the strategic priorities, six enablers will guide specific and outcome-focused activities. It is recognised that within each of the strategic priorities there will be different issues and gaps to be addressed. For this reason, it is envisaged that the enablers will be applied on an as needs basis. </w:t>
      </w:r>
    </w:p>
    <w:p w14:paraId="7EE8B0A9" w14:textId="5486172A" w:rsidR="002F49A8" w:rsidRPr="005F426F" w:rsidRDefault="002F49A8" w:rsidP="002F49A8">
      <w:pPr>
        <w:pStyle w:val="ListParagraph"/>
        <w:numPr>
          <w:ilvl w:val="0"/>
          <w:numId w:val="76"/>
        </w:numPr>
        <w:spacing w:after="120" w:line="276" w:lineRule="auto"/>
        <w:ind w:left="360"/>
        <w:rPr>
          <w:rFonts w:ascii="Arial" w:hAnsi="Arial" w:cs="Arial"/>
          <w:szCs w:val="22"/>
        </w:rPr>
      </w:pPr>
      <w:r w:rsidRPr="005F426F">
        <w:rPr>
          <w:rFonts w:ascii="Arial" w:hAnsi="Arial" w:cs="Arial"/>
          <w:b/>
          <w:szCs w:val="22"/>
        </w:rPr>
        <w:t>Strong governance and leadership</w:t>
      </w:r>
      <w:r w:rsidRPr="005F426F">
        <w:rPr>
          <w:rFonts w:ascii="Arial" w:hAnsi="Arial" w:cs="Arial"/>
          <w:szCs w:val="22"/>
        </w:rPr>
        <w:t xml:space="preserve"> – enHealth will </w:t>
      </w:r>
      <w:r>
        <w:rPr>
          <w:rFonts w:ascii="Arial" w:hAnsi="Arial" w:cs="Arial"/>
          <w:szCs w:val="22"/>
        </w:rPr>
        <w:t>support</w:t>
      </w:r>
      <w:r w:rsidRPr="005F426F">
        <w:rPr>
          <w:rFonts w:ascii="Arial" w:hAnsi="Arial" w:cs="Arial"/>
          <w:szCs w:val="22"/>
        </w:rPr>
        <w:t xml:space="preserve"> strengthening the alignment of planning through AHPPC and its </w:t>
      </w:r>
      <w:r w:rsidR="00F42336">
        <w:rPr>
          <w:rFonts w:ascii="Arial" w:hAnsi="Arial" w:cs="Arial"/>
          <w:szCs w:val="22"/>
        </w:rPr>
        <w:t>s</w:t>
      </w:r>
      <w:r w:rsidRPr="005F426F">
        <w:rPr>
          <w:rFonts w:ascii="Arial" w:hAnsi="Arial" w:cs="Arial"/>
          <w:szCs w:val="22"/>
        </w:rPr>
        <w:t xml:space="preserve">tanding </w:t>
      </w:r>
      <w:r w:rsidR="00F42336">
        <w:rPr>
          <w:rFonts w:ascii="Arial" w:hAnsi="Arial" w:cs="Arial"/>
          <w:szCs w:val="22"/>
        </w:rPr>
        <w:t>c</w:t>
      </w:r>
      <w:r w:rsidRPr="005F426F">
        <w:rPr>
          <w:rFonts w:ascii="Arial" w:hAnsi="Arial" w:cs="Arial"/>
          <w:szCs w:val="22"/>
        </w:rPr>
        <w:t>ommittees, and between the Commonwealth and jurisdictions to facilitate nationally consistent approaches to environmental health threats and risks.</w:t>
      </w:r>
    </w:p>
    <w:p w14:paraId="3FCE4CF7" w14:textId="77777777" w:rsidR="002F49A8" w:rsidRPr="005F426F" w:rsidRDefault="002F49A8" w:rsidP="002F49A8">
      <w:pPr>
        <w:pStyle w:val="ListParagraph"/>
        <w:numPr>
          <w:ilvl w:val="0"/>
          <w:numId w:val="76"/>
        </w:numPr>
        <w:spacing w:after="120" w:line="276" w:lineRule="auto"/>
        <w:ind w:left="360"/>
        <w:rPr>
          <w:rFonts w:ascii="Arial" w:hAnsi="Arial" w:cs="Arial"/>
          <w:szCs w:val="22"/>
        </w:rPr>
      </w:pPr>
      <w:r w:rsidRPr="005F426F">
        <w:rPr>
          <w:rFonts w:ascii="Arial" w:hAnsi="Arial" w:cs="Arial"/>
          <w:b/>
          <w:szCs w:val="22"/>
        </w:rPr>
        <w:lastRenderedPageBreak/>
        <w:t>Collaborative partnerships</w:t>
      </w:r>
      <w:r w:rsidRPr="005F426F">
        <w:rPr>
          <w:rFonts w:ascii="Arial" w:hAnsi="Arial" w:cs="Arial"/>
          <w:szCs w:val="22"/>
        </w:rPr>
        <w:t xml:space="preserve"> – enHealth will focus on strengthening engagement with environmental health stakeholders, both within and outside of government, to facilitate the timely sharing of information and resources.</w:t>
      </w:r>
    </w:p>
    <w:p w14:paraId="686B6616" w14:textId="77777777" w:rsidR="002F49A8" w:rsidRPr="005F426F" w:rsidRDefault="002F49A8" w:rsidP="002F49A8">
      <w:pPr>
        <w:pStyle w:val="ListParagraph"/>
        <w:numPr>
          <w:ilvl w:val="0"/>
          <w:numId w:val="76"/>
        </w:numPr>
        <w:spacing w:after="120" w:line="276" w:lineRule="auto"/>
        <w:ind w:left="360"/>
        <w:rPr>
          <w:rFonts w:ascii="Arial" w:hAnsi="Arial" w:cs="Arial"/>
          <w:szCs w:val="22"/>
        </w:rPr>
      </w:pPr>
      <w:r w:rsidRPr="005F426F">
        <w:rPr>
          <w:rFonts w:ascii="Arial" w:hAnsi="Arial" w:cs="Arial"/>
          <w:b/>
          <w:szCs w:val="22"/>
        </w:rPr>
        <w:t>Effective communications</w:t>
      </w:r>
      <w:r w:rsidRPr="005F426F">
        <w:rPr>
          <w:rFonts w:ascii="Arial" w:hAnsi="Arial" w:cs="Arial"/>
          <w:szCs w:val="22"/>
        </w:rPr>
        <w:t xml:space="preserve"> – enHealth will support national coordination of messaging to ensure consistent, timely and evidence-informed communication around environmental health issues, tailored to diverse community and professional groups. In addition, enHealth will support effective communication between jurisdictions and with non-government stakeholders, including multilateral agencies.</w:t>
      </w:r>
    </w:p>
    <w:p w14:paraId="7B384955" w14:textId="77777777" w:rsidR="002F49A8" w:rsidRPr="005F426F" w:rsidRDefault="002F49A8" w:rsidP="002F49A8">
      <w:pPr>
        <w:pStyle w:val="ListParagraph"/>
        <w:numPr>
          <w:ilvl w:val="0"/>
          <w:numId w:val="76"/>
        </w:numPr>
        <w:spacing w:after="120" w:line="276" w:lineRule="auto"/>
        <w:ind w:left="360"/>
        <w:rPr>
          <w:rFonts w:ascii="Arial" w:hAnsi="Arial" w:cs="Arial"/>
          <w:szCs w:val="22"/>
        </w:rPr>
      </w:pPr>
      <w:r w:rsidRPr="005F426F">
        <w:rPr>
          <w:rFonts w:ascii="Arial" w:hAnsi="Arial" w:cs="Arial"/>
          <w:b/>
          <w:szCs w:val="22"/>
        </w:rPr>
        <w:t xml:space="preserve">Coordinated and timely response </w:t>
      </w:r>
      <w:r w:rsidRPr="005F426F">
        <w:rPr>
          <w:rFonts w:ascii="Arial" w:hAnsi="Arial" w:cs="Arial"/>
          <w:szCs w:val="22"/>
        </w:rPr>
        <w:t>–</w:t>
      </w:r>
      <w:r w:rsidRPr="005F426F">
        <w:rPr>
          <w:rFonts w:ascii="Arial" w:hAnsi="Arial" w:cs="Arial"/>
          <w:b/>
          <w:szCs w:val="22"/>
        </w:rPr>
        <w:t xml:space="preserve"> </w:t>
      </w:r>
      <w:r w:rsidRPr="005F426F">
        <w:rPr>
          <w:rFonts w:ascii="Arial" w:hAnsi="Arial" w:cs="Arial"/>
          <w:szCs w:val="22"/>
        </w:rPr>
        <w:t>enHealth will work with the Commonwealth and jurisdictions to strengthen procedures and protocols for responding to environmental health threats and risks, for known and unknown issues. This will include horizon scanning to identify emerging risks and regular review and updating of existing advice and publications.</w:t>
      </w:r>
    </w:p>
    <w:p w14:paraId="70AA0E74" w14:textId="666863CD" w:rsidR="002F49A8" w:rsidRPr="002F49A8" w:rsidRDefault="002F49A8" w:rsidP="00CB5150">
      <w:pPr>
        <w:pStyle w:val="ListParagraph"/>
        <w:numPr>
          <w:ilvl w:val="0"/>
          <w:numId w:val="76"/>
        </w:numPr>
        <w:spacing w:after="120" w:line="276" w:lineRule="auto"/>
        <w:ind w:left="360"/>
        <w:rPr>
          <w:rFonts w:ascii="Arial" w:hAnsi="Arial"/>
          <w:szCs w:val="22"/>
        </w:rPr>
      </w:pPr>
      <w:r w:rsidRPr="000E2AF5">
        <w:rPr>
          <w:rFonts w:ascii="Arial" w:hAnsi="Arial" w:cs="Arial"/>
          <w:b/>
          <w:szCs w:val="22"/>
        </w:rPr>
        <w:t>Strengthening research capacity</w:t>
      </w:r>
      <w:r w:rsidRPr="005F426F">
        <w:rPr>
          <w:rFonts w:ascii="Arial" w:hAnsi="Arial" w:cs="Arial"/>
          <w:szCs w:val="22"/>
        </w:rPr>
        <w:t xml:space="preserve"> – enHealth will contribute to research </w:t>
      </w:r>
      <w:r w:rsidR="00074BC7">
        <w:rPr>
          <w:rFonts w:ascii="Arial" w:hAnsi="Arial" w:cs="Arial"/>
          <w:szCs w:val="22"/>
        </w:rPr>
        <w:t>and intelligence</w:t>
      </w:r>
      <w:r w:rsidR="00074BC7" w:rsidRPr="005F426F">
        <w:rPr>
          <w:rFonts w:ascii="Arial" w:hAnsi="Arial" w:cs="Arial"/>
          <w:szCs w:val="22"/>
        </w:rPr>
        <w:t xml:space="preserve"> </w:t>
      </w:r>
      <w:r w:rsidRPr="005F426F">
        <w:rPr>
          <w:rFonts w:ascii="Arial" w:hAnsi="Arial" w:cs="Arial"/>
          <w:szCs w:val="22"/>
        </w:rPr>
        <w:t xml:space="preserve">on environmental health through the provision of advice and guidance on the direction of research </w:t>
      </w:r>
      <w:r w:rsidR="00725701">
        <w:rPr>
          <w:rFonts w:ascii="Arial" w:hAnsi="Arial" w:cs="Arial"/>
          <w:szCs w:val="22"/>
        </w:rPr>
        <w:t xml:space="preserve">and data </w:t>
      </w:r>
      <w:r w:rsidRPr="005F426F">
        <w:rPr>
          <w:rFonts w:ascii="Arial" w:hAnsi="Arial" w:cs="Arial"/>
          <w:szCs w:val="22"/>
        </w:rPr>
        <w:t>needs.</w:t>
      </w:r>
    </w:p>
    <w:p w14:paraId="5D551C54" w14:textId="50192B97" w:rsidR="002F49A8" w:rsidRPr="00CB5150" w:rsidRDefault="002F49A8" w:rsidP="00CB5150">
      <w:pPr>
        <w:pStyle w:val="ListParagraph"/>
        <w:numPr>
          <w:ilvl w:val="0"/>
          <w:numId w:val="76"/>
        </w:numPr>
        <w:spacing w:after="120" w:line="276" w:lineRule="auto"/>
        <w:ind w:left="360"/>
        <w:rPr>
          <w:rFonts w:ascii="Arial" w:hAnsi="Arial"/>
          <w:szCs w:val="22"/>
        </w:rPr>
      </w:pPr>
      <w:r w:rsidRPr="00CB5150">
        <w:rPr>
          <w:rFonts w:ascii="Arial" w:hAnsi="Arial" w:cs="Arial"/>
          <w:b/>
          <w:szCs w:val="22"/>
        </w:rPr>
        <w:t>Skilled workforce</w:t>
      </w:r>
      <w:r w:rsidRPr="00CB5150">
        <w:rPr>
          <w:rFonts w:ascii="Arial" w:hAnsi="Arial" w:cs="Arial"/>
          <w:szCs w:val="22"/>
        </w:rPr>
        <w:t xml:space="preserve"> – enHealth will focus on addressing critical gaps in the environmental health workforce including, but not limited to, access to expertise, training opportunities and workforce capability and capacity.</w:t>
      </w:r>
    </w:p>
    <w:p w14:paraId="3E6FD3D5" w14:textId="77777777" w:rsidR="00F67DDB" w:rsidRPr="000E2AF5" w:rsidRDefault="00F67DDB" w:rsidP="00F67DDB">
      <w:pPr>
        <w:pStyle w:val="Heading2"/>
        <w:ind w:left="0" w:firstLine="0"/>
        <w:rPr>
          <w:rFonts w:ascii="Arial" w:hAnsi="Arial"/>
          <w:sz w:val="22"/>
          <w:szCs w:val="22"/>
        </w:rPr>
      </w:pPr>
      <w:bookmarkStart w:id="142" w:name="_Toc33463340"/>
      <w:bookmarkStart w:id="143" w:name="_Toc33463981"/>
      <w:bookmarkStart w:id="144" w:name="_Toc33464130"/>
      <w:bookmarkStart w:id="145" w:name="_Toc862583"/>
      <w:bookmarkStart w:id="146" w:name="_Toc58502804"/>
      <w:bookmarkEnd w:id="142"/>
      <w:bookmarkEnd w:id="143"/>
      <w:bookmarkEnd w:id="144"/>
      <w:r w:rsidRPr="000E2AF5">
        <w:rPr>
          <w:rFonts w:ascii="Arial" w:hAnsi="Arial"/>
          <w:sz w:val="22"/>
          <w:szCs w:val="22"/>
        </w:rPr>
        <w:t>Approach</w:t>
      </w:r>
      <w:bookmarkEnd w:id="145"/>
      <w:bookmarkEnd w:id="146"/>
    </w:p>
    <w:p w14:paraId="631E62DA" w14:textId="77777777" w:rsidR="00F67DDB" w:rsidRPr="000E2AF5" w:rsidRDefault="00F67DDB" w:rsidP="00F67DDB">
      <w:pPr>
        <w:spacing w:after="120" w:line="276" w:lineRule="auto"/>
        <w:rPr>
          <w:rFonts w:ascii="Arial" w:hAnsi="Arial" w:cs="Arial"/>
          <w:szCs w:val="22"/>
        </w:rPr>
      </w:pPr>
      <w:r w:rsidRPr="000E2AF5">
        <w:rPr>
          <w:rFonts w:ascii="Arial" w:hAnsi="Arial" w:cs="Arial"/>
          <w:szCs w:val="22"/>
        </w:rPr>
        <w:t xml:space="preserve">The work of </w:t>
      </w:r>
      <w:r>
        <w:rPr>
          <w:rFonts w:ascii="Arial" w:hAnsi="Arial" w:cs="Arial"/>
          <w:szCs w:val="22"/>
        </w:rPr>
        <w:t>enHealth</w:t>
      </w:r>
      <w:r w:rsidRPr="000E2AF5">
        <w:rPr>
          <w:rFonts w:ascii="Arial" w:hAnsi="Arial" w:cs="Arial"/>
          <w:szCs w:val="22"/>
        </w:rPr>
        <w:t xml:space="preserve"> covers the full spectrum of identification, management and mitigation of </w:t>
      </w:r>
      <w:r>
        <w:rPr>
          <w:rFonts w:ascii="Arial" w:hAnsi="Arial" w:cs="Arial"/>
          <w:szCs w:val="22"/>
        </w:rPr>
        <w:t xml:space="preserve">environmental </w:t>
      </w:r>
      <w:r w:rsidRPr="000E2AF5">
        <w:rPr>
          <w:rFonts w:ascii="Arial" w:hAnsi="Arial" w:cs="Arial"/>
          <w:szCs w:val="22"/>
        </w:rPr>
        <w:t>health threats and risks using the PPRR framework:</w:t>
      </w:r>
    </w:p>
    <w:p w14:paraId="1FC3222F" w14:textId="77777777" w:rsidR="00F67DDB" w:rsidRPr="000E2AF5" w:rsidRDefault="00F67DDB" w:rsidP="00F67DDB">
      <w:pPr>
        <w:numPr>
          <w:ilvl w:val="0"/>
          <w:numId w:val="90"/>
        </w:numPr>
        <w:spacing w:after="120" w:line="276" w:lineRule="auto"/>
        <w:ind w:left="426" w:hanging="284"/>
        <w:rPr>
          <w:rFonts w:ascii="Arial" w:hAnsi="Arial" w:cs="Arial"/>
          <w:szCs w:val="22"/>
        </w:rPr>
      </w:pPr>
      <w:r w:rsidRPr="000E2AF5">
        <w:rPr>
          <w:rFonts w:ascii="Arial" w:hAnsi="Arial" w:cs="Arial"/>
          <w:b/>
          <w:szCs w:val="22"/>
        </w:rPr>
        <w:t>Prevention</w:t>
      </w:r>
      <w:r w:rsidRPr="000E2AF5">
        <w:rPr>
          <w:rFonts w:ascii="Arial" w:hAnsi="Arial" w:cs="Arial"/>
          <w:szCs w:val="22"/>
        </w:rPr>
        <w:t xml:space="preserve"> – activities necessary to remove or reduce the risk of </w:t>
      </w:r>
      <w:r>
        <w:rPr>
          <w:rFonts w:ascii="Arial" w:hAnsi="Arial" w:cs="Arial"/>
          <w:szCs w:val="22"/>
        </w:rPr>
        <w:t xml:space="preserve">environmental </w:t>
      </w:r>
      <w:r w:rsidRPr="000E2AF5">
        <w:rPr>
          <w:rFonts w:ascii="Arial" w:hAnsi="Arial" w:cs="Arial"/>
          <w:szCs w:val="22"/>
        </w:rPr>
        <w:t xml:space="preserve">health threats and hazards materialising, for example: supporting Commonwealth efforts to mitigate emerging </w:t>
      </w:r>
      <w:r>
        <w:rPr>
          <w:rFonts w:ascii="Arial" w:hAnsi="Arial" w:cs="Arial"/>
          <w:szCs w:val="22"/>
        </w:rPr>
        <w:t xml:space="preserve">environmental </w:t>
      </w:r>
      <w:r w:rsidRPr="000E2AF5">
        <w:rPr>
          <w:rFonts w:ascii="Arial" w:hAnsi="Arial" w:cs="Arial"/>
          <w:szCs w:val="22"/>
        </w:rPr>
        <w:t xml:space="preserve">health issues; and </w:t>
      </w:r>
      <w:r>
        <w:rPr>
          <w:rFonts w:ascii="Arial" w:hAnsi="Arial" w:cs="Arial"/>
          <w:szCs w:val="22"/>
        </w:rPr>
        <w:t>data</w:t>
      </w:r>
      <w:r w:rsidRPr="000E2AF5">
        <w:rPr>
          <w:rFonts w:ascii="Arial" w:hAnsi="Arial" w:cs="Arial"/>
          <w:szCs w:val="22"/>
        </w:rPr>
        <w:t xml:space="preserve"> gathering through </w:t>
      </w:r>
      <w:r>
        <w:rPr>
          <w:rFonts w:ascii="Arial" w:hAnsi="Arial" w:cs="Arial"/>
          <w:szCs w:val="22"/>
        </w:rPr>
        <w:t xml:space="preserve">human biomonitoring and </w:t>
      </w:r>
      <w:r w:rsidRPr="000E2AF5">
        <w:rPr>
          <w:rFonts w:ascii="Arial" w:hAnsi="Arial" w:cs="Arial"/>
          <w:szCs w:val="22"/>
        </w:rPr>
        <w:t>surveillance.</w:t>
      </w:r>
    </w:p>
    <w:p w14:paraId="1C032883" w14:textId="77777777" w:rsidR="00F67DDB" w:rsidRPr="000E2AF5" w:rsidRDefault="00F67DDB" w:rsidP="00F67DDB">
      <w:pPr>
        <w:numPr>
          <w:ilvl w:val="0"/>
          <w:numId w:val="90"/>
        </w:numPr>
        <w:spacing w:after="120" w:line="276" w:lineRule="auto"/>
        <w:ind w:left="426" w:hanging="284"/>
        <w:rPr>
          <w:rFonts w:ascii="Arial" w:hAnsi="Arial" w:cs="Arial"/>
          <w:szCs w:val="22"/>
        </w:rPr>
      </w:pPr>
      <w:r w:rsidRPr="000E2AF5">
        <w:rPr>
          <w:rFonts w:ascii="Arial" w:hAnsi="Arial" w:cs="Arial"/>
          <w:b/>
          <w:szCs w:val="22"/>
        </w:rPr>
        <w:t>Preparedness</w:t>
      </w:r>
      <w:r w:rsidRPr="000E2AF5">
        <w:rPr>
          <w:rFonts w:ascii="Arial" w:hAnsi="Arial" w:cs="Arial"/>
          <w:szCs w:val="22"/>
        </w:rPr>
        <w:t xml:space="preserve"> – activities necessary to mitigate the impact and consequence of </w:t>
      </w:r>
      <w:r>
        <w:rPr>
          <w:rFonts w:ascii="Arial" w:hAnsi="Arial" w:cs="Arial"/>
          <w:szCs w:val="22"/>
        </w:rPr>
        <w:t xml:space="preserve">environmental </w:t>
      </w:r>
      <w:r w:rsidRPr="000E2AF5">
        <w:rPr>
          <w:rFonts w:ascii="Arial" w:hAnsi="Arial" w:cs="Arial"/>
          <w:szCs w:val="22"/>
        </w:rPr>
        <w:t xml:space="preserve">health threats and hazards proactively, before they materialise, for example: identification, testing and support of </w:t>
      </w:r>
      <w:r>
        <w:rPr>
          <w:rFonts w:ascii="Arial" w:hAnsi="Arial" w:cs="Arial"/>
          <w:szCs w:val="22"/>
        </w:rPr>
        <w:t xml:space="preserve">preparedness </w:t>
      </w:r>
      <w:r w:rsidRPr="000E2AF5">
        <w:rPr>
          <w:rFonts w:ascii="Arial" w:hAnsi="Arial" w:cs="Arial"/>
          <w:szCs w:val="22"/>
        </w:rPr>
        <w:t xml:space="preserve">capability; maintaining workforce capacity; and </w:t>
      </w:r>
      <w:r>
        <w:rPr>
          <w:rFonts w:ascii="Arial" w:hAnsi="Arial" w:cs="Arial"/>
          <w:szCs w:val="22"/>
        </w:rPr>
        <w:t>incident preparedness</w:t>
      </w:r>
      <w:r w:rsidRPr="000E2AF5">
        <w:rPr>
          <w:rFonts w:ascii="Arial" w:hAnsi="Arial" w:cs="Arial"/>
          <w:szCs w:val="22"/>
        </w:rPr>
        <w:t>.</w:t>
      </w:r>
    </w:p>
    <w:p w14:paraId="4035EF59" w14:textId="77777777" w:rsidR="00F67DDB" w:rsidRPr="000E2AF5" w:rsidRDefault="00F67DDB" w:rsidP="00F67DDB">
      <w:pPr>
        <w:numPr>
          <w:ilvl w:val="0"/>
          <w:numId w:val="90"/>
        </w:numPr>
        <w:spacing w:after="120" w:line="276" w:lineRule="auto"/>
        <w:ind w:left="426" w:hanging="284"/>
        <w:rPr>
          <w:rFonts w:ascii="Arial" w:hAnsi="Arial" w:cs="Arial"/>
          <w:szCs w:val="22"/>
        </w:rPr>
      </w:pPr>
      <w:r w:rsidRPr="000E2AF5">
        <w:rPr>
          <w:rFonts w:ascii="Arial" w:hAnsi="Arial" w:cs="Arial"/>
          <w:b/>
          <w:szCs w:val="22"/>
        </w:rPr>
        <w:t>Response</w:t>
      </w:r>
      <w:r w:rsidRPr="000E2AF5">
        <w:rPr>
          <w:rFonts w:ascii="Arial" w:hAnsi="Arial" w:cs="Arial"/>
          <w:szCs w:val="22"/>
        </w:rPr>
        <w:t xml:space="preserve"> – activities necessary to address and manage active or emerging </w:t>
      </w:r>
      <w:r>
        <w:rPr>
          <w:rFonts w:ascii="Arial" w:hAnsi="Arial" w:cs="Arial"/>
          <w:szCs w:val="22"/>
        </w:rPr>
        <w:t>environmental</w:t>
      </w:r>
      <w:r w:rsidRPr="000E2AF5">
        <w:rPr>
          <w:rFonts w:ascii="Arial" w:hAnsi="Arial" w:cs="Arial"/>
          <w:szCs w:val="22"/>
        </w:rPr>
        <w:t xml:space="preserve"> health hazards, </w:t>
      </w:r>
      <w:r>
        <w:rPr>
          <w:rFonts w:ascii="Arial" w:hAnsi="Arial" w:cs="Arial"/>
          <w:szCs w:val="22"/>
        </w:rPr>
        <w:t xml:space="preserve">environmental </w:t>
      </w:r>
      <w:r w:rsidRPr="000E2AF5">
        <w:rPr>
          <w:rFonts w:ascii="Arial" w:hAnsi="Arial" w:cs="Arial"/>
          <w:szCs w:val="22"/>
        </w:rPr>
        <w:t xml:space="preserve">health emergencies and incidents, and manage threats of further escalation. </w:t>
      </w:r>
    </w:p>
    <w:p w14:paraId="702C074A" w14:textId="5815F7EE" w:rsidR="00F67DDB" w:rsidRPr="000E2AF5" w:rsidRDefault="00F67DDB" w:rsidP="00F67DDB">
      <w:pPr>
        <w:numPr>
          <w:ilvl w:val="0"/>
          <w:numId w:val="90"/>
        </w:numPr>
        <w:spacing w:after="120" w:line="276" w:lineRule="auto"/>
        <w:ind w:left="426" w:hanging="284"/>
        <w:rPr>
          <w:rFonts w:ascii="Arial" w:hAnsi="Arial" w:cs="Arial"/>
          <w:szCs w:val="22"/>
        </w:rPr>
      </w:pPr>
      <w:r w:rsidRPr="000E2AF5">
        <w:rPr>
          <w:rFonts w:ascii="Arial" w:hAnsi="Arial" w:cs="Arial"/>
          <w:b/>
          <w:szCs w:val="22"/>
        </w:rPr>
        <w:t>Recovery</w:t>
      </w:r>
      <w:r w:rsidRPr="000E2AF5">
        <w:rPr>
          <w:rFonts w:ascii="Arial" w:hAnsi="Arial" w:cs="Arial"/>
          <w:szCs w:val="22"/>
        </w:rPr>
        <w:t xml:space="preserve"> – activities necessary to lead the national </w:t>
      </w:r>
      <w:r>
        <w:rPr>
          <w:rFonts w:ascii="Arial" w:hAnsi="Arial" w:cs="Arial"/>
          <w:szCs w:val="22"/>
        </w:rPr>
        <w:t xml:space="preserve">environmental </w:t>
      </w:r>
      <w:r w:rsidRPr="000E2AF5">
        <w:rPr>
          <w:rFonts w:ascii="Arial" w:hAnsi="Arial" w:cs="Arial"/>
          <w:szCs w:val="22"/>
        </w:rPr>
        <w:t>health sector</w:t>
      </w:r>
      <w:r>
        <w:rPr>
          <w:rFonts w:ascii="Arial" w:hAnsi="Arial" w:cs="Arial"/>
          <w:szCs w:val="22"/>
        </w:rPr>
        <w:t>’s</w:t>
      </w:r>
      <w:r w:rsidRPr="000E2AF5">
        <w:rPr>
          <w:rFonts w:ascii="Arial" w:hAnsi="Arial" w:cs="Arial"/>
          <w:szCs w:val="22"/>
        </w:rPr>
        <w:t xml:space="preserve"> role in supporting recovery operations, for example, review of </w:t>
      </w:r>
      <w:r w:rsidR="00F42336">
        <w:rPr>
          <w:rFonts w:ascii="Arial" w:hAnsi="Arial" w:cs="Arial"/>
          <w:szCs w:val="22"/>
        </w:rPr>
        <w:t xml:space="preserve">environmental health </w:t>
      </w:r>
      <w:r w:rsidRPr="000E2AF5">
        <w:rPr>
          <w:rFonts w:ascii="Arial" w:hAnsi="Arial" w:cs="Arial"/>
          <w:szCs w:val="22"/>
        </w:rPr>
        <w:t>response outcomes.</w:t>
      </w:r>
    </w:p>
    <w:p w14:paraId="6420998B" w14:textId="20A5512E" w:rsidR="00F67DDB" w:rsidRDefault="00F67DDB" w:rsidP="00F67DDB">
      <w:pPr>
        <w:spacing w:after="120" w:line="276" w:lineRule="auto"/>
        <w:rPr>
          <w:rFonts w:ascii="Arial" w:hAnsi="Arial" w:cs="Arial"/>
          <w:szCs w:val="22"/>
        </w:rPr>
      </w:pPr>
      <w:r w:rsidRPr="000E2AF5">
        <w:rPr>
          <w:rFonts w:ascii="Arial" w:hAnsi="Arial" w:cs="Arial"/>
          <w:szCs w:val="22"/>
        </w:rPr>
        <w:t xml:space="preserve">Within this context, </w:t>
      </w:r>
      <w:r>
        <w:rPr>
          <w:rFonts w:ascii="Arial" w:hAnsi="Arial" w:cs="Arial"/>
          <w:szCs w:val="22"/>
        </w:rPr>
        <w:t xml:space="preserve">environmental </w:t>
      </w:r>
      <w:r w:rsidRPr="000E2AF5">
        <w:rPr>
          <w:rFonts w:ascii="Arial" w:hAnsi="Arial" w:cs="Arial"/>
          <w:szCs w:val="22"/>
        </w:rPr>
        <w:t>health risks are not necessarily treated with equal weighting within the framework, nor are they necessarily treated across all elements of the framework.</w:t>
      </w:r>
    </w:p>
    <w:p w14:paraId="01281467" w14:textId="214873C2" w:rsidR="00AD19A2" w:rsidRDefault="00AD19A2" w:rsidP="00F67DDB">
      <w:pPr>
        <w:spacing w:after="120" w:line="276" w:lineRule="auto"/>
        <w:rPr>
          <w:rFonts w:ascii="Arial" w:hAnsi="Arial" w:cs="Arial"/>
          <w:szCs w:val="22"/>
        </w:rPr>
      </w:pPr>
      <w:r>
        <w:rPr>
          <w:rFonts w:ascii="Arial" w:hAnsi="Arial" w:cs="Arial"/>
          <w:szCs w:val="22"/>
        </w:rPr>
        <w:t>enHealth also recognise the importance of resilience in the approach to the diverse challenges and interlinked uncertainties that issues such as globalisation and climate change present in the environmental health context:</w:t>
      </w:r>
    </w:p>
    <w:p w14:paraId="676C809E" w14:textId="4AC75263" w:rsidR="00AD19A2" w:rsidRPr="00CB5150" w:rsidRDefault="00AD19A2" w:rsidP="00CB5150">
      <w:pPr>
        <w:pStyle w:val="ListParagraph"/>
        <w:numPr>
          <w:ilvl w:val="0"/>
          <w:numId w:val="105"/>
        </w:numPr>
        <w:spacing w:after="120" w:line="276" w:lineRule="auto"/>
        <w:rPr>
          <w:rFonts w:cs="Arial"/>
          <w:szCs w:val="22"/>
        </w:rPr>
      </w:pPr>
      <w:r w:rsidRPr="00CB5150">
        <w:rPr>
          <w:rFonts w:ascii="Arial" w:hAnsi="Arial" w:cs="Arial"/>
          <w:b/>
          <w:szCs w:val="22"/>
        </w:rPr>
        <w:t>Re</w:t>
      </w:r>
      <w:r>
        <w:rPr>
          <w:rFonts w:ascii="Arial" w:hAnsi="Arial" w:cs="Arial"/>
          <w:b/>
          <w:szCs w:val="22"/>
        </w:rPr>
        <w:t>silience</w:t>
      </w:r>
      <w:r w:rsidRPr="00CB5150">
        <w:rPr>
          <w:rFonts w:ascii="Arial" w:hAnsi="Arial" w:cs="Arial"/>
          <w:szCs w:val="22"/>
        </w:rPr>
        <w:t xml:space="preserve"> – activities necessary </w:t>
      </w:r>
      <w:r>
        <w:rPr>
          <w:rFonts w:ascii="Arial" w:hAnsi="Arial" w:cs="Arial"/>
          <w:szCs w:val="22"/>
        </w:rPr>
        <w:t xml:space="preserve">for societies </w:t>
      </w:r>
      <w:r w:rsidRPr="00CB5150">
        <w:rPr>
          <w:rFonts w:ascii="Arial" w:hAnsi="Arial" w:cs="Arial"/>
          <w:szCs w:val="22"/>
        </w:rPr>
        <w:t xml:space="preserve">to </w:t>
      </w:r>
      <w:r>
        <w:rPr>
          <w:rFonts w:ascii="Arial" w:hAnsi="Arial" w:cs="Arial"/>
          <w:szCs w:val="22"/>
        </w:rPr>
        <w:t xml:space="preserve">become more and more flexible to withstand crises, reinventing themselves in resilient, integrated, sustainable, multi-dimensional and inclusive ways. </w:t>
      </w:r>
      <w:r w:rsidR="005B2CB2">
        <w:rPr>
          <w:rFonts w:ascii="Arial" w:hAnsi="Arial" w:cs="Arial"/>
          <w:szCs w:val="22"/>
        </w:rPr>
        <w:t>The approach to environmental health matters will need to consider resilience.</w:t>
      </w:r>
    </w:p>
    <w:p w14:paraId="694C1ECD" w14:textId="77777777" w:rsidR="002F49A8" w:rsidRDefault="00AD19A2" w:rsidP="00AD19A2">
      <w:pPr>
        <w:spacing w:after="120" w:line="276" w:lineRule="auto"/>
        <w:rPr>
          <w:rFonts w:ascii="Arial" w:hAnsi="Arial" w:cs="Arial"/>
          <w:szCs w:val="22"/>
        </w:rPr>
      </w:pPr>
      <w:r>
        <w:rPr>
          <w:rFonts w:ascii="Arial" w:hAnsi="Arial" w:cs="Arial"/>
          <w:szCs w:val="22"/>
        </w:rPr>
        <w:t xml:space="preserve">This approach is reflected in the </w:t>
      </w:r>
      <w:r w:rsidRPr="00AD19A2">
        <w:rPr>
          <w:rFonts w:ascii="Arial" w:hAnsi="Arial" w:cs="Arial"/>
          <w:szCs w:val="22"/>
        </w:rPr>
        <w:t>United Nations Agenda 2030 for Sustainable Development</w:t>
      </w:r>
      <w:r w:rsidR="005C19AE">
        <w:rPr>
          <w:rStyle w:val="FootnoteReference"/>
          <w:rFonts w:ascii="Arial" w:hAnsi="Arial" w:cs="Arial"/>
          <w:szCs w:val="22"/>
        </w:rPr>
        <w:footnoteReference w:id="11"/>
      </w:r>
      <w:r>
        <w:rPr>
          <w:rFonts w:ascii="Arial" w:hAnsi="Arial" w:cs="Arial"/>
          <w:szCs w:val="22"/>
        </w:rPr>
        <w:t>, which recognis</w:t>
      </w:r>
      <w:r w:rsidRPr="00AD19A2">
        <w:rPr>
          <w:rFonts w:ascii="Arial" w:hAnsi="Arial" w:cs="Arial"/>
          <w:szCs w:val="22"/>
        </w:rPr>
        <w:t>es the importance of transforming societies through sustainable, resilient and inclusive paths, encompassed by the interlinked and universal Sustainable Development Goals (SDGs).</w:t>
      </w:r>
      <w:r w:rsidR="002A6806">
        <w:rPr>
          <w:rFonts w:ascii="Arial" w:hAnsi="Arial" w:cs="Arial"/>
          <w:szCs w:val="22"/>
        </w:rPr>
        <w:t xml:space="preserve"> </w:t>
      </w:r>
    </w:p>
    <w:p w14:paraId="30C5AE67" w14:textId="55D8BCC3" w:rsidR="00AD19A2" w:rsidRDefault="002A6806" w:rsidP="00AD19A2">
      <w:pPr>
        <w:spacing w:after="120" w:line="276" w:lineRule="auto"/>
        <w:rPr>
          <w:rFonts w:ascii="Arial" w:hAnsi="Arial" w:cs="Arial"/>
          <w:szCs w:val="22"/>
        </w:rPr>
      </w:pPr>
      <w:r w:rsidRPr="002A6806">
        <w:rPr>
          <w:rFonts w:ascii="Arial" w:hAnsi="Arial" w:cs="Arial"/>
          <w:szCs w:val="22"/>
          <w:lang w:val="en-NZ"/>
        </w:rPr>
        <w:lastRenderedPageBreak/>
        <w:t>The</w:t>
      </w:r>
      <w:r>
        <w:rPr>
          <w:rFonts w:ascii="Arial" w:hAnsi="Arial" w:cs="Arial"/>
          <w:szCs w:val="22"/>
          <w:lang w:val="en-NZ"/>
        </w:rPr>
        <w:t xml:space="preserve"> </w:t>
      </w:r>
      <w:r w:rsidRPr="002A6806">
        <w:rPr>
          <w:rFonts w:ascii="Arial" w:hAnsi="Arial" w:cs="Arial"/>
          <w:szCs w:val="22"/>
          <w:lang w:val="en-NZ"/>
        </w:rPr>
        <w:t xml:space="preserve">SDGs are a set of 17 goals and 169 </w:t>
      </w:r>
      <w:r w:rsidR="001415B5" w:rsidRPr="002A6806">
        <w:rPr>
          <w:rFonts w:ascii="Arial" w:hAnsi="Arial" w:cs="Arial"/>
          <w:szCs w:val="22"/>
          <w:lang w:val="en-NZ"/>
        </w:rPr>
        <w:t>targets, which</w:t>
      </w:r>
      <w:r w:rsidRPr="002A6806">
        <w:rPr>
          <w:rFonts w:ascii="Arial" w:hAnsi="Arial" w:cs="Arial"/>
          <w:szCs w:val="22"/>
          <w:lang w:val="en-NZ"/>
        </w:rPr>
        <w:t xml:space="preserve"> outline a plan of action to support people, the planet and prosperity. Goal 3 (Good health and wellbeing) is the guiding goal for improving health and wellbeing. However, environmental health is a key aspect to all of the other goals (see </w:t>
      </w:r>
      <w:r w:rsidRPr="00CB5150">
        <w:rPr>
          <w:rFonts w:ascii="Arial" w:hAnsi="Arial" w:cs="Arial"/>
          <w:b/>
          <w:szCs w:val="22"/>
          <w:lang w:val="en-NZ"/>
        </w:rPr>
        <w:t>Figure 3</w:t>
      </w:r>
      <w:r w:rsidRPr="002A6806">
        <w:rPr>
          <w:rFonts w:ascii="Arial" w:hAnsi="Arial" w:cs="Arial"/>
          <w:szCs w:val="22"/>
          <w:lang w:val="en-NZ"/>
        </w:rPr>
        <w:t>)</w:t>
      </w:r>
      <w:r w:rsidR="00E80698">
        <w:rPr>
          <w:rFonts w:ascii="Arial" w:hAnsi="Arial" w:cs="Arial"/>
          <w:szCs w:val="22"/>
          <w:lang w:val="en-NZ"/>
        </w:rPr>
        <w:t>.</w:t>
      </w:r>
      <w:r>
        <w:rPr>
          <w:rFonts w:ascii="Arial" w:hAnsi="Arial" w:cs="Arial"/>
          <w:szCs w:val="22"/>
        </w:rPr>
        <w:t xml:space="preserve"> </w:t>
      </w:r>
    </w:p>
    <w:p w14:paraId="63AB268E" w14:textId="7106C8CF" w:rsidR="001415B5" w:rsidRDefault="001415B5" w:rsidP="001415B5">
      <w:pPr>
        <w:pStyle w:val="Caption"/>
        <w:rPr>
          <w:rFonts w:ascii="Arial" w:hAnsi="Arial" w:cs="Arial"/>
          <w:b w:val="0"/>
          <w:noProof/>
          <w:color w:val="auto"/>
          <w:sz w:val="20"/>
          <w:lang w:val="en-NZ"/>
        </w:rPr>
      </w:pPr>
      <w:r w:rsidRPr="001415B5">
        <w:rPr>
          <w:rFonts w:ascii="Arial" w:eastAsia="Batang" w:hAnsi="Arial" w:cs="Arial"/>
          <w:noProof/>
          <w:lang w:eastAsia="en-AU"/>
        </w:rPr>
        <w:drawing>
          <wp:inline distT="0" distB="0" distL="0" distR="0" wp14:anchorId="7F129AFA" wp14:editId="6BA84D9A">
            <wp:extent cx="6475730" cy="6734274"/>
            <wp:effectExtent l="0" t="0" r="1270" b="9525"/>
            <wp:docPr id="4" name="Picture 4" descr="This graph depicts the 17 Sustainable Development Goals and the connected environmental health risks and links." title="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5730" cy="6734274"/>
                    </a:xfrm>
                    <a:prstGeom prst="rect">
                      <a:avLst/>
                    </a:prstGeom>
                    <a:noFill/>
                    <a:ln>
                      <a:noFill/>
                    </a:ln>
                  </pic:spPr>
                </pic:pic>
              </a:graphicData>
            </a:graphic>
          </wp:inline>
        </w:drawing>
      </w:r>
      <w:r w:rsidRPr="00E047FC">
        <w:rPr>
          <w:rFonts w:ascii="Arial" w:hAnsi="Arial" w:cs="Arial"/>
          <w:color w:val="auto"/>
          <w:sz w:val="20"/>
        </w:rPr>
        <w:t xml:space="preserve">Figure </w:t>
      </w:r>
      <w:r>
        <w:rPr>
          <w:rFonts w:ascii="Arial" w:hAnsi="Arial" w:cs="Arial"/>
          <w:color w:val="auto"/>
          <w:sz w:val="20"/>
        </w:rPr>
        <w:t>3</w:t>
      </w:r>
      <w:r w:rsidRPr="00E047FC">
        <w:rPr>
          <w:rFonts w:ascii="Arial" w:hAnsi="Arial" w:cs="Arial"/>
          <w:noProof/>
          <w:color w:val="auto"/>
          <w:sz w:val="20"/>
        </w:rPr>
        <w:t xml:space="preserve">. </w:t>
      </w:r>
      <w:r w:rsidRPr="001415B5">
        <w:rPr>
          <w:rFonts w:ascii="Arial" w:hAnsi="Arial" w:cs="Arial"/>
          <w:b w:val="0"/>
          <w:noProof/>
          <w:color w:val="auto"/>
          <w:sz w:val="20"/>
          <w:lang w:val="en-NZ"/>
        </w:rPr>
        <w:t>Sustainable Development Goals and environment</w:t>
      </w:r>
      <w:r>
        <w:rPr>
          <w:rFonts w:ascii="Arial" w:hAnsi="Arial" w:cs="Arial"/>
          <w:b w:val="0"/>
          <w:noProof/>
          <w:color w:val="auto"/>
          <w:sz w:val="20"/>
          <w:lang w:val="en-NZ"/>
        </w:rPr>
        <w:t xml:space="preserve">al </w:t>
      </w:r>
      <w:r w:rsidRPr="001415B5">
        <w:rPr>
          <w:rFonts w:ascii="Arial" w:hAnsi="Arial" w:cs="Arial"/>
          <w:b w:val="0"/>
          <w:noProof/>
          <w:color w:val="auto"/>
          <w:sz w:val="20"/>
          <w:lang w:val="en-NZ"/>
        </w:rPr>
        <w:t>health risks</w:t>
      </w:r>
      <w:r w:rsidR="00F42336">
        <w:rPr>
          <w:rFonts w:ascii="Arial" w:hAnsi="Arial" w:cs="Arial"/>
          <w:b w:val="0"/>
          <w:noProof/>
          <w:color w:val="auto"/>
          <w:sz w:val="20"/>
          <w:lang w:val="en-NZ"/>
        </w:rPr>
        <w:t xml:space="preserve"> and links</w:t>
      </w:r>
      <w:r>
        <w:rPr>
          <w:rFonts w:ascii="Arial" w:hAnsi="Arial" w:cs="Arial"/>
          <w:b w:val="0"/>
          <w:noProof/>
          <w:color w:val="auto"/>
          <w:sz w:val="20"/>
          <w:lang w:val="en-NZ"/>
        </w:rPr>
        <w:t>.</w:t>
      </w:r>
      <w:r>
        <w:rPr>
          <w:rStyle w:val="FootnoteReference"/>
          <w:rFonts w:ascii="Arial" w:hAnsi="Arial" w:cs="Arial"/>
          <w:b w:val="0"/>
          <w:noProof/>
          <w:color w:val="auto"/>
          <w:sz w:val="20"/>
          <w:lang w:val="en-NZ"/>
        </w:rPr>
        <w:footnoteReference w:id="12"/>
      </w:r>
    </w:p>
    <w:p w14:paraId="5063F9D9" w14:textId="3F1B38AC" w:rsidR="00547EE0" w:rsidRPr="000E2AF5" w:rsidRDefault="00547EE0" w:rsidP="00547EE0">
      <w:pPr>
        <w:pStyle w:val="Heading2"/>
        <w:ind w:left="0" w:firstLine="0"/>
        <w:rPr>
          <w:rFonts w:ascii="Arial" w:hAnsi="Arial"/>
          <w:sz w:val="22"/>
          <w:szCs w:val="22"/>
        </w:rPr>
      </w:pPr>
      <w:bookmarkStart w:id="147" w:name="_Toc58502805"/>
      <w:r>
        <w:rPr>
          <w:rFonts w:ascii="Arial" w:hAnsi="Arial"/>
          <w:sz w:val="22"/>
          <w:szCs w:val="22"/>
        </w:rPr>
        <w:t>Opportunities</w:t>
      </w:r>
      <w:r w:rsidR="007D3D2E">
        <w:rPr>
          <w:rFonts w:ascii="Arial" w:hAnsi="Arial"/>
          <w:sz w:val="22"/>
          <w:szCs w:val="22"/>
        </w:rPr>
        <w:t xml:space="preserve">, </w:t>
      </w:r>
      <w:r>
        <w:rPr>
          <w:rFonts w:ascii="Arial" w:hAnsi="Arial"/>
          <w:sz w:val="22"/>
          <w:szCs w:val="22"/>
        </w:rPr>
        <w:t>Challenges</w:t>
      </w:r>
      <w:r w:rsidR="007D3D2E">
        <w:rPr>
          <w:rFonts w:ascii="Arial" w:hAnsi="Arial"/>
          <w:sz w:val="22"/>
          <w:szCs w:val="22"/>
        </w:rPr>
        <w:t xml:space="preserve"> and </w:t>
      </w:r>
      <w:r w:rsidR="006617AA">
        <w:rPr>
          <w:rFonts w:ascii="Arial" w:hAnsi="Arial"/>
          <w:sz w:val="22"/>
          <w:szCs w:val="22"/>
        </w:rPr>
        <w:t>Threats</w:t>
      </w:r>
      <w:bookmarkEnd w:id="147"/>
    </w:p>
    <w:p w14:paraId="624E38A9" w14:textId="4E8987F6" w:rsidR="00082682" w:rsidRPr="00082682" w:rsidRDefault="00547EE0" w:rsidP="00082682">
      <w:pPr>
        <w:spacing w:after="120" w:line="276" w:lineRule="auto"/>
        <w:rPr>
          <w:rFonts w:ascii="Arial" w:hAnsi="Arial" w:cs="Arial"/>
          <w:szCs w:val="22"/>
        </w:rPr>
      </w:pPr>
      <w:r>
        <w:rPr>
          <w:rFonts w:ascii="Arial" w:hAnsi="Arial" w:cs="Arial"/>
          <w:szCs w:val="22"/>
        </w:rPr>
        <w:t xml:space="preserve">In December 2019, enHealth members </w:t>
      </w:r>
      <w:r w:rsidR="00CB5150">
        <w:rPr>
          <w:rFonts w:ascii="Arial" w:hAnsi="Arial" w:cs="Arial"/>
          <w:szCs w:val="22"/>
        </w:rPr>
        <w:t xml:space="preserve">identified </w:t>
      </w:r>
      <w:r>
        <w:rPr>
          <w:rFonts w:ascii="Arial" w:hAnsi="Arial" w:cs="Arial"/>
          <w:szCs w:val="22"/>
        </w:rPr>
        <w:t xml:space="preserve">opportunities and challenges to help inform their key focus areas </w:t>
      </w:r>
      <w:r w:rsidR="00687BE6">
        <w:rPr>
          <w:rFonts w:ascii="Arial" w:hAnsi="Arial" w:cs="Arial"/>
          <w:szCs w:val="22"/>
        </w:rPr>
        <w:t xml:space="preserve">and strategies </w:t>
      </w:r>
      <w:r w:rsidR="00FA5279">
        <w:rPr>
          <w:rFonts w:ascii="Arial" w:hAnsi="Arial" w:cs="Arial"/>
          <w:szCs w:val="22"/>
        </w:rPr>
        <w:t>for 2020-2023</w:t>
      </w:r>
      <w:r>
        <w:rPr>
          <w:rFonts w:ascii="Arial" w:hAnsi="Arial" w:cs="Arial"/>
          <w:szCs w:val="22"/>
        </w:rPr>
        <w:t xml:space="preserve">. </w:t>
      </w:r>
      <w:r w:rsidR="00082682">
        <w:rPr>
          <w:rFonts w:ascii="Arial" w:hAnsi="Arial" w:cs="Arial"/>
          <w:szCs w:val="22"/>
        </w:rPr>
        <w:t xml:space="preserve">Key focus areas included </w:t>
      </w:r>
      <w:r w:rsidR="00082682" w:rsidRPr="00082682">
        <w:rPr>
          <w:rFonts w:ascii="Arial" w:hAnsi="Arial" w:cs="Arial"/>
          <w:szCs w:val="22"/>
        </w:rPr>
        <w:t>addre</w:t>
      </w:r>
      <w:r w:rsidR="00082682">
        <w:rPr>
          <w:rFonts w:ascii="Arial" w:hAnsi="Arial" w:cs="Arial"/>
          <w:szCs w:val="22"/>
        </w:rPr>
        <w:t xml:space="preserve">ssing climate change and health, </w:t>
      </w:r>
      <w:r w:rsidR="00082682" w:rsidRPr="00082682">
        <w:rPr>
          <w:rFonts w:ascii="Arial" w:hAnsi="Arial" w:cs="Arial"/>
          <w:szCs w:val="22"/>
        </w:rPr>
        <w:t xml:space="preserve">the emerging priority of antimicrobial resistance with consideration of an environmental health </w:t>
      </w:r>
      <w:r w:rsidR="00082682">
        <w:rPr>
          <w:rFonts w:ascii="Arial" w:hAnsi="Arial" w:cs="Arial"/>
          <w:szCs w:val="22"/>
        </w:rPr>
        <w:t xml:space="preserve">perspective and </w:t>
      </w:r>
      <w:r w:rsidR="00082682" w:rsidRPr="00082682">
        <w:rPr>
          <w:rFonts w:ascii="Arial" w:hAnsi="Arial" w:cs="Arial"/>
          <w:szCs w:val="22"/>
        </w:rPr>
        <w:t>issues in air quality, water quality, soil quality, emerging contaminants and waste.</w:t>
      </w:r>
    </w:p>
    <w:p w14:paraId="6DE08EE6" w14:textId="77777777" w:rsidR="00082682" w:rsidRPr="00082682" w:rsidRDefault="00082682" w:rsidP="00082682">
      <w:pPr>
        <w:spacing w:after="120" w:line="276" w:lineRule="auto"/>
        <w:rPr>
          <w:rFonts w:ascii="Arial" w:hAnsi="Arial" w:cs="Arial"/>
          <w:szCs w:val="22"/>
        </w:rPr>
      </w:pPr>
      <w:r w:rsidRPr="00082682">
        <w:rPr>
          <w:rFonts w:ascii="Arial" w:hAnsi="Arial" w:cs="Arial"/>
          <w:szCs w:val="22"/>
        </w:rPr>
        <w:lastRenderedPageBreak/>
        <w:t>The following were identified as challenges:</w:t>
      </w:r>
    </w:p>
    <w:p w14:paraId="5AD6EFC9" w14:textId="77777777" w:rsidR="00082682" w:rsidRPr="00791A7B"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 xml:space="preserve">The huge scope and broad role of </w:t>
      </w:r>
      <w:proofErr w:type="spellStart"/>
      <w:r w:rsidRPr="00791A7B">
        <w:rPr>
          <w:rFonts w:ascii="Arial" w:hAnsi="Arial" w:cs="Arial"/>
          <w:szCs w:val="22"/>
        </w:rPr>
        <w:t>enHealth’s</w:t>
      </w:r>
      <w:proofErr w:type="spellEnd"/>
      <w:r w:rsidRPr="00791A7B">
        <w:rPr>
          <w:rFonts w:ascii="Arial" w:hAnsi="Arial" w:cs="Arial"/>
          <w:szCs w:val="22"/>
        </w:rPr>
        <w:t>/environmental health’s work and projects.</w:t>
      </w:r>
    </w:p>
    <w:p w14:paraId="02B9D0F5" w14:textId="77777777" w:rsidR="00082682" w:rsidRPr="00791A7B"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Improving the identity and reputation of enHealth.</w:t>
      </w:r>
    </w:p>
    <w:p w14:paraId="2D91FFCD" w14:textId="77777777" w:rsidR="00082682" w:rsidRPr="00791A7B"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The prioritisation, focus and time of the committee already in busy working roles.</w:t>
      </w:r>
    </w:p>
    <w:p w14:paraId="550F292D" w14:textId="77777777" w:rsidR="00082682" w:rsidRPr="00791A7B"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Strengthening research and data capacity.</w:t>
      </w:r>
    </w:p>
    <w:p w14:paraId="41AB7BB0" w14:textId="77777777" w:rsidR="00082682" w:rsidRPr="00791A7B"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Landing and translating research and data to have meaningful impact in health protection.</w:t>
      </w:r>
    </w:p>
    <w:p w14:paraId="76DD1126" w14:textId="77777777" w:rsidR="00082682" w:rsidRDefault="00082682"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Workforce, funding and resourcing issues.</w:t>
      </w:r>
      <w:r w:rsidRPr="00082682">
        <w:rPr>
          <w:rFonts w:ascii="Arial" w:hAnsi="Arial" w:cs="Arial"/>
          <w:szCs w:val="22"/>
        </w:rPr>
        <w:t xml:space="preserve"> </w:t>
      </w:r>
    </w:p>
    <w:p w14:paraId="3EEEE243" w14:textId="14432734" w:rsidR="00082682" w:rsidRPr="00791A7B" w:rsidRDefault="00082682" w:rsidP="007B3BD7">
      <w:pPr>
        <w:spacing w:after="120" w:line="276" w:lineRule="auto"/>
        <w:rPr>
          <w:rFonts w:ascii="Arial" w:hAnsi="Arial" w:cs="Arial"/>
          <w:szCs w:val="22"/>
        </w:rPr>
      </w:pPr>
      <w:r w:rsidRPr="00791A7B">
        <w:rPr>
          <w:rFonts w:ascii="Arial" w:hAnsi="Arial" w:cs="Arial"/>
          <w:szCs w:val="22"/>
        </w:rPr>
        <w:t xml:space="preserve">The opportunities </w:t>
      </w:r>
      <w:r w:rsidR="005567E4" w:rsidRPr="00597999">
        <w:rPr>
          <w:rFonts w:ascii="Arial" w:hAnsi="Arial" w:cs="Arial"/>
          <w:szCs w:val="22"/>
        </w:rPr>
        <w:t xml:space="preserve">are grouped </w:t>
      </w:r>
      <w:r w:rsidRPr="00791A7B">
        <w:rPr>
          <w:rFonts w:ascii="Arial" w:hAnsi="Arial" w:cs="Arial"/>
          <w:szCs w:val="22"/>
        </w:rPr>
        <w:t>below under enabler-based categories</w:t>
      </w:r>
      <w:r w:rsidR="005567E4">
        <w:rPr>
          <w:rFonts w:ascii="Arial" w:hAnsi="Arial" w:cs="Arial"/>
          <w:szCs w:val="22"/>
        </w:rPr>
        <w:t>.</w:t>
      </w:r>
    </w:p>
    <w:p w14:paraId="26611974" w14:textId="14FF9E48" w:rsidR="00082682" w:rsidRPr="007B3BD7" w:rsidRDefault="00082682" w:rsidP="00791A7B">
      <w:pPr>
        <w:pStyle w:val="Heading3"/>
      </w:pPr>
      <w:r w:rsidRPr="007B3BD7">
        <w:t>Strong governance and leadership</w:t>
      </w:r>
    </w:p>
    <w:p w14:paraId="73A2F16A" w14:textId="7CDB5C17" w:rsidR="00B32494" w:rsidRPr="00791A7B" w:rsidRDefault="00B32494" w:rsidP="00791A7B">
      <w:pPr>
        <w:spacing w:after="120" w:line="276" w:lineRule="auto"/>
        <w:rPr>
          <w:rFonts w:ascii="Arial" w:hAnsi="Arial" w:cs="Arial"/>
          <w:szCs w:val="22"/>
        </w:rPr>
      </w:pPr>
      <w:r w:rsidRPr="00791A7B">
        <w:rPr>
          <w:rFonts w:ascii="Arial" w:hAnsi="Arial" w:cs="Arial"/>
          <w:szCs w:val="22"/>
        </w:rPr>
        <w:t>Environmental health action protects the community from environmental risks to their health every day. The representatives on enHealth, in their roles as regulators and advisors to governments, provide the capacity to translate evidence into action to prevent health problems occurring or to tackle them when they do.</w:t>
      </w:r>
    </w:p>
    <w:p w14:paraId="4D146512" w14:textId="567C2F6B" w:rsidR="00B32494" w:rsidRDefault="00B32494"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enHealth seeks to ensure it provides coordinated and consistent guidance within the federated model of government.</w:t>
      </w:r>
    </w:p>
    <w:p w14:paraId="75341254" w14:textId="337C30E5" w:rsidR="007B3BD7" w:rsidRPr="00791A7B" w:rsidRDefault="007B3BD7" w:rsidP="00791A7B">
      <w:pPr>
        <w:pStyle w:val="ListParagraph"/>
        <w:numPr>
          <w:ilvl w:val="0"/>
          <w:numId w:val="120"/>
        </w:numPr>
        <w:spacing w:after="120" w:line="276" w:lineRule="auto"/>
        <w:rPr>
          <w:rFonts w:ascii="Arial" w:hAnsi="Arial" w:cs="Arial"/>
          <w:szCs w:val="22"/>
        </w:rPr>
      </w:pPr>
      <w:r w:rsidRPr="007B3BD7">
        <w:rPr>
          <w:rFonts w:ascii="Arial" w:hAnsi="Arial" w:cs="Arial"/>
          <w:szCs w:val="22"/>
        </w:rPr>
        <w:t xml:space="preserve">enHealth will endeavour to </w:t>
      </w:r>
      <w:r w:rsidR="009A16D6">
        <w:rPr>
          <w:rFonts w:ascii="Arial" w:hAnsi="Arial" w:cs="Arial"/>
          <w:szCs w:val="22"/>
        </w:rPr>
        <w:t xml:space="preserve">increase the visibility of environmental health issues with </w:t>
      </w:r>
      <w:r w:rsidRPr="007B3BD7">
        <w:rPr>
          <w:rFonts w:ascii="Arial" w:hAnsi="Arial" w:cs="Arial"/>
          <w:szCs w:val="22"/>
        </w:rPr>
        <w:t xml:space="preserve"> Chief Health Officers (CHOs) and Government.</w:t>
      </w:r>
    </w:p>
    <w:p w14:paraId="22763D3B" w14:textId="413D044F" w:rsidR="00B32494" w:rsidRPr="00791A7B" w:rsidRDefault="00B32494"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Stakeholders should view enHealth not only as the holders of expertise and knowledge, but also as decision makers and therefore capable drivers and influencers of systemic change.</w:t>
      </w:r>
    </w:p>
    <w:p w14:paraId="2D17C42C" w14:textId="388C3C3F" w:rsidR="00B32494" w:rsidRPr="00791A7B" w:rsidRDefault="00B32494"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enHealth will continue to establish an identity and reputation as a source of reliable guidance on environmental health issues, provided through a trusted and authoritative voice.</w:t>
      </w:r>
    </w:p>
    <w:p w14:paraId="2D67EAC0" w14:textId="7116AFA1" w:rsidR="00082682" w:rsidRPr="00791A7B" w:rsidRDefault="00B32494"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enHealth will undertake evaluation of what we do and how we do it to ensure meaningful outcomes and positive real world change to systems and processes.</w:t>
      </w:r>
    </w:p>
    <w:p w14:paraId="79A6A3FD" w14:textId="548FB0D7" w:rsidR="00082682" w:rsidRDefault="00082682" w:rsidP="00791A7B">
      <w:pPr>
        <w:pStyle w:val="Heading3"/>
      </w:pPr>
      <w:r w:rsidRPr="00082682">
        <w:t>Collaborative partnerships</w:t>
      </w:r>
    </w:p>
    <w:p w14:paraId="0F6FC6BE" w14:textId="77777777" w:rsidR="00B32494" w:rsidRPr="00791A7B" w:rsidRDefault="00B32494" w:rsidP="00791A7B">
      <w:pPr>
        <w:pStyle w:val="BodyText1"/>
        <w:ind w:left="0"/>
        <w:rPr>
          <w:rFonts w:ascii="Arial" w:hAnsi="Arial" w:cs="Arial"/>
        </w:rPr>
      </w:pPr>
      <w:r w:rsidRPr="00791A7B">
        <w:rPr>
          <w:rFonts w:ascii="Arial" w:hAnsi="Arial" w:cs="Arial"/>
        </w:rPr>
        <w:t>enHealth provides one of the key opportunities for harmonising environmental health approaches between jurisdictions and for regulating industries to ensure public health protection. Environmental health necessarily works with and through sectors outside of health to ensure public health protection. enHealth has a wide range of connections with other public and private sector entities, including environment, utilities, Aboriginal communities, local government and universities, that makes it an effective broker between these sectors and the health sector.</w:t>
      </w:r>
    </w:p>
    <w:p w14:paraId="4E283121" w14:textId="6F43ADC9" w:rsidR="00B32494" w:rsidRPr="00791A7B" w:rsidRDefault="00B32494" w:rsidP="00791A7B">
      <w:pPr>
        <w:pStyle w:val="ListParagraph"/>
        <w:numPr>
          <w:ilvl w:val="0"/>
          <w:numId w:val="120"/>
        </w:numPr>
        <w:spacing w:after="120" w:line="276" w:lineRule="auto"/>
        <w:rPr>
          <w:rFonts w:ascii="Arial" w:hAnsi="Arial" w:cs="Arial"/>
          <w:szCs w:val="22"/>
        </w:rPr>
      </w:pPr>
      <w:r w:rsidRPr="00791A7B">
        <w:rPr>
          <w:rFonts w:ascii="Arial" w:hAnsi="Arial" w:cs="Arial"/>
          <w:szCs w:val="22"/>
        </w:rPr>
        <w:t xml:space="preserve">enHealth will engage with stakeholders to a greater extent by </w:t>
      </w:r>
      <w:r w:rsidR="006E1F16">
        <w:rPr>
          <w:rFonts w:ascii="Arial" w:hAnsi="Arial" w:cs="Arial"/>
          <w:szCs w:val="22"/>
        </w:rPr>
        <w:t>increasing the visibility of environmental health</w:t>
      </w:r>
      <w:r w:rsidRPr="00791A7B">
        <w:rPr>
          <w:rFonts w:ascii="Arial" w:hAnsi="Arial" w:cs="Arial"/>
          <w:szCs w:val="22"/>
        </w:rPr>
        <w:t xml:space="preserve"> and collaborating with other relevant organisations and groups, including through informed advocacy.</w:t>
      </w:r>
    </w:p>
    <w:p w14:paraId="27801919" w14:textId="006C49A7" w:rsidR="00082682" w:rsidRPr="00791A7B" w:rsidRDefault="00B32494" w:rsidP="00791A7B">
      <w:pPr>
        <w:pStyle w:val="ListParagraph"/>
        <w:numPr>
          <w:ilvl w:val="0"/>
          <w:numId w:val="120"/>
        </w:numPr>
        <w:spacing w:after="120" w:line="276" w:lineRule="auto"/>
        <w:rPr>
          <w:rFonts w:ascii="Arial" w:hAnsi="Arial" w:cs="Arial"/>
        </w:rPr>
      </w:pPr>
      <w:r w:rsidRPr="00791A7B">
        <w:rPr>
          <w:rFonts w:ascii="Arial" w:hAnsi="Arial" w:cs="Arial"/>
          <w:szCs w:val="22"/>
        </w:rPr>
        <w:t>enHealth will work to address health inequity by being advocates for the most vulnerable, including utilising the recently formed links with the ATSI</w:t>
      </w:r>
      <w:r w:rsidRPr="00791A7B">
        <w:rPr>
          <w:rFonts w:ascii="Arial" w:hAnsi="Arial" w:cs="Arial"/>
        </w:rPr>
        <w:t xml:space="preserve"> Health Plan Implementation Plan Advisory Group (IPAG).</w:t>
      </w:r>
    </w:p>
    <w:p w14:paraId="5B655F97" w14:textId="6DFD3E98" w:rsidR="00082682" w:rsidRDefault="00082682" w:rsidP="00791A7B">
      <w:pPr>
        <w:pStyle w:val="Heading3"/>
      </w:pPr>
      <w:r w:rsidRPr="00082682">
        <w:t>Effective communications</w:t>
      </w:r>
    </w:p>
    <w:p w14:paraId="40899B68" w14:textId="77777777" w:rsidR="008F589F" w:rsidRPr="00791A7B" w:rsidRDefault="008F589F" w:rsidP="00791A7B">
      <w:pPr>
        <w:pStyle w:val="BodyText1"/>
        <w:ind w:left="0"/>
        <w:rPr>
          <w:rFonts w:ascii="Arial" w:hAnsi="Arial" w:cs="Arial"/>
        </w:rPr>
      </w:pPr>
      <w:r w:rsidRPr="00791A7B">
        <w:rPr>
          <w:rFonts w:ascii="Arial" w:hAnsi="Arial" w:cs="Arial"/>
        </w:rPr>
        <w:t xml:space="preserve">Much of </w:t>
      </w:r>
      <w:proofErr w:type="spellStart"/>
      <w:r w:rsidRPr="00791A7B">
        <w:rPr>
          <w:rFonts w:ascii="Arial" w:hAnsi="Arial" w:cs="Arial"/>
        </w:rPr>
        <w:t>enHealth's</w:t>
      </w:r>
      <w:proofErr w:type="spellEnd"/>
      <w:r w:rsidRPr="00791A7B">
        <w:rPr>
          <w:rFonts w:ascii="Arial" w:hAnsi="Arial" w:cs="Arial"/>
        </w:rPr>
        <w:t xml:space="preserve"> work (on behalf of AHPPC) is of high public exposure and therefore subject to significant scrutiny. The guidance and advice provided on environmental health issues such as asbestos, per- and poly-fluoroalkyl substances (PFAS) and legionella have been well received. enHealth has established a reputation as a source of well communicated, pragmatic, and evidence-based advice on dealing with environmental health issues affecting the nation.</w:t>
      </w:r>
    </w:p>
    <w:p w14:paraId="7A1BB207" w14:textId="57B1A361" w:rsidR="008F589F" w:rsidRPr="00791A7B" w:rsidRDefault="008F589F" w:rsidP="00791A7B">
      <w:pPr>
        <w:pStyle w:val="BodyText1"/>
        <w:numPr>
          <w:ilvl w:val="0"/>
          <w:numId w:val="122"/>
        </w:numPr>
        <w:rPr>
          <w:rFonts w:ascii="Arial" w:hAnsi="Arial" w:cs="Arial"/>
        </w:rPr>
      </w:pPr>
      <w:r w:rsidRPr="00791A7B">
        <w:rPr>
          <w:rFonts w:ascii="Arial" w:hAnsi="Arial" w:cs="Arial"/>
        </w:rPr>
        <w:t>enHealth will continue to utilise available and developing stakeholder resources in the environmental health space, and identify gaps which require further communication and resource materials.</w:t>
      </w:r>
    </w:p>
    <w:p w14:paraId="27572C9B" w14:textId="08BEE164" w:rsidR="00082682" w:rsidRPr="00791A7B" w:rsidRDefault="008F589F" w:rsidP="00791A7B">
      <w:pPr>
        <w:pStyle w:val="BodyText1"/>
        <w:numPr>
          <w:ilvl w:val="0"/>
          <w:numId w:val="122"/>
        </w:numPr>
        <w:rPr>
          <w:rFonts w:ascii="Arial" w:hAnsi="Arial" w:cs="Arial"/>
        </w:rPr>
      </w:pPr>
      <w:r w:rsidRPr="00791A7B">
        <w:rPr>
          <w:rFonts w:ascii="Arial" w:hAnsi="Arial" w:cs="Arial"/>
        </w:rPr>
        <w:lastRenderedPageBreak/>
        <w:t>enHealth will conduct risk communication and community engagement work, to addressing how communities interact with risks and individual responsibility.</w:t>
      </w:r>
    </w:p>
    <w:p w14:paraId="238DE492" w14:textId="1C04F343" w:rsidR="00082682" w:rsidRDefault="00082682" w:rsidP="00791A7B">
      <w:pPr>
        <w:pStyle w:val="Heading3"/>
      </w:pPr>
      <w:r w:rsidRPr="00082682">
        <w:t>Coordinated and timely response</w:t>
      </w:r>
    </w:p>
    <w:p w14:paraId="2958206D" w14:textId="126EE531" w:rsidR="00FF1CA9" w:rsidRPr="00791A7B" w:rsidRDefault="008F589F" w:rsidP="00791A7B">
      <w:pPr>
        <w:pStyle w:val="BodyText1"/>
        <w:ind w:left="0"/>
        <w:rPr>
          <w:rFonts w:ascii="Arial" w:hAnsi="Arial" w:cs="Arial"/>
        </w:rPr>
      </w:pPr>
      <w:r w:rsidRPr="00791A7B">
        <w:rPr>
          <w:rFonts w:ascii="Arial" w:hAnsi="Arial" w:cs="Arial"/>
        </w:rPr>
        <w:t>Environmental health activities often take the traditional approach of responding to environmental threats to health as they emerge, without necessarily developing integrated responses or addressing threats beyond the currently observable. This may function well for issues such as asbestos contamination but for emerging global environmental health t</w:t>
      </w:r>
      <w:r w:rsidR="009071F9" w:rsidRPr="00FF1CA9">
        <w:rPr>
          <w:rFonts w:ascii="Arial" w:hAnsi="Arial" w:cs="Arial"/>
        </w:rPr>
        <w:t>hreats, such as climate change</w:t>
      </w:r>
      <w:r w:rsidR="00FF1CA9" w:rsidRPr="00FF1CA9">
        <w:rPr>
          <w:rFonts w:ascii="Arial" w:hAnsi="Arial" w:cs="Arial"/>
        </w:rPr>
        <w:t>,</w:t>
      </w:r>
      <w:r w:rsidR="009071F9" w:rsidRPr="00FF1CA9">
        <w:rPr>
          <w:rFonts w:ascii="Arial" w:hAnsi="Arial" w:cs="Arial"/>
        </w:rPr>
        <w:t xml:space="preserve"> </w:t>
      </w:r>
      <w:r w:rsidRPr="00791A7B">
        <w:rPr>
          <w:rFonts w:ascii="Arial" w:hAnsi="Arial" w:cs="Arial"/>
        </w:rPr>
        <w:t xml:space="preserve">a different response is required. The nature of </w:t>
      </w:r>
      <w:r w:rsidR="00FF1CA9" w:rsidRPr="00791A7B">
        <w:rPr>
          <w:rFonts w:ascii="Arial" w:hAnsi="Arial" w:cs="Arial"/>
        </w:rPr>
        <w:t>emerging and gradual</w:t>
      </w:r>
      <w:r w:rsidRPr="00791A7B">
        <w:rPr>
          <w:rFonts w:ascii="Arial" w:hAnsi="Arial" w:cs="Arial"/>
        </w:rPr>
        <w:t xml:space="preserve"> threats implies that the response needs to be anticipatory, integrated, and requires the consideration of higher level determinants and indirect pathways.</w:t>
      </w:r>
      <w:r w:rsidRPr="00FF1CA9">
        <w:rPr>
          <w:rFonts w:ascii="Arial" w:hAnsi="Arial" w:cs="Arial"/>
        </w:rPr>
        <w:t xml:space="preserve"> </w:t>
      </w:r>
    </w:p>
    <w:p w14:paraId="04488415" w14:textId="30D6B5B6" w:rsidR="008F589F" w:rsidRPr="00791A7B" w:rsidRDefault="008F589F" w:rsidP="00791A7B">
      <w:pPr>
        <w:spacing w:after="120" w:line="276" w:lineRule="auto"/>
        <w:rPr>
          <w:rFonts w:ascii="Arial" w:hAnsi="Arial" w:cs="Arial"/>
          <w:szCs w:val="22"/>
        </w:rPr>
      </w:pPr>
      <w:r w:rsidRPr="001A25F2">
        <w:rPr>
          <w:rFonts w:ascii="Arial" w:hAnsi="Arial" w:cs="Arial"/>
          <w:szCs w:val="22"/>
        </w:rPr>
        <w:t>An anticipatory response requires actions to minimise expected climate change induced risks and impacts. An integrated approach requires an understanding of the interrelations between risk factors, which have climate change as a main driver.</w:t>
      </w:r>
      <w:r w:rsidR="009071F9" w:rsidRPr="001A25F2">
        <w:rPr>
          <w:rFonts w:ascii="Arial" w:hAnsi="Arial" w:cs="Arial"/>
          <w:szCs w:val="22"/>
        </w:rPr>
        <w:t xml:space="preserve"> Higher level determinants, and their complex pathways to health, are often outside the scope of action of the health sector but they need to be identified to promote action, and would include, for example, social determinants of health (e.g. vulnerable communities); relevant policies (such as those in energy, transport and industry); and demographic and social changes</w:t>
      </w:r>
    </w:p>
    <w:p w14:paraId="04F51920" w14:textId="21E45646" w:rsidR="00082682" w:rsidRPr="001A25F2" w:rsidRDefault="00FF1CA9" w:rsidP="00791A7B">
      <w:pPr>
        <w:pStyle w:val="ListParagraph"/>
        <w:numPr>
          <w:ilvl w:val="0"/>
          <w:numId w:val="120"/>
        </w:numPr>
        <w:spacing w:after="120" w:line="276" w:lineRule="auto"/>
        <w:rPr>
          <w:rFonts w:ascii="Arial" w:hAnsi="Arial" w:cs="Arial"/>
          <w:szCs w:val="22"/>
        </w:rPr>
      </w:pPr>
      <w:r>
        <w:rPr>
          <w:rFonts w:ascii="Arial" w:hAnsi="Arial" w:cs="Arial"/>
          <w:szCs w:val="22"/>
        </w:rPr>
        <w:t xml:space="preserve">enHealth will prioritise anticipatory and integrated response actions, where possible. </w:t>
      </w:r>
    </w:p>
    <w:p w14:paraId="19B8496C" w14:textId="669FF715" w:rsidR="008F589F" w:rsidRPr="001A25F2" w:rsidRDefault="0047356C" w:rsidP="00791A7B">
      <w:pPr>
        <w:pStyle w:val="ListParagraph"/>
        <w:numPr>
          <w:ilvl w:val="0"/>
          <w:numId w:val="120"/>
        </w:numPr>
        <w:spacing w:after="120" w:line="276" w:lineRule="auto"/>
        <w:rPr>
          <w:rFonts w:ascii="Arial" w:hAnsi="Arial" w:cs="Arial"/>
          <w:szCs w:val="22"/>
        </w:rPr>
      </w:pPr>
      <w:r w:rsidRPr="001A25F2">
        <w:rPr>
          <w:rFonts w:ascii="Arial" w:hAnsi="Arial" w:cs="Arial"/>
          <w:szCs w:val="22"/>
        </w:rPr>
        <w:t xml:space="preserve">enHealth will maintain </w:t>
      </w:r>
      <w:r w:rsidR="008F589F" w:rsidRPr="001A25F2">
        <w:rPr>
          <w:rFonts w:ascii="Arial" w:hAnsi="Arial" w:cs="Arial"/>
          <w:szCs w:val="22"/>
        </w:rPr>
        <w:t>currency of</w:t>
      </w:r>
      <w:r w:rsidRPr="001A25F2">
        <w:rPr>
          <w:rFonts w:ascii="Arial" w:hAnsi="Arial" w:cs="Arial"/>
          <w:szCs w:val="22"/>
        </w:rPr>
        <w:t xml:space="preserve"> its </w:t>
      </w:r>
      <w:r w:rsidR="008F589F" w:rsidRPr="001A25F2">
        <w:rPr>
          <w:rFonts w:ascii="Arial" w:hAnsi="Arial" w:cs="Arial"/>
          <w:szCs w:val="22"/>
        </w:rPr>
        <w:t>advice.</w:t>
      </w:r>
    </w:p>
    <w:p w14:paraId="33E92DFC" w14:textId="4FCE731A" w:rsidR="008F589F" w:rsidRPr="001A25F2" w:rsidRDefault="0047356C" w:rsidP="00791A7B">
      <w:pPr>
        <w:pStyle w:val="ListParagraph"/>
        <w:numPr>
          <w:ilvl w:val="0"/>
          <w:numId w:val="120"/>
        </w:numPr>
        <w:spacing w:after="120" w:line="276" w:lineRule="auto"/>
        <w:rPr>
          <w:rFonts w:ascii="Arial" w:hAnsi="Arial" w:cs="Arial"/>
          <w:szCs w:val="22"/>
        </w:rPr>
      </w:pPr>
      <w:r w:rsidRPr="001A25F2">
        <w:rPr>
          <w:rFonts w:ascii="Arial" w:hAnsi="Arial" w:cs="Arial"/>
          <w:szCs w:val="22"/>
        </w:rPr>
        <w:t>enHealth recognise</w:t>
      </w:r>
      <w:r w:rsidR="008F589F" w:rsidRPr="001A25F2">
        <w:rPr>
          <w:rFonts w:ascii="Arial" w:hAnsi="Arial" w:cs="Arial"/>
          <w:szCs w:val="22"/>
        </w:rPr>
        <w:t xml:space="preserve"> environmental health’s role in social and environmental determinants of health. </w:t>
      </w:r>
      <w:r w:rsidR="00FF1CA9">
        <w:rPr>
          <w:rFonts w:ascii="Arial" w:hAnsi="Arial" w:cs="Arial"/>
          <w:szCs w:val="22"/>
        </w:rPr>
        <w:t>enHealth will use</w:t>
      </w:r>
      <w:r w:rsidR="008F589F" w:rsidRPr="001A25F2">
        <w:rPr>
          <w:rFonts w:ascii="Arial" w:hAnsi="Arial" w:cs="Arial"/>
          <w:szCs w:val="22"/>
        </w:rPr>
        <w:t xml:space="preserve"> science, technology and the built environment to address this, and positively influence disease and mental health issues.</w:t>
      </w:r>
    </w:p>
    <w:p w14:paraId="16733F84" w14:textId="7FD61D99" w:rsidR="00082682" w:rsidRDefault="00082682" w:rsidP="00791A7B">
      <w:pPr>
        <w:pStyle w:val="Heading3"/>
      </w:pPr>
      <w:r w:rsidRPr="00082682">
        <w:t>Strengthening research capacity</w:t>
      </w:r>
    </w:p>
    <w:p w14:paraId="5BBA084F" w14:textId="77777777" w:rsidR="009071F9" w:rsidRPr="00791A7B" w:rsidRDefault="009071F9" w:rsidP="00791A7B">
      <w:pPr>
        <w:pStyle w:val="BodyText1"/>
        <w:ind w:left="0"/>
        <w:rPr>
          <w:rFonts w:ascii="Arial" w:hAnsi="Arial" w:cs="Arial"/>
        </w:rPr>
      </w:pPr>
      <w:r w:rsidRPr="00791A7B">
        <w:rPr>
          <w:rFonts w:ascii="Arial" w:hAnsi="Arial" w:cs="Arial"/>
        </w:rPr>
        <w:t>Environmental health’s multidisciplinary nature means that it can bring a range of expertise to bear on environmental health issues, helping better characterise problems and develop solutions. enHealth is uniquely positioned to utilise expertise from across Australia and New Zealand ranging from engineering to entomology, unified by a focus on protecting the health of the community. As emergent public and environmental health issues grow in complexity, it is essential to maintain access to the diverse expertise required to effectively manage them. Additionally, it is vital to ensure there is an appropriate and contemporary evidence base from which to draw information.</w:t>
      </w:r>
    </w:p>
    <w:p w14:paraId="0ADDA6DA" w14:textId="1B9050F4" w:rsidR="009071F9" w:rsidRPr="00791A7B" w:rsidRDefault="009071F9" w:rsidP="00791A7B">
      <w:pPr>
        <w:pStyle w:val="BodyText1"/>
        <w:numPr>
          <w:ilvl w:val="0"/>
          <w:numId w:val="123"/>
        </w:numPr>
        <w:rPr>
          <w:rFonts w:ascii="Arial" w:hAnsi="Arial" w:cs="Arial"/>
        </w:rPr>
      </w:pPr>
      <w:r w:rsidRPr="00791A7B">
        <w:rPr>
          <w:rFonts w:ascii="Arial" w:hAnsi="Arial" w:cs="Arial"/>
        </w:rPr>
        <w:t>enHealth will influence the research agenda, research priorities and research funders to ensure relevant evidence is available.</w:t>
      </w:r>
    </w:p>
    <w:p w14:paraId="7456BF1A" w14:textId="7F0E991D" w:rsidR="009071F9" w:rsidRPr="00791A7B" w:rsidRDefault="009071F9" w:rsidP="00791A7B">
      <w:pPr>
        <w:pStyle w:val="BodyText1"/>
        <w:numPr>
          <w:ilvl w:val="0"/>
          <w:numId w:val="123"/>
        </w:numPr>
        <w:rPr>
          <w:rFonts w:ascii="Arial" w:hAnsi="Arial" w:cs="Arial"/>
        </w:rPr>
      </w:pPr>
      <w:r w:rsidRPr="00791A7B">
        <w:rPr>
          <w:rFonts w:ascii="Arial" w:hAnsi="Arial" w:cs="Arial"/>
        </w:rPr>
        <w:t>enHealth will advocate for, and where appropriate progress, the implementation of big data projects. This includes national environmental health tracking and surveillance, as well as national human biomonitoring.</w:t>
      </w:r>
    </w:p>
    <w:p w14:paraId="3EEE3458" w14:textId="0C84F48F" w:rsidR="009071F9" w:rsidRPr="00791A7B" w:rsidRDefault="009071F9" w:rsidP="00791A7B">
      <w:pPr>
        <w:pStyle w:val="BodyText1"/>
        <w:numPr>
          <w:ilvl w:val="0"/>
          <w:numId w:val="123"/>
        </w:numPr>
        <w:rPr>
          <w:rFonts w:ascii="Arial" w:hAnsi="Arial" w:cs="Arial"/>
        </w:rPr>
      </w:pPr>
      <w:r w:rsidRPr="00791A7B">
        <w:rPr>
          <w:rFonts w:ascii="Arial" w:hAnsi="Arial" w:cs="Arial"/>
        </w:rPr>
        <w:t>enHealth will improve links between research, researchers and developing research priorities in the environmental health and related fields.</w:t>
      </w:r>
    </w:p>
    <w:p w14:paraId="535ADD06" w14:textId="0F0FEDEB" w:rsidR="009071F9" w:rsidRPr="00791A7B" w:rsidRDefault="009071F9" w:rsidP="00791A7B">
      <w:pPr>
        <w:pStyle w:val="BodyText1"/>
        <w:numPr>
          <w:ilvl w:val="0"/>
          <w:numId w:val="123"/>
        </w:numPr>
        <w:rPr>
          <w:rFonts w:ascii="Arial" w:hAnsi="Arial" w:cs="Arial"/>
        </w:rPr>
      </w:pPr>
      <w:r w:rsidRPr="00791A7B">
        <w:rPr>
          <w:rFonts w:ascii="Arial" w:hAnsi="Arial" w:cs="Arial"/>
        </w:rPr>
        <w:t>enHealth will undertake data science intelligence gathering and link this information to environmental health horizon scanning.</w:t>
      </w:r>
    </w:p>
    <w:p w14:paraId="3AE4B108" w14:textId="6B6B8699" w:rsidR="00082682" w:rsidRDefault="00082682" w:rsidP="00791A7B">
      <w:pPr>
        <w:pStyle w:val="Heading3"/>
      </w:pPr>
      <w:r w:rsidRPr="00082682">
        <w:t>Skilled workforce</w:t>
      </w:r>
    </w:p>
    <w:p w14:paraId="2CE4CAA9" w14:textId="77777777" w:rsidR="009071F9" w:rsidRPr="00791A7B" w:rsidRDefault="009071F9" w:rsidP="00791A7B">
      <w:pPr>
        <w:pStyle w:val="BodyText1"/>
        <w:ind w:left="0"/>
        <w:rPr>
          <w:rFonts w:ascii="Arial" w:hAnsi="Arial" w:cs="Arial"/>
        </w:rPr>
      </w:pPr>
      <w:r w:rsidRPr="00791A7B">
        <w:rPr>
          <w:rFonts w:ascii="Arial" w:hAnsi="Arial" w:cs="Arial"/>
        </w:rPr>
        <w:t>The environmental health workforce is limited. It is insufficient to cover current environmental health problems and unprepared to tackle emerging issues. Action is needed to attract students to the profession, and to provide them with the knowledge to respond to current and emerging issues. Awareness of the public health value of environmental health officers and the need to build and maintain these skills is required across all levels of government. The shortage of Aboriginal and Torres Strait Islander environmental health professionals needs special attention.</w:t>
      </w:r>
    </w:p>
    <w:p w14:paraId="5ECCD8B7" w14:textId="77777777" w:rsidR="000C295B" w:rsidRDefault="000C295B" w:rsidP="000C295B">
      <w:pPr>
        <w:pStyle w:val="ListParagraph"/>
        <w:numPr>
          <w:ilvl w:val="0"/>
          <w:numId w:val="105"/>
        </w:numPr>
        <w:spacing w:after="120" w:line="276" w:lineRule="auto"/>
        <w:rPr>
          <w:rFonts w:ascii="Arial" w:hAnsi="Arial" w:cs="Arial"/>
          <w:szCs w:val="22"/>
        </w:rPr>
      </w:pPr>
      <w:r>
        <w:rPr>
          <w:rFonts w:ascii="Arial" w:hAnsi="Arial" w:cs="Arial"/>
          <w:szCs w:val="22"/>
        </w:rPr>
        <w:lastRenderedPageBreak/>
        <w:t xml:space="preserve">enHealth will contribute to addressing </w:t>
      </w:r>
      <w:r w:rsidRPr="00CB5150">
        <w:rPr>
          <w:rFonts w:ascii="Arial" w:hAnsi="Arial" w:cs="Arial"/>
          <w:szCs w:val="22"/>
        </w:rPr>
        <w:t>the resourcing and training issues in environmental health</w:t>
      </w:r>
      <w:r>
        <w:rPr>
          <w:rFonts w:ascii="Arial" w:hAnsi="Arial" w:cs="Arial"/>
          <w:szCs w:val="22"/>
        </w:rPr>
        <w:t>, and</w:t>
      </w:r>
      <w:r w:rsidRPr="00CB5150">
        <w:rPr>
          <w:rFonts w:ascii="Arial" w:hAnsi="Arial" w:cs="Arial"/>
          <w:szCs w:val="22"/>
        </w:rPr>
        <w:t xml:space="preserve"> develop the workforce and </w:t>
      </w:r>
      <w:r>
        <w:rPr>
          <w:rFonts w:ascii="Arial" w:hAnsi="Arial" w:cs="Arial"/>
          <w:szCs w:val="22"/>
        </w:rPr>
        <w:t xml:space="preserve">delivery of </w:t>
      </w:r>
      <w:r w:rsidRPr="00CB5150">
        <w:rPr>
          <w:rFonts w:ascii="Arial" w:hAnsi="Arial" w:cs="Arial"/>
          <w:szCs w:val="22"/>
        </w:rPr>
        <w:t xml:space="preserve">on the ground </w:t>
      </w:r>
      <w:r>
        <w:rPr>
          <w:rFonts w:ascii="Arial" w:hAnsi="Arial" w:cs="Arial"/>
          <w:szCs w:val="22"/>
        </w:rPr>
        <w:t>outcomes</w:t>
      </w:r>
      <w:r w:rsidRPr="00CB5150">
        <w:rPr>
          <w:rFonts w:ascii="Arial" w:hAnsi="Arial" w:cs="Arial"/>
          <w:szCs w:val="22"/>
        </w:rPr>
        <w:t>.</w:t>
      </w:r>
      <w:r>
        <w:rPr>
          <w:rFonts w:ascii="Arial" w:hAnsi="Arial" w:cs="Arial"/>
          <w:szCs w:val="22"/>
        </w:rPr>
        <w:t xml:space="preserve"> This may entail activities such as advocating within jurisdictions for increased funding for Environmental Health officers. </w:t>
      </w:r>
    </w:p>
    <w:p w14:paraId="73A2CB34" w14:textId="77777777" w:rsidR="000C295B" w:rsidRDefault="000C295B" w:rsidP="000C295B">
      <w:pPr>
        <w:pStyle w:val="ListParagraph"/>
        <w:numPr>
          <w:ilvl w:val="0"/>
          <w:numId w:val="105"/>
        </w:numPr>
        <w:spacing w:after="120" w:line="276" w:lineRule="auto"/>
        <w:rPr>
          <w:rFonts w:ascii="Arial" w:hAnsi="Arial" w:cs="Arial"/>
          <w:szCs w:val="22"/>
        </w:rPr>
      </w:pPr>
      <w:r>
        <w:rPr>
          <w:rFonts w:ascii="Arial" w:hAnsi="Arial" w:cs="Arial"/>
          <w:szCs w:val="22"/>
        </w:rPr>
        <w:t>enHealth will lead work to m</w:t>
      </w:r>
      <w:r w:rsidRPr="00CB5150">
        <w:rPr>
          <w:rFonts w:ascii="Arial" w:hAnsi="Arial" w:cs="Arial"/>
          <w:szCs w:val="22"/>
        </w:rPr>
        <w:t>eet the challenge of developing, recruiting and retaining a sufficient and skilled workforce.</w:t>
      </w:r>
    </w:p>
    <w:p w14:paraId="17179B7D" w14:textId="77777777" w:rsidR="00082682" w:rsidRPr="00791A7B" w:rsidRDefault="00082682" w:rsidP="00791A7B">
      <w:pPr>
        <w:pStyle w:val="BodyText1"/>
        <w:rPr>
          <w:rFonts w:ascii="Arial" w:hAnsi="Arial" w:cs="Arial"/>
        </w:rPr>
      </w:pPr>
    </w:p>
    <w:p w14:paraId="6DD4CF88" w14:textId="02981528" w:rsidR="001B61FF" w:rsidRDefault="00A6536F" w:rsidP="001B61FF">
      <w:pPr>
        <w:pStyle w:val="Heading1"/>
        <w:ind w:left="0" w:firstLine="0"/>
        <w:rPr>
          <w:rFonts w:ascii="Arial" w:hAnsi="Arial"/>
          <w:caps/>
          <w:sz w:val="32"/>
        </w:rPr>
      </w:pPr>
      <w:bookmarkStart w:id="148" w:name="_Toc22060646"/>
      <w:bookmarkStart w:id="149" w:name="_Toc22060731"/>
      <w:bookmarkStart w:id="150" w:name="_Toc22060806"/>
      <w:bookmarkStart w:id="151" w:name="_Toc22061010"/>
      <w:bookmarkStart w:id="152" w:name="_Toc25919659"/>
      <w:bookmarkStart w:id="153" w:name="_Toc22060647"/>
      <w:bookmarkStart w:id="154" w:name="_Toc22060732"/>
      <w:bookmarkStart w:id="155" w:name="_Toc22060807"/>
      <w:bookmarkStart w:id="156" w:name="_Toc22061011"/>
      <w:bookmarkStart w:id="157" w:name="_Toc25919660"/>
      <w:bookmarkStart w:id="158" w:name="_Toc456255407"/>
      <w:bookmarkStart w:id="159" w:name="_Toc456255493"/>
      <w:bookmarkStart w:id="160" w:name="_Toc456255586"/>
      <w:bookmarkStart w:id="161" w:name="_Toc456255631"/>
      <w:bookmarkStart w:id="162" w:name="_Toc456276279"/>
      <w:bookmarkStart w:id="163" w:name="_Toc456278108"/>
      <w:bookmarkStart w:id="164" w:name="_Toc456340307"/>
      <w:bookmarkStart w:id="165" w:name="_Toc456340387"/>
      <w:bookmarkStart w:id="166" w:name="_Toc456340545"/>
      <w:bookmarkStart w:id="167" w:name="_Toc456340574"/>
      <w:bookmarkStart w:id="168" w:name="_Toc456340695"/>
      <w:bookmarkStart w:id="169" w:name="_Toc18068767"/>
      <w:bookmarkStart w:id="170" w:name="_Toc18073066"/>
      <w:bookmarkStart w:id="171" w:name="_Toc18074592"/>
      <w:bookmarkStart w:id="172" w:name="_Toc22060649"/>
      <w:bookmarkStart w:id="173" w:name="_Toc22060734"/>
      <w:bookmarkStart w:id="174" w:name="_Toc22060809"/>
      <w:bookmarkStart w:id="175" w:name="_Toc22061013"/>
      <w:bookmarkStart w:id="176" w:name="_Toc25919662"/>
      <w:bookmarkStart w:id="177" w:name="_Toc18068768"/>
      <w:bookmarkStart w:id="178" w:name="_Toc18073067"/>
      <w:bookmarkStart w:id="179" w:name="_Toc18074593"/>
      <w:bookmarkStart w:id="180" w:name="_Toc22060650"/>
      <w:bookmarkStart w:id="181" w:name="_Toc22060735"/>
      <w:bookmarkStart w:id="182" w:name="_Toc22060810"/>
      <w:bookmarkStart w:id="183" w:name="_Toc22061014"/>
      <w:bookmarkStart w:id="184" w:name="_Toc25919663"/>
      <w:bookmarkStart w:id="185" w:name="_Toc18068770"/>
      <w:bookmarkStart w:id="186" w:name="_Toc18073069"/>
      <w:bookmarkStart w:id="187" w:name="_Toc18074595"/>
      <w:bookmarkStart w:id="188" w:name="_Toc22060652"/>
      <w:bookmarkStart w:id="189" w:name="_Toc22060737"/>
      <w:bookmarkStart w:id="190" w:name="_Toc22060812"/>
      <w:bookmarkStart w:id="191" w:name="_Toc22061016"/>
      <w:bookmarkStart w:id="192" w:name="_Toc25919665"/>
      <w:bookmarkStart w:id="193" w:name="_Toc18068772"/>
      <w:bookmarkStart w:id="194" w:name="_Toc18073071"/>
      <w:bookmarkStart w:id="195" w:name="_Toc18074597"/>
      <w:bookmarkStart w:id="196" w:name="_Toc22060654"/>
      <w:bookmarkStart w:id="197" w:name="_Toc22060739"/>
      <w:bookmarkStart w:id="198" w:name="_Toc22060814"/>
      <w:bookmarkStart w:id="199" w:name="_Toc22061018"/>
      <w:bookmarkStart w:id="200" w:name="_Toc25919667"/>
      <w:bookmarkStart w:id="201" w:name="_Toc18068773"/>
      <w:bookmarkStart w:id="202" w:name="_Toc18073072"/>
      <w:bookmarkStart w:id="203" w:name="_Toc18074598"/>
      <w:bookmarkStart w:id="204" w:name="_Toc22060655"/>
      <w:bookmarkStart w:id="205" w:name="_Toc22060740"/>
      <w:bookmarkStart w:id="206" w:name="_Toc22060815"/>
      <w:bookmarkStart w:id="207" w:name="_Toc22061019"/>
      <w:bookmarkStart w:id="208" w:name="_Toc25919668"/>
      <w:bookmarkStart w:id="209" w:name="_Toc18068775"/>
      <w:bookmarkStart w:id="210" w:name="_Toc18073074"/>
      <w:bookmarkStart w:id="211" w:name="_Toc18074600"/>
      <w:bookmarkStart w:id="212" w:name="_Toc22060657"/>
      <w:bookmarkStart w:id="213" w:name="_Toc22060742"/>
      <w:bookmarkStart w:id="214" w:name="_Toc22060817"/>
      <w:bookmarkStart w:id="215" w:name="_Toc22061021"/>
      <w:bookmarkStart w:id="216" w:name="_Toc25919670"/>
      <w:bookmarkStart w:id="217" w:name="_Toc456255409"/>
      <w:bookmarkStart w:id="218" w:name="_Toc456255495"/>
      <w:bookmarkStart w:id="219" w:name="_Toc456255588"/>
      <w:bookmarkStart w:id="220" w:name="_Toc456255633"/>
      <w:bookmarkStart w:id="221" w:name="_Toc456255410"/>
      <w:bookmarkStart w:id="222" w:name="_Toc456255496"/>
      <w:bookmarkStart w:id="223" w:name="_Toc456255589"/>
      <w:bookmarkStart w:id="224" w:name="_Toc456255634"/>
      <w:bookmarkStart w:id="225" w:name="_Toc18068776"/>
      <w:bookmarkStart w:id="226" w:name="_Toc18073075"/>
      <w:bookmarkStart w:id="227" w:name="_Toc18074601"/>
      <w:bookmarkStart w:id="228" w:name="_Toc22060658"/>
      <w:bookmarkStart w:id="229" w:name="_Toc22060743"/>
      <w:bookmarkStart w:id="230" w:name="_Toc22060818"/>
      <w:bookmarkStart w:id="231" w:name="_Toc22061022"/>
      <w:bookmarkStart w:id="232" w:name="_Toc25919671"/>
      <w:bookmarkStart w:id="233" w:name="_Toc5850280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ascii="Arial" w:hAnsi="Arial"/>
          <w:caps/>
          <w:sz w:val="32"/>
        </w:rPr>
        <w:lastRenderedPageBreak/>
        <w:t>KEY FOCUS AREAS</w:t>
      </w:r>
      <w:bookmarkEnd w:id="233"/>
    </w:p>
    <w:p w14:paraId="2FCA2343" w14:textId="1B154C34" w:rsidR="00961142" w:rsidRPr="005840D0" w:rsidRDefault="00282B3C" w:rsidP="003949E9">
      <w:pPr>
        <w:pStyle w:val="BodyText1"/>
        <w:spacing w:line="276" w:lineRule="auto"/>
        <w:ind w:left="0"/>
        <w:rPr>
          <w:rFonts w:ascii="Arial" w:hAnsi="Arial" w:cs="Arial"/>
          <w:color w:val="333333"/>
        </w:rPr>
      </w:pPr>
      <w:r>
        <w:rPr>
          <w:rFonts w:ascii="Arial" w:hAnsi="Arial" w:cs="Arial"/>
        </w:rPr>
        <w:t>The strategic overview and priorities in the previous section have been used to develop eight key focus areas for enHealth. The</w:t>
      </w:r>
      <w:r w:rsidR="002B0A43" w:rsidRPr="005840D0">
        <w:rPr>
          <w:rFonts w:ascii="Arial" w:hAnsi="Arial" w:cs="Arial"/>
          <w:color w:val="333333"/>
        </w:rPr>
        <w:t xml:space="preserve"> work directly contributes to the AHPPC’s objectives and strategic priorities, through actions across the following </w:t>
      </w:r>
      <w:r w:rsidR="00C03106">
        <w:rPr>
          <w:rFonts w:ascii="Arial" w:hAnsi="Arial" w:cs="Arial"/>
          <w:color w:val="333333"/>
        </w:rPr>
        <w:t xml:space="preserve">key focus </w:t>
      </w:r>
      <w:r w:rsidR="002B0A43" w:rsidRPr="005840D0">
        <w:rPr>
          <w:rFonts w:ascii="Arial" w:hAnsi="Arial" w:cs="Arial"/>
          <w:color w:val="333333"/>
        </w:rPr>
        <w:t>areas:</w:t>
      </w:r>
    </w:p>
    <w:p w14:paraId="735AD6BA" w14:textId="5D295F9D" w:rsidR="006B1EB8" w:rsidRPr="005840D0" w:rsidRDefault="002B0A43" w:rsidP="003949E9">
      <w:pPr>
        <w:pStyle w:val="BodyText1"/>
        <w:numPr>
          <w:ilvl w:val="0"/>
          <w:numId w:val="79"/>
        </w:numPr>
        <w:spacing w:line="276" w:lineRule="auto"/>
        <w:rPr>
          <w:rFonts w:ascii="Arial" w:hAnsi="Arial" w:cs="Arial"/>
          <w:color w:val="333333"/>
        </w:rPr>
      </w:pPr>
      <w:r w:rsidRPr="005840D0">
        <w:rPr>
          <w:rFonts w:ascii="Arial" w:hAnsi="Arial" w:cs="Arial"/>
          <w:color w:val="333333"/>
        </w:rPr>
        <w:t>Timely</w:t>
      </w:r>
      <w:r w:rsidR="00836B59">
        <w:rPr>
          <w:rFonts w:ascii="Arial" w:hAnsi="Arial" w:cs="Arial"/>
          <w:color w:val="333333"/>
        </w:rPr>
        <w:t>,</w:t>
      </w:r>
      <w:r w:rsidRPr="005840D0">
        <w:rPr>
          <w:rFonts w:ascii="Arial" w:hAnsi="Arial" w:cs="Arial"/>
          <w:color w:val="333333"/>
        </w:rPr>
        <w:t xml:space="preserve"> coordinated</w:t>
      </w:r>
      <w:r w:rsidR="00836B59">
        <w:rPr>
          <w:rFonts w:ascii="Arial" w:hAnsi="Arial" w:cs="Arial"/>
          <w:color w:val="333333"/>
        </w:rPr>
        <w:t>, and</w:t>
      </w:r>
      <w:r w:rsidRPr="005840D0">
        <w:rPr>
          <w:rFonts w:ascii="Arial" w:hAnsi="Arial" w:cs="Arial"/>
          <w:color w:val="333333"/>
        </w:rPr>
        <w:t xml:space="preserve"> evidence</w:t>
      </w:r>
      <w:r w:rsidR="00836B59">
        <w:rPr>
          <w:rFonts w:ascii="Arial" w:hAnsi="Arial" w:cs="Arial"/>
          <w:color w:val="333333"/>
        </w:rPr>
        <w:t>-</w:t>
      </w:r>
      <w:r w:rsidRPr="005840D0">
        <w:rPr>
          <w:rFonts w:ascii="Arial" w:hAnsi="Arial" w:cs="Arial"/>
          <w:color w:val="333333"/>
        </w:rPr>
        <w:t>based response</w:t>
      </w:r>
      <w:r>
        <w:rPr>
          <w:rFonts w:ascii="Arial" w:hAnsi="Arial" w:cs="Arial"/>
          <w:color w:val="333333"/>
        </w:rPr>
        <w:t xml:space="preserve"> to </w:t>
      </w:r>
      <w:r w:rsidR="00F27EF9">
        <w:rPr>
          <w:rFonts w:ascii="Arial" w:hAnsi="Arial" w:cs="Arial"/>
          <w:color w:val="333333"/>
        </w:rPr>
        <w:t xml:space="preserve">emerging </w:t>
      </w:r>
      <w:r w:rsidRPr="005840D0">
        <w:rPr>
          <w:rFonts w:ascii="Arial" w:hAnsi="Arial" w:cs="Arial"/>
          <w:color w:val="333333"/>
        </w:rPr>
        <w:t xml:space="preserve">environmental health issues of national concern. </w:t>
      </w:r>
    </w:p>
    <w:p w14:paraId="169C9E1D" w14:textId="40448059" w:rsidR="006B1EB8" w:rsidRPr="003A746E" w:rsidRDefault="00D43D4F" w:rsidP="00E006A3">
      <w:pPr>
        <w:pStyle w:val="BodyText1"/>
        <w:numPr>
          <w:ilvl w:val="0"/>
          <w:numId w:val="79"/>
        </w:numPr>
        <w:spacing w:line="276" w:lineRule="auto"/>
        <w:rPr>
          <w:rFonts w:ascii="Arial" w:hAnsi="Arial" w:cs="Arial"/>
          <w:color w:val="333333"/>
        </w:rPr>
      </w:pPr>
      <w:r w:rsidRPr="003A746E">
        <w:rPr>
          <w:rFonts w:ascii="Arial" w:hAnsi="Arial" w:cs="Arial"/>
        </w:rPr>
        <w:t>N</w:t>
      </w:r>
      <w:r w:rsidR="002B0A43" w:rsidRPr="003A746E">
        <w:rPr>
          <w:rFonts w:ascii="Arial" w:hAnsi="Arial" w:cs="Arial"/>
        </w:rPr>
        <w:t xml:space="preserve">ationally consistent </w:t>
      </w:r>
      <w:r w:rsidR="00645797" w:rsidRPr="004D4638">
        <w:rPr>
          <w:rFonts w:ascii="Arial" w:hAnsi="Arial" w:cs="Arial"/>
        </w:rPr>
        <w:t xml:space="preserve">evidence base for </w:t>
      </w:r>
      <w:r w:rsidR="002B0A43" w:rsidRPr="004D4638">
        <w:rPr>
          <w:rFonts w:ascii="Arial" w:hAnsi="Arial" w:cs="Arial"/>
        </w:rPr>
        <w:t xml:space="preserve">risk </w:t>
      </w:r>
      <w:r w:rsidR="00EA2070" w:rsidRPr="004D4638">
        <w:rPr>
          <w:rFonts w:ascii="Arial" w:hAnsi="Arial" w:cs="Arial"/>
        </w:rPr>
        <w:t xml:space="preserve">assessment, </w:t>
      </w:r>
      <w:r w:rsidR="002B0A43" w:rsidRPr="006B1EB8">
        <w:rPr>
          <w:rFonts w:ascii="Arial" w:hAnsi="Arial" w:cs="Arial"/>
        </w:rPr>
        <w:t>communication and management of significant environmental health issues of concern to the community.</w:t>
      </w:r>
    </w:p>
    <w:p w14:paraId="7383F895" w14:textId="3FE19EFC" w:rsidR="006B1EB8" w:rsidRPr="003A746E" w:rsidRDefault="00156B37" w:rsidP="00E006A3">
      <w:pPr>
        <w:pStyle w:val="BodyText1"/>
        <w:numPr>
          <w:ilvl w:val="0"/>
          <w:numId w:val="79"/>
        </w:numPr>
        <w:spacing w:line="276" w:lineRule="auto"/>
        <w:rPr>
          <w:rFonts w:ascii="Arial" w:hAnsi="Arial" w:cs="Arial"/>
          <w:color w:val="333333"/>
        </w:rPr>
      </w:pPr>
      <w:r w:rsidRPr="003A746E">
        <w:rPr>
          <w:rFonts w:ascii="Arial" w:hAnsi="Arial" w:cs="Arial"/>
          <w:color w:val="333333"/>
        </w:rPr>
        <w:t>Provision of n</w:t>
      </w:r>
      <w:r w:rsidR="002B0A43" w:rsidRPr="004D4638">
        <w:rPr>
          <w:rFonts w:ascii="Arial" w:hAnsi="Arial" w:cs="Arial"/>
          <w:color w:val="333333"/>
        </w:rPr>
        <w:t xml:space="preserve">ational science policy and practice frameworks for environmental health. </w:t>
      </w:r>
    </w:p>
    <w:p w14:paraId="2B155F44" w14:textId="0F0CA3FE" w:rsidR="006B1EB8" w:rsidRPr="003A746E" w:rsidRDefault="002B0A43" w:rsidP="00E006A3">
      <w:pPr>
        <w:pStyle w:val="BodyText1"/>
        <w:numPr>
          <w:ilvl w:val="0"/>
          <w:numId w:val="79"/>
        </w:numPr>
        <w:spacing w:line="276" w:lineRule="auto"/>
        <w:rPr>
          <w:rFonts w:ascii="Arial" w:hAnsi="Arial" w:cs="Arial"/>
          <w:color w:val="333333"/>
        </w:rPr>
      </w:pPr>
      <w:r w:rsidRPr="003A746E">
        <w:rPr>
          <w:rFonts w:ascii="Arial" w:hAnsi="Arial" w:cs="Arial"/>
        </w:rPr>
        <w:t xml:space="preserve">Sufficient and appropriately skilled workforce to address environmental health challenges. </w:t>
      </w:r>
    </w:p>
    <w:p w14:paraId="5BAE5468" w14:textId="19F776BF" w:rsidR="006B1EB8" w:rsidRPr="003A746E" w:rsidRDefault="00222FB3" w:rsidP="00E006A3">
      <w:pPr>
        <w:pStyle w:val="BodyText1"/>
        <w:numPr>
          <w:ilvl w:val="0"/>
          <w:numId w:val="79"/>
        </w:numPr>
        <w:spacing w:line="276" w:lineRule="auto"/>
        <w:rPr>
          <w:rFonts w:ascii="Arial" w:hAnsi="Arial" w:cs="Arial"/>
          <w:color w:val="333333"/>
        </w:rPr>
      </w:pPr>
      <w:r w:rsidRPr="004D4638">
        <w:rPr>
          <w:rFonts w:ascii="Arial" w:hAnsi="Arial" w:cs="Arial"/>
        </w:rPr>
        <w:t>Promoting improved environmental health conditions and outcomes for Aboriginal and Torres Strait Islander communities</w:t>
      </w:r>
      <w:r w:rsidR="00A104B8" w:rsidRPr="006B1EB8">
        <w:rPr>
          <w:rFonts w:ascii="Arial" w:hAnsi="Arial" w:cs="Arial"/>
        </w:rPr>
        <w:t xml:space="preserve"> (refer also to the ERPATSIEH Action Plan 2019-2023)</w:t>
      </w:r>
      <w:r w:rsidRPr="006B1EB8">
        <w:rPr>
          <w:rFonts w:ascii="Arial" w:hAnsi="Arial" w:cs="Arial"/>
        </w:rPr>
        <w:t xml:space="preserve">. </w:t>
      </w:r>
    </w:p>
    <w:p w14:paraId="60547617" w14:textId="7A8D26FB" w:rsidR="006B1EB8" w:rsidRPr="003A746E" w:rsidRDefault="002B0A43" w:rsidP="00E006A3">
      <w:pPr>
        <w:pStyle w:val="BodyText1"/>
        <w:numPr>
          <w:ilvl w:val="0"/>
          <w:numId w:val="79"/>
        </w:numPr>
        <w:spacing w:line="276" w:lineRule="auto"/>
        <w:rPr>
          <w:rFonts w:ascii="Arial" w:hAnsi="Arial" w:cs="Arial"/>
          <w:color w:val="333333"/>
        </w:rPr>
      </w:pPr>
      <w:r w:rsidRPr="003A746E">
        <w:rPr>
          <w:rFonts w:ascii="Arial" w:hAnsi="Arial" w:cs="Arial"/>
          <w:color w:val="333333"/>
        </w:rPr>
        <w:t>Nationally consistent frameworks for public and environmental health regulation.</w:t>
      </w:r>
    </w:p>
    <w:p w14:paraId="4ADB2D27" w14:textId="72B04254" w:rsidR="001B61FF" w:rsidRPr="004D4638" w:rsidRDefault="002B0A43" w:rsidP="00E006A3">
      <w:pPr>
        <w:pStyle w:val="BodyText1"/>
        <w:numPr>
          <w:ilvl w:val="0"/>
          <w:numId w:val="79"/>
        </w:numPr>
        <w:spacing w:line="276" w:lineRule="auto"/>
        <w:rPr>
          <w:rFonts w:ascii="Arial" w:hAnsi="Arial" w:cs="Arial"/>
          <w:color w:val="333333"/>
        </w:rPr>
      </w:pPr>
      <w:r w:rsidRPr="003A746E">
        <w:rPr>
          <w:rFonts w:ascii="Arial" w:hAnsi="Arial" w:cs="Arial"/>
          <w:color w:val="333333"/>
        </w:rPr>
        <w:t>Effective networking and partnerships wi</w:t>
      </w:r>
      <w:r w:rsidRPr="004D4638">
        <w:rPr>
          <w:rFonts w:ascii="Arial" w:hAnsi="Arial" w:cs="Arial"/>
          <w:color w:val="333333"/>
        </w:rPr>
        <w:t>th stakeholders to ensure a coordinated approach to addressing environmental risks to health.</w:t>
      </w:r>
    </w:p>
    <w:p w14:paraId="6EED7D62" w14:textId="16FFC164" w:rsidR="004838E7" w:rsidRDefault="004838E7" w:rsidP="007A1C9F">
      <w:pPr>
        <w:pStyle w:val="BodyText1"/>
        <w:numPr>
          <w:ilvl w:val="0"/>
          <w:numId w:val="79"/>
        </w:numPr>
        <w:rPr>
          <w:rFonts w:ascii="Arial" w:hAnsi="Arial" w:cs="Arial"/>
          <w:color w:val="333333"/>
        </w:rPr>
      </w:pPr>
      <w:r>
        <w:rPr>
          <w:rFonts w:ascii="Arial" w:hAnsi="Arial" w:cs="Arial"/>
          <w:color w:val="333333"/>
        </w:rPr>
        <w:t xml:space="preserve">Strengthened research and data capacity, </w:t>
      </w:r>
      <w:r w:rsidR="00AE7523">
        <w:rPr>
          <w:rFonts w:ascii="Arial" w:hAnsi="Arial" w:cs="Arial"/>
          <w:color w:val="333333"/>
        </w:rPr>
        <w:t>to assist</w:t>
      </w:r>
      <w:r>
        <w:rPr>
          <w:rFonts w:ascii="Arial" w:hAnsi="Arial" w:cs="Arial"/>
          <w:color w:val="333333"/>
        </w:rPr>
        <w:t xml:space="preserve"> translation of research and data to environmental health policy and interventions.</w:t>
      </w:r>
    </w:p>
    <w:p w14:paraId="04FA8BF1" w14:textId="71F1955F" w:rsidR="002B5EF7" w:rsidRDefault="00C03106" w:rsidP="00E006A3">
      <w:pPr>
        <w:pStyle w:val="BodyText1"/>
        <w:spacing w:line="276" w:lineRule="auto"/>
        <w:ind w:left="0"/>
        <w:rPr>
          <w:rFonts w:ascii="Arial" w:hAnsi="Arial" w:cs="Arial"/>
          <w:color w:val="333333"/>
        </w:rPr>
      </w:pPr>
      <w:r>
        <w:rPr>
          <w:rFonts w:ascii="Arial" w:hAnsi="Arial" w:cs="Arial"/>
          <w:color w:val="333333"/>
        </w:rPr>
        <w:t>The</w:t>
      </w:r>
      <w:r w:rsidR="004156E0">
        <w:rPr>
          <w:rFonts w:ascii="Arial" w:hAnsi="Arial" w:cs="Arial"/>
          <w:color w:val="333333"/>
        </w:rPr>
        <w:t xml:space="preserve"> key focus areas</w:t>
      </w:r>
      <w:r w:rsidR="00BA0368">
        <w:rPr>
          <w:rFonts w:ascii="Arial" w:hAnsi="Arial" w:cs="Arial"/>
          <w:color w:val="333333"/>
        </w:rPr>
        <w:t xml:space="preserve"> are elaborated on </w:t>
      </w:r>
      <w:r w:rsidR="002B5EF7">
        <w:rPr>
          <w:rFonts w:ascii="Arial" w:hAnsi="Arial" w:cs="Arial"/>
          <w:color w:val="333333"/>
        </w:rPr>
        <w:t xml:space="preserve">below </w:t>
      </w:r>
      <w:r w:rsidR="00BA0368">
        <w:rPr>
          <w:rFonts w:ascii="Arial" w:hAnsi="Arial" w:cs="Arial"/>
          <w:color w:val="333333"/>
        </w:rPr>
        <w:t>and</w:t>
      </w:r>
      <w:r w:rsidR="004156E0">
        <w:rPr>
          <w:rFonts w:ascii="Arial" w:hAnsi="Arial" w:cs="Arial"/>
          <w:color w:val="333333"/>
        </w:rPr>
        <w:t xml:space="preserve"> </w:t>
      </w:r>
      <w:r w:rsidR="00BA0368">
        <w:rPr>
          <w:rFonts w:ascii="Arial" w:hAnsi="Arial" w:cs="Arial"/>
          <w:color w:val="333333"/>
        </w:rPr>
        <w:t>have some associated strategies a</w:t>
      </w:r>
      <w:r w:rsidR="002B5EF7">
        <w:rPr>
          <w:rFonts w:ascii="Arial" w:hAnsi="Arial" w:cs="Arial"/>
          <w:color w:val="333333"/>
        </w:rPr>
        <w:t>s</w:t>
      </w:r>
      <w:r w:rsidR="00BA0368">
        <w:rPr>
          <w:rFonts w:ascii="Arial" w:hAnsi="Arial" w:cs="Arial"/>
          <w:color w:val="333333"/>
        </w:rPr>
        <w:t xml:space="preserve"> table</w:t>
      </w:r>
      <w:r w:rsidR="002B5EF7">
        <w:rPr>
          <w:rFonts w:ascii="Arial" w:hAnsi="Arial" w:cs="Arial"/>
          <w:color w:val="333333"/>
        </w:rPr>
        <w:t>d</w:t>
      </w:r>
      <w:r w:rsidR="00BA0368">
        <w:rPr>
          <w:rFonts w:ascii="Arial" w:hAnsi="Arial" w:cs="Arial"/>
          <w:color w:val="333333"/>
        </w:rPr>
        <w:t xml:space="preserve"> in </w:t>
      </w:r>
      <w:r w:rsidR="00BA0368" w:rsidRPr="00E006A3">
        <w:rPr>
          <w:rFonts w:ascii="Arial" w:hAnsi="Arial" w:cs="Arial"/>
          <w:b/>
          <w:color w:val="333333"/>
        </w:rPr>
        <w:t>Appendix 3</w:t>
      </w:r>
      <w:r w:rsidR="00BA0368">
        <w:rPr>
          <w:rFonts w:ascii="Arial" w:hAnsi="Arial" w:cs="Arial"/>
          <w:color w:val="333333"/>
        </w:rPr>
        <w:t xml:space="preserve">. These </w:t>
      </w:r>
      <w:r w:rsidR="004156E0">
        <w:rPr>
          <w:rFonts w:ascii="Arial" w:hAnsi="Arial" w:cs="Arial"/>
          <w:color w:val="333333"/>
        </w:rPr>
        <w:t>form the basis of the</w:t>
      </w:r>
      <w:r w:rsidR="00961142">
        <w:rPr>
          <w:rFonts w:ascii="Arial" w:hAnsi="Arial" w:cs="Arial"/>
          <w:color w:val="333333"/>
        </w:rPr>
        <w:t xml:space="preserve"> </w:t>
      </w:r>
      <w:r w:rsidR="00F42336">
        <w:rPr>
          <w:rFonts w:ascii="Arial" w:hAnsi="Arial" w:cs="Arial"/>
          <w:color w:val="333333"/>
        </w:rPr>
        <w:t xml:space="preserve">expanded </w:t>
      </w:r>
      <w:r w:rsidR="00961142">
        <w:rPr>
          <w:rFonts w:ascii="Arial" w:hAnsi="Arial" w:cs="Arial"/>
          <w:color w:val="333333"/>
        </w:rPr>
        <w:t xml:space="preserve">key focus area plans </w:t>
      </w:r>
      <w:r w:rsidR="00BA0368">
        <w:rPr>
          <w:rFonts w:ascii="Arial" w:hAnsi="Arial" w:cs="Arial"/>
          <w:color w:val="333333"/>
        </w:rPr>
        <w:t>including ‘how we do this’ and how we measure success’ in</w:t>
      </w:r>
      <w:r w:rsidR="00961142">
        <w:rPr>
          <w:rFonts w:ascii="Arial" w:hAnsi="Arial" w:cs="Arial"/>
          <w:color w:val="333333"/>
        </w:rPr>
        <w:t xml:space="preserve"> the </w:t>
      </w:r>
      <w:r w:rsidR="004156E0" w:rsidRPr="0013275D">
        <w:rPr>
          <w:rFonts w:ascii="Arial" w:hAnsi="Arial" w:cs="Arial"/>
          <w:i/>
          <w:color w:val="333333"/>
        </w:rPr>
        <w:t>enHealth Work Plan</w:t>
      </w:r>
      <w:r w:rsidR="00F27EF9">
        <w:rPr>
          <w:rFonts w:ascii="Arial" w:hAnsi="Arial" w:cs="Arial"/>
          <w:i/>
          <w:color w:val="333333"/>
        </w:rPr>
        <w:t xml:space="preserve"> 2020-2023</w:t>
      </w:r>
      <w:r w:rsidR="00BA0368">
        <w:rPr>
          <w:rFonts w:ascii="Arial" w:hAnsi="Arial" w:cs="Arial"/>
          <w:color w:val="333333"/>
        </w:rPr>
        <w:t>.</w:t>
      </w:r>
      <w:r w:rsidR="004156E0">
        <w:rPr>
          <w:rFonts w:ascii="Arial" w:hAnsi="Arial" w:cs="Arial"/>
          <w:color w:val="333333"/>
        </w:rPr>
        <w:t xml:space="preserve"> </w:t>
      </w:r>
      <w:r w:rsidR="00BA0368">
        <w:rPr>
          <w:rFonts w:ascii="Arial" w:hAnsi="Arial" w:cs="Arial"/>
          <w:color w:val="333333"/>
        </w:rPr>
        <w:t xml:space="preserve">The work plan should be read in conjunction with this strategic plan and </w:t>
      </w:r>
      <w:r w:rsidR="002B5EF7">
        <w:rPr>
          <w:rFonts w:ascii="Arial" w:hAnsi="Arial" w:cs="Arial"/>
          <w:color w:val="333333"/>
        </w:rPr>
        <w:t>provides</w:t>
      </w:r>
      <w:r w:rsidR="004156E0">
        <w:rPr>
          <w:rFonts w:ascii="Arial" w:hAnsi="Arial" w:cs="Arial"/>
          <w:color w:val="333333"/>
        </w:rPr>
        <w:t xml:space="preserve"> </w:t>
      </w:r>
      <w:r w:rsidR="00836B59">
        <w:rPr>
          <w:rFonts w:ascii="Arial" w:hAnsi="Arial" w:cs="Arial"/>
          <w:color w:val="333333"/>
        </w:rPr>
        <w:t xml:space="preserve">an associated </w:t>
      </w:r>
      <w:r w:rsidR="00511F31">
        <w:rPr>
          <w:rFonts w:ascii="Arial" w:hAnsi="Arial" w:cs="Arial"/>
          <w:color w:val="333333"/>
        </w:rPr>
        <w:t xml:space="preserve">prioritisation of </w:t>
      </w:r>
      <w:r w:rsidR="00BA0368">
        <w:rPr>
          <w:rFonts w:ascii="Arial" w:hAnsi="Arial" w:cs="Arial"/>
          <w:color w:val="333333"/>
        </w:rPr>
        <w:t xml:space="preserve">tasks, activities </w:t>
      </w:r>
      <w:r w:rsidR="00511F31">
        <w:rPr>
          <w:rFonts w:ascii="Arial" w:hAnsi="Arial" w:cs="Arial"/>
          <w:color w:val="333333"/>
        </w:rPr>
        <w:t xml:space="preserve">and projects </w:t>
      </w:r>
      <w:r w:rsidR="00BA0368">
        <w:rPr>
          <w:rFonts w:ascii="Arial" w:hAnsi="Arial" w:cs="Arial"/>
          <w:color w:val="333333"/>
        </w:rPr>
        <w:t>in an ambitious forward work</w:t>
      </w:r>
      <w:r w:rsidR="00836B59">
        <w:rPr>
          <w:rFonts w:ascii="Arial" w:hAnsi="Arial" w:cs="Arial"/>
          <w:color w:val="333333"/>
        </w:rPr>
        <w:t xml:space="preserve"> plan</w:t>
      </w:r>
      <w:r w:rsidR="002B5EF7">
        <w:rPr>
          <w:rFonts w:ascii="Arial" w:hAnsi="Arial" w:cs="Arial"/>
          <w:color w:val="333333"/>
        </w:rPr>
        <w:t xml:space="preserve"> of actions for enHealth from 2020-2023. Each task, activity and project to be undertaken by enHealth has specific leads and timeframes and is linked to the relevant enablers and key focus areas.</w:t>
      </w:r>
    </w:p>
    <w:p w14:paraId="4C680D20" w14:textId="10AB5859" w:rsidR="00F27EF9" w:rsidRPr="00E006A3" w:rsidRDefault="00F27EF9" w:rsidP="004D4638">
      <w:pPr>
        <w:keepNext/>
        <w:tabs>
          <w:tab w:val="left" w:pos="851"/>
        </w:tabs>
        <w:spacing w:before="120" w:after="120"/>
        <w:outlineLvl w:val="1"/>
        <w:rPr>
          <w:rFonts w:ascii="Arial" w:hAnsi="Arial" w:cs="Arial"/>
          <w:b/>
          <w:bCs/>
          <w:iCs/>
          <w:color w:val="9BBB59" w:themeColor="accent3"/>
          <w:szCs w:val="22"/>
        </w:rPr>
      </w:pPr>
      <w:bookmarkStart w:id="234" w:name="_Toc18073081"/>
      <w:bookmarkStart w:id="235" w:name="_Toc18074607"/>
      <w:bookmarkStart w:id="236" w:name="_Toc456255418"/>
      <w:bookmarkStart w:id="237" w:name="_Toc456255504"/>
      <w:bookmarkStart w:id="238" w:name="_Toc456255597"/>
      <w:bookmarkStart w:id="239" w:name="_Toc456255642"/>
      <w:bookmarkStart w:id="240" w:name="_Toc22060664"/>
      <w:bookmarkStart w:id="241" w:name="_Toc22060749"/>
      <w:bookmarkStart w:id="242" w:name="_Toc22060824"/>
      <w:bookmarkStart w:id="243" w:name="_Toc22061028"/>
      <w:bookmarkStart w:id="244" w:name="_Toc25919677"/>
      <w:bookmarkStart w:id="245" w:name="_Toc22060665"/>
      <w:bookmarkStart w:id="246" w:name="_Toc22060750"/>
      <w:bookmarkStart w:id="247" w:name="_Toc22060825"/>
      <w:bookmarkStart w:id="248" w:name="_Toc22061029"/>
      <w:bookmarkStart w:id="249" w:name="_Toc25919678"/>
      <w:bookmarkStart w:id="250" w:name="_Toc22060666"/>
      <w:bookmarkStart w:id="251" w:name="_Toc22060751"/>
      <w:bookmarkStart w:id="252" w:name="_Toc22060826"/>
      <w:bookmarkStart w:id="253" w:name="_Toc22061030"/>
      <w:bookmarkStart w:id="254" w:name="_Toc25919679"/>
      <w:bookmarkStart w:id="255" w:name="_Toc22060667"/>
      <w:bookmarkStart w:id="256" w:name="_Toc22060752"/>
      <w:bookmarkStart w:id="257" w:name="_Toc22060827"/>
      <w:bookmarkStart w:id="258" w:name="_Toc22061031"/>
      <w:bookmarkStart w:id="259" w:name="_Toc25919680"/>
      <w:bookmarkStart w:id="260" w:name="_Toc22060668"/>
      <w:bookmarkStart w:id="261" w:name="_Toc22060753"/>
      <w:bookmarkStart w:id="262" w:name="_Toc22060828"/>
      <w:bookmarkStart w:id="263" w:name="_Toc22061032"/>
      <w:bookmarkStart w:id="264" w:name="_Toc25919681"/>
      <w:bookmarkStart w:id="265" w:name="_Toc530733205"/>
      <w:bookmarkStart w:id="266" w:name="_Toc58502807"/>
      <w:bookmarkStart w:id="267" w:name="_Toc38938460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3949E9">
        <w:rPr>
          <w:rFonts w:ascii="Arial" w:hAnsi="Arial" w:cs="Arial"/>
          <w:b/>
          <w:bCs/>
          <w:iCs/>
          <w:color w:val="9BBB59" w:themeColor="accent3"/>
          <w:szCs w:val="22"/>
        </w:rPr>
        <w:t>A</w:t>
      </w:r>
      <w:r w:rsidR="003C3CBE">
        <w:rPr>
          <w:rFonts w:ascii="Arial" w:hAnsi="Arial" w:cs="Arial"/>
          <w:b/>
          <w:bCs/>
          <w:iCs/>
          <w:color w:val="9BBB59" w:themeColor="accent3"/>
          <w:szCs w:val="22"/>
        </w:rPr>
        <w:t>.</w:t>
      </w:r>
      <w:r w:rsidRPr="003949E9">
        <w:rPr>
          <w:rFonts w:ascii="Arial" w:hAnsi="Arial" w:cs="Arial"/>
          <w:b/>
          <w:bCs/>
          <w:iCs/>
          <w:color w:val="9BBB59" w:themeColor="accent3"/>
          <w:szCs w:val="22"/>
        </w:rPr>
        <w:t xml:space="preserve">  Timely, coordinated, evidence-based response to emerging environmental health issues of national concern</w:t>
      </w:r>
      <w:bookmarkEnd w:id="265"/>
      <w:bookmarkEnd w:id="266"/>
    </w:p>
    <w:p w14:paraId="4ECC70BF" w14:textId="3AE0C14F" w:rsidR="00F27EF9" w:rsidRPr="00D53D6D" w:rsidRDefault="00F27EF9" w:rsidP="00E006A3">
      <w:pPr>
        <w:spacing w:before="120" w:after="120" w:line="276" w:lineRule="auto"/>
        <w:rPr>
          <w:rFonts w:ascii="Arial" w:hAnsi="Arial" w:cs="Arial"/>
        </w:rPr>
      </w:pPr>
      <w:r w:rsidRPr="00D53D6D">
        <w:rPr>
          <w:rFonts w:ascii="Arial" w:hAnsi="Arial" w:cs="Arial"/>
        </w:rPr>
        <w:t xml:space="preserve">States and territories have recognised the challenges of managing environmental health issues that are prevalent nationally. Variable response across jurisdictions can undermine effective control and communication of risk. For example, there is increasing debate on environmental health issues such as asbestos risk in bushfires, coal seam gas, </w:t>
      </w:r>
      <w:r w:rsidR="008B26D7">
        <w:rPr>
          <w:rFonts w:ascii="Arial" w:hAnsi="Arial" w:cs="Arial"/>
        </w:rPr>
        <w:t xml:space="preserve">contamination from pesticide use, </w:t>
      </w:r>
      <w:r w:rsidRPr="00D53D6D">
        <w:rPr>
          <w:rFonts w:ascii="Arial" w:hAnsi="Arial" w:cs="Arial"/>
        </w:rPr>
        <w:t>fluoride fortification of public water supplies, and environmental health risk communication</w:t>
      </w:r>
      <w:r>
        <w:rPr>
          <w:rFonts w:ascii="Arial" w:hAnsi="Arial" w:cs="Arial"/>
        </w:rPr>
        <w:t>,</w:t>
      </w:r>
      <w:r w:rsidRPr="00D53D6D">
        <w:rPr>
          <w:rFonts w:ascii="Arial" w:hAnsi="Arial" w:cs="Arial"/>
        </w:rPr>
        <w:t xml:space="preserve"> which can impact public perceptions considerably.</w:t>
      </w:r>
    </w:p>
    <w:p w14:paraId="140E2D5A" w14:textId="3C6D1F90" w:rsidR="00F27EF9" w:rsidRPr="00D53D6D" w:rsidRDefault="00F27EF9" w:rsidP="00E006A3">
      <w:pPr>
        <w:spacing w:before="120" w:after="120" w:line="276" w:lineRule="auto"/>
        <w:rPr>
          <w:rFonts w:ascii="Arial" w:eastAsia="Batang" w:hAnsi="Arial" w:cs="Arial"/>
        </w:rPr>
      </w:pPr>
      <w:r w:rsidRPr="00D53D6D">
        <w:rPr>
          <w:rFonts w:ascii="Arial" w:eastAsia="Batang" w:hAnsi="Arial" w:cs="Arial"/>
        </w:rPr>
        <w:t>This creates a compelling argument for a strong and effective approach to national communication, particularly as enHealth is the most “outward facing” or community-connected standing committee under the AHPPC. This focus area includes improved responsiveness to short</w:t>
      </w:r>
      <w:r>
        <w:rPr>
          <w:rFonts w:ascii="Arial" w:eastAsia="Batang" w:hAnsi="Arial" w:cs="Arial"/>
        </w:rPr>
        <w:t>-</w:t>
      </w:r>
      <w:r w:rsidRPr="00D53D6D">
        <w:rPr>
          <w:rFonts w:ascii="Arial" w:eastAsia="Batang" w:hAnsi="Arial" w:cs="Arial"/>
        </w:rPr>
        <w:t>term challenges that require national leadership and, hence, communication</w:t>
      </w:r>
      <w:r w:rsidR="003C3CBE">
        <w:rPr>
          <w:rFonts w:ascii="Arial" w:eastAsia="Batang" w:hAnsi="Arial" w:cs="Arial"/>
        </w:rPr>
        <w:t>,</w:t>
      </w:r>
      <w:r w:rsidRPr="00D53D6D">
        <w:rPr>
          <w:rFonts w:ascii="Arial" w:eastAsia="Batang" w:hAnsi="Arial" w:cs="Arial"/>
        </w:rPr>
        <w:t xml:space="preserve"> through to input to longer</w:t>
      </w:r>
      <w:r w:rsidR="003C3CBE">
        <w:rPr>
          <w:rFonts w:ascii="Arial" w:eastAsia="Batang" w:hAnsi="Arial" w:cs="Arial"/>
        </w:rPr>
        <w:t>-</w:t>
      </w:r>
      <w:r w:rsidRPr="00D53D6D">
        <w:rPr>
          <w:rFonts w:ascii="Arial" w:eastAsia="Batang" w:hAnsi="Arial" w:cs="Arial"/>
        </w:rPr>
        <w:t>term public debate.</w:t>
      </w:r>
    </w:p>
    <w:p w14:paraId="7EEE80A0" w14:textId="19EC72B4" w:rsidR="00F27EF9" w:rsidRDefault="00F27EF9" w:rsidP="00E006A3">
      <w:pPr>
        <w:spacing w:before="120" w:after="120" w:line="276" w:lineRule="auto"/>
        <w:rPr>
          <w:rFonts w:ascii="Arial" w:eastAsia="Batang" w:hAnsi="Arial" w:cs="Arial"/>
        </w:rPr>
      </w:pPr>
      <w:r w:rsidRPr="00D53D6D">
        <w:rPr>
          <w:rFonts w:ascii="Arial" w:eastAsia="Batang" w:hAnsi="Arial" w:cs="Arial"/>
        </w:rPr>
        <w:t>enHealth coordinates the gathering of intelligence and data to inform timely, coordinated and evidence</w:t>
      </w:r>
      <w:r>
        <w:rPr>
          <w:rFonts w:ascii="Arial" w:eastAsia="Batang" w:hAnsi="Arial" w:cs="Arial"/>
        </w:rPr>
        <w:noBreakHyphen/>
      </w:r>
      <w:r w:rsidRPr="00D53D6D">
        <w:rPr>
          <w:rFonts w:ascii="Arial" w:eastAsia="Batang" w:hAnsi="Arial" w:cs="Arial"/>
        </w:rPr>
        <w:t xml:space="preserve">based responses to </w:t>
      </w:r>
      <w:r>
        <w:rPr>
          <w:rFonts w:ascii="Arial" w:eastAsia="Batang" w:hAnsi="Arial" w:cs="Arial"/>
        </w:rPr>
        <w:t xml:space="preserve">emerging </w:t>
      </w:r>
      <w:r w:rsidRPr="00D53D6D">
        <w:rPr>
          <w:rFonts w:ascii="Arial" w:eastAsia="Batang" w:hAnsi="Arial" w:cs="Arial"/>
        </w:rPr>
        <w:t>environmental health issues of national concern. By doing so, enHealth enhances communication and community confidence that environmental health risks are managed through the development of advisory statements, guidel</w:t>
      </w:r>
      <w:r w:rsidR="003C3CBE">
        <w:rPr>
          <w:rFonts w:ascii="Arial" w:eastAsia="Batang" w:hAnsi="Arial" w:cs="Arial"/>
        </w:rPr>
        <w:t>in</w:t>
      </w:r>
      <w:r w:rsidRPr="00D53D6D">
        <w:rPr>
          <w:rFonts w:ascii="Arial" w:eastAsia="Batang" w:hAnsi="Arial" w:cs="Arial"/>
        </w:rPr>
        <w:t>es and protocols.</w:t>
      </w:r>
    </w:p>
    <w:p w14:paraId="1EF918AB" w14:textId="4C0EF6BC" w:rsidR="00B06E33" w:rsidRDefault="00B06E33" w:rsidP="00F27EF9">
      <w:pPr>
        <w:spacing w:before="120" w:after="120" w:line="300" w:lineRule="exact"/>
        <w:rPr>
          <w:rFonts w:ascii="Arial" w:eastAsia="Batang" w:hAnsi="Arial" w:cs="Arial"/>
        </w:rPr>
      </w:pP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A. Timely, coordinated, evidence-based response to emerging environmental health issues of national concern"/>
        <w:tblDescription w:val="This table outlines action to achieve key focus area A.  Timely, coordinated, evidence-based response to emerging environmental health issues of national concern."/>
      </w:tblPr>
      <w:tblGrid>
        <w:gridCol w:w="10188"/>
      </w:tblGrid>
      <w:tr w:rsidR="00B06E33" w14:paraId="3E0FE070"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right w:val="single" w:sz="4" w:space="0" w:color="9BBB59" w:themeColor="accent3"/>
            </w:tcBorders>
          </w:tcPr>
          <w:p w14:paraId="7DA8569E" w14:textId="11F03DD0" w:rsidR="00B06E33" w:rsidRDefault="004D3CB5" w:rsidP="00F27EF9">
            <w:pPr>
              <w:spacing w:before="120" w:after="120" w:line="300" w:lineRule="exact"/>
              <w:rPr>
                <w:rFonts w:ascii="Arial" w:eastAsia="Batang" w:hAnsi="Arial" w:cs="Arial"/>
              </w:rPr>
            </w:pPr>
            <w:r>
              <w:rPr>
                <w:rFonts w:ascii="Arial" w:eastAsia="Batang" w:hAnsi="Arial" w:cs="Arial"/>
              </w:rPr>
              <w:t xml:space="preserve">A. </w:t>
            </w:r>
            <w:r w:rsidRPr="004D3CB5">
              <w:rPr>
                <w:rFonts w:ascii="Arial" w:eastAsia="Batang" w:hAnsi="Arial" w:cs="Arial"/>
              </w:rPr>
              <w:t>Timely, coordinated, and evidence-based response to emerging environmental health issues of national concern.</w:t>
            </w:r>
          </w:p>
        </w:tc>
      </w:tr>
      <w:tr w:rsidR="00B06E33" w14:paraId="6C3558D1" w14:textId="77777777" w:rsidTr="00E00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0221F80A" w14:textId="0EDDAB77" w:rsidR="00B06E33" w:rsidRPr="00E006A3" w:rsidRDefault="004D3CB5" w:rsidP="00F27EF9">
            <w:pPr>
              <w:spacing w:before="120" w:after="120" w:line="300" w:lineRule="exact"/>
              <w:rPr>
                <w:rFonts w:ascii="Arial" w:eastAsia="Batang" w:hAnsi="Arial" w:cs="Arial"/>
                <w:b w:val="0"/>
              </w:rPr>
            </w:pPr>
            <w:r>
              <w:rPr>
                <w:rFonts w:ascii="Arial" w:eastAsia="Batang" w:hAnsi="Arial" w:cs="Arial"/>
                <w:b w:val="0"/>
              </w:rPr>
              <w:t xml:space="preserve">A.1 </w:t>
            </w:r>
            <w:r w:rsidRPr="004D3CB5">
              <w:rPr>
                <w:rFonts w:ascii="Arial" w:eastAsia="Batang" w:hAnsi="Arial" w:cs="Arial"/>
                <w:b w:val="0"/>
              </w:rPr>
              <w:t xml:space="preserve">Ensure that enHealth and AHPPC governance mechanisms are flexible enough to ensure that </w:t>
            </w:r>
            <w:proofErr w:type="spellStart"/>
            <w:r w:rsidRPr="004D3CB5">
              <w:rPr>
                <w:rFonts w:ascii="Arial" w:eastAsia="Batang" w:hAnsi="Arial" w:cs="Arial"/>
                <w:b w:val="0"/>
              </w:rPr>
              <w:t>enHealth's</w:t>
            </w:r>
            <w:proofErr w:type="spellEnd"/>
            <w:r w:rsidRPr="004D3CB5">
              <w:rPr>
                <w:rFonts w:ascii="Arial" w:eastAsia="Batang" w:hAnsi="Arial" w:cs="Arial"/>
                <w:b w:val="0"/>
              </w:rPr>
              <w:t xml:space="preserve"> advice can be developed and approved rapidly to ensure relevance.</w:t>
            </w:r>
          </w:p>
        </w:tc>
      </w:tr>
      <w:tr w:rsidR="00B06E33" w14:paraId="0E59FADB" w14:textId="77777777" w:rsidTr="00E006A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559D4B2E" w14:textId="38325E1F" w:rsidR="00B06E33" w:rsidRPr="00E006A3" w:rsidRDefault="004D3CB5" w:rsidP="00F27EF9">
            <w:pPr>
              <w:spacing w:before="120" w:after="120" w:line="300" w:lineRule="exact"/>
              <w:rPr>
                <w:rFonts w:ascii="Arial" w:eastAsia="Batang" w:hAnsi="Arial" w:cs="Arial"/>
                <w:b w:val="0"/>
              </w:rPr>
            </w:pPr>
            <w:r w:rsidRPr="004D3CB5">
              <w:rPr>
                <w:rFonts w:ascii="Arial" w:eastAsia="Batang" w:hAnsi="Arial" w:cs="Arial"/>
                <w:b w:val="0"/>
              </w:rPr>
              <w:t>A.2 Ensure that enHealth and AHPPC are seen as Australia’s definitive source of information on environmental health issues.</w:t>
            </w:r>
          </w:p>
        </w:tc>
      </w:tr>
      <w:tr w:rsidR="00B06E33" w14:paraId="75F9D584" w14:textId="77777777" w:rsidTr="00E00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2CF9608D" w14:textId="0BADB1C3" w:rsidR="00B06E33" w:rsidRPr="00E006A3" w:rsidRDefault="004D3CB5" w:rsidP="00F27EF9">
            <w:pPr>
              <w:spacing w:before="120" w:after="120" w:line="300" w:lineRule="exact"/>
              <w:rPr>
                <w:rFonts w:ascii="Arial" w:eastAsia="Batang" w:hAnsi="Arial" w:cs="Arial"/>
                <w:b w:val="0"/>
              </w:rPr>
            </w:pPr>
            <w:r w:rsidRPr="004D3CB5">
              <w:rPr>
                <w:rFonts w:ascii="Arial" w:eastAsia="Batang" w:hAnsi="Arial" w:cs="Arial"/>
                <w:b w:val="0"/>
              </w:rPr>
              <w:t>A.3 Maintain timely, coordinated and evidence-based responses to environmental health issues of national relevance and concern.</w:t>
            </w:r>
          </w:p>
        </w:tc>
      </w:tr>
      <w:tr w:rsidR="00B06E33" w14:paraId="4E51C087" w14:textId="77777777" w:rsidTr="00E006A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0C81100F" w14:textId="281FC405" w:rsidR="00B06E33" w:rsidRPr="00E006A3" w:rsidRDefault="004D3CB5" w:rsidP="00F27EF9">
            <w:pPr>
              <w:spacing w:before="120" w:after="120" w:line="300" w:lineRule="exact"/>
              <w:rPr>
                <w:rFonts w:ascii="Arial" w:eastAsia="Batang" w:hAnsi="Arial" w:cs="Arial"/>
                <w:b w:val="0"/>
              </w:rPr>
            </w:pPr>
            <w:r w:rsidRPr="004D3CB5">
              <w:rPr>
                <w:rFonts w:ascii="Arial" w:eastAsia="Batang" w:hAnsi="Arial" w:cs="Arial"/>
                <w:b w:val="0"/>
              </w:rPr>
              <w:t>A.4 Ensure that enHealth is involved in meeting international obligations related to environmental health issues.</w:t>
            </w:r>
          </w:p>
        </w:tc>
      </w:tr>
    </w:tbl>
    <w:p w14:paraId="315A0B2E" w14:textId="6E592ABB" w:rsidR="00F27EF9" w:rsidRPr="003949E9" w:rsidRDefault="00547ED6" w:rsidP="00F27EF9">
      <w:pPr>
        <w:keepNext/>
        <w:tabs>
          <w:tab w:val="left" w:pos="851"/>
        </w:tabs>
        <w:spacing w:before="120" w:after="120"/>
        <w:outlineLvl w:val="1"/>
        <w:rPr>
          <w:rFonts w:ascii="Arial" w:hAnsi="Arial" w:cs="Arial"/>
          <w:b/>
          <w:bCs/>
          <w:iCs/>
          <w:color w:val="9BBB59" w:themeColor="accent3"/>
          <w:szCs w:val="22"/>
        </w:rPr>
      </w:pPr>
      <w:bookmarkStart w:id="268" w:name="_Toc530733206"/>
      <w:bookmarkStart w:id="269" w:name="_Toc58502808"/>
      <w:r>
        <w:rPr>
          <w:rFonts w:ascii="Arial" w:hAnsi="Arial" w:cs="Arial"/>
          <w:b/>
          <w:bCs/>
          <w:iCs/>
          <w:color w:val="9BBB59" w:themeColor="accent3"/>
          <w:szCs w:val="22"/>
        </w:rPr>
        <w:t>B.</w:t>
      </w:r>
      <w:r w:rsidR="00F27EF9" w:rsidRPr="003949E9">
        <w:rPr>
          <w:rFonts w:ascii="Arial" w:hAnsi="Arial" w:cs="Arial"/>
          <w:b/>
          <w:bCs/>
          <w:iCs/>
          <w:color w:val="9BBB59" w:themeColor="accent3"/>
          <w:szCs w:val="22"/>
        </w:rPr>
        <w:t xml:space="preserve"> </w:t>
      </w:r>
      <w:bookmarkEnd w:id="268"/>
      <w:r w:rsidR="00D43D4F">
        <w:rPr>
          <w:rFonts w:ascii="Arial" w:hAnsi="Arial" w:cs="Arial"/>
          <w:b/>
          <w:bCs/>
          <w:iCs/>
          <w:color w:val="9BBB59" w:themeColor="accent3"/>
          <w:szCs w:val="22"/>
        </w:rPr>
        <w:t xml:space="preserve">Nationally consistent evidence base for </w:t>
      </w:r>
      <w:r w:rsidR="00F27EF9" w:rsidRPr="003949E9">
        <w:rPr>
          <w:rFonts w:ascii="Arial" w:hAnsi="Arial" w:cs="Arial"/>
          <w:b/>
          <w:bCs/>
          <w:iCs/>
          <w:color w:val="9BBB59" w:themeColor="accent3"/>
          <w:szCs w:val="22"/>
        </w:rPr>
        <w:t>risk assessment, management and communication of significant environmental health issues of concern to the community.</w:t>
      </w:r>
      <w:bookmarkEnd w:id="269"/>
    </w:p>
    <w:p w14:paraId="666BBCF3" w14:textId="312BC797" w:rsidR="00F27EF9" w:rsidRDefault="00F27EF9" w:rsidP="00E006A3">
      <w:pPr>
        <w:spacing w:before="120" w:after="120" w:line="276" w:lineRule="auto"/>
        <w:rPr>
          <w:rFonts w:ascii="Arial" w:hAnsi="Arial" w:cs="Arial"/>
        </w:rPr>
      </w:pPr>
      <w:r w:rsidRPr="00D53D6D">
        <w:rPr>
          <w:rFonts w:ascii="Arial" w:hAnsi="Arial" w:cs="Arial"/>
        </w:rPr>
        <w:t>Ensuring that environmental health issues are effectively managed is dependent on the assessment of the evidence and the provision of clear advice.  Environmental health practitioners, other agencies, industry and the community rely on up-to-date advice to support their efforts in controlling risks and enHealth plays an important role in the provision of guidelines on particular environmental hazards.</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B. Nationally consistent evidence base for risk assessment, management and communication of significant environmental health issues of concern to the community."/>
        <w:tblDescription w:val="This table outlines actions to achieve key focus area B. Nationally consistent evidence base for risk assessment, management and communication of significant environmental health issues of concern to the community."/>
      </w:tblPr>
      <w:tblGrid>
        <w:gridCol w:w="10188"/>
      </w:tblGrid>
      <w:tr w:rsidR="004D3CB5" w14:paraId="5E67A3C5"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4B783A76" w14:textId="6835DFF0" w:rsidR="004D3CB5" w:rsidRDefault="004D3CB5" w:rsidP="007A7DD3">
            <w:pPr>
              <w:spacing w:before="120" w:after="120" w:line="300" w:lineRule="exact"/>
              <w:rPr>
                <w:rFonts w:ascii="Arial" w:eastAsia="Batang" w:hAnsi="Arial" w:cs="Arial"/>
              </w:rPr>
            </w:pPr>
            <w:r>
              <w:rPr>
                <w:rFonts w:ascii="Arial" w:eastAsia="Batang" w:hAnsi="Arial" w:cs="Arial"/>
              </w:rPr>
              <w:t xml:space="preserve">B. </w:t>
            </w:r>
            <w:r w:rsidRPr="004D3CB5">
              <w:rPr>
                <w:rFonts w:ascii="Arial" w:eastAsia="Batang" w:hAnsi="Arial" w:cs="Arial"/>
              </w:rPr>
              <w:t>Nationally consistent evidence base for risk assessment, communication and management of significant environmental health issues of concern to the community.</w:t>
            </w:r>
          </w:p>
        </w:tc>
      </w:tr>
      <w:tr w:rsidR="004D3CB5" w14:paraId="07B7B2C3"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4902B3C7" w14:textId="27077DC1" w:rsidR="004D3CB5" w:rsidRPr="00E006A3" w:rsidRDefault="00B7076D" w:rsidP="007A7DD3">
            <w:pPr>
              <w:spacing w:before="120" w:after="120" w:line="300" w:lineRule="exact"/>
              <w:rPr>
                <w:rFonts w:ascii="Arial" w:eastAsia="Batang" w:hAnsi="Arial" w:cs="Arial"/>
                <w:b w:val="0"/>
              </w:rPr>
            </w:pPr>
            <w:r w:rsidRPr="00CC5B30">
              <w:rPr>
                <w:rFonts w:ascii="Arial" w:eastAsia="Batang" w:hAnsi="Arial" w:cs="Arial"/>
              </w:rPr>
              <w:t>B.1</w:t>
            </w:r>
            <w:r w:rsidRPr="00B7076D">
              <w:rPr>
                <w:rFonts w:ascii="Arial" w:eastAsia="Batang" w:hAnsi="Arial" w:cs="Arial"/>
              </w:rPr>
              <w:t xml:space="preserve"> </w:t>
            </w:r>
            <w:r w:rsidRPr="00B7076D">
              <w:rPr>
                <w:rFonts w:ascii="Arial" w:eastAsia="Batang" w:hAnsi="Arial" w:cs="Arial"/>
                <w:b w:val="0"/>
              </w:rPr>
              <w:t>Develop and maintain a suite of practical and evidence-based guidelines to support nationally consistent risk assessment, communication and management of common and significant environmental health issues of concern.</w:t>
            </w:r>
          </w:p>
        </w:tc>
      </w:tr>
      <w:tr w:rsidR="004D3CB5" w14:paraId="2D4E3B1E"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2D5191AC" w14:textId="7B662B13"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B.2 </w:t>
            </w:r>
            <w:r w:rsidRPr="00B7076D">
              <w:rPr>
                <w:rFonts w:ascii="Arial" w:eastAsia="Batang" w:hAnsi="Arial" w:cs="Arial"/>
                <w:b w:val="0"/>
              </w:rPr>
              <w:t>Regular review of enHealth publications to ensure an up-to-date and relevant evidence base</w:t>
            </w:r>
            <w:r>
              <w:rPr>
                <w:rFonts w:ascii="Arial" w:eastAsia="Batang" w:hAnsi="Arial" w:cs="Arial"/>
                <w:b w:val="0"/>
              </w:rPr>
              <w:t>.</w:t>
            </w:r>
          </w:p>
        </w:tc>
      </w:tr>
    </w:tbl>
    <w:p w14:paraId="2B6F9B28" w14:textId="16FA91AA" w:rsidR="00F27EF9" w:rsidRPr="00FB55DB" w:rsidRDefault="0007278E" w:rsidP="003949E9">
      <w:pPr>
        <w:keepNext/>
        <w:tabs>
          <w:tab w:val="left" w:pos="851"/>
        </w:tabs>
        <w:spacing w:before="120" w:after="120"/>
        <w:outlineLvl w:val="1"/>
        <w:rPr>
          <w:rFonts w:ascii="Arial" w:eastAsia="Batang" w:hAnsi="Arial" w:cs="Arial"/>
          <w:b/>
          <w:bCs/>
          <w:iCs/>
          <w:color w:val="365F91"/>
        </w:rPr>
      </w:pPr>
      <w:bookmarkStart w:id="270" w:name="_Toc530733207"/>
      <w:bookmarkStart w:id="271" w:name="_Toc58502809"/>
      <w:r>
        <w:rPr>
          <w:rFonts w:ascii="Arial" w:hAnsi="Arial" w:cs="Arial"/>
          <w:b/>
          <w:bCs/>
          <w:iCs/>
          <w:color w:val="9BBB59" w:themeColor="accent3"/>
          <w:szCs w:val="22"/>
        </w:rPr>
        <w:t>C.</w:t>
      </w:r>
      <w:r w:rsidR="00F27EF9" w:rsidRPr="003949E9">
        <w:rPr>
          <w:rFonts w:ascii="Arial" w:hAnsi="Arial" w:cs="Arial"/>
          <w:b/>
          <w:bCs/>
          <w:iCs/>
          <w:color w:val="9BBB59" w:themeColor="accent3"/>
          <w:szCs w:val="22"/>
        </w:rPr>
        <w:t xml:space="preserve"> </w:t>
      </w:r>
      <w:bookmarkEnd w:id="270"/>
      <w:r w:rsidR="00156B37">
        <w:rPr>
          <w:rFonts w:ascii="Arial" w:hAnsi="Arial" w:cs="Arial"/>
          <w:b/>
          <w:bCs/>
          <w:iCs/>
          <w:color w:val="9BBB59" w:themeColor="accent3"/>
          <w:szCs w:val="22"/>
        </w:rPr>
        <w:t>Provision of n</w:t>
      </w:r>
      <w:r w:rsidR="00F27EF9" w:rsidRPr="003949E9">
        <w:rPr>
          <w:rFonts w:ascii="Arial" w:hAnsi="Arial" w:cs="Arial"/>
          <w:b/>
          <w:bCs/>
          <w:iCs/>
          <w:color w:val="9BBB59" w:themeColor="accent3"/>
          <w:szCs w:val="22"/>
        </w:rPr>
        <w:t>ational science policy and practice frameworks for environmental health.</w:t>
      </w:r>
      <w:bookmarkEnd w:id="271"/>
    </w:p>
    <w:p w14:paraId="5BD98C7A" w14:textId="627300A1" w:rsidR="00F27EF9" w:rsidRPr="00D53D6D" w:rsidRDefault="00F27EF9" w:rsidP="00E006A3">
      <w:pPr>
        <w:spacing w:before="120" w:after="120" w:line="276" w:lineRule="auto"/>
        <w:rPr>
          <w:rFonts w:ascii="Arial" w:hAnsi="Arial" w:cs="Arial"/>
        </w:rPr>
      </w:pPr>
      <w:r w:rsidRPr="00D53D6D">
        <w:rPr>
          <w:rFonts w:ascii="Arial" w:hAnsi="Arial" w:cs="Arial"/>
        </w:rPr>
        <w:t>One of the most critical issues faced by health agencies in their role of provision of advice to the community and stakeholders on the health risk</w:t>
      </w:r>
      <w:r w:rsidR="00156B37">
        <w:rPr>
          <w:rFonts w:ascii="Arial" w:hAnsi="Arial" w:cs="Arial"/>
        </w:rPr>
        <w:t>s</w:t>
      </w:r>
      <w:r w:rsidRPr="00D53D6D">
        <w:rPr>
          <w:rFonts w:ascii="Arial" w:hAnsi="Arial" w:cs="Arial"/>
        </w:rPr>
        <w:t xml:space="preserve"> associated with particular environmental hazards is determining how to assess </w:t>
      </w:r>
      <w:r w:rsidR="00156B37">
        <w:rPr>
          <w:rFonts w:ascii="Arial" w:hAnsi="Arial" w:cs="Arial"/>
        </w:rPr>
        <w:t xml:space="preserve">the </w:t>
      </w:r>
      <w:r w:rsidRPr="00D53D6D">
        <w:rPr>
          <w:rFonts w:ascii="Arial" w:hAnsi="Arial" w:cs="Arial"/>
        </w:rPr>
        <w:t>evidence. Risk assessors in government, and in the private sector require guidance on what are appropriate assumptions to make to take into account Australian conditions.</w:t>
      </w:r>
    </w:p>
    <w:p w14:paraId="77DD3C25" w14:textId="77777777" w:rsidR="00B7076D" w:rsidRDefault="00F27EF9" w:rsidP="00E006A3">
      <w:pPr>
        <w:spacing w:before="120" w:after="120" w:line="276" w:lineRule="auto"/>
        <w:rPr>
          <w:rFonts w:ascii="Arial" w:hAnsi="Arial" w:cs="Arial"/>
        </w:rPr>
      </w:pPr>
      <w:proofErr w:type="spellStart"/>
      <w:r w:rsidRPr="00D53D6D">
        <w:rPr>
          <w:rFonts w:ascii="Arial" w:hAnsi="Arial" w:cs="Arial"/>
        </w:rPr>
        <w:t>enHealth’s</w:t>
      </w:r>
      <w:proofErr w:type="spellEnd"/>
      <w:r w:rsidRPr="00D53D6D">
        <w:rPr>
          <w:rFonts w:ascii="Arial" w:hAnsi="Arial" w:cs="Arial"/>
        </w:rPr>
        <w:t xml:space="preserve"> </w:t>
      </w:r>
      <w:r w:rsidR="00156B37" w:rsidRPr="003949E9">
        <w:rPr>
          <w:rFonts w:ascii="Arial" w:hAnsi="Arial" w:cs="Arial"/>
          <w:i/>
        </w:rPr>
        <w:t>Environmental</w:t>
      </w:r>
      <w:r w:rsidR="00156B37">
        <w:rPr>
          <w:rFonts w:ascii="Arial" w:hAnsi="Arial" w:cs="Arial"/>
        </w:rPr>
        <w:t xml:space="preserve"> </w:t>
      </w:r>
      <w:r w:rsidRPr="00D53D6D">
        <w:rPr>
          <w:rFonts w:ascii="Arial" w:hAnsi="Arial" w:cs="Arial"/>
          <w:i/>
        </w:rPr>
        <w:t>Health Risk Assessment Guidelines</w:t>
      </w:r>
      <w:r w:rsidRPr="00D53D6D">
        <w:rPr>
          <w:rFonts w:ascii="Arial" w:hAnsi="Arial" w:cs="Arial"/>
        </w:rPr>
        <w:t xml:space="preserve"> is the cornerstone framework for this work in Australia and is widely used and cited across government agencies and by industry and the community. enHealth supports these guidelines through the maintenance of a range of documents to support risk assessment practice</w:t>
      </w:r>
      <w:r w:rsidR="00156B37">
        <w:rPr>
          <w:rFonts w:ascii="Arial" w:hAnsi="Arial" w:cs="Arial"/>
        </w:rPr>
        <w:t xml:space="preserve">, including the </w:t>
      </w:r>
      <w:r w:rsidR="00156B37" w:rsidRPr="003949E9">
        <w:rPr>
          <w:rFonts w:ascii="Arial" w:hAnsi="Arial" w:cs="Arial"/>
          <w:i/>
        </w:rPr>
        <w:t>Health Impact Assessment Guidelines</w:t>
      </w:r>
      <w:r w:rsidR="000543B3">
        <w:rPr>
          <w:rFonts w:ascii="Arial" w:hAnsi="Arial" w:cs="Arial"/>
        </w:rPr>
        <w:t xml:space="preserve"> and </w:t>
      </w:r>
      <w:r w:rsidR="000543B3" w:rsidRPr="003949E9">
        <w:rPr>
          <w:rFonts w:ascii="Arial" w:hAnsi="Arial" w:cs="Arial"/>
          <w:i/>
        </w:rPr>
        <w:t>Australian Exposure Factor Guide</w:t>
      </w:r>
      <w:r w:rsidR="000543B3">
        <w:rPr>
          <w:rFonts w:ascii="Arial" w:hAnsi="Arial" w:cs="Arial"/>
        </w:rPr>
        <w:t xml:space="preserve">. </w:t>
      </w:r>
    </w:p>
    <w:p w14:paraId="43EF1324" w14:textId="6B60B3C3" w:rsidR="00F27EF9" w:rsidRDefault="000543B3" w:rsidP="00E006A3">
      <w:pPr>
        <w:spacing w:before="120" w:after="120" w:line="276" w:lineRule="auto"/>
        <w:rPr>
          <w:rFonts w:ascii="Arial" w:hAnsi="Arial" w:cs="Arial"/>
        </w:rPr>
      </w:pPr>
      <w:r>
        <w:rPr>
          <w:rFonts w:ascii="Arial" w:hAnsi="Arial" w:cs="Arial"/>
        </w:rPr>
        <w:t>Effective management of community engagement and risk communication is also supported through the development of related and relevant policy and practice frameworks.</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C. Provision of national science policy and practice frameworks for environmental health."/>
        <w:tblDescription w:val="This table outlines actions to achieve key focus area C. Provision of national science policy and practice frameworks for environmental health."/>
      </w:tblPr>
      <w:tblGrid>
        <w:gridCol w:w="10188"/>
      </w:tblGrid>
      <w:tr w:rsidR="004D3CB5" w14:paraId="2663A59E"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6CC39623" w14:textId="510EBCF5" w:rsidR="004D3CB5" w:rsidRDefault="004D3CB5" w:rsidP="007A7DD3">
            <w:pPr>
              <w:spacing w:before="120" w:after="120" w:line="300" w:lineRule="exact"/>
              <w:rPr>
                <w:rFonts w:ascii="Arial" w:eastAsia="Batang" w:hAnsi="Arial" w:cs="Arial"/>
              </w:rPr>
            </w:pPr>
            <w:r>
              <w:rPr>
                <w:rFonts w:ascii="Arial" w:eastAsia="Batang" w:hAnsi="Arial" w:cs="Arial"/>
              </w:rPr>
              <w:t xml:space="preserve">C. </w:t>
            </w:r>
            <w:r w:rsidRPr="004D3CB5">
              <w:rPr>
                <w:rFonts w:ascii="Arial" w:eastAsia="Batang" w:hAnsi="Arial" w:cs="Arial"/>
              </w:rPr>
              <w:t>Provision of national science policy and practice frameworks for environmental health.</w:t>
            </w:r>
          </w:p>
        </w:tc>
      </w:tr>
      <w:tr w:rsidR="004D3CB5" w14:paraId="2F67BC64"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57D55D43" w14:textId="1E4DA1A7"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C.1 </w:t>
            </w:r>
            <w:r w:rsidRPr="00B7076D">
              <w:rPr>
                <w:rFonts w:ascii="Arial" w:eastAsia="Batang" w:hAnsi="Arial" w:cs="Arial"/>
                <w:b w:val="0"/>
              </w:rPr>
              <w:t>Promote valid and consistent environmental health decision making on novel risks</w:t>
            </w:r>
            <w:r>
              <w:rPr>
                <w:rFonts w:ascii="Arial" w:eastAsia="Batang" w:hAnsi="Arial" w:cs="Arial"/>
                <w:b w:val="0"/>
              </w:rPr>
              <w:t>.</w:t>
            </w:r>
          </w:p>
        </w:tc>
      </w:tr>
      <w:tr w:rsidR="004D3CB5" w14:paraId="263E73CC"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39B31521" w14:textId="503232AF"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lastRenderedPageBreak/>
              <w:t xml:space="preserve">C.2 </w:t>
            </w:r>
            <w:r w:rsidRPr="00B7076D">
              <w:rPr>
                <w:rFonts w:ascii="Arial" w:eastAsia="Batang" w:hAnsi="Arial" w:cs="Arial"/>
                <w:b w:val="0"/>
              </w:rPr>
              <w:t>Support effective management of community engagement and risk communication due to environmental health incidents, issues and community concerns.</w:t>
            </w:r>
          </w:p>
        </w:tc>
      </w:tr>
    </w:tbl>
    <w:p w14:paraId="731B49A4" w14:textId="5142D0F3" w:rsidR="00F27EF9" w:rsidRPr="003949E9" w:rsidRDefault="00ED2C4C" w:rsidP="00A27736">
      <w:pPr>
        <w:keepNext/>
        <w:tabs>
          <w:tab w:val="left" w:pos="851"/>
        </w:tabs>
        <w:spacing w:before="120" w:after="120"/>
        <w:outlineLvl w:val="1"/>
        <w:rPr>
          <w:rFonts w:ascii="Arial" w:hAnsi="Arial" w:cs="Arial"/>
          <w:b/>
          <w:bCs/>
          <w:iCs/>
          <w:color w:val="9BBB59" w:themeColor="accent3"/>
          <w:szCs w:val="22"/>
        </w:rPr>
      </w:pPr>
      <w:bookmarkStart w:id="272" w:name="_Toc530733208"/>
      <w:bookmarkStart w:id="273" w:name="_Toc58502810"/>
      <w:r>
        <w:rPr>
          <w:rFonts w:ascii="Arial" w:hAnsi="Arial" w:cs="Arial"/>
          <w:b/>
          <w:bCs/>
          <w:iCs/>
          <w:color w:val="9BBB59" w:themeColor="accent3"/>
          <w:szCs w:val="22"/>
        </w:rPr>
        <w:t>D.</w:t>
      </w:r>
      <w:r w:rsidR="00F27EF9" w:rsidRPr="003949E9">
        <w:rPr>
          <w:rFonts w:ascii="Arial" w:hAnsi="Arial" w:cs="Arial"/>
          <w:b/>
          <w:bCs/>
          <w:iCs/>
          <w:color w:val="9BBB59" w:themeColor="accent3"/>
          <w:szCs w:val="22"/>
        </w:rPr>
        <w:t xml:space="preserve"> </w:t>
      </w:r>
      <w:bookmarkEnd w:id="272"/>
      <w:r w:rsidR="00F27EF9" w:rsidRPr="003949E9">
        <w:rPr>
          <w:rFonts w:ascii="Arial" w:hAnsi="Arial" w:cs="Arial"/>
          <w:b/>
          <w:bCs/>
          <w:iCs/>
          <w:color w:val="9BBB59" w:themeColor="accent3"/>
          <w:szCs w:val="22"/>
        </w:rPr>
        <w:t>Sufficient and appropriately skilled workforce to address environmental health challenges.</w:t>
      </w:r>
      <w:bookmarkEnd w:id="273"/>
    </w:p>
    <w:p w14:paraId="78E5079E" w14:textId="13658D8E" w:rsidR="00F27EF9" w:rsidRPr="00D53D6D" w:rsidRDefault="00F27EF9" w:rsidP="00F27EF9">
      <w:pPr>
        <w:rPr>
          <w:rFonts w:ascii="Arial" w:hAnsi="Arial" w:cs="Arial"/>
        </w:rPr>
      </w:pPr>
      <w:r w:rsidRPr="00D53D6D">
        <w:rPr>
          <w:rFonts w:ascii="Arial" w:eastAsia="Batang" w:hAnsi="Arial" w:cs="Arial"/>
        </w:rPr>
        <w:t xml:space="preserve">The current environment is characterised by </w:t>
      </w:r>
      <w:r w:rsidRPr="00D53D6D">
        <w:rPr>
          <w:rFonts w:ascii="Arial" w:hAnsi="Arial" w:cs="Arial"/>
        </w:rPr>
        <w:t>rapidly increasing pressures on the environmental health workforce and ongoing constraints on the education sector to deliver the skills and knowledge required to effectively manage contemporary and emerging environmental health issues. This particularly applies across the environmental health workforce spectrum, especially to the availability of Environmental Health Officers in local government authorities servicing rural and remote settings</w:t>
      </w:r>
      <w:r w:rsidR="009C3D8A">
        <w:rPr>
          <w:rFonts w:ascii="Arial" w:hAnsi="Arial" w:cs="Arial"/>
        </w:rPr>
        <w:t>, regulatory scientists</w:t>
      </w:r>
      <w:r w:rsidRPr="00D53D6D">
        <w:rPr>
          <w:rFonts w:ascii="Arial" w:hAnsi="Arial" w:cs="Arial"/>
        </w:rPr>
        <w:t xml:space="preserve"> and high end epidemiological and toxicological expertise within parts of the environmental health sector.</w:t>
      </w:r>
    </w:p>
    <w:p w14:paraId="05624019" w14:textId="1C26EBF3" w:rsidR="00F27EF9" w:rsidRDefault="00F27EF9" w:rsidP="00F27EF9">
      <w:pPr>
        <w:rPr>
          <w:rFonts w:ascii="Arial" w:eastAsia="Batang" w:hAnsi="Arial" w:cs="Arial"/>
        </w:rPr>
      </w:pPr>
      <w:r w:rsidRPr="00D53D6D">
        <w:rPr>
          <w:rFonts w:ascii="Arial" w:eastAsia="Batang" w:hAnsi="Arial" w:cs="Arial"/>
        </w:rPr>
        <w:t xml:space="preserve">While enHealth has limited direct control in this focus area, its strategic priorities are focussed on targeting and influencing outcomes across education, industry and professional sectors that influence the environmental health workforce. Key considerations involve both capacity and capability leading to a better skilled workforce across environmental health. These considerations shape the strategies </w:t>
      </w:r>
      <w:r w:rsidR="00ED2C4C">
        <w:rPr>
          <w:rFonts w:ascii="Arial" w:eastAsia="Batang" w:hAnsi="Arial" w:cs="Arial"/>
        </w:rPr>
        <w:t>below</w:t>
      </w:r>
      <w:r w:rsidRPr="00D53D6D">
        <w:rPr>
          <w:rFonts w:ascii="Arial" w:eastAsia="Batang" w:hAnsi="Arial" w:cs="Arial"/>
        </w:rPr>
        <w:t xml:space="preserve">. </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D. Sufficient and appropriately skilled workforce to address environmental health challenges."/>
        <w:tblDescription w:val="This table outlines actions to achieve key focus area D. Sufficient and appropriately skilled workforce to address environmental health challenges."/>
      </w:tblPr>
      <w:tblGrid>
        <w:gridCol w:w="10188"/>
      </w:tblGrid>
      <w:tr w:rsidR="004D3CB5" w14:paraId="0B8C11C0"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5A5BB719" w14:textId="54F490A0" w:rsidR="004D3CB5" w:rsidRDefault="004D3CB5" w:rsidP="007A7DD3">
            <w:pPr>
              <w:spacing w:before="120" w:after="120" w:line="300" w:lineRule="exact"/>
              <w:rPr>
                <w:rFonts w:ascii="Arial" w:eastAsia="Batang" w:hAnsi="Arial" w:cs="Arial"/>
              </w:rPr>
            </w:pPr>
            <w:r>
              <w:rPr>
                <w:rFonts w:ascii="Arial" w:eastAsia="Batang" w:hAnsi="Arial" w:cs="Arial"/>
              </w:rPr>
              <w:t xml:space="preserve">D. </w:t>
            </w:r>
            <w:r w:rsidRPr="004D3CB5">
              <w:rPr>
                <w:rFonts w:ascii="Arial" w:eastAsia="Batang" w:hAnsi="Arial" w:cs="Arial"/>
              </w:rPr>
              <w:t>Sufficient and appropriately skilled workforce to address environmental health challenges.</w:t>
            </w:r>
          </w:p>
        </w:tc>
      </w:tr>
      <w:tr w:rsidR="004D3CB5" w14:paraId="4C9F6E57"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1791BA29" w14:textId="40ABC103"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D.1 </w:t>
            </w:r>
            <w:r w:rsidRPr="00B7076D">
              <w:rPr>
                <w:rFonts w:ascii="Arial" w:eastAsia="Batang" w:hAnsi="Arial" w:cs="Arial"/>
                <w:b w:val="0"/>
              </w:rPr>
              <w:t>Protect the health of the Australian community by building the capacity of a sufficient and appropriately skilled environmental health workforce.</w:t>
            </w:r>
          </w:p>
        </w:tc>
      </w:tr>
      <w:tr w:rsidR="004D3CB5" w14:paraId="3CFC20AB"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1B58E955" w14:textId="5775A178"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D.2 </w:t>
            </w:r>
            <w:r w:rsidRPr="00B7076D">
              <w:rPr>
                <w:rFonts w:ascii="Arial" w:eastAsia="Batang" w:hAnsi="Arial" w:cs="Arial"/>
                <w:b w:val="0"/>
              </w:rPr>
              <w:t>Support the effective deployment of environmental health technical capacity across Australia to protect the health of the community.</w:t>
            </w:r>
          </w:p>
        </w:tc>
      </w:tr>
    </w:tbl>
    <w:p w14:paraId="19A66D94" w14:textId="0E8AD57E" w:rsidR="00F27EF9" w:rsidRPr="003949E9" w:rsidRDefault="00222FB3" w:rsidP="00F27EF9">
      <w:pPr>
        <w:keepNext/>
        <w:tabs>
          <w:tab w:val="left" w:pos="851"/>
        </w:tabs>
        <w:spacing w:before="120" w:after="120"/>
        <w:outlineLvl w:val="1"/>
        <w:rPr>
          <w:rFonts w:ascii="Arial" w:hAnsi="Arial" w:cs="Arial"/>
          <w:b/>
          <w:bCs/>
          <w:iCs/>
          <w:color w:val="9BBB59" w:themeColor="accent3"/>
          <w:szCs w:val="22"/>
        </w:rPr>
      </w:pPr>
      <w:bookmarkStart w:id="274" w:name="_Toc530733209"/>
      <w:bookmarkStart w:id="275" w:name="_Toc58502811"/>
      <w:r>
        <w:rPr>
          <w:rFonts w:ascii="Arial" w:hAnsi="Arial" w:cs="Arial"/>
          <w:b/>
          <w:bCs/>
          <w:iCs/>
          <w:color w:val="9BBB59" w:themeColor="accent3"/>
          <w:szCs w:val="22"/>
        </w:rPr>
        <w:t>E.</w:t>
      </w:r>
      <w:r w:rsidR="00F27EF9" w:rsidRPr="003949E9">
        <w:rPr>
          <w:rFonts w:ascii="Arial" w:hAnsi="Arial" w:cs="Arial"/>
          <w:b/>
          <w:bCs/>
          <w:iCs/>
          <w:color w:val="9BBB59" w:themeColor="accent3"/>
          <w:szCs w:val="22"/>
        </w:rPr>
        <w:t xml:space="preserve"> Promot</w:t>
      </w:r>
      <w:r w:rsidR="00A104B8">
        <w:rPr>
          <w:rFonts w:ascii="Arial" w:hAnsi="Arial" w:cs="Arial"/>
          <w:b/>
          <w:bCs/>
          <w:iCs/>
          <w:color w:val="9BBB59" w:themeColor="accent3"/>
          <w:szCs w:val="22"/>
        </w:rPr>
        <w:t>ing</w:t>
      </w:r>
      <w:r w:rsidR="00F27EF9" w:rsidRPr="003949E9">
        <w:rPr>
          <w:rFonts w:ascii="Arial" w:hAnsi="Arial" w:cs="Arial"/>
          <w:b/>
          <w:bCs/>
          <w:iCs/>
          <w:color w:val="9BBB59" w:themeColor="accent3"/>
          <w:szCs w:val="22"/>
        </w:rPr>
        <w:t xml:space="preserve"> </w:t>
      </w:r>
      <w:r w:rsidR="00A104B8">
        <w:rPr>
          <w:rFonts w:ascii="Arial" w:hAnsi="Arial" w:cs="Arial"/>
          <w:b/>
          <w:bCs/>
          <w:iCs/>
          <w:color w:val="9BBB59" w:themeColor="accent3"/>
          <w:szCs w:val="22"/>
        </w:rPr>
        <w:t xml:space="preserve">improved environmental health conditions and outcomes for </w:t>
      </w:r>
      <w:r w:rsidR="00F27EF9" w:rsidRPr="003949E9">
        <w:rPr>
          <w:rFonts w:ascii="Arial" w:hAnsi="Arial" w:cs="Arial"/>
          <w:b/>
          <w:bCs/>
          <w:iCs/>
          <w:color w:val="9BBB59" w:themeColor="accent3"/>
          <w:szCs w:val="22"/>
        </w:rPr>
        <w:t xml:space="preserve">Aboriginal and Torres Strait Islander </w:t>
      </w:r>
      <w:r w:rsidR="00A104B8">
        <w:rPr>
          <w:rFonts w:ascii="Arial" w:hAnsi="Arial" w:cs="Arial"/>
          <w:b/>
          <w:bCs/>
          <w:iCs/>
          <w:color w:val="9BBB59" w:themeColor="accent3"/>
          <w:szCs w:val="22"/>
        </w:rPr>
        <w:t>communities</w:t>
      </w:r>
      <w:bookmarkEnd w:id="274"/>
      <w:bookmarkEnd w:id="275"/>
      <w:r w:rsidR="00F27EF9" w:rsidRPr="003949E9">
        <w:rPr>
          <w:rFonts w:ascii="Arial" w:hAnsi="Arial" w:cs="Arial"/>
          <w:b/>
          <w:bCs/>
          <w:iCs/>
          <w:color w:val="9BBB59" w:themeColor="accent3"/>
          <w:szCs w:val="22"/>
        </w:rPr>
        <w:t xml:space="preserve"> </w:t>
      </w:r>
    </w:p>
    <w:p w14:paraId="20C68B7A" w14:textId="77777777" w:rsidR="00F27EF9" w:rsidRPr="00D53D6D" w:rsidRDefault="00F27EF9" w:rsidP="00F27EF9">
      <w:pPr>
        <w:spacing w:before="120" w:after="120" w:line="300" w:lineRule="exact"/>
        <w:rPr>
          <w:rFonts w:ascii="Arial" w:eastAsia="Batang" w:hAnsi="Arial" w:cs="Arial"/>
        </w:rPr>
      </w:pPr>
      <w:r w:rsidRPr="00D53D6D">
        <w:rPr>
          <w:rFonts w:ascii="Arial" w:eastAsia="Batang" w:hAnsi="Arial" w:cs="Arial"/>
        </w:rPr>
        <w:t xml:space="preserve">The contribution of environmental health to closing the gap in health status between Aboriginal and Torres Strait Islander people is best expressed in the following policy principles endorsed by Health Ministers in 2010:  </w:t>
      </w:r>
    </w:p>
    <w:p w14:paraId="7BE19072"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Good environmental health conditions are an essential requirement for maintaining and improving the health of Aboriginal and Torres Strait Islander communities.</w:t>
      </w:r>
    </w:p>
    <w:p w14:paraId="176F7069"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Policy and services development and implementation for Aboriginal and Torres Strait Islander Environmental Health must involve cross portfolio consultation and engagement, where appropriate, acknowledging that environmental health outcomes require co-ordinated input and support from many areas.</w:t>
      </w:r>
    </w:p>
    <w:p w14:paraId="29381D86"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Each Aboriginal and Torres Strait Islander community should benefit from the services of an Aboriginal and Torres Strait Islander environmental health program.</w:t>
      </w:r>
    </w:p>
    <w:p w14:paraId="68D16C0D"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The employment of trained Indigenous environmental health practitioners, or access to an equivalent appropriate and skilled environmental health program, is the minimum essential prerequisite for communities to effectively manage their own environmental health conditions and to comply with their public health responsibilities.</w:t>
      </w:r>
    </w:p>
    <w:p w14:paraId="452B2EC6"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Indigenous environmental health practitioners should be adequately resourced and supported, and recompensed commensurate with their skills and experience.</w:t>
      </w:r>
    </w:p>
    <w:p w14:paraId="24AE4C08" w14:textId="77777777" w:rsidR="00F27EF9" w:rsidRPr="00D53D6D" w:rsidRDefault="00F27EF9" w:rsidP="00F27EF9">
      <w:pPr>
        <w:numPr>
          <w:ilvl w:val="0"/>
          <w:numId w:val="113"/>
        </w:numPr>
        <w:tabs>
          <w:tab w:val="left" w:pos="1276"/>
        </w:tabs>
        <w:spacing w:before="120" w:after="120" w:line="300" w:lineRule="exact"/>
        <w:ind w:left="284" w:hanging="284"/>
        <w:rPr>
          <w:rFonts w:ascii="Arial" w:hAnsi="Arial" w:cs="Arial"/>
          <w:lang w:eastAsia="en-AU"/>
        </w:rPr>
      </w:pPr>
      <w:r w:rsidRPr="00D53D6D">
        <w:rPr>
          <w:rFonts w:ascii="Arial" w:hAnsi="Arial" w:cs="Arial"/>
          <w:lang w:eastAsia="en-AU"/>
        </w:rPr>
        <w:t>Training for Indigenous environmental health practitioners should be provided at a level consistent with the national Population Health Qualifications and competency standards including Indigenous Environmental Health qualifications and competencies.</w:t>
      </w:r>
    </w:p>
    <w:p w14:paraId="4DA78A2D" w14:textId="2A11403E" w:rsidR="00F27EF9" w:rsidRDefault="00F27EF9" w:rsidP="00F27EF9">
      <w:pPr>
        <w:spacing w:before="120" w:after="120" w:line="300" w:lineRule="exact"/>
        <w:rPr>
          <w:rFonts w:ascii="Arial" w:eastAsia="Batang" w:hAnsi="Arial" w:cs="Arial"/>
        </w:rPr>
      </w:pPr>
      <w:proofErr w:type="spellStart"/>
      <w:r w:rsidRPr="00D53D6D">
        <w:rPr>
          <w:rFonts w:ascii="Arial" w:eastAsia="Batang" w:hAnsi="Arial" w:cs="Arial"/>
        </w:rPr>
        <w:lastRenderedPageBreak/>
        <w:t>enHealth’s</w:t>
      </w:r>
      <w:proofErr w:type="spellEnd"/>
      <w:r w:rsidRPr="00D53D6D">
        <w:rPr>
          <w:rFonts w:ascii="Arial" w:eastAsia="Batang" w:hAnsi="Arial" w:cs="Arial"/>
        </w:rPr>
        <w:t xml:space="preserve"> focus is on supporting the indigenous environmental health workforce and intelligence</w:t>
      </w:r>
      <w:r w:rsidR="00A104B8">
        <w:rPr>
          <w:rFonts w:ascii="Arial" w:eastAsia="Batang" w:hAnsi="Arial" w:cs="Arial"/>
        </w:rPr>
        <w:t xml:space="preserve"> gathering</w:t>
      </w:r>
      <w:r w:rsidRPr="00D53D6D">
        <w:rPr>
          <w:rFonts w:ascii="Arial" w:eastAsia="Batang" w:hAnsi="Arial" w:cs="Arial"/>
        </w:rPr>
        <w:t>. Health agencies’ collection of data using the Healthy Communities Assessment Tool (HCAT) uniquely places them as a reliable source of information on environmental health risks challenging Aboriginal and Torres Strait Island communities.</w:t>
      </w:r>
      <w:r w:rsidR="008C220E">
        <w:rPr>
          <w:rFonts w:ascii="Arial" w:eastAsia="Batang" w:hAnsi="Arial" w:cs="Arial"/>
        </w:rPr>
        <w:t xml:space="preserve"> Refer also to the </w:t>
      </w:r>
      <w:r w:rsidR="008C220E" w:rsidRPr="003949E9">
        <w:rPr>
          <w:rFonts w:ascii="Arial" w:eastAsia="Batang" w:hAnsi="Arial" w:cs="Arial"/>
          <w:i/>
        </w:rPr>
        <w:t>ERPATSIEH Action Plan 2019-2023</w:t>
      </w:r>
      <w:r w:rsidR="008C220E">
        <w:rPr>
          <w:rFonts w:ascii="Arial" w:eastAsia="Batang" w:hAnsi="Arial" w:cs="Arial"/>
        </w:rPr>
        <w:t>.</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E. Promoting improved environmental health conditions and outcomes for Aboriginal and Torres Strait Islander communities "/>
        <w:tblDescription w:val="This table outlines actions to achieve key focus area E. Promoting improved environmental health conditions and outcomes for Aboriginal and Torres Strait Islander communities."/>
      </w:tblPr>
      <w:tblGrid>
        <w:gridCol w:w="10188"/>
      </w:tblGrid>
      <w:tr w:rsidR="004D3CB5" w14:paraId="1DC33A82"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4E6542DF" w14:textId="2C907E9A" w:rsidR="004D3CB5" w:rsidRDefault="004D3CB5" w:rsidP="004D4638">
            <w:pPr>
              <w:spacing w:before="120" w:after="120" w:line="300" w:lineRule="exact"/>
              <w:rPr>
                <w:rFonts w:ascii="Arial" w:eastAsia="Batang" w:hAnsi="Arial" w:cs="Arial"/>
              </w:rPr>
            </w:pPr>
            <w:r>
              <w:rPr>
                <w:rFonts w:ascii="Arial" w:eastAsia="Batang" w:hAnsi="Arial" w:cs="Arial"/>
              </w:rPr>
              <w:t xml:space="preserve">E. </w:t>
            </w:r>
            <w:r w:rsidRPr="004D3CB5">
              <w:rPr>
                <w:rFonts w:ascii="Arial" w:eastAsia="Batang" w:hAnsi="Arial" w:cs="Arial"/>
              </w:rPr>
              <w:t>Promoting improved environmental health conditions and outcomes for Aboriginal and Torres Strait Islander communities</w:t>
            </w:r>
            <w:r w:rsidR="00B7076D">
              <w:rPr>
                <w:rFonts w:ascii="Arial" w:eastAsia="Batang" w:hAnsi="Arial" w:cs="Arial"/>
              </w:rPr>
              <w:t>.</w:t>
            </w:r>
          </w:p>
        </w:tc>
      </w:tr>
      <w:tr w:rsidR="004D3CB5" w14:paraId="0439DA62"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65A84A5E" w14:textId="24B9D1E8" w:rsidR="004D3CB5" w:rsidRPr="00E006A3" w:rsidRDefault="00B7076D" w:rsidP="004D4638">
            <w:pPr>
              <w:spacing w:before="120" w:after="120" w:line="300" w:lineRule="exact"/>
              <w:rPr>
                <w:rFonts w:ascii="Arial" w:eastAsia="Batang" w:hAnsi="Arial" w:cs="Arial"/>
                <w:b w:val="0"/>
              </w:rPr>
            </w:pPr>
            <w:r>
              <w:rPr>
                <w:rFonts w:ascii="Arial" w:eastAsia="Batang" w:hAnsi="Arial" w:cs="Arial"/>
                <w:b w:val="0"/>
              </w:rPr>
              <w:t xml:space="preserve">E.1 </w:t>
            </w:r>
            <w:r w:rsidRPr="00B7076D">
              <w:rPr>
                <w:rFonts w:ascii="Arial" w:eastAsia="Batang" w:hAnsi="Arial" w:cs="Arial"/>
                <w:b w:val="0"/>
              </w:rPr>
              <w:t>Improve networking and professional development of the indigenous environmental health workforce</w:t>
            </w:r>
            <w:r>
              <w:rPr>
                <w:rFonts w:ascii="Arial" w:eastAsia="Batang" w:hAnsi="Arial" w:cs="Arial"/>
                <w:b w:val="0"/>
              </w:rPr>
              <w:t>.</w:t>
            </w:r>
          </w:p>
        </w:tc>
      </w:tr>
      <w:tr w:rsidR="004D3CB5" w14:paraId="32D38946"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3A7B9A19" w14:textId="245F094E"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E.2 </w:t>
            </w:r>
            <w:r w:rsidRPr="00B7076D">
              <w:rPr>
                <w:rFonts w:ascii="Arial" w:eastAsia="Batang" w:hAnsi="Arial" w:cs="Arial"/>
                <w:b w:val="0"/>
              </w:rPr>
              <w:t>Enhance environmental health conditions for Aboriginal and Torres Strait Islander communities.</w:t>
            </w:r>
          </w:p>
        </w:tc>
      </w:tr>
      <w:tr w:rsidR="004D3CB5" w14:paraId="3383C294"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78461440" w14:textId="5D372143"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E.3 </w:t>
            </w:r>
            <w:r w:rsidRPr="00B7076D">
              <w:rPr>
                <w:rFonts w:ascii="Arial" w:eastAsia="Batang" w:hAnsi="Arial" w:cs="Arial"/>
                <w:b w:val="0"/>
              </w:rPr>
              <w:t>Provide intelligence on environmental health conditions in communities</w:t>
            </w:r>
            <w:r>
              <w:rPr>
                <w:rFonts w:ascii="Arial" w:eastAsia="Batang" w:hAnsi="Arial" w:cs="Arial"/>
                <w:b w:val="0"/>
              </w:rPr>
              <w:t>.</w:t>
            </w:r>
          </w:p>
        </w:tc>
      </w:tr>
    </w:tbl>
    <w:p w14:paraId="5CE8B150" w14:textId="710535B4" w:rsidR="00F27EF9" w:rsidRPr="007715C9" w:rsidRDefault="008C220E" w:rsidP="003949E9">
      <w:pPr>
        <w:keepNext/>
        <w:tabs>
          <w:tab w:val="left" w:pos="851"/>
        </w:tabs>
        <w:spacing w:before="120" w:after="120"/>
        <w:outlineLvl w:val="1"/>
        <w:rPr>
          <w:rFonts w:ascii="Arial" w:eastAsia="Batang" w:hAnsi="Arial" w:cs="Arial"/>
          <w:b/>
          <w:bCs/>
          <w:iCs/>
          <w:color w:val="365F91"/>
        </w:rPr>
      </w:pPr>
      <w:bookmarkStart w:id="276" w:name="_Toc530733210"/>
      <w:bookmarkStart w:id="277" w:name="_Toc58502812"/>
      <w:bookmarkStart w:id="278" w:name="_Toc389384603"/>
      <w:r>
        <w:rPr>
          <w:rFonts w:ascii="Arial" w:hAnsi="Arial" w:cs="Arial"/>
          <w:b/>
          <w:bCs/>
          <w:iCs/>
          <w:color w:val="9BBB59" w:themeColor="accent3"/>
          <w:szCs w:val="22"/>
        </w:rPr>
        <w:t xml:space="preserve">F. </w:t>
      </w:r>
      <w:bookmarkEnd w:id="276"/>
      <w:r w:rsidR="00F27EF9" w:rsidRPr="003949E9">
        <w:rPr>
          <w:rFonts w:ascii="Arial" w:hAnsi="Arial" w:cs="Arial"/>
          <w:b/>
          <w:bCs/>
          <w:iCs/>
          <w:color w:val="9BBB59" w:themeColor="accent3"/>
          <w:szCs w:val="22"/>
        </w:rPr>
        <w:t>Nationally consistent frameworks for public and environmental health regulation.</w:t>
      </w:r>
      <w:bookmarkEnd w:id="277"/>
    </w:p>
    <w:p w14:paraId="77E1D21D" w14:textId="4593885C" w:rsidR="00F27EF9" w:rsidRDefault="00F27EF9" w:rsidP="00F27EF9">
      <w:pPr>
        <w:spacing w:before="120" w:after="120" w:line="300" w:lineRule="exact"/>
        <w:rPr>
          <w:rFonts w:ascii="Arial" w:hAnsi="Arial" w:cs="Arial"/>
        </w:rPr>
      </w:pPr>
      <w:r w:rsidRPr="00D53D6D">
        <w:rPr>
          <w:rFonts w:ascii="Arial" w:hAnsi="Arial" w:cs="Arial"/>
        </w:rPr>
        <w:t>Health agencies across Australia are also responsible for regulating certain sectors.  While regulation occurs at the jurisdictional level, enHealth considers that there are benefits in working together to assess the effectiveness of these regulatory arrangements while seeking to promote greater consistency in the regulation of those sectors.</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F. Nationally consistent frameworks for public and environmental health regulation."/>
        <w:tblDescription w:val="This table outlines actions to achieve key focus area F. Nationally consistent frameworks for public and environmental health regulation."/>
      </w:tblPr>
      <w:tblGrid>
        <w:gridCol w:w="10188"/>
      </w:tblGrid>
      <w:tr w:rsidR="004D3CB5" w14:paraId="6AC4D33F"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59534682" w14:textId="61AD5008" w:rsidR="004D3CB5" w:rsidRDefault="004D3CB5" w:rsidP="007A7DD3">
            <w:pPr>
              <w:spacing w:before="120" w:after="120" w:line="300" w:lineRule="exact"/>
              <w:rPr>
                <w:rFonts w:ascii="Arial" w:eastAsia="Batang" w:hAnsi="Arial" w:cs="Arial"/>
              </w:rPr>
            </w:pPr>
            <w:r>
              <w:rPr>
                <w:rFonts w:ascii="Arial" w:eastAsia="Batang" w:hAnsi="Arial" w:cs="Arial"/>
              </w:rPr>
              <w:t xml:space="preserve">F. </w:t>
            </w:r>
            <w:r w:rsidRPr="004D3CB5">
              <w:rPr>
                <w:rFonts w:ascii="Arial" w:eastAsia="Batang" w:hAnsi="Arial" w:cs="Arial"/>
              </w:rPr>
              <w:t>Nationally consistent frameworks for public and environmental health regulation.</w:t>
            </w:r>
          </w:p>
        </w:tc>
      </w:tr>
      <w:tr w:rsidR="004D3CB5" w14:paraId="586D9AC1"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1BE918EA" w14:textId="68BEE08F"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F.1 </w:t>
            </w:r>
            <w:r w:rsidRPr="00B7076D">
              <w:rPr>
                <w:rFonts w:ascii="Arial" w:eastAsia="Batang" w:hAnsi="Arial" w:cs="Arial"/>
                <w:b w:val="0"/>
              </w:rPr>
              <w:t>Setting best practice standards in key environmental health areas.</w:t>
            </w:r>
          </w:p>
        </w:tc>
      </w:tr>
      <w:tr w:rsidR="004D3CB5" w14:paraId="6C55F20F"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7FD6BE78" w14:textId="694308EF"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F.2 </w:t>
            </w:r>
            <w:r w:rsidRPr="00B7076D">
              <w:rPr>
                <w:rFonts w:ascii="Arial" w:eastAsia="Batang" w:hAnsi="Arial" w:cs="Arial"/>
                <w:b w:val="0"/>
              </w:rPr>
              <w:t>Nationally consistent regulation of key environmental health matters across jurisdictions.</w:t>
            </w:r>
          </w:p>
        </w:tc>
      </w:tr>
      <w:tr w:rsidR="004D3CB5" w14:paraId="422394F4"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38341C04" w14:textId="32189548"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F.3 </w:t>
            </w:r>
            <w:r w:rsidRPr="00B7076D">
              <w:rPr>
                <w:rFonts w:ascii="Arial" w:eastAsia="Batang" w:hAnsi="Arial" w:cs="Arial"/>
                <w:b w:val="0"/>
              </w:rPr>
              <w:t>Development of national uniformity in radiation protection and nuclear safety in Australia.</w:t>
            </w:r>
          </w:p>
        </w:tc>
      </w:tr>
      <w:tr w:rsidR="004D3CB5" w14:paraId="6E66E8D9"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6A1623C3" w14:textId="2FBA08F5" w:rsidR="004D3CB5" w:rsidRPr="00E006A3" w:rsidRDefault="00B7076D" w:rsidP="007A7DD3">
            <w:pPr>
              <w:spacing w:before="120" w:after="120" w:line="300" w:lineRule="exact"/>
              <w:rPr>
                <w:rFonts w:ascii="Arial" w:eastAsia="Batang" w:hAnsi="Arial" w:cs="Arial"/>
                <w:b w:val="0"/>
              </w:rPr>
            </w:pPr>
            <w:r>
              <w:rPr>
                <w:rFonts w:ascii="Arial" w:eastAsia="Batang" w:hAnsi="Arial" w:cs="Arial"/>
                <w:b w:val="0"/>
              </w:rPr>
              <w:t xml:space="preserve">F.4 </w:t>
            </w:r>
            <w:r w:rsidRPr="00B7076D">
              <w:rPr>
                <w:rFonts w:ascii="Arial" w:eastAsia="Batang" w:hAnsi="Arial" w:cs="Arial"/>
                <w:b w:val="0"/>
              </w:rPr>
              <w:t>Improve public health regulatory practice and build capacity</w:t>
            </w:r>
            <w:r>
              <w:rPr>
                <w:rFonts w:ascii="Arial" w:eastAsia="Batang" w:hAnsi="Arial" w:cs="Arial"/>
                <w:b w:val="0"/>
              </w:rPr>
              <w:t>.</w:t>
            </w:r>
          </w:p>
        </w:tc>
      </w:tr>
    </w:tbl>
    <w:p w14:paraId="7985B215" w14:textId="5CB913A5" w:rsidR="00F27EF9" w:rsidRPr="003949E9" w:rsidRDefault="008C220E" w:rsidP="003949E9">
      <w:pPr>
        <w:keepNext/>
        <w:tabs>
          <w:tab w:val="left" w:pos="851"/>
        </w:tabs>
        <w:spacing w:before="120" w:after="120"/>
        <w:outlineLvl w:val="1"/>
        <w:rPr>
          <w:rFonts w:ascii="Arial" w:hAnsi="Arial" w:cs="Arial"/>
          <w:b/>
          <w:bCs/>
          <w:iCs/>
          <w:color w:val="9BBB59" w:themeColor="accent3"/>
          <w:szCs w:val="22"/>
        </w:rPr>
      </w:pPr>
      <w:bookmarkStart w:id="279" w:name="_Toc530733211"/>
      <w:bookmarkStart w:id="280" w:name="_Toc58502813"/>
      <w:r>
        <w:rPr>
          <w:rFonts w:ascii="Arial" w:hAnsi="Arial" w:cs="Arial"/>
          <w:b/>
          <w:bCs/>
          <w:iCs/>
          <w:color w:val="9BBB59" w:themeColor="accent3"/>
          <w:szCs w:val="22"/>
        </w:rPr>
        <w:t xml:space="preserve">G. </w:t>
      </w:r>
      <w:bookmarkEnd w:id="278"/>
      <w:bookmarkEnd w:id="279"/>
      <w:r w:rsidR="00F27EF9" w:rsidRPr="003949E9">
        <w:rPr>
          <w:rFonts w:ascii="Arial" w:hAnsi="Arial" w:cs="Arial"/>
          <w:b/>
          <w:bCs/>
          <w:iCs/>
          <w:color w:val="9BBB59" w:themeColor="accent3"/>
          <w:szCs w:val="22"/>
        </w:rPr>
        <w:t>Effective networking and partnerships with stakeholders to ensure a coordinated approach to addressing environmental risks to health.</w:t>
      </w:r>
      <w:bookmarkEnd w:id="280"/>
    </w:p>
    <w:p w14:paraId="190DD4A1" w14:textId="50D2CB83" w:rsidR="00F27EF9" w:rsidRDefault="00F27EF9" w:rsidP="00F27EF9">
      <w:pPr>
        <w:spacing w:before="120" w:after="120" w:line="300" w:lineRule="exact"/>
        <w:rPr>
          <w:rFonts w:ascii="Arial" w:hAnsi="Arial" w:cs="Arial"/>
        </w:rPr>
      </w:pPr>
      <w:r w:rsidRPr="00D53D6D">
        <w:rPr>
          <w:rFonts w:ascii="Arial" w:hAnsi="Arial" w:cs="Arial"/>
        </w:rPr>
        <w:t>Environmental health in Australia is reliant on strong partnerships in working towards better sharing of resources and information, and collaborative approaches to health protection. Harnessing the support of local government is pivotal in this endeavour. Overlapping issues such as responses to food</w:t>
      </w:r>
      <w:r w:rsidR="009C3D8A">
        <w:rPr>
          <w:rFonts w:ascii="Arial" w:hAnsi="Arial" w:cs="Arial"/>
        </w:rPr>
        <w:t>-</w:t>
      </w:r>
      <w:r w:rsidRPr="00D53D6D">
        <w:rPr>
          <w:rFonts w:ascii="Arial" w:hAnsi="Arial" w:cs="Arial"/>
        </w:rPr>
        <w:t xml:space="preserve">borne illness outbreaks need to be addressed in alignment with these entities in a way that applies the guiding principles consistently. With such considerable overlap of interest, priority needs to be given to maintaining or strengthening the value of effective partnerships and networks. </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G. Effective networking and partnerships with stakeholders to ensure a coordinated approach to addressing environmental risks to health."/>
        <w:tblDescription w:val="This table outlines actions to achieve key focus area G. Effective networking and partnerships with stakeholders to ensure a coordinated approach to addressing environmental risks to health."/>
      </w:tblPr>
      <w:tblGrid>
        <w:gridCol w:w="10188"/>
      </w:tblGrid>
      <w:tr w:rsidR="004D3CB5" w14:paraId="1852200F"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2293B9F8" w14:textId="2EA963C9" w:rsidR="004D3CB5" w:rsidRDefault="004D3CB5" w:rsidP="007A7DD3">
            <w:pPr>
              <w:spacing w:before="120" w:after="120" w:line="300" w:lineRule="exact"/>
              <w:rPr>
                <w:rFonts w:ascii="Arial" w:eastAsia="Batang" w:hAnsi="Arial" w:cs="Arial"/>
              </w:rPr>
            </w:pPr>
            <w:r>
              <w:rPr>
                <w:rFonts w:ascii="Arial" w:eastAsia="Batang" w:hAnsi="Arial" w:cs="Arial"/>
              </w:rPr>
              <w:t xml:space="preserve">G. </w:t>
            </w:r>
            <w:r w:rsidRPr="004D3CB5">
              <w:rPr>
                <w:rFonts w:ascii="Arial" w:eastAsia="Batang" w:hAnsi="Arial" w:cs="Arial"/>
              </w:rPr>
              <w:t>Effective networking and partnerships with stakeholders to ensure a coordinated approach to addressing environmental risks to health.</w:t>
            </w:r>
          </w:p>
        </w:tc>
      </w:tr>
      <w:tr w:rsidR="004D3CB5" w14:paraId="446B5FD3"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21A4A56F" w14:textId="39375CE5" w:rsidR="004D3CB5" w:rsidRPr="00E006A3" w:rsidRDefault="00B7076D" w:rsidP="004D4638">
            <w:pPr>
              <w:spacing w:before="120" w:after="120" w:line="300" w:lineRule="exact"/>
              <w:rPr>
                <w:rFonts w:ascii="Arial" w:eastAsia="Batang" w:hAnsi="Arial" w:cs="Arial"/>
                <w:b w:val="0"/>
              </w:rPr>
            </w:pPr>
            <w:r w:rsidRPr="00E006A3">
              <w:rPr>
                <w:rFonts w:ascii="Arial" w:eastAsia="Batang" w:hAnsi="Arial" w:cs="Arial"/>
                <w:b w:val="0"/>
              </w:rPr>
              <w:t>G.1 Support local government’s role as a key provider of environmental health services.</w:t>
            </w:r>
          </w:p>
        </w:tc>
      </w:tr>
      <w:tr w:rsidR="004D3CB5" w14:paraId="7525A44F"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66480CF3" w14:textId="25C317E1" w:rsidR="004D3CB5" w:rsidRPr="00E006A3" w:rsidRDefault="00B7076D" w:rsidP="007A7DD3">
            <w:pPr>
              <w:spacing w:before="120" w:after="120" w:line="300" w:lineRule="exact"/>
              <w:rPr>
                <w:rFonts w:ascii="Arial" w:eastAsia="Batang" w:hAnsi="Arial" w:cs="Arial"/>
                <w:b w:val="0"/>
              </w:rPr>
            </w:pPr>
            <w:r w:rsidRPr="00E006A3">
              <w:rPr>
                <w:rFonts w:ascii="Arial" w:eastAsia="Batang" w:hAnsi="Arial" w:cs="Arial"/>
                <w:b w:val="0"/>
              </w:rPr>
              <w:t>G.2 Improve links with other key committees and agencies, including strategic policy bodies and research institutions.</w:t>
            </w:r>
          </w:p>
        </w:tc>
      </w:tr>
      <w:tr w:rsidR="004D3CB5" w14:paraId="435E9475"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401D6954" w14:textId="600DCBCD" w:rsidR="004D3CB5" w:rsidRPr="00E006A3" w:rsidRDefault="00B7076D" w:rsidP="007A7DD3">
            <w:pPr>
              <w:spacing w:before="120" w:after="120" w:line="300" w:lineRule="exact"/>
              <w:rPr>
                <w:rFonts w:ascii="Arial" w:eastAsia="Batang" w:hAnsi="Arial" w:cs="Arial"/>
                <w:b w:val="0"/>
              </w:rPr>
            </w:pPr>
            <w:r w:rsidRPr="00E006A3">
              <w:rPr>
                <w:rFonts w:ascii="Arial" w:eastAsia="Batang" w:hAnsi="Arial" w:cs="Arial"/>
                <w:b w:val="0"/>
              </w:rPr>
              <w:t>G.3 Evaluate effectiveness and use of guidelines by stakeholders.</w:t>
            </w:r>
          </w:p>
        </w:tc>
      </w:tr>
      <w:tr w:rsidR="004D3CB5" w14:paraId="19F409A3"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1E721749" w14:textId="4994219A" w:rsidR="004D3CB5" w:rsidRPr="00E006A3" w:rsidRDefault="00B7076D" w:rsidP="007A7DD3">
            <w:pPr>
              <w:spacing w:before="120" w:after="120" w:line="300" w:lineRule="exact"/>
              <w:rPr>
                <w:rFonts w:ascii="Arial" w:eastAsia="Batang" w:hAnsi="Arial" w:cs="Arial"/>
                <w:b w:val="0"/>
              </w:rPr>
            </w:pPr>
            <w:r w:rsidRPr="00E006A3">
              <w:rPr>
                <w:rFonts w:ascii="Arial" w:eastAsia="Batang" w:hAnsi="Arial" w:cs="Arial"/>
                <w:b w:val="0"/>
              </w:rPr>
              <w:lastRenderedPageBreak/>
              <w:t>G.4 Contribute and link to climate change and health work and priorities from an environmental health perspective.</w:t>
            </w:r>
          </w:p>
        </w:tc>
      </w:tr>
      <w:tr w:rsidR="00B7076D" w14:paraId="766C228A"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0E33DB2E" w14:textId="2BB35DB2" w:rsidR="00B7076D" w:rsidRPr="00E006A3" w:rsidRDefault="00B7076D" w:rsidP="007A7DD3">
            <w:pPr>
              <w:spacing w:before="120" w:after="120" w:line="300" w:lineRule="exact"/>
              <w:rPr>
                <w:rFonts w:ascii="Arial" w:eastAsia="Batang" w:hAnsi="Arial" w:cs="Arial"/>
                <w:b w:val="0"/>
              </w:rPr>
            </w:pPr>
            <w:r w:rsidRPr="00E006A3">
              <w:rPr>
                <w:rFonts w:ascii="Arial" w:eastAsia="Batang" w:hAnsi="Arial" w:cs="Arial"/>
                <w:b w:val="0"/>
              </w:rPr>
              <w:t>G.5 Identify and exploit opportunities for national leadership of stakeholders in areas of environmental health importance.</w:t>
            </w:r>
          </w:p>
        </w:tc>
      </w:tr>
    </w:tbl>
    <w:p w14:paraId="51FCC017" w14:textId="33DC3576" w:rsidR="008C220E" w:rsidRPr="003949E9" w:rsidRDefault="008C220E" w:rsidP="003949E9">
      <w:pPr>
        <w:keepNext/>
        <w:tabs>
          <w:tab w:val="left" w:pos="851"/>
        </w:tabs>
        <w:spacing w:before="120" w:after="120"/>
        <w:outlineLvl w:val="1"/>
        <w:rPr>
          <w:rFonts w:ascii="Arial" w:hAnsi="Arial" w:cs="Arial"/>
          <w:b/>
          <w:bCs/>
          <w:iCs/>
          <w:color w:val="9BBB59" w:themeColor="accent3"/>
          <w:szCs w:val="22"/>
        </w:rPr>
      </w:pPr>
      <w:bookmarkStart w:id="281" w:name="_Toc58502814"/>
      <w:r w:rsidRPr="00A27736">
        <w:rPr>
          <w:rFonts w:ascii="Arial" w:hAnsi="Arial" w:cs="Arial"/>
          <w:b/>
          <w:bCs/>
          <w:iCs/>
          <w:color w:val="9BBB59" w:themeColor="accent3"/>
          <w:szCs w:val="22"/>
        </w:rPr>
        <w:t>H.</w:t>
      </w:r>
      <w:r>
        <w:rPr>
          <w:rFonts w:ascii="Arial" w:hAnsi="Arial" w:cs="Arial"/>
          <w:b/>
          <w:bCs/>
          <w:iCs/>
          <w:color w:val="9BBB59" w:themeColor="accent3"/>
          <w:szCs w:val="22"/>
        </w:rPr>
        <w:t xml:space="preserve"> </w:t>
      </w:r>
      <w:r w:rsidRPr="003949E9">
        <w:rPr>
          <w:rFonts w:ascii="Arial" w:hAnsi="Arial" w:cs="Arial"/>
          <w:b/>
          <w:bCs/>
          <w:iCs/>
          <w:color w:val="9BBB59" w:themeColor="accent3"/>
          <w:szCs w:val="22"/>
        </w:rPr>
        <w:t xml:space="preserve">Strengthened research and data capacity, </w:t>
      </w:r>
      <w:r w:rsidR="00AE7523">
        <w:rPr>
          <w:rFonts w:ascii="Arial" w:hAnsi="Arial" w:cs="Arial"/>
          <w:b/>
          <w:bCs/>
          <w:iCs/>
          <w:color w:val="9BBB59" w:themeColor="accent3"/>
          <w:szCs w:val="22"/>
        </w:rPr>
        <w:t>to assist</w:t>
      </w:r>
      <w:r w:rsidRPr="003949E9">
        <w:rPr>
          <w:rFonts w:ascii="Arial" w:hAnsi="Arial" w:cs="Arial"/>
          <w:b/>
          <w:bCs/>
          <w:iCs/>
          <w:color w:val="9BBB59" w:themeColor="accent3"/>
          <w:szCs w:val="22"/>
        </w:rPr>
        <w:t xml:space="preserve"> translation of research and data to environmental health policy and interventions.</w:t>
      </w:r>
      <w:bookmarkEnd w:id="281"/>
    </w:p>
    <w:p w14:paraId="4306AAAD" w14:textId="03202524" w:rsidR="00415527" w:rsidRDefault="00415527" w:rsidP="00415527">
      <w:pPr>
        <w:spacing w:before="120" w:after="120" w:line="300" w:lineRule="exact"/>
        <w:rPr>
          <w:rFonts w:ascii="Arial" w:hAnsi="Arial" w:cs="Arial"/>
        </w:rPr>
      </w:pPr>
      <w:r w:rsidRPr="00D53D6D">
        <w:rPr>
          <w:rFonts w:ascii="Arial" w:hAnsi="Arial" w:cs="Arial"/>
        </w:rPr>
        <w:t xml:space="preserve">Ensuring that environmental health issues are effectively managed is dependent on the </w:t>
      </w:r>
      <w:r w:rsidR="00001122">
        <w:rPr>
          <w:rFonts w:ascii="Arial" w:hAnsi="Arial" w:cs="Arial"/>
        </w:rPr>
        <w:t xml:space="preserve">availability of research and data to support </w:t>
      </w:r>
      <w:r w:rsidRPr="00D53D6D">
        <w:rPr>
          <w:rFonts w:ascii="Arial" w:hAnsi="Arial" w:cs="Arial"/>
        </w:rPr>
        <w:t>the provision of clear advice</w:t>
      </w:r>
      <w:r w:rsidR="00001122">
        <w:rPr>
          <w:rFonts w:ascii="Arial" w:hAnsi="Arial" w:cs="Arial"/>
        </w:rPr>
        <w:t xml:space="preserve"> and interventions</w:t>
      </w:r>
      <w:r w:rsidRPr="00D53D6D">
        <w:rPr>
          <w:rFonts w:ascii="Arial" w:hAnsi="Arial" w:cs="Arial"/>
        </w:rPr>
        <w:t xml:space="preserve">.  Environmental health practitioners, other agencies, industry and the community rely on up-to-date </w:t>
      </w:r>
      <w:r w:rsidR="00001122">
        <w:rPr>
          <w:rFonts w:ascii="Arial" w:hAnsi="Arial" w:cs="Arial"/>
        </w:rPr>
        <w:t xml:space="preserve">and evidence-based </w:t>
      </w:r>
      <w:r w:rsidRPr="00D53D6D">
        <w:rPr>
          <w:rFonts w:ascii="Arial" w:hAnsi="Arial" w:cs="Arial"/>
        </w:rPr>
        <w:t xml:space="preserve">advice to support their efforts in controlling risks and enHealth plays an important role in </w:t>
      </w:r>
      <w:r w:rsidR="00001122">
        <w:rPr>
          <w:rFonts w:ascii="Arial" w:hAnsi="Arial" w:cs="Arial"/>
        </w:rPr>
        <w:t xml:space="preserve">strengthening the research and data capacity of the sector, including supporting the translation of environmental health research and data to effective policy and interventions. </w:t>
      </w:r>
      <w:r w:rsidRPr="00D53D6D">
        <w:rPr>
          <w:rFonts w:ascii="Arial" w:hAnsi="Arial" w:cs="Arial"/>
        </w:rPr>
        <w:t xml:space="preserve">Development of a national human biomonitoring program </w:t>
      </w:r>
      <w:r w:rsidR="00001122">
        <w:rPr>
          <w:rFonts w:ascii="Arial" w:hAnsi="Arial" w:cs="Arial"/>
        </w:rPr>
        <w:t xml:space="preserve">and national environmental health tracking and surveillance systems </w:t>
      </w:r>
      <w:r w:rsidRPr="00D53D6D">
        <w:rPr>
          <w:rFonts w:ascii="Arial" w:hAnsi="Arial" w:cs="Arial"/>
        </w:rPr>
        <w:t>w</w:t>
      </w:r>
      <w:r w:rsidR="00001122">
        <w:rPr>
          <w:rFonts w:ascii="Arial" w:hAnsi="Arial" w:cs="Arial"/>
        </w:rPr>
        <w:t>ould</w:t>
      </w:r>
      <w:r w:rsidRPr="00D53D6D">
        <w:rPr>
          <w:rFonts w:ascii="Arial" w:hAnsi="Arial" w:cs="Arial"/>
        </w:rPr>
        <w:t xml:space="preserve"> help inform </w:t>
      </w:r>
      <w:r w:rsidR="00001122">
        <w:rPr>
          <w:rFonts w:ascii="Arial" w:hAnsi="Arial" w:cs="Arial"/>
        </w:rPr>
        <w:t xml:space="preserve">this </w:t>
      </w:r>
      <w:r w:rsidRPr="00D53D6D">
        <w:rPr>
          <w:rFonts w:ascii="Arial" w:hAnsi="Arial" w:cs="Arial"/>
        </w:rPr>
        <w:t>evidence-based practice.</w:t>
      </w:r>
      <w:r w:rsidR="00001122">
        <w:rPr>
          <w:rFonts w:ascii="Arial" w:hAnsi="Arial" w:cs="Arial"/>
        </w:rPr>
        <w:t xml:space="preserve"> Technological capability to support these has developed and enHealth advocates for </w:t>
      </w:r>
      <w:r w:rsidR="00C82F61">
        <w:rPr>
          <w:rFonts w:ascii="Arial" w:hAnsi="Arial" w:cs="Arial"/>
        </w:rPr>
        <w:t>the progression, including necessary funding support, towards</w:t>
      </w:r>
      <w:r w:rsidR="00001122">
        <w:rPr>
          <w:rFonts w:ascii="Arial" w:hAnsi="Arial" w:cs="Arial"/>
        </w:rPr>
        <w:t xml:space="preserve"> </w:t>
      </w:r>
      <w:r w:rsidR="00C82F61">
        <w:rPr>
          <w:rFonts w:ascii="Arial" w:hAnsi="Arial" w:cs="Arial"/>
        </w:rPr>
        <w:t>realisation</w:t>
      </w:r>
      <w:r w:rsidR="00001122">
        <w:rPr>
          <w:rFonts w:ascii="Arial" w:hAnsi="Arial" w:cs="Arial"/>
        </w:rPr>
        <w:t xml:space="preserve"> of these initiatives in Australia to meet international best practice</w:t>
      </w:r>
      <w:r w:rsidR="00566193">
        <w:rPr>
          <w:rFonts w:ascii="Arial" w:hAnsi="Arial" w:cs="Arial"/>
        </w:rPr>
        <w:t xml:space="preserve"> in environmental health</w:t>
      </w:r>
      <w:r w:rsidR="00001122">
        <w:rPr>
          <w:rFonts w:ascii="Arial" w:hAnsi="Arial" w:cs="Arial"/>
        </w:rPr>
        <w:t>.</w:t>
      </w:r>
    </w:p>
    <w:tbl>
      <w:tblPr>
        <w:tblStyle w:val="ListTable3-Accent31"/>
        <w:tblW w:w="0" w:type="auto"/>
        <w:tblBorders>
          <w:right w:val="single" w:sz="4" w:space="0" w:color="auto"/>
          <w:insideH w:val="single" w:sz="4" w:space="0" w:color="9BBB59" w:themeColor="accent3"/>
          <w:insideV w:val="single" w:sz="4" w:space="0" w:color="9BBB59" w:themeColor="accent3"/>
        </w:tblBorders>
        <w:tblLook w:val="04A0" w:firstRow="1" w:lastRow="0" w:firstColumn="1" w:lastColumn="0" w:noHBand="0" w:noVBand="1"/>
        <w:tblCaption w:val="H. Strengthened research and data capacity, to assist translation of research and data to environmental health policy and interventions."/>
        <w:tblDescription w:val="This table outlines actions to achieve key focus area H. Strengthened research and data capacity, to assist translation of research and data to environmental health policy and interventions."/>
      </w:tblPr>
      <w:tblGrid>
        <w:gridCol w:w="10188"/>
      </w:tblGrid>
      <w:tr w:rsidR="004D3CB5" w14:paraId="3519D814" w14:textId="77777777" w:rsidTr="00534C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88" w:type="dxa"/>
            <w:tcBorders>
              <w:bottom w:val="none" w:sz="0" w:space="0" w:color="auto"/>
              <w:right w:val="single" w:sz="4" w:space="0" w:color="9BBB59" w:themeColor="accent3"/>
            </w:tcBorders>
          </w:tcPr>
          <w:p w14:paraId="133D635E" w14:textId="2CFDADC6" w:rsidR="004D3CB5" w:rsidRDefault="004D3CB5" w:rsidP="007A7DD3">
            <w:pPr>
              <w:spacing w:before="120" w:after="120" w:line="300" w:lineRule="exact"/>
              <w:rPr>
                <w:rFonts w:ascii="Arial" w:eastAsia="Batang" w:hAnsi="Arial" w:cs="Arial"/>
              </w:rPr>
            </w:pPr>
            <w:r>
              <w:rPr>
                <w:rFonts w:ascii="Arial" w:eastAsia="Batang" w:hAnsi="Arial" w:cs="Arial"/>
              </w:rPr>
              <w:t xml:space="preserve">H. </w:t>
            </w:r>
            <w:r w:rsidRPr="004D3CB5">
              <w:rPr>
                <w:rFonts w:ascii="Arial" w:eastAsia="Batang" w:hAnsi="Arial" w:cs="Arial"/>
              </w:rPr>
              <w:t>Strengthened research and data capacity, to assist translation of research and data to environmental health policy and interventions.</w:t>
            </w:r>
          </w:p>
        </w:tc>
      </w:tr>
      <w:tr w:rsidR="004D3CB5" w14:paraId="35BA6247"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3B834352" w14:textId="724FA635" w:rsidR="004D3CB5" w:rsidRPr="00E006A3" w:rsidRDefault="007A7DD3" w:rsidP="007A7DD3">
            <w:pPr>
              <w:spacing w:before="120" w:after="120" w:line="300" w:lineRule="exact"/>
              <w:rPr>
                <w:rFonts w:ascii="Arial" w:eastAsia="Batang" w:hAnsi="Arial" w:cs="Arial"/>
                <w:b w:val="0"/>
              </w:rPr>
            </w:pPr>
            <w:r>
              <w:rPr>
                <w:rFonts w:ascii="Arial" w:eastAsia="Batang" w:hAnsi="Arial" w:cs="Arial"/>
                <w:b w:val="0"/>
              </w:rPr>
              <w:t xml:space="preserve">H.1 </w:t>
            </w:r>
            <w:r w:rsidRPr="007A7DD3">
              <w:rPr>
                <w:rFonts w:ascii="Arial" w:eastAsia="Batang" w:hAnsi="Arial" w:cs="Arial"/>
                <w:b w:val="0"/>
              </w:rPr>
              <w:t>Contribute to the setting of the national agenda in applied environmental health research.</w:t>
            </w:r>
          </w:p>
        </w:tc>
      </w:tr>
      <w:tr w:rsidR="004D3CB5" w14:paraId="558243D1" w14:textId="77777777" w:rsidTr="007A7DD3">
        <w:tc>
          <w:tcPr>
            <w:cnfStyle w:val="001000000000" w:firstRow="0" w:lastRow="0" w:firstColumn="1" w:lastColumn="0" w:oddVBand="0" w:evenVBand="0" w:oddHBand="0" w:evenHBand="0" w:firstRowFirstColumn="0" w:firstRowLastColumn="0" w:lastRowFirstColumn="0" w:lastRowLastColumn="0"/>
            <w:tcW w:w="10188" w:type="dxa"/>
            <w:tcBorders>
              <w:right w:val="single" w:sz="4" w:space="0" w:color="9BBB59" w:themeColor="accent3"/>
            </w:tcBorders>
          </w:tcPr>
          <w:p w14:paraId="4A590E31" w14:textId="5741CC05" w:rsidR="004D3CB5" w:rsidRPr="00E006A3" w:rsidRDefault="007A7DD3" w:rsidP="007A7DD3">
            <w:pPr>
              <w:spacing w:before="120" w:after="120" w:line="300" w:lineRule="exact"/>
              <w:rPr>
                <w:rFonts w:ascii="Arial" w:eastAsia="Batang" w:hAnsi="Arial" w:cs="Arial"/>
                <w:b w:val="0"/>
              </w:rPr>
            </w:pPr>
            <w:r>
              <w:rPr>
                <w:rFonts w:ascii="Arial" w:eastAsia="Batang" w:hAnsi="Arial" w:cs="Arial"/>
                <w:b w:val="0"/>
              </w:rPr>
              <w:t xml:space="preserve">H.2 </w:t>
            </w:r>
            <w:r w:rsidRPr="007A7DD3">
              <w:rPr>
                <w:rFonts w:ascii="Arial" w:eastAsia="Batang" w:hAnsi="Arial" w:cs="Arial"/>
                <w:b w:val="0"/>
              </w:rPr>
              <w:t>Facilitating the collection of data and analysis to support environmental health decision making.</w:t>
            </w:r>
          </w:p>
        </w:tc>
      </w:tr>
      <w:tr w:rsidR="004D3CB5" w14:paraId="5757C837" w14:textId="77777777" w:rsidTr="007A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tcBorders>
              <w:top w:val="none" w:sz="0" w:space="0" w:color="auto"/>
              <w:bottom w:val="none" w:sz="0" w:space="0" w:color="auto"/>
              <w:right w:val="single" w:sz="4" w:space="0" w:color="9BBB59" w:themeColor="accent3"/>
            </w:tcBorders>
          </w:tcPr>
          <w:p w14:paraId="017096DA" w14:textId="0EE1AA1C" w:rsidR="004D3CB5" w:rsidRPr="00E006A3" w:rsidRDefault="007A7DD3" w:rsidP="007A7DD3">
            <w:pPr>
              <w:spacing w:before="120" w:after="120" w:line="300" w:lineRule="exact"/>
              <w:rPr>
                <w:rFonts w:ascii="Arial" w:eastAsia="Batang" w:hAnsi="Arial" w:cs="Arial"/>
                <w:b w:val="0"/>
              </w:rPr>
            </w:pPr>
            <w:r>
              <w:rPr>
                <w:rFonts w:ascii="Arial" w:eastAsia="Batang" w:hAnsi="Arial" w:cs="Arial"/>
                <w:b w:val="0"/>
              </w:rPr>
              <w:t xml:space="preserve">H.3 </w:t>
            </w:r>
            <w:r w:rsidRPr="007A7DD3">
              <w:rPr>
                <w:rFonts w:ascii="Arial" w:eastAsia="Batang" w:hAnsi="Arial" w:cs="Arial"/>
                <w:b w:val="0"/>
              </w:rPr>
              <w:t>Advocate for necessary funding to support the development and implementation of big data projects in environmental health nationally.</w:t>
            </w:r>
          </w:p>
        </w:tc>
      </w:tr>
    </w:tbl>
    <w:p w14:paraId="05CE77D8" w14:textId="003AF571" w:rsidR="00E22032" w:rsidRPr="005F426F" w:rsidRDefault="00E22032" w:rsidP="00E22032">
      <w:pPr>
        <w:pStyle w:val="Heading1"/>
        <w:ind w:left="0" w:firstLine="0"/>
        <w:rPr>
          <w:rFonts w:ascii="Arial" w:hAnsi="Arial"/>
          <w:caps/>
          <w:color w:val="365F91" w:themeColor="accent1" w:themeShade="BF"/>
          <w:sz w:val="32"/>
        </w:rPr>
      </w:pPr>
      <w:bookmarkStart w:id="282" w:name="_Toc34400354"/>
      <w:bookmarkStart w:id="283" w:name="_Toc34400382"/>
      <w:bookmarkStart w:id="284" w:name="_Toc58502815"/>
      <w:bookmarkEnd w:id="282"/>
      <w:bookmarkEnd w:id="283"/>
      <w:r w:rsidRPr="005F426F">
        <w:rPr>
          <w:rFonts w:ascii="Arial" w:hAnsi="Arial"/>
          <w:caps/>
          <w:sz w:val="32"/>
        </w:rPr>
        <w:lastRenderedPageBreak/>
        <w:t>ACCOUNTABILITY AND REPORTING</w:t>
      </w:r>
      <w:bookmarkEnd w:id="284"/>
    </w:p>
    <w:p w14:paraId="5CD8570F" w14:textId="48BDE21F" w:rsidR="00E22032" w:rsidRPr="005F426F" w:rsidRDefault="00E22032" w:rsidP="00C45D15">
      <w:pPr>
        <w:spacing w:after="120" w:line="276" w:lineRule="auto"/>
        <w:rPr>
          <w:rFonts w:ascii="Arial" w:hAnsi="Arial" w:cs="Arial"/>
          <w:szCs w:val="22"/>
        </w:rPr>
      </w:pPr>
      <w:r w:rsidRPr="005F426F">
        <w:rPr>
          <w:rFonts w:ascii="Arial" w:hAnsi="Arial" w:cs="Arial"/>
          <w:szCs w:val="22"/>
        </w:rPr>
        <w:t>enHealth will report to the AHPPC as required, on the progress of its work and that of the enHealth Expert Reference Panels. As enHealth and AHPPC are funded through the</w:t>
      </w:r>
      <w:r w:rsidR="001A25F2" w:rsidRPr="001A25F2">
        <w:rPr>
          <w:rFonts w:ascii="Arial" w:hAnsi="Arial" w:cs="Arial"/>
          <w:szCs w:val="22"/>
        </w:rPr>
        <w:t xml:space="preserve"> Australian Health Ministers’ Advisory Council</w:t>
      </w:r>
      <w:r w:rsidRPr="005F426F">
        <w:rPr>
          <w:rFonts w:ascii="Arial" w:hAnsi="Arial" w:cs="Arial"/>
          <w:szCs w:val="22"/>
        </w:rPr>
        <w:t xml:space="preserve"> </w:t>
      </w:r>
      <w:r w:rsidR="001A25F2">
        <w:rPr>
          <w:rFonts w:ascii="Arial" w:hAnsi="Arial" w:cs="Arial"/>
          <w:szCs w:val="22"/>
        </w:rPr>
        <w:t>(</w:t>
      </w:r>
      <w:r w:rsidRPr="005F426F">
        <w:rPr>
          <w:rFonts w:ascii="Arial" w:hAnsi="Arial" w:cs="Arial"/>
          <w:szCs w:val="22"/>
        </w:rPr>
        <w:t>AHMAC</w:t>
      </w:r>
      <w:r w:rsidR="001A25F2">
        <w:rPr>
          <w:rFonts w:ascii="Arial" w:hAnsi="Arial" w:cs="Arial"/>
          <w:szCs w:val="22"/>
        </w:rPr>
        <w:t>)</w:t>
      </w:r>
      <w:r w:rsidRPr="005F426F">
        <w:rPr>
          <w:rFonts w:ascii="Arial" w:hAnsi="Arial" w:cs="Arial"/>
          <w:szCs w:val="22"/>
        </w:rPr>
        <w:t xml:space="preserve"> cost</w:t>
      </w:r>
      <w:r w:rsidR="006B5317">
        <w:rPr>
          <w:rFonts w:ascii="Arial" w:hAnsi="Arial" w:cs="Arial"/>
          <w:szCs w:val="22"/>
        </w:rPr>
        <w:noBreakHyphen/>
      </w:r>
      <w:r w:rsidRPr="005F426F">
        <w:rPr>
          <w:rFonts w:ascii="Arial" w:hAnsi="Arial" w:cs="Arial"/>
          <w:szCs w:val="22"/>
        </w:rPr>
        <w:t xml:space="preserve">shared budget, comprised of contributions from the Commonwealth, and state and territory governments, the </w:t>
      </w:r>
      <w:r w:rsidR="006B5317">
        <w:rPr>
          <w:rFonts w:ascii="Arial" w:hAnsi="Arial" w:cs="Arial"/>
          <w:szCs w:val="22"/>
        </w:rPr>
        <w:t>c</w:t>
      </w:r>
      <w:r w:rsidRPr="005F426F">
        <w:rPr>
          <w:rFonts w:ascii="Arial" w:hAnsi="Arial" w:cs="Arial"/>
          <w:szCs w:val="22"/>
        </w:rPr>
        <w:t>ommittee will also report regularly on its use of the funds.</w:t>
      </w:r>
    </w:p>
    <w:p w14:paraId="7290C020" w14:textId="4C52AB8B" w:rsidR="00E22032" w:rsidRPr="005F426F" w:rsidRDefault="00E22032" w:rsidP="00C45D15">
      <w:pPr>
        <w:spacing w:after="120" w:line="276" w:lineRule="auto"/>
        <w:rPr>
          <w:rFonts w:ascii="Arial" w:hAnsi="Arial" w:cs="Arial"/>
          <w:szCs w:val="22"/>
        </w:rPr>
      </w:pPr>
      <w:r w:rsidRPr="005F426F">
        <w:rPr>
          <w:rFonts w:ascii="Arial" w:hAnsi="Arial" w:cs="Arial"/>
          <w:szCs w:val="22"/>
        </w:rPr>
        <w:t xml:space="preserve">enHealth will develop a work plan, reflecting the </w:t>
      </w:r>
      <w:r w:rsidR="003B6A96">
        <w:rPr>
          <w:rFonts w:ascii="Arial" w:hAnsi="Arial" w:cs="Arial"/>
          <w:szCs w:val="22"/>
        </w:rPr>
        <w:t xml:space="preserve">strategic </w:t>
      </w:r>
      <w:r w:rsidRPr="005F426F">
        <w:rPr>
          <w:rFonts w:ascii="Arial" w:hAnsi="Arial" w:cs="Arial"/>
          <w:szCs w:val="22"/>
        </w:rPr>
        <w:t>priorities and enablers identified in the enHealth and AHPPC strategic plan</w:t>
      </w:r>
      <w:r w:rsidR="005F1839" w:rsidRPr="005F426F">
        <w:rPr>
          <w:rFonts w:ascii="Arial" w:hAnsi="Arial" w:cs="Arial"/>
          <w:szCs w:val="22"/>
        </w:rPr>
        <w:t>s</w:t>
      </w:r>
      <w:r w:rsidRPr="005F426F">
        <w:rPr>
          <w:rFonts w:ascii="Arial" w:hAnsi="Arial" w:cs="Arial"/>
          <w:szCs w:val="22"/>
        </w:rPr>
        <w:t xml:space="preserve">, as well as priorities tasked to the </w:t>
      </w:r>
      <w:r w:rsidR="00454384">
        <w:rPr>
          <w:rFonts w:ascii="Arial" w:hAnsi="Arial" w:cs="Arial"/>
          <w:szCs w:val="22"/>
        </w:rPr>
        <w:t>c</w:t>
      </w:r>
      <w:r w:rsidRPr="005F426F">
        <w:rPr>
          <w:rFonts w:ascii="Arial" w:hAnsi="Arial" w:cs="Arial"/>
          <w:szCs w:val="22"/>
        </w:rPr>
        <w:t xml:space="preserve">ommittee through </w:t>
      </w:r>
      <w:r w:rsidR="003B6A96">
        <w:rPr>
          <w:rFonts w:ascii="Arial" w:hAnsi="Arial" w:cs="Arial"/>
          <w:szCs w:val="22"/>
        </w:rPr>
        <w:t xml:space="preserve">the </w:t>
      </w:r>
      <w:r w:rsidRPr="005F426F">
        <w:rPr>
          <w:rFonts w:ascii="Arial" w:hAnsi="Arial" w:cs="Arial"/>
          <w:szCs w:val="22"/>
        </w:rPr>
        <w:t xml:space="preserve">AHPPC. The work plan will articulate specific deliverables and responsibilities, with progress to be reviewed regularly in light of current and emerging </w:t>
      </w:r>
      <w:r w:rsidR="005F1839" w:rsidRPr="005F426F">
        <w:rPr>
          <w:rFonts w:ascii="Arial" w:hAnsi="Arial" w:cs="Arial"/>
          <w:szCs w:val="22"/>
        </w:rPr>
        <w:t xml:space="preserve">environmental </w:t>
      </w:r>
      <w:r w:rsidRPr="005F426F">
        <w:rPr>
          <w:rFonts w:ascii="Arial" w:hAnsi="Arial" w:cs="Arial"/>
          <w:szCs w:val="22"/>
        </w:rPr>
        <w:t>health matters.</w:t>
      </w:r>
    </w:p>
    <w:p w14:paraId="3627781F" w14:textId="7EFB1D4D" w:rsidR="00E22032" w:rsidRPr="005F426F" w:rsidRDefault="00E22032" w:rsidP="005F426F">
      <w:pPr>
        <w:pStyle w:val="BodyText1"/>
        <w:spacing w:line="276" w:lineRule="auto"/>
        <w:ind w:left="0"/>
      </w:pPr>
      <w:r w:rsidRPr="005F426F">
        <w:rPr>
          <w:rFonts w:ascii="Arial" w:hAnsi="Arial" w:cs="Arial"/>
          <w:szCs w:val="22"/>
        </w:rPr>
        <w:t xml:space="preserve">Each of the </w:t>
      </w:r>
      <w:r w:rsidR="005F1839" w:rsidRPr="005F426F">
        <w:rPr>
          <w:rFonts w:ascii="Arial" w:hAnsi="Arial" w:cs="Arial"/>
          <w:szCs w:val="22"/>
        </w:rPr>
        <w:t>enHealth</w:t>
      </w:r>
      <w:r w:rsidRPr="005F426F">
        <w:rPr>
          <w:rFonts w:ascii="Arial" w:hAnsi="Arial" w:cs="Arial"/>
          <w:szCs w:val="22"/>
        </w:rPr>
        <w:t xml:space="preserve"> </w:t>
      </w:r>
      <w:r w:rsidR="005F1839" w:rsidRPr="005F426F">
        <w:rPr>
          <w:rFonts w:ascii="Arial" w:hAnsi="Arial" w:cs="Arial"/>
          <w:szCs w:val="22"/>
        </w:rPr>
        <w:t xml:space="preserve">Expert Reference Panels </w:t>
      </w:r>
      <w:r w:rsidRPr="005F426F">
        <w:rPr>
          <w:rFonts w:ascii="Arial" w:hAnsi="Arial" w:cs="Arial"/>
          <w:szCs w:val="22"/>
        </w:rPr>
        <w:t>is expected to develop a work plan reflecti</w:t>
      </w:r>
      <w:r w:rsidR="005F1839" w:rsidRPr="005F426F">
        <w:rPr>
          <w:rFonts w:ascii="Arial" w:hAnsi="Arial" w:cs="Arial"/>
          <w:szCs w:val="22"/>
        </w:rPr>
        <w:t>ng the priorities identified by</w:t>
      </w:r>
      <w:r w:rsidRPr="005F426F">
        <w:rPr>
          <w:rFonts w:ascii="Arial" w:hAnsi="Arial" w:cs="Arial"/>
          <w:szCs w:val="22"/>
        </w:rPr>
        <w:t xml:space="preserve"> </w:t>
      </w:r>
      <w:r w:rsidR="005F1839" w:rsidRPr="005F426F">
        <w:rPr>
          <w:rFonts w:ascii="Arial" w:hAnsi="Arial" w:cs="Arial"/>
          <w:szCs w:val="22"/>
        </w:rPr>
        <w:t>enHealth</w:t>
      </w:r>
      <w:r w:rsidR="005C1EDA" w:rsidRPr="005F426F">
        <w:rPr>
          <w:rFonts w:ascii="Arial" w:hAnsi="Arial" w:cs="Arial"/>
          <w:szCs w:val="22"/>
        </w:rPr>
        <w:t xml:space="preserve"> and</w:t>
      </w:r>
      <w:r w:rsidR="005F1839" w:rsidRPr="005F426F">
        <w:rPr>
          <w:rFonts w:ascii="Arial" w:hAnsi="Arial" w:cs="Arial"/>
          <w:szCs w:val="22"/>
        </w:rPr>
        <w:t xml:space="preserve"> the </w:t>
      </w:r>
      <w:r w:rsidRPr="005F426F">
        <w:rPr>
          <w:rFonts w:ascii="Arial" w:hAnsi="Arial" w:cs="Arial"/>
          <w:szCs w:val="22"/>
        </w:rPr>
        <w:t>AHPPC, if applicable, and report regularly on the progress of implementation.</w:t>
      </w:r>
    </w:p>
    <w:p w14:paraId="233817B4" w14:textId="77777777" w:rsidR="002D0456" w:rsidRPr="005F426F" w:rsidRDefault="002D0456" w:rsidP="002D0456">
      <w:pPr>
        <w:pStyle w:val="Heading1"/>
        <w:ind w:left="0" w:firstLine="0"/>
        <w:rPr>
          <w:rFonts w:ascii="Arial" w:hAnsi="Arial"/>
          <w:caps/>
          <w:color w:val="365F91" w:themeColor="accent1" w:themeShade="BF"/>
          <w:sz w:val="32"/>
        </w:rPr>
      </w:pPr>
      <w:bookmarkStart w:id="285" w:name="_Toc58502816"/>
      <w:r w:rsidRPr="005F426F">
        <w:rPr>
          <w:rFonts w:ascii="Arial" w:hAnsi="Arial"/>
          <w:caps/>
          <w:sz w:val="32"/>
        </w:rPr>
        <w:lastRenderedPageBreak/>
        <w:t>Glossary OF KEY TERMS</w:t>
      </w:r>
      <w:bookmarkEnd w:id="285"/>
    </w:p>
    <w:tbl>
      <w:tblPr>
        <w:tblStyle w:val="ListTable3-Accent31"/>
        <w:tblW w:w="10201" w:type="dxa"/>
        <w:tblLook w:val="04A0" w:firstRow="1" w:lastRow="0" w:firstColumn="1" w:lastColumn="0" w:noHBand="0" w:noVBand="1"/>
        <w:tblDescription w:val="The table outlines the glossary of terms in the Strategy, including the Australian Health Ministers' Advisory Council, the Australian Health Protection Principal Committee, its Standing Committees, the Council of Australian Governments, and the Standing Council on Health."/>
      </w:tblPr>
      <w:tblGrid>
        <w:gridCol w:w="2263"/>
        <w:gridCol w:w="7938"/>
      </w:tblGrid>
      <w:tr w:rsidR="002D0456" w:rsidRPr="000767C6" w14:paraId="352280BB" w14:textId="77777777" w:rsidTr="00534C6A">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100" w:firstRow="0" w:lastRow="0" w:firstColumn="1" w:lastColumn="0" w:oddVBand="0" w:evenVBand="0" w:oddHBand="0" w:evenHBand="0" w:firstRowFirstColumn="1" w:firstRowLastColumn="0" w:lastRowFirstColumn="0" w:lastRowLastColumn="0"/>
            <w:tcW w:w="2263" w:type="dxa"/>
          </w:tcPr>
          <w:p w14:paraId="39F21115" w14:textId="77777777" w:rsidR="002D0456" w:rsidRPr="005F426F" w:rsidRDefault="002D0456" w:rsidP="00B16887">
            <w:pPr>
              <w:pStyle w:val="Heading3"/>
              <w:numPr>
                <w:ilvl w:val="0"/>
                <w:numId w:val="0"/>
              </w:numPr>
              <w:outlineLvl w:val="2"/>
              <w:rPr>
                <w:b/>
              </w:rPr>
            </w:pPr>
            <w:r w:rsidRPr="005F426F">
              <w:rPr>
                <w:b/>
              </w:rPr>
              <w:t>Term/Acronym</w:t>
            </w:r>
          </w:p>
        </w:tc>
        <w:tc>
          <w:tcPr>
            <w:tcW w:w="7938" w:type="dxa"/>
          </w:tcPr>
          <w:p w14:paraId="1686316B" w14:textId="77777777" w:rsidR="002D0456" w:rsidRPr="005F426F" w:rsidRDefault="002D0456" w:rsidP="00B16887">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rPr>
            </w:pPr>
            <w:r w:rsidRPr="005F426F">
              <w:rPr>
                <w:b/>
              </w:rPr>
              <w:t>Meaning</w:t>
            </w:r>
          </w:p>
        </w:tc>
      </w:tr>
      <w:tr w:rsidR="002D0456" w:rsidRPr="000767C6" w14:paraId="403A6B05" w14:textId="77777777" w:rsidTr="00E006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3" w:type="dxa"/>
          </w:tcPr>
          <w:p w14:paraId="07B15BE1" w14:textId="77777777" w:rsidR="002D0456" w:rsidRPr="005F426F" w:rsidRDefault="002D0456" w:rsidP="00B16887">
            <w:pPr>
              <w:pStyle w:val="Heading3"/>
              <w:numPr>
                <w:ilvl w:val="0"/>
                <w:numId w:val="0"/>
              </w:numPr>
              <w:outlineLvl w:val="2"/>
              <w:rPr>
                <w:b/>
              </w:rPr>
            </w:pPr>
            <w:r w:rsidRPr="005F426F">
              <w:t>AHMAC</w:t>
            </w:r>
          </w:p>
        </w:tc>
        <w:tc>
          <w:tcPr>
            <w:tcW w:w="7938" w:type="dxa"/>
          </w:tcPr>
          <w:p w14:paraId="3A1E8754" w14:textId="77777777" w:rsidR="002D0456" w:rsidRPr="005F426F" w:rsidRDefault="002D0456"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rsidRPr="005F426F">
              <w:t>Australian Health Ministers’ Advisory Council</w:t>
            </w:r>
          </w:p>
        </w:tc>
      </w:tr>
      <w:tr w:rsidR="002D0456" w:rsidRPr="000767C6" w14:paraId="68B5702C" w14:textId="77777777" w:rsidTr="00E006A3">
        <w:trPr>
          <w:trHeight w:val="460"/>
        </w:trPr>
        <w:tc>
          <w:tcPr>
            <w:cnfStyle w:val="001000000000" w:firstRow="0" w:lastRow="0" w:firstColumn="1" w:lastColumn="0" w:oddVBand="0" w:evenVBand="0" w:oddHBand="0" w:evenHBand="0" w:firstRowFirstColumn="0" w:firstRowLastColumn="0" w:lastRowFirstColumn="0" w:lastRowLastColumn="0"/>
            <w:tcW w:w="2263" w:type="dxa"/>
          </w:tcPr>
          <w:p w14:paraId="1C287FED" w14:textId="77777777" w:rsidR="002D0456" w:rsidRPr="005F426F" w:rsidRDefault="002D0456" w:rsidP="00B16887">
            <w:pPr>
              <w:pStyle w:val="Heading3"/>
              <w:numPr>
                <w:ilvl w:val="0"/>
                <w:numId w:val="0"/>
              </w:numPr>
              <w:outlineLvl w:val="2"/>
              <w:rPr>
                <w:b/>
              </w:rPr>
            </w:pPr>
            <w:r w:rsidRPr="005F426F">
              <w:t>AHPPC</w:t>
            </w:r>
          </w:p>
        </w:tc>
        <w:tc>
          <w:tcPr>
            <w:tcW w:w="7938" w:type="dxa"/>
          </w:tcPr>
          <w:p w14:paraId="58C06A28"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Australian Health Protection Principal Committee</w:t>
            </w:r>
          </w:p>
        </w:tc>
      </w:tr>
      <w:tr w:rsidR="00454384" w:rsidRPr="000767C6" w14:paraId="405E6276" w14:textId="77777777" w:rsidTr="00E006A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63" w:type="dxa"/>
          </w:tcPr>
          <w:p w14:paraId="139D3A8E" w14:textId="77777777" w:rsidR="00454384" w:rsidRPr="005F426F" w:rsidRDefault="00454384" w:rsidP="00B16887">
            <w:pPr>
              <w:pStyle w:val="Heading3"/>
              <w:numPr>
                <w:ilvl w:val="0"/>
                <w:numId w:val="0"/>
              </w:numPr>
              <w:outlineLvl w:val="2"/>
            </w:pPr>
            <w:r>
              <w:t>AMR</w:t>
            </w:r>
          </w:p>
        </w:tc>
        <w:tc>
          <w:tcPr>
            <w:tcW w:w="7938" w:type="dxa"/>
          </w:tcPr>
          <w:p w14:paraId="11DC02A6" w14:textId="0BB9D621" w:rsidR="00454384" w:rsidRPr="005F426F" w:rsidRDefault="007403F7"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t>Anti</w:t>
            </w:r>
            <w:r w:rsidR="00944FC1">
              <w:t>m</w:t>
            </w:r>
            <w:r>
              <w:t>icrobial Resistance</w:t>
            </w:r>
          </w:p>
        </w:tc>
      </w:tr>
      <w:tr w:rsidR="002D0456" w:rsidRPr="000767C6" w14:paraId="4EE7788B" w14:textId="77777777" w:rsidTr="00E006A3">
        <w:trPr>
          <w:trHeight w:val="476"/>
        </w:trPr>
        <w:tc>
          <w:tcPr>
            <w:cnfStyle w:val="001000000000" w:firstRow="0" w:lastRow="0" w:firstColumn="1" w:lastColumn="0" w:oddVBand="0" w:evenVBand="0" w:oddHBand="0" w:evenHBand="0" w:firstRowFirstColumn="0" w:firstRowLastColumn="0" w:lastRowFirstColumn="0" w:lastRowLastColumn="0"/>
            <w:tcW w:w="2263" w:type="dxa"/>
          </w:tcPr>
          <w:p w14:paraId="7FF41FA1" w14:textId="77777777" w:rsidR="002D0456" w:rsidRPr="005F426F" w:rsidRDefault="002D0456" w:rsidP="00B16887">
            <w:pPr>
              <w:pStyle w:val="Heading3"/>
              <w:numPr>
                <w:ilvl w:val="0"/>
                <w:numId w:val="0"/>
              </w:numPr>
              <w:outlineLvl w:val="2"/>
              <w:rPr>
                <w:b/>
              </w:rPr>
            </w:pPr>
            <w:r w:rsidRPr="005F426F">
              <w:t>CDNA</w:t>
            </w:r>
          </w:p>
        </w:tc>
        <w:tc>
          <w:tcPr>
            <w:tcW w:w="7938" w:type="dxa"/>
          </w:tcPr>
          <w:p w14:paraId="536E70BA"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Communicable Diseases Network Australia</w:t>
            </w:r>
          </w:p>
        </w:tc>
      </w:tr>
      <w:tr w:rsidR="00454384" w:rsidRPr="000767C6" w14:paraId="12CE9B9D" w14:textId="77777777" w:rsidTr="00E006A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63" w:type="dxa"/>
          </w:tcPr>
          <w:p w14:paraId="210858B2" w14:textId="77777777" w:rsidR="00454384" w:rsidRPr="005F426F" w:rsidRDefault="007403F7" w:rsidP="00B16887">
            <w:pPr>
              <w:pStyle w:val="Heading3"/>
              <w:numPr>
                <w:ilvl w:val="0"/>
                <w:numId w:val="0"/>
              </w:numPr>
              <w:outlineLvl w:val="2"/>
            </w:pPr>
            <w:r>
              <w:t>BBV</w:t>
            </w:r>
            <w:r w:rsidR="00454384">
              <w:t>STI</w:t>
            </w:r>
          </w:p>
        </w:tc>
        <w:tc>
          <w:tcPr>
            <w:tcW w:w="7938" w:type="dxa"/>
          </w:tcPr>
          <w:p w14:paraId="583F633A" w14:textId="77777777" w:rsidR="00454384" w:rsidRPr="005F426F" w:rsidRDefault="007403F7"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t>Blood Borne Viruses and Sexually Transmitted Infections</w:t>
            </w:r>
          </w:p>
        </w:tc>
      </w:tr>
      <w:tr w:rsidR="002D0456" w:rsidRPr="000767C6" w14:paraId="5E6B3CCB" w14:textId="77777777" w:rsidTr="00E006A3">
        <w:trPr>
          <w:trHeight w:val="460"/>
        </w:trPr>
        <w:tc>
          <w:tcPr>
            <w:cnfStyle w:val="001000000000" w:firstRow="0" w:lastRow="0" w:firstColumn="1" w:lastColumn="0" w:oddVBand="0" w:evenVBand="0" w:oddHBand="0" w:evenHBand="0" w:firstRowFirstColumn="0" w:firstRowLastColumn="0" w:lastRowFirstColumn="0" w:lastRowLastColumn="0"/>
            <w:tcW w:w="2263" w:type="dxa"/>
          </w:tcPr>
          <w:p w14:paraId="7C51AC7C" w14:textId="77777777" w:rsidR="002D0456" w:rsidRPr="005F426F" w:rsidRDefault="002D0456" w:rsidP="00B16887">
            <w:pPr>
              <w:pStyle w:val="Heading3"/>
              <w:numPr>
                <w:ilvl w:val="0"/>
                <w:numId w:val="0"/>
              </w:numPr>
              <w:outlineLvl w:val="2"/>
              <w:rPr>
                <w:b/>
              </w:rPr>
            </w:pPr>
            <w:r w:rsidRPr="005F426F">
              <w:t>COAG</w:t>
            </w:r>
          </w:p>
        </w:tc>
        <w:tc>
          <w:tcPr>
            <w:tcW w:w="7938" w:type="dxa"/>
          </w:tcPr>
          <w:p w14:paraId="6452FAC5"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Council of Australian Governments</w:t>
            </w:r>
          </w:p>
        </w:tc>
      </w:tr>
      <w:tr w:rsidR="002D0456" w:rsidRPr="000767C6" w14:paraId="70F247DE" w14:textId="77777777" w:rsidTr="00E006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3" w:type="dxa"/>
          </w:tcPr>
          <w:p w14:paraId="088F694B" w14:textId="77777777" w:rsidR="002D0456" w:rsidRPr="005F426F" w:rsidRDefault="002D0456" w:rsidP="00B16887">
            <w:pPr>
              <w:pStyle w:val="Heading3"/>
              <w:outlineLvl w:val="2"/>
            </w:pPr>
            <w:r w:rsidRPr="005F426F">
              <w:t>enHealth</w:t>
            </w:r>
          </w:p>
        </w:tc>
        <w:tc>
          <w:tcPr>
            <w:tcW w:w="7938" w:type="dxa"/>
          </w:tcPr>
          <w:p w14:paraId="00C7180C" w14:textId="77777777" w:rsidR="002D0456" w:rsidRPr="005F426F" w:rsidRDefault="002D0456"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rsidRPr="005F426F">
              <w:t>Environmental Health Standing Committee</w:t>
            </w:r>
          </w:p>
        </w:tc>
      </w:tr>
      <w:tr w:rsidR="002D0456" w:rsidRPr="000767C6" w14:paraId="176F3A42" w14:textId="77777777" w:rsidTr="00E006A3">
        <w:trPr>
          <w:trHeight w:val="460"/>
        </w:trPr>
        <w:tc>
          <w:tcPr>
            <w:cnfStyle w:val="001000000000" w:firstRow="0" w:lastRow="0" w:firstColumn="1" w:lastColumn="0" w:oddVBand="0" w:evenVBand="0" w:oddHBand="0" w:evenHBand="0" w:firstRowFirstColumn="0" w:firstRowLastColumn="0" w:lastRowFirstColumn="0" w:lastRowLastColumn="0"/>
            <w:tcW w:w="2263" w:type="dxa"/>
          </w:tcPr>
          <w:p w14:paraId="19BC02BE" w14:textId="77777777" w:rsidR="002D0456" w:rsidRPr="005F426F" w:rsidRDefault="002D0456" w:rsidP="00B16887">
            <w:pPr>
              <w:pStyle w:val="Heading3"/>
              <w:numPr>
                <w:ilvl w:val="0"/>
                <w:numId w:val="0"/>
              </w:numPr>
              <w:outlineLvl w:val="2"/>
            </w:pPr>
            <w:r w:rsidRPr="005F426F">
              <w:t>ERPEH</w:t>
            </w:r>
          </w:p>
        </w:tc>
        <w:tc>
          <w:tcPr>
            <w:tcW w:w="7938" w:type="dxa"/>
          </w:tcPr>
          <w:p w14:paraId="5CC1F209"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Expert Reference Panel on Environmental Health (formerly Technical Working Group on Environmental Health)</w:t>
            </w:r>
          </w:p>
        </w:tc>
      </w:tr>
      <w:tr w:rsidR="002D0456" w:rsidRPr="000767C6" w14:paraId="6B208C05" w14:textId="77777777" w:rsidTr="00E006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3" w:type="dxa"/>
          </w:tcPr>
          <w:p w14:paraId="211ABA8A" w14:textId="77777777" w:rsidR="002D0456" w:rsidRPr="005F426F" w:rsidRDefault="002D0456" w:rsidP="00B16887">
            <w:pPr>
              <w:pStyle w:val="Heading3"/>
              <w:numPr>
                <w:ilvl w:val="0"/>
                <w:numId w:val="0"/>
              </w:numPr>
              <w:outlineLvl w:val="2"/>
            </w:pPr>
            <w:r w:rsidRPr="005F426F">
              <w:t>ERPATSIEH</w:t>
            </w:r>
          </w:p>
        </w:tc>
        <w:tc>
          <w:tcPr>
            <w:tcW w:w="7938" w:type="dxa"/>
          </w:tcPr>
          <w:p w14:paraId="1972FB54" w14:textId="77777777" w:rsidR="002D0456" w:rsidRPr="005F426F" w:rsidRDefault="002D0456"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rsidRPr="005F426F">
              <w:t>Expert Reference Panel on Aboriginal and Torres Strait Islander Environmental Health</w:t>
            </w:r>
          </w:p>
        </w:tc>
      </w:tr>
      <w:tr w:rsidR="002D0456" w:rsidRPr="000767C6" w14:paraId="66D9E048" w14:textId="77777777" w:rsidTr="00E006A3">
        <w:trPr>
          <w:trHeight w:val="476"/>
        </w:trPr>
        <w:tc>
          <w:tcPr>
            <w:cnfStyle w:val="001000000000" w:firstRow="0" w:lastRow="0" w:firstColumn="1" w:lastColumn="0" w:oddVBand="0" w:evenVBand="0" w:oddHBand="0" w:evenHBand="0" w:firstRowFirstColumn="0" w:firstRowLastColumn="0" w:lastRowFirstColumn="0" w:lastRowLastColumn="0"/>
            <w:tcW w:w="2263" w:type="dxa"/>
          </w:tcPr>
          <w:p w14:paraId="28DAF7CB" w14:textId="77777777" w:rsidR="002D0456" w:rsidRPr="005F426F" w:rsidRDefault="002D0456" w:rsidP="00B16887">
            <w:pPr>
              <w:pStyle w:val="Heading3"/>
              <w:outlineLvl w:val="2"/>
              <w:rPr>
                <w:b/>
              </w:rPr>
            </w:pPr>
            <w:r w:rsidRPr="005F426F">
              <w:t>Health</w:t>
            </w:r>
          </w:p>
        </w:tc>
        <w:tc>
          <w:tcPr>
            <w:tcW w:w="7938" w:type="dxa"/>
          </w:tcPr>
          <w:p w14:paraId="7360E263"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Shortened name for the Australian Government Department of Health</w:t>
            </w:r>
          </w:p>
        </w:tc>
      </w:tr>
      <w:tr w:rsidR="002D0456" w:rsidRPr="000767C6" w14:paraId="46958358" w14:textId="77777777" w:rsidTr="00E006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3" w:type="dxa"/>
          </w:tcPr>
          <w:p w14:paraId="4F7E0EC9" w14:textId="77777777" w:rsidR="002D0456" w:rsidRPr="005F426F" w:rsidRDefault="002D0456" w:rsidP="00B16887">
            <w:pPr>
              <w:pStyle w:val="Heading3"/>
              <w:numPr>
                <w:ilvl w:val="0"/>
                <w:numId w:val="0"/>
              </w:numPr>
              <w:outlineLvl w:val="2"/>
              <w:rPr>
                <w:b/>
              </w:rPr>
            </w:pPr>
            <w:r w:rsidRPr="005F426F">
              <w:t>NHEMS</w:t>
            </w:r>
          </w:p>
        </w:tc>
        <w:tc>
          <w:tcPr>
            <w:tcW w:w="7938" w:type="dxa"/>
          </w:tcPr>
          <w:p w14:paraId="320A0CB0" w14:textId="77777777" w:rsidR="002D0456" w:rsidRPr="005F426F" w:rsidRDefault="002D0456"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rsidRPr="005F426F">
              <w:t>National Health Emergency Management Standing Committee</w:t>
            </w:r>
          </w:p>
        </w:tc>
      </w:tr>
      <w:tr w:rsidR="002D0456" w:rsidRPr="000767C6" w14:paraId="2FCC8EAF" w14:textId="77777777" w:rsidTr="00E006A3">
        <w:trPr>
          <w:trHeight w:val="460"/>
        </w:trPr>
        <w:tc>
          <w:tcPr>
            <w:cnfStyle w:val="001000000000" w:firstRow="0" w:lastRow="0" w:firstColumn="1" w:lastColumn="0" w:oddVBand="0" w:evenVBand="0" w:oddHBand="0" w:evenHBand="0" w:firstRowFirstColumn="0" w:firstRowLastColumn="0" w:lastRowFirstColumn="0" w:lastRowLastColumn="0"/>
            <w:tcW w:w="2263" w:type="dxa"/>
          </w:tcPr>
          <w:p w14:paraId="70DCA4C7" w14:textId="77777777" w:rsidR="002D0456" w:rsidRPr="005F426F" w:rsidRDefault="002D0456" w:rsidP="00B16887">
            <w:pPr>
              <w:pStyle w:val="Heading3"/>
              <w:numPr>
                <w:ilvl w:val="0"/>
                <w:numId w:val="0"/>
              </w:numPr>
              <w:outlineLvl w:val="2"/>
              <w:rPr>
                <w:b/>
              </w:rPr>
            </w:pPr>
            <w:r w:rsidRPr="005F426F">
              <w:t>NHMRC</w:t>
            </w:r>
          </w:p>
        </w:tc>
        <w:tc>
          <w:tcPr>
            <w:tcW w:w="7938" w:type="dxa"/>
          </w:tcPr>
          <w:p w14:paraId="5BAA5004"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The National Health and Medical Research Council</w:t>
            </w:r>
          </w:p>
        </w:tc>
      </w:tr>
      <w:tr w:rsidR="00454384" w:rsidRPr="000767C6" w14:paraId="3BDF02E3" w14:textId="77777777" w:rsidTr="00E006A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63" w:type="dxa"/>
          </w:tcPr>
          <w:p w14:paraId="558A9242" w14:textId="77777777" w:rsidR="00454384" w:rsidRPr="005F426F" w:rsidRDefault="00454384" w:rsidP="00B16887">
            <w:pPr>
              <w:pStyle w:val="Heading3"/>
              <w:numPr>
                <w:ilvl w:val="0"/>
                <w:numId w:val="0"/>
              </w:numPr>
              <w:outlineLvl w:val="2"/>
            </w:pPr>
            <w:r>
              <w:t>PFAS</w:t>
            </w:r>
          </w:p>
        </w:tc>
        <w:tc>
          <w:tcPr>
            <w:tcW w:w="7938" w:type="dxa"/>
          </w:tcPr>
          <w:p w14:paraId="4019E124" w14:textId="2B0249FA" w:rsidR="00454384" w:rsidRPr="005F426F" w:rsidRDefault="007403F7"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t xml:space="preserve">Per- and </w:t>
            </w:r>
            <w:r w:rsidR="008425A0">
              <w:t>p</w:t>
            </w:r>
            <w:r>
              <w:t>oly</w:t>
            </w:r>
            <w:r w:rsidR="008425A0">
              <w:t>-</w:t>
            </w:r>
            <w:r>
              <w:t xml:space="preserve">fluoroalkyl </w:t>
            </w:r>
            <w:r w:rsidR="008425A0">
              <w:t>s</w:t>
            </w:r>
            <w:r>
              <w:t>ubstances</w:t>
            </w:r>
          </w:p>
        </w:tc>
      </w:tr>
      <w:tr w:rsidR="002D0456" w:rsidRPr="000767C6" w14:paraId="0FC1E233" w14:textId="77777777" w:rsidTr="00E006A3">
        <w:trPr>
          <w:trHeight w:val="476"/>
        </w:trPr>
        <w:tc>
          <w:tcPr>
            <w:cnfStyle w:val="001000000000" w:firstRow="0" w:lastRow="0" w:firstColumn="1" w:lastColumn="0" w:oddVBand="0" w:evenVBand="0" w:oddHBand="0" w:evenHBand="0" w:firstRowFirstColumn="0" w:firstRowLastColumn="0" w:lastRowFirstColumn="0" w:lastRowLastColumn="0"/>
            <w:tcW w:w="2263" w:type="dxa"/>
          </w:tcPr>
          <w:p w14:paraId="757E8C03" w14:textId="77777777" w:rsidR="002D0456" w:rsidRPr="005F426F" w:rsidRDefault="002D0456" w:rsidP="00B16887">
            <w:pPr>
              <w:pStyle w:val="Heading3"/>
              <w:numPr>
                <w:ilvl w:val="0"/>
                <w:numId w:val="0"/>
              </w:numPr>
              <w:outlineLvl w:val="2"/>
              <w:rPr>
                <w:b/>
              </w:rPr>
            </w:pPr>
            <w:r w:rsidRPr="005F426F">
              <w:t>PHLN</w:t>
            </w:r>
          </w:p>
        </w:tc>
        <w:tc>
          <w:tcPr>
            <w:tcW w:w="7938" w:type="dxa"/>
          </w:tcPr>
          <w:p w14:paraId="12CE4F38" w14:textId="77777777"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Public Health Laboratories Network</w:t>
            </w:r>
          </w:p>
        </w:tc>
      </w:tr>
      <w:tr w:rsidR="00454384" w:rsidRPr="000767C6" w14:paraId="138200F8" w14:textId="77777777" w:rsidTr="00E006A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63" w:type="dxa"/>
          </w:tcPr>
          <w:p w14:paraId="1C0F839D" w14:textId="77777777" w:rsidR="00454384" w:rsidRPr="005F426F" w:rsidRDefault="00454384" w:rsidP="00B16887">
            <w:pPr>
              <w:pStyle w:val="Heading3"/>
              <w:numPr>
                <w:ilvl w:val="0"/>
                <w:numId w:val="0"/>
              </w:numPr>
              <w:outlineLvl w:val="2"/>
            </w:pPr>
            <w:r>
              <w:t>RHERP</w:t>
            </w:r>
          </w:p>
        </w:tc>
        <w:tc>
          <w:tcPr>
            <w:tcW w:w="7938" w:type="dxa"/>
          </w:tcPr>
          <w:p w14:paraId="1A38E3A5" w14:textId="77777777" w:rsidR="00454384" w:rsidRPr="005F426F" w:rsidRDefault="007403F7"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t>Radiation Health Expert Reference Panel</w:t>
            </w:r>
          </w:p>
        </w:tc>
      </w:tr>
      <w:tr w:rsidR="002D0456" w:rsidRPr="000767C6" w14:paraId="62EEA718" w14:textId="77777777" w:rsidTr="00E006A3">
        <w:trPr>
          <w:trHeight w:val="476"/>
        </w:trPr>
        <w:tc>
          <w:tcPr>
            <w:cnfStyle w:val="001000000000" w:firstRow="0" w:lastRow="0" w:firstColumn="1" w:lastColumn="0" w:oddVBand="0" w:evenVBand="0" w:oddHBand="0" w:evenHBand="0" w:firstRowFirstColumn="0" w:firstRowLastColumn="0" w:lastRowFirstColumn="0" w:lastRowLastColumn="0"/>
            <w:tcW w:w="2263" w:type="dxa"/>
          </w:tcPr>
          <w:p w14:paraId="7D6BDD44" w14:textId="77777777" w:rsidR="002D0456" w:rsidRPr="005F426F" w:rsidRDefault="002D0456" w:rsidP="00B16887">
            <w:pPr>
              <w:pStyle w:val="Heading3"/>
              <w:numPr>
                <w:ilvl w:val="0"/>
                <w:numId w:val="0"/>
              </w:numPr>
              <w:outlineLvl w:val="2"/>
            </w:pPr>
            <w:r w:rsidRPr="005F426F">
              <w:t>WHO</w:t>
            </w:r>
          </w:p>
        </w:tc>
        <w:tc>
          <w:tcPr>
            <w:tcW w:w="7938" w:type="dxa"/>
          </w:tcPr>
          <w:p w14:paraId="2E147C3B" w14:textId="1842B5A1" w:rsidR="002D0456" w:rsidRPr="005F426F" w:rsidRDefault="002D0456" w:rsidP="00B16887">
            <w:pPr>
              <w:pStyle w:val="Heading3"/>
              <w:numPr>
                <w:ilvl w:val="0"/>
                <w:numId w:val="0"/>
              </w:numPr>
              <w:outlineLvl w:val="2"/>
              <w:cnfStyle w:val="000000000000" w:firstRow="0" w:lastRow="0" w:firstColumn="0" w:lastColumn="0" w:oddVBand="0" w:evenVBand="0" w:oddHBand="0" w:evenHBand="0" w:firstRowFirstColumn="0" w:firstRowLastColumn="0" w:lastRowFirstColumn="0" w:lastRowLastColumn="0"/>
            </w:pPr>
            <w:r w:rsidRPr="005F426F">
              <w:t>World Health Organi</w:t>
            </w:r>
            <w:r w:rsidR="00E80698">
              <w:t>z</w:t>
            </w:r>
            <w:r w:rsidRPr="005F426F">
              <w:t>ation</w:t>
            </w:r>
          </w:p>
        </w:tc>
      </w:tr>
      <w:tr w:rsidR="002D0456" w:rsidRPr="000767C6" w14:paraId="412AE206" w14:textId="77777777" w:rsidTr="00E006A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63" w:type="dxa"/>
          </w:tcPr>
          <w:p w14:paraId="788D1E61" w14:textId="77777777" w:rsidR="002D0456" w:rsidRPr="005F426F" w:rsidRDefault="00454384" w:rsidP="00B16887">
            <w:pPr>
              <w:pStyle w:val="Heading3"/>
              <w:numPr>
                <w:ilvl w:val="0"/>
                <w:numId w:val="0"/>
              </w:numPr>
              <w:outlineLvl w:val="2"/>
            </w:pPr>
            <w:r>
              <w:t>WQERP</w:t>
            </w:r>
          </w:p>
        </w:tc>
        <w:tc>
          <w:tcPr>
            <w:tcW w:w="7938" w:type="dxa"/>
          </w:tcPr>
          <w:p w14:paraId="58D36733" w14:textId="7DC0A451" w:rsidR="002D0456" w:rsidRPr="005F426F" w:rsidRDefault="007403F7" w:rsidP="00B16887">
            <w:pPr>
              <w:pStyle w:val="Heading3"/>
              <w:numPr>
                <w:ilvl w:val="0"/>
                <w:numId w:val="0"/>
              </w:numPr>
              <w:outlineLvl w:val="2"/>
              <w:cnfStyle w:val="000000100000" w:firstRow="0" w:lastRow="0" w:firstColumn="0" w:lastColumn="0" w:oddVBand="0" w:evenVBand="0" w:oddHBand="1" w:evenHBand="0" w:firstRowFirstColumn="0" w:firstRowLastColumn="0" w:lastRowFirstColumn="0" w:lastRowLastColumn="0"/>
            </w:pPr>
            <w:r>
              <w:t xml:space="preserve">Water </w:t>
            </w:r>
            <w:r w:rsidR="00A27736">
              <w:t>Q</w:t>
            </w:r>
            <w:r>
              <w:t>uality Expert Reference Panel</w:t>
            </w:r>
          </w:p>
        </w:tc>
      </w:tr>
    </w:tbl>
    <w:p w14:paraId="252DD97F" w14:textId="77777777" w:rsidR="002D0456" w:rsidRDefault="002D0456" w:rsidP="002D0456">
      <w:pPr>
        <w:pStyle w:val="PFNumLevel2"/>
        <w:numPr>
          <w:ilvl w:val="0"/>
          <w:numId w:val="0"/>
        </w:numPr>
        <w:spacing w:before="0" w:after="0" w:line="240" w:lineRule="auto"/>
        <w:rPr>
          <w:rFonts w:asciiTheme="minorHAnsi" w:hAnsiTheme="minorHAnsi" w:cs="Arial"/>
          <w:color w:val="auto"/>
          <w:sz w:val="22"/>
          <w:szCs w:val="22"/>
        </w:rPr>
      </w:pPr>
    </w:p>
    <w:p w14:paraId="6AFDA464" w14:textId="77777777" w:rsidR="00FA73D2" w:rsidRPr="005F426F" w:rsidRDefault="00FA73D2" w:rsidP="005F426F">
      <w:pPr>
        <w:pStyle w:val="Heading1"/>
        <w:numPr>
          <w:ilvl w:val="0"/>
          <w:numId w:val="0"/>
        </w:numPr>
        <w:rPr>
          <w:rFonts w:ascii="Arial" w:hAnsi="Arial"/>
          <w:caps/>
          <w:color w:val="365F91" w:themeColor="accent1" w:themeShade="BF"/>
          <w:sz w:val="32"/>
        </w:rPr>
      </w:pPr>
      <w:bookmarkStart w:id="286" w:name="_Toc58502817"/>
      <w:r w:rsidRPr="005F426F">
        <w:rPr>
          <w:rFonts w:ascii="Arial" w:hAnsi="Arial"/>
          <w:caps/>
          <w:sz w:val="32"/>
        </w:rPr>
        <w:lastRenderedPageBreak/>
        <w:t xml:space="preserve">Appendix </w:t>
      </w:r>
      <w:r w:rsidR="00FF7082">
        <w:rPr>
          <w:rFonts w:ascii="Arial" w:hAnsi="Arial"/>
          <w:caps/>
          <w:sz w:val="32"/>
        </w:rPr>
        <w:t>1</w:t>
      </w:r>
      <w:r w:rsidRPr="005F426F">
        <w:rPr>
          <w:rFonts w:ascii="Arial" w:hAnsi="Arial"/>
          <w:caps/>
          <w:sz w:val="32"/>
        </w:rPr>
        <w:t>:  enHealth stakeholders</w:t>
      </w:r>
      <w:bookmarkEnd w:id="286"/>
    </w:p>
    <w:tbl>
      <w:tblPr>
        <w:tblStyle w:val="ListTable3-Accent31"/>
        <w:tblW w:w="10774" w:type="dxa"/>
        <w:tblInd w:w="-289" w:type="dxa"/>
        <w:tblLook w:val="04A0" w:firstRow="1" w:lastRow="0" w:firstColumn="1" w:lastColumn="0" w:noHBand="0" w:noVBand="1"/>
        <w:tblCaption w:val="enHealth Stakeholders"/>
        <w:tblDescription w:val="This table provides a list of enHealth stakeholders. "/>
      </w:tblPr>
      <w:tblGrid>
        <w:gridCol w:w="5876"/>
        <w:gridCol w:w="4898"/>
      </w:tblGrid>
      <w:tr w:rsidR="00AE0FEF" w:rsidRPr="00AE0FEF" w14:paraId="7A3B2BEF" w14:textId="77777777" w:rsidTr="00534C6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5876" w:type="dxa"/>
          </w:tcPr>
          <w:p w14:paraId="1F988691" w14:textId="77777777" w:rsidR="00FA73D2" w:rsidRPr="005F426F" w:rsidRDefault="00FA73D2" w:rsidP="00AE0FEF">
            <w:pPr>
              <w:pStyle w:val="BodyText1"/>
              <w:ind w:left="0"/>
              <w:rPr>
                <w:rFonts w:ascii="Arial" w:eastAsia="Batang" w:hAnsi="Arial" w:cs="Arial"/>
                <w:sz w:val="20"/>
              </w:rPr>
            </w:pPr>
            <w:r w:rsidRPr="005F426F">
              <w:rPr>
                <w:rFonts w:ascii="Arial" w:eastAsia="Batang" w:hAnsi="Arial" w:cs="Arial"/>
                <w:sz w:val="20"/>
              </w:rPr>
              <w:t>Title</w:t>
            </w:r>
          </w:p>
        </w:tc>
        <w:tc>
          <w:tcPr>
            <w:tcW w:w="4898" w:type="dxa"/>
          </w:tcPr>
          <w:p w14:paraId="396F346E" w14:textId="77777777" w:rsidR="00FA73D2" w:rsidRPr="005F426F" w:rsidRDefault="00FA73D2" w:rsidP="00AE0FEF">
            <w:pPr>
              <w:pStyle w:val="BodyText1"/>
              <w:ind w:left="0"/>
              <w:cnfStyle w:val="100000000000" w:firstRow="1" w:lastRow="0" w:firstColumn="0" w:lastColumn="0" w:oddVBand="0" w:evenVBand="0" w:oddHBand="0" w:evenHBand="0" w:firstRowFirstColumn="0" w:firstRowLastColumn="0" w:lastRowFirstColumn="0" w:lastRowLastColumn="0"/>
              <w:rPr>
                <w:rFonts w:ascii="Arial" w:eastAsia="Batang" w:hAnsi="Arial" w:cs="Arial"/>
                <w:sz w:val="20"/>
              </w:rPr>
            </w:pPr>
            <w:r w:rsidRPr="005F426F">
              <w:rPr>
                <w:rFonts w:ascii="Arial" w:eastAsia="Batang" w:hAnsi="Arial" w:cs="Arial"/>
                <w:sz w:val="20"/>
              </w:rPr>
              <w:t>Linkage issue</w:t>
            </w:r>
            <w:r w:rsidR="006E554A" w:rsidRPr="005F426F">
              <w:rPr>
                <w:rFonts w:ascii="Arial" w:eastAsia="Batang" w:hAnsi="Arial" w:cs="Arial"/>
                <w:sz w:val="20"/>
              </w:rPr>
              <w:t>/s</w:t>
            </w:r>
          </w:p>
        </w:tc>
      </w:tr>
      <w:tr w:rsidR="00827EE2" w:rsidRPr="00AE0FEF" w14:paraId="5C516EF6"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4B117712"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Asbestos Safety and Eradication Agency (ASEA)</w:t>
            </w:r>
          </w:p>
        </w:tc>
        <w:tc>
          <w:tcPr>
            <w:tcW w:w="4898" w:type="dxa"/>
          </w:tcPr>
          <w:p w14:paraId="7811C221" w14:textId="77777777" w:rsidR="00827EE2" w:rsidRPr="005F426F" w:rsidRDefault="00827EE2"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Asbestos</w:t>
            </w:r>
          </w:p>
        </w:tc>
      </w:tr>
      <w:tr w:rsidR="00827EE2" w:rsidRPr="00AE0FEF" w14:paraId="32B53810"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B1AC0B0"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Australian Bureau of Statistics (ABS)</w:t>
            </w:r>
          </w:p>
        </w:tc>
        <w:tc>
          <w:tcPr>
            <w:tcW w:w="4898" w:type="dxa"/>
          </w:tcPr>
          <w:p w14:paraId="0C5EFA4E" w14:textId="77777777" w:rsidR="00827EE2" w:rsidRPr="005F426F" w:rsidRDefault="00827EE2" w:rsidP="00B71120">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Australian Health Survey and biomonitoring</w:t>
            </w:r>
          </w:p>
        </w:tc>
      </w:tr>
      <w:tr w:rsidR="00827EE2" w:rsidRPr="00AE0FEF" w14:paraId="63232ED2"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6D347A5A"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Australian Building Codes Board (ABCB)</w:t>
            </w:r>
          </w:p>
        </w:tc>
        <w:tc>
          <w:tcPr>
            <w:tcW w:w="4898" w:type="dxa"/>
          </w:tcPr>
          <w:p w14:paraId="1146C5E9" w14:textId="7630247F" w:rsidR="00827EE2" w:rsidRPr="005F426F" w:rsidRDefault="00827EE2" w:rsidP="00EE0A23">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sidRPr="00175B47">
              <w:rPr>
                <w:rFonts w:ascii="Arial" w:eastAsia="Batang" w:hAnsi="Arial" w:cs="Arial"/>
                <w:sz w:val="20"/>
              </w:rPr>
              <w:t>Lead in plumbing products</w:t>
            </w:r>
            <w:r>
              <w:rPr>
                <w:rFonts w:ascii="Arial" w:eastAsia="Batang" w:hAnsi="Arial" w:cs="Arial"/>
                <w:sz w:val="20"/>
              </w:rPr>
              <w:t>, w</w:t>
            </w:r>
            <w:r w:rsidRPr="00175B47">
              <w:rPr>
                <w:rFonts w:ascii="Arial" w:eastAsia="Batang" w:hAnsi="Arial" w:cs="Arial"/>
                <w:sz w:val="20"/>
              </w:rPr>
              <w:t>arm water systems</w:t>
            </w:r>
            <w:r>
              <w:rPr>
                <w:rFonts w:ascii="Arial" w:eastAsia="Batang" w:hAnsi="Arial" w:cs="Arial"/>
                <w:sz w:val="20"/>
              </w:rPr>
              <w:t>, r</w:t>
            </w:r>
            <w:r w:rsidRPr="00175B47">
              <w:rPr>
                <w:rFonts w:ascii="Arial" w:eastAsia="Batang" w:hAnsi="Arial" w:cs="Arial"/>
                <w:sz w:val="20"/>
              </w:rPr>
              <w:t>ecirculating shower systems</w:t>
            </w:r>
            <w:r>
              <w:rPr>
                <w:rFonts w:ascii="Arial" w:eastAsia="Batang" w:hAnsi="Arial" w:cs="Arial"/>
                <w:sz w:val="20"/>
              </w:rPr>
              <w:t xml:space="preserve">, </w:t>
            </w:r>
            <w:r w:rsidR="00C879F8">
              <w:rPr>
                <w:rFonts w:ascii="Arial" w:eastAsia="Batang" w:hAnsi="Arial" w:cs="Arial"/>
                <w:sz w:val="20"/>
              </w:rPr>
              <w:t xml:space="preserve">building </w:t>
            </w:r>
            <w:r>
              <w:rPr>
                <w:rFonts w:ascii="Arial" w:eastAsia="Batang" w:hAnsi="Arial" w:cs="Arial"/>
                <w:sz w:val="20"/>
              </w:rPr>
              <w:t>heat stress</w:t>
            </w:r>
          </w:p>
        </w:tc>
      </w:tr>
      <w:tr w:rsidR="005813DB" w:rsidRPr="00AE0FEF" w14:paraId="07CB8971"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243F8F75" w14:textId="02A00A6A" w:rsidR="005813DB" w:rsidRPr="00E006A3" w:rsidRDefault="005813DB" w:rsidP="005813DB">
            <w:pPr>
              <w:pStyle w:val="BodyText1"/>
              <w:ind w:left="0"/>
              <w:rPr>
                <w:rFonts w:ascii="Arial" w:eastAsia="Batang" w:hAnsi="Arial" w:cs="Arial"/>
                <w:sz w:val="20"/>
              </w:rPr>
            </w:pPr>
            <w:r>
              <w:rPr>
                <w:rFonts w:ascii="Arial" w:eastAsia="Batang" w:hAnsi="Arial" w:cs="Arial"/>
                <w:b w:val="0"/>
                <w:sz w:val="20"/>
              </w:rPr>
              <w:t>Australian Industrial Chemicals Introduction Scheme</w:t>
            </w:r>
          </w:p>
        </w:tc>
        <w:tc>
          <w:tcPr>
            <w:tcW w:w="4898" w:type="dxa"/>
          </w:tcPr>
          <w:p w14:paraId="356F3EDE" w14:textId="126DA9F8" w:rsidR="005813DB" w:rsidRDefault="005813DB" w:rsidP="005813DB">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Tattoo inks, chemicals</w:t>
            </w:r>
          </w:p>
        </w:tc>
      </w:tr>
      <w:tr w:rsidR="00B71120" w:rsidRPr="00AE0FEF" w14:paraId="00091E66"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57C80A73" w14:textId="77777777" w:rsidR="00B71120" w:rsidRPr="00E006A3" w:rsidRDefault="00B71120" w:rsidP="00827EE2">
            <w:pPr>
              <w:pStyle w:val="BodyText1"/>
              <w:ind w:left="0"/>
              <w:rPr>
                <w:rFonts w:ascii="Arial" w:eastAsia="Batang" w:hAnsi="Arial" w:cs="Arial"/>
                <w:b w:val="0"/>
                <w:sz w:val="20"/>
              </w:rPr>
            </w:pPr>
            <w:r w:rsidRPr="00E006A3">
              <w:rPr>
                <w:rFonts w:ascii="Arial" w:eastAsia="Batang" w:hAnsi="Arial" w:cs="Arial"/>
                <w:b w:val="0"/>
                <w:sz w:val="20"/>
              </w:rPr>
              <w:t>Australian Pesticides and Veterinary Medicines Authority (APVMA)</w:t>
            </w:r>
          </w:p>
        </w:tc>
        <w:tc>
          <w:tcPr>
            <w:tcW w:w="4898" w:type="dxa"/>
          </w:tcPr>
          <w:p w14:paraId="3045C7A7" w14:textId="77777777" w:rsidR="00B71120" w:rsidRPr="00175B47" w:rsidRDefault="00B71120"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Pesticides, agricultural chemicals</w:t>
            </w:r>
          </w:p>
        </w:tc>
      </w:tr>
      <w:tr w:rsidR="00827EE2" w:rsidRPr="00AE0FEF" w14:paraId="3353DF71"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78DFE287"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Australian Radiation Protection and Nuclear Safety Agency (ARPANSA)</w:t>
            </w:r>
          </w:p>
        </w:tc>
        <w:tc>
          <w:tcPr>
            <w:tcW w:w="4898" w:type="dxa"/>
          </w:tcPr>
          <w:p w14:paraId="40024D14" w14:textId="77777777" w:rsidR="00827EE2" w:rsidRPr="005F426F"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sidRPr="00175B47">
              <w:rPr>
                <w:rFonts w:ascii="Arial" w:eastAsia="Batang" w:hAnsi="Arial" w:cs="Arial"/>
                <w:sz w:val="20"/>
              </w:rPr>
              <w:t xml:space="preserve">National </w:t>
            </w:r>
            <w:r>
              <w:rPr>
                <w:rFonts w:ascii="Arial" w:eastAsia="Batang" w:hAnsi="Arial" w:cs="Arial"/>
                <w:sz w:val="20"/>
              </w:rPr>
              <w:t>radiation and nuclear safety u</w:t>
            </w:r>
            <w:r w:rsidRPr="00175B47">
              <w:rPr>
                <w:rFonts w:ascii="Arial" w:eastAsia="Batang" w:hAnsi="Arial" w:cs="Arial"/>
                <w:sz w:val="20"/>
              </w:rPr>
              <w:t xml:space="preserve">niformity </w:t>
            </w:r>
            <w:r>
              <w:rPr>
                <w:rFonts w:ascii="Arial" w:eastAsia="Batang" w:hAnsi="Arial" w:cs="Arial"/>
                <w:sz w:val="20"/>
              </w:rPr>
              <w:t>a</w:t>
            </w:r>
            <w:r w:rsidRPr="00175B47">
              <w:rPr>
                <w:rFonts w:ascii="Arial" w:eastAsia="Batang" w:hAnsi="Arial" w:cs="Arial"/>
                <w:sz w:val="20"/>
              </w:rPr>
              <w:t>genda</w:t>
            </w:r>
          </w:p>
        </w:tc>
      </w:tr>
      <w:tr w:rsidR="00827EE2" w:rsidRPr="00AE0FEF" w14:paraId="0E463239" w14:textId="77777777" w:rsidTr="00B1688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3AFD076"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Bureau of Meteorology (BoM)</w:t>
            </w:r>
          </w:p>
        </w:tc>
        <w:tc>
          <w:tcPr>
            <w:tcW w:w="4898" w:type="dxa"/>
          </w:tcPr>
          <w:p w14:paraId="7ADD139C" w14:textId="77777777" w:rsidR="00827EE2" w:rsidRPr="005F426F" w:rsidRDefault="00827EE2"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Heatwaves, climate and other weather events</w:t>
            </w:r>
          </w:p>
        </w:tc>
      </w:tr>
      <w:tr w:rsidR="00C879F8" w:rsidRPr="00AE0FEF" w14:paraId="3BF18988"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1549E2F6" w14:textId="72980C59" w:rsidR="00C879F8" w:rsidRPr="00E006A3" w:rsidRDefault="00C879F8" w:rsidP="00827EE2">
            <w:pPr>
              <w:pStyle w:val="BodyText1"/>
              <w:ind w:left="0"/>
              <w:rPr>
                <w:rFonts w:ascii="Arial" w:eastAsia="Batang" w:hAnsi="Arial" w:cs="Arial"/>
                <w:b w:val="0"/>
                <w:sz w:val="20"/>
              </w:rPr>
            </w:pPr>
            <w:r w:rsidRPr="00E006A3">
              <w:rPr>
                <w:rFonts w:ascii="Arial" w:eastAsia="Batang" w:hAnsi="Arial" w:cs="Arial"/>
                <w:b w:val="0"/>
                <w:sz w:val="20"/>
              </w:rPr>
              <w:t>Department of Agriculture, Water and Environment (DAWE)</w:t>
            </w:r>
          </w:p>
        </w:tc>
        <w:tc>
          <w:tcPr>
            <w:tcW w:w="4898" w:type="dxa"/>
          </w:tcPr>
          <w:p w14:paraId="4E94C25F" w14:textId="2862CBB6" w:rsidR="00C879F8" w:rsidRDefault="00C879F8"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Agriculture, water and environment matters</w:t>
            </w:r>
          </w:p>
        </w:tc>
      </w:tr>
      <w:tr w:rsidR="00827EE2" w:rsidRPr="00AE0FEF" w14:paraId="66B9EC28"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6017393" w14:textId="18D66633"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Department of Education</w:t>
            </w:r>
            <w:r w:rsidR="00C14982" w:rsidRPr="00E006A3">
              <w:rPr>
                <w:rFonts w:ascii="Arial" w:eastAsia="Batang" w:hAnsi="Arial" w:cs="Arial"/>
                <w:b w:val="0"/>
                <w:sz w:val="20"/>
              </w:rPr>
              <w:t>, Skills and Employment</w:t>
            </w:r>
            <w:r w:rsidR="00C879F8" w:rsidRPr="00E006A3">
              <w:rPr>
                <w:rFonts w:ascii="Arial" w:eastAsia="Batang" w:hAnsi="Arial" w:cs="Arial"/>
                <w:b w:val="0"/>
                <w:sz w:val="20"/>
              </w:rPr>
              <w:t xml:space="preserve"> (</w:t>
            </w:r>
            <w:proofErr w:type="spellStart"/>
            <w:r w:rsidR="00C879F8" w:rsidRPr="00E006A3">
              <w:rPr>
                <w:rFonts w:ascii="Arial" w:eastAsia="Batang" w:hAnsi="Arial" w:cs="Arial"/>
                <w:b w:val="0"/>
                <w:sz w:val="20"/>
              </w:rPr>
              <w:t>DoESE</w:t>
            </w:r>
            <w:proofErr w:type="spellEnd"/>
            <w:r w:rsidR="00C879F8" w:rsidRPr="00E006A3">
              <w:rPr>
                <w:rFonts w:ascii="Arial" w:eastAsia="Batang" w:hAnsi="Arial" w:cs="Arial"/>
                <w:b w:val="0"/>
                <w:sz w:val="20"/>
              </w:rPr>
              <w:t>)</w:t>
            </w:r>
          </w:p>
        </w:tc>
        <w:tc>
          <w:tcPr>
            <w:tcW w:w="4898" w:type="dxa"/>
          </w:tcPr>
          <w:p w14:paraId="70BB9116" w14:textId="4CD41AB4" w:rsidR="00827EE2" w:rsidRDefault="00B71120"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Metals</w:t>
            </w:r>
            <w:r w:rsidR="00827EE2">
              <w:rPr>
                <w:rFonts w:ascii="Arial" w:eastAsia="Batang" w:hAnsi="Arial" w:cs="Arial"/>
                <w:sz w:val="20"/>
              </w:rPr>
              <w:t xml:space="preserve"> in plumbing</w:t>
            </w:r>
            <w:r w:rsidR="00C14982">
              <w:rPr>
                <w:rFonts w:ascii="Arial" w:eastAsia="Batang" w:hAnsi="Arial" w:cs="Arial"/>
                <w:sz w:val="20"/>
              </w:rPr>
              <w:t>, workforce</w:t>
            </w:r>
          </w:p>
        </w:tc>
      </w:tr>
      <w:tr w:rsidR="00827EE2" w:rsidRPr="0000378B" w14:paraId="0F1C1030"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05A59B6B" w14:textId="02E3913E" w:rsidR="00827EE2" w:rsidRPr="00E006A3" w:rsidRDefault="00827EE2" w:rsidP="00EE0A23">
            <w:pPr>
              <w:pStyle w:val="BodyText1"/>
              <w:ind w:left="0"/>
              <w:rPr>
                <w:rFonts w:ascii="Arial" w:eastAsia="Batang" w:hAnsi="Arial" w:cs="Arial"/>
                <w:b w:val="0"/>
                <w:sz w:val="20"/>
              </w:rPr>
            </w:pPr>
            <w:r w:rsidRPr="00E006A3">
              <w:rPr>
                <w:rFonts w:ascii="Arial" w:eastAsia="Batang" w:hAnsi="Arial" w:cs="Arial"/>
                <w:b w:val="0"/>
                <w:sz w:val="20"/>
              </w:rPr>
              <w:t xml:space="preserve">Department of </w:t>
            </w:r>
            <w:r w:rsidR="00C14982" w:rsidRPr="00E006A3">
              <w:rPr>
                <w:rFonts w:ascii="Arial" w:eastAsia="Batang" w:hAnsi="Arial" w:cs="Arial"/>
                <w:b w:val="0"/>
                <w:sz w:val="20"/>
              </w:rPr>
              <w:t>Industry, Science, Energy and Resources</w:t>
            </w:r>
            <w:r w:rsidRPr="00E006A3">
              <w:rPr>
                <w:rFonts w:ascii="Arial" w:eastAsia="Batang" w:hAnsi="Arial" w:cs="Arial"/>
                <w:b w:val="0"/>
                <w:sz w:val="20"/>
              </w:rPr>
              <w:t xml:space="preserve"> (D</w:t>
            </w:r>
            <w:r w:rsidR="00C14982" w:rsidRPr="00E006A3">
              <w:rPr>
                <w:rFonts w:ascii="Arial" w:eastAsia="Batang" w:hAnsi="Arial" w:cs="Arial"/>
                <w:b w:val="0"/>
                <w:sz w:val="20"/>
              </w:rPr>
              <w:t>ISER</w:t>
            </w:r>
            <w:r w:rsidRPr="00E006A3">
              <w:rPr>
                <w:rFonts w:ascii="Arial" w:eastAsia="Batang" w:hAnsi="Arial" w:cs="Arial"/>
                <w:b w:val="0"/>
                <w:sz w:val="20"/>
              </w:rPr>
              <w:t>)</w:t>
            </w:r>
          </w:p>
        </w:tc>
        <w:tc>
          <w:tcPr>
            <w:tcW w:w="4898" w:type="dxa"/>
          </w:tcPr>
          <w:p w14:paraId="3D480607" w14:textId="620F0759" w:rsidR="00827EE2" w:rsidRPr="005138A7" w:rsidRDefault="00C879F8" w:rsidP="00EE0A23">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Climate change, f</w:t>
            </w:r>
            <w:r w:rsidR="00827EE2">
              <w:rPr>
                <w:rFonts w:ascii="Arial" w:eastAsia="Batang" w:hAnsi="Arial" w:cs="Arial"/>
                <w:sz w:val="20"/>
              </w:rPr>
              <w:t>uel standards</w:t>
            </w:r>
          </w:p>
        </w:tc>
      </w:tr>
      <w:tr w:rsidR="00C879F8" w:rsidRPr="0000378B" w14:paraId="76281C30" w14:textId="77777777" w:rsidTr="00C879F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662D19DC" w14:textId="4C169AC0" w:rsidR="00C879F8" w:rsidRPr="00E006A3" w:rsidRDefault="00C879F8" w:rsidP="00C14982">
            <w:pPr>
              <w:pStyle w:val="BodyText1"/>
              <w:ind w:left="0"/>
              <w:rPr>
                <w:rFonts w:ascii="Arial" w:eastAsia="Batang" w:hAnsi="Arial" w:cs="Arial"/>
                <w:b w:val="0"/>
                <w:sz w:val="20"/>
              </w:rPr>
            </w:pPr>
            <w:r w:rsidRPr="00E006A3">
              <w:rPr>
                <w:rFonts w:ascii="Arial" w:eastAsia="Batang" w:hAnsi="Arial" w:cs="Arial"/>
                <w:b w:val="0"/>
                <w:sz w:val="20"/>
              </w:rPr>
              <w:t>Environmental Health Australia (EHA)</w:t>
            </w:r>
          </w:p>
        </w:tc>
        <w:tc>
          <w:tcPr>
            <w:tcW w:w="4898" w:type="dxa"/>
          </w:tcPr>
          <w:p w14:paraId="6B45F72B" w14:textId="505AC3CB" w:rsidR="00C879F8" w:rsidRDefault="00C879F8" w:rsidP="00EE0A23">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 xml:space="preserve">Workforce, guidelines, professional body for EHPs </w:t>
            </w:r>
          </w:p>
        </w:tc>
      </w:tr>
      <w:tr w:rsidR="00827EE2" w:rsidRPr="0000378B" w14:paraId="3DBAA629"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42A5CC84"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Heads of EPAs Australia and New Zealand (HEPA)</w:t>
            </w:r>
          </w:p>
        </w:tc>
        <w:tc>
          <w:tcPr>
            <w:tcW w:w="4898" w:type="dxa"/>
          </w:tcPr>
          <w:p w14:paraId="6DA3BDF1" w14:textId="77777777" w:rsidR="00827EE2"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sidRPr="00175B47">
              <w:rPr>
                <w:rFonts w:ascii="Arial" w:eastAsia="Batang" w:hAnsi="Arial" w:cs="Arial"/>
                <w:sz w:val="20"/>
              </w:rPr>
              <w:t>P</w:t>
            </w:r>
            <w:r>
              <w:rPr>
                <w:rFonts w:ascii="Arial" w:eastAsia="Batang" w:hAnsi="Arial" w:cs="Arial"/>
                <w:sz w:val="20"/>
              </w:rPr>
              <w:t>er- and poly-fluoroalkyl substances (P</w:t>
            </w:r>
            <w:r w:rsidRPr="00175B47">
              <w:rPr>
                <w:rFonts w:ascii="Arial" w:eastAsia="Batang" w:hAnsi="Arial" w:cs="Arial"/>
                <w:sz w:val="20"/>
              </w:rPr>
              <w:t>FAS</w:t>
            </w:r>
            <w:r>
              <w:rPr>
                <w:rFonts w:ascii="Arial" w:eastAsia="Batang" w:hAnsi="Arial" w:cs="Arial"/>
                <w:sz w:val="20"/>
              </w:rPr>
              <w:t>)</w:t>
            </w:r>
          </w:p>
        </w:tc>
      </w:tr>
      <w:tr w:rsidR="00B71120" w:rsidRPr="0000378B" w14:paraId="38809D2B"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C85440B" w14:textId="77777777" w:rsidR="00B71120" w:rsidRPr="00E006A3" w:rsidRDefault="00B71120" w:rsidP="00827EE2">
            <w:pPr>
              <w:pStyle w:val="BodyText1"/>
              <w:ind w:left="0"/>
              <w:rPr>
                <w:rFonts w:ascii="Arial" w:eastAsia="Batang" w:hAnsi="Arial" w:cs="Arial"/>
                <w:b w:val="0"/>
                <w:sz w:val="20"/>
              </w:rPr>
            </w:pPr>
            <w:r w:rsidRPr="00E006A3">
              <w:rPr>
                <w:rFonts w:ascii="Arial" w:eastAsia="Batang" w:hAnsi="Arial" w:cs="Arial"/>
                <w:b w:val="0"/>
                <w:sz w:val="20"/>
              </w:rPr>
              <w:t>National Association of Testing Authorities</w:t>
            </w:r>
          </w:p>
        </w:tc>
        <w:tc>
          <w:tcPr>
            <w:tcW w:w="4898" w:type="dxa"/>
          </w:tcPr>
          <w:p w14:paraId="5F9028F8" w14:textId="77777777" w:rsidR="00B71120" w:rsidRPr="00175B47" w:rsidRDefault="00B71120"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Metals in plumbing</w:t>
            </w:r>
          </w:p>
        </w:tc>
      </w:tr>
      <w:tr w:rsidR="00827EE2" w:rsidRPr="0000378B" w14:paraId="5E8FBDE7"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91A43C0"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National Health and Medical Research Council (NHMRC)</w:t>
            </w:r>
          </w:p>
        </w:tc>
        <w:tc>
          <w:tcPr>
            <w:tcW w:w="4898" w:type="dxa"/>
          </w:tcPr>
          <w:p w14:paraId="3FA60161" w14:textId="77777777" w:rsidR="00827EE2" w:rsidRPr="005F426F"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Health-based guideline values, water quality, PFAS</w:t>
            </w:r>
            <w:r w:rsidR="00B71120">
              <w:rPr>
                <w:rFonts w:ascii="Arial" w:eastAsia="Batang" w:hAnsi="Arial" w:cs="Arial"/>
                <w:sz w:val="20"/>
              </w:rPr>
              <w:t>, fluoride</w:t>
            </w:r>
          </w:p>
        </w:tc>
      </w:tr>
      <w:tr w:rsidR="00827EE2" w:rsidRPr="0000378B" w14:paraId="7CF745B7"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563FC553"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Office of Chemical Safety (OCS)</w:t>
            </w:r>
          </w:p>
        </w:tc>
        <w:tc>
          <w:tcPr>
            <w:tcW w:w="4898" w:type="dxa"/>
          </w:tcPr>
          <w:p w14:paraId="6781E33B" w14:textId="328AA73D" w:rsidR="00827EE2" w:rsidRPr="005F426F" w:rsidRDefault="00827EE2"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sidRPr="00175B47">
              <w:rPr>
                <w:rFonts w:ascii="Arial" w:eastAsia="Batang" w:hAnsi="Arial" w:cs="Arial"/>
                <w:sz w:val="20"/>
              </w:rPr>
              <w:t xml:space="preserve">Tattoo </w:t>
            </w:r>
            <w:r w:rsidR="005A2DF6">
              <w:rPr>
                <w:rFonts w:ascii="Arial" w:eastAsia="Batang" w:hAnsi="Arial" w:cs="Arial"/>
                <w:sz w:val="20"/>
              </w:rPr>
              <w:t>i</w:t>
            </w:r>
            <w:r w:rsidRPr="00175B47">
              <w:rPr>
                <w:rFonts w:ascii="Arial" w:eastAsia="Batang" w:hAnsi="Arial" w:cs="Arial"/>
                <w:sz w:val="20"/>
              </w:rPr>
              <w:t>nk</w:t>
            </w:r>
            <w:r>
              <w:rPr>
                <w:rFonts w:ascii="Arial" w:eastAsia="Batang" w:hAnsi="Arial" w:cs="Arial"/>
                <w:sz w:val="20"/>
              </w:rPr>
              <w:t>s, chemicals</w:t>
            </w:r>
          </w:p>
        </w:tc>
      </w:tr>
      <w:tr w:rsidR="00B71120" w:rsidRPr="0000378B" w14:paraId="6853B486" w14:textId="77777777" w:rsidTr="00791A7B">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53A8447" w14:textId="77777777" w:rsidR="00B71120" w:rsidRPr="00E006A3" w:rsidRDefault="00B71120" w:rsidP="00827EE2">
            <w:pPr>
              <w:pStyle w:val="BodyText1"/>
              <w:ind w:left="0"/>
              <w:rPr>
                <w:rFonts w:ascii="Arial" w:eastAsia="Batang" w:hAnsi="Arial" w:cs="Arial"/>
                <w:b w:val="0"/>
                <w:sz w:val="20"/>
              </w:rPr>
            </w:pPr>
            <w:r w:rsidRPr="00E006A3">
              <w:rPr>
                <w:rFonts w:ascii="Arial" w:eastAsia="Batang" w:hAnsi="Arial" w:cs="Arial"/>
                <w:b w:val="0"/>
                <w:sz w:val="20"/>
              </w:rPr>
              <w:t>Therapeutic Goods Administration (TGA)</w:t>
            </w:r>
          </w:p>
        </w:tc>
        <w:tc>
          <w:tcPr>
            <w:tcW w:w="4898" w:type="dxa"/>
          </w:tcPr>
          <w:p w14:paraId="20F168F1" w14:textId="77777777" w:rsidR="00B71120" w:rsidRPr="00175B47" w:rsidRDefault="00B71120"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Fluoride, medicines and poisons</w:t>
            </w:r>
          </w:p>
        </w:tc>
      </w:tr>
      <w:tr w:rsidR="00B71120" w:rsidRPr="0000378B" w14:paraId="5E88AB27"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6E4163C0" w14:textId="77777777" w:rsidR="00B71120" w:rsidRPr="00E006A3" w:rsidRDefault="00B71120" w:rsidP="00827EE2">
            <w:pPr>
              <w:pStyle w:val="BodyText1"/>
              <w:ind w:left="0"/>
              <w:rPr>
                <w:rFonts w:ascii="Arial" w:eastAsia="Batang" w:hAnsi="Arial" w:cs="Arial"/>
                <w:b w:val="0"/>
                <w:sz w:val="20"/>
              </w:rPr>
            </w:pPr>
            <w:r w:rsidRPr="00E006A3">
              <w:rPr>
                <w:rFonts w:ascii="Arial" w:eastAsia="Batang" w:hAnsi="Arial" w:cs="Arial"/>
                <w:b w:val="0"/>
                <w:sz w:val="20"/>
              </w:rPr>
              <w:t>Water Services Association of Australia (WSAA)</w:t>
            </w:r>
          </w:p>
        </w:tc>
        <w:tc>
          <w:tcPr>
            <w:tcW w:w="4898" w:type="dxa"/>
          </w:tcPr>
          <w:p w14:paraId="5D9CAC3E" w14:textId="77777777" w:rsidR="00B71120" w:rsidRDefault="00B71120" w:rsidP="00B71120">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Water quality, metals in plumbing</w:t>
            </w:r>
          </w:p>
        </w:tc>
      </w:tr>
      <w:tr w:rsidR="00827EE2" w:rsidRPr="0000378B" w14:paraId="4FB5229D"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3C1ACED6"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Communicable Diseases Network Australia (CDNA) of AHPPC</w:t>
            </w:r>
          </w:p>
        </w:tc>
        <w:tc>
          <w:tcPr>
            <w:tcW w:w="4898" w:type="dxa"/>
          </w:tcPr>
          <w:p w14:paraId="6B7DAF26" w14:textId="77777777" w:rsidR="00827EE2" w:rsidRPr="005F426F"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Environmental health factors related to communicable diseases</w:t>
            </w:r>
          </w:p>
        </w:tc>
      </w:tr>
      <w:tr w:rsidR="00827EE2" w:rsidRPr="0000378B" w14:paraId="117357B9"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72FDCAC2"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National Health Emergency Management Standing Committee (NHEMS) of AHPPC</w:t>
            </w:r>
          </w:p>
        </w:tc>
        <w:tc>
          <w:tcPr>
            <w:tcW w:w="4898" w:type="dxa"/>
          </w:tcPr>
          <w:p w14:paraId="0D5859A2" w14:textId="2C6F5F2A" w:rsidR="00827EE2" w:rsidRPr="005F426F" w:rsidRDefault="00827EE2"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Environmental health emergency management</w:t>
            </w:r>
            <w:r w:rsidR="00C879F8">
              <w:rPr>
                <w:rFonts w:ascii="Arial" w:eastAsia="Batang" w:hAnsi="Arial" w:cs="Arial"/>
                <w:sz w:val="20"/>
              </w:rPr>
              <w:t>, climate change and heat waves</w:t>
            </w:r>
          </w:p>
        </w:tc>
      </w:tr>
      <w:tr w:rsidR="00827EE2" w:rsidRPr="0000378B" w14:paraId="07067EF4"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10F90CB5"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Public Health Laboratory Network (PHLN) of AHPPC</w:t>
            </w:r>
          </w:p>
        </w:tc>
        <w:tc>
          <w:tcPr>
            <w:tcW w:w="4898" w:type="dxa"/>
          </w:tcPr>
          <w:p w14:paraId="3D692D95" w14:textId="3FC8F560" w:rsidR="00827EE2" w:rsidRPr="005F426F"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 xml:space="preserve">Environmental health </w:t>
            </w:r>
            <w:r w:rsidR="00C879F8">
              <w:rPr>
                <w:rFonts w:ascii="Arial" w:eastAsia="Batang" w:hAnsi="Arial" w:cs="Arial"/>
                <w:sz w:val="20"/>
              </w:rPr>
              <w:t xml:space="preserve">testing and </w:t>
            </w:r>
            <w:r>
              <w:rPr>
                <w:rFonts w:ascii="Arial" w:eastAsia="Batang" w:hAnsi="Arial" w:cs="Arial"/>
                <w:sz w:val="20"/>
              </w:rPr>
              <w:t>laboratories</w:t>
            </w:r>
          </w:p>
        </w:tc>
      </w:tr>
      <w:tr w:rsidR="00827EE2" w:rsidRPr="0000378B" w14:paraId="104218C0" w14:textId="77777777" w:rsidTr="003949E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876" w:type="dxa"/>
          </w:tcPr>
          <w:p w14:paraId="1F41179B"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Australian Health Protection Principle Committee (AHPPC)</w:t>
            </w:r>
          </w:p>
        </w:tc>
        <w:tc>
          <w:tcPr>
            <w:tcW w:w="4898" w:type="dxa"/>
          </w:tcPr>
          <w:p w14:paraId="1F335B4B" w14:textId="77777777" w:rsidR="00827EE2" w:rsidRPr="005F426F" w:rsidRDefault="00827EE2" w:rsidP="00827EE2">
            <w:pPr>
              <w:pStyle w:val="BodyText1"/>
              <w:ind w:left="0"/>
              <w:cnfStyle w:val="000000100000" w:firstRow="0" w:lastRow="0" w:firstColumn="0" w:lastColumn="0" w:oddVBand="0" w:evenVBand="0" w:oddHBand="1" w:evenHBand="0" w:firstRowFirstColumn="0" w:firstRowLastColumn="0" w:lastRowFirstColumn="0" w:lastRowLastColumn="0"/>
              <w:rPr>
                <w:rFonts w:ascii="Arial" w:eastAsia="Batang" w:hAnsi="Arial" w:cs="Arial"/>
                <w:sz w:val="20"/>
              </w:rPr>
            </w:pPr>
            <w:r>
              <w:rPr>
                <w:rFonts w:ascii="Arial" w:eastAsia="Batang" w:hAnsi="Arial" w:cs="Arial"/>
                <w:sz w:val="20"/>
              </w:rPr>
              <w:t>enHealth is a Standing Committee of AHPPC</w:t>
            </w:r>
          </w:p>
        </w:tc>
      </w:tr>
      <w:tr w:rsidR="00827EE2" w:rsidRPr="0000378B" w14:paraId="764B65EF" w14:textId="77777777" w:rsidTr="003949E9">
        <w:trPr>
          <w:trHeight w:val="495"/>
        </w:trPr>
        <w:tc>
          <w:tcPr>
            <w:cnfStyle w:val="001000000000" w:firstRow="0" w:lastRow="0" w:firstColumn="1" w:lastColumn="0" w:oddVBand="0" w:evenVBand="0" w:oddHBand="0" w:evenHBand="0" w:firstRowFirstColumn="0" w:firstRowLastColumn="0" w:lastRowFirstColumn="0" w:lastRowLastColumn="0"/>
            <w:tcW w:w="5876" w:type="dxa"/>
          </w:tcPr>
          <w:p w14:paraId="52BC42AF" w14:textId="77777777" w:rsidR="00827EE2" w:rsidRPr="00E006A3" w:rsidRDefault="00827EE2" w:rsidP="00827EE2">
            <w:pPr>
              <w:pStyle w:val="BodyText1"/>
              <w:ind w:left="0"/>
              <w:rPr>
                <w:rFonts w:ascii="Arial" w:eastAsia="Batang" w:hAnsi="Arial" w:cs="Arial"/>
                <w:b w:val="0"/>
                <w:sz w:val="20"/>
              </w:rPr>
            </w:pPr>
            <w:r w:rsidRPr="00E006A3">
              <w:rPr>
                <w:rFonts w:ascii="Arial" w:eastAsia="Batang" w:hAnsi="Arial" w:cs="Arial"/>
                <w:b w:val="0"/>
                <w:sz w:val="20"/>
              </w:rPr>
              <w:t>Australian Health Ministers’ Advisory Council (AHMAC)</w:t>
            </w:r>
          </w:p>
        </w:tc>
        <w:tc>
          <w:tcPr>
            <w:tcW w:w="4898" w:type="dxa"/>
          </w:tcPr>
          <w:p w14:paraId="1B57119D" w14:textId="77777777" w:rsidR="00827EE2" w:rsidRPr="005F426F" w:rsidRDefault="00827EE2" w:rsidP="00827EE2">
            <w:pPr>
              <w:pStyle w:val="BodyText1"/>
              <w:ind w:left="0"/>
              <w:cnfStyle w:val="000000000000" w:firstRow="0" w:lastRow="0" w:firstColumn="0" w:lastColumn="0" w:oddVBand="0" w:evenVBand="0" w:oddHBand="0" w:evenHBand="0" w:firstRowFirstColumn="0" w:firstRowLastColumn="0" w:lastRowFirstColumn="0" w:lastRowLastColumn="0"/>
              <w:rPr>
                <w:rFonts w:ascii="Arial" w:eastAsia="Batang" w:hAnsi="Arial" w:cs="Arial"/>
                <w:sz w:val="20"/>
              </w:rPr>
            </w:pPr>
            <w:r>
              <w:rPr>
                <w:rFonts w:ascii="Arial" w:eastAsia="Batang" w:hAnsi="Arial" w:cs="Arial"/>
                <w:sz w:val="20"/>
              </w:rPr>
              <w:t>AHPPC is a Principal Committee of AHMAC</w:t>
            </w:r>
          </w:p>
        </w:tc>
      </w:tr>
    </w:tbl>
    <w:p w14:paraId="2FAE2BC0" w14:textId="77777777" w:rsidR="00480EC6" w:rsidRPr="005F426F" w:rsidRDefault="00480EC6" w:rsidP="00D911B4">
      <w:pPr>
        <w:pStyle w:val="Heading1"/>
        <w:numPr>
          <w:ilvl w:val="0"/>
          <w:numId w:val="0"/>
        </w:numPr>
        <w:rPr>
          <w:rFonts w:ascii="Arial" w:hAnsi="Arial"/>
          <w:caps/>
          <w:color w:val="365F91" w:themeColor="accent1" w:themeShade="BF"/>
          <w:sz w:val="32"/>
        </w:rPr>
      </w:pPr>
      <w:bookmarkStart w:id="287" w:name="FSANZ"/>
      <w:bookmarkStart w:id="288" w:name="_Toc58502818"/>
      <w:bookmarkEnd w:id="287"/>
      <w:r w:rsidRPr="007A1C9F">
        <w:rPr>
          <w:rFonts w:ascii="Arial" w:hAnsi="Arial"/>
          <w:caps/>
          <w:sz w:val="32"/>
        </w:rPr>
        <w:lastRenderedPageBreak/>
        <w:t xml:space="preserve">Appendix </w:t>
      </w:r>
      <w:r w:rsidR="00FF7082" w:rsidRPr="007A1C9F">
        <w:rPr>
          <w:rFonts w:ascii="Arial" w:hAnsi="Arial"/>
          <w:caps/>
          <w:sz w:val="32"/>
        </w:rPr>
        <w:t>2</w:t>
      </w:r>
      <w:r w:rsidRPr="007A1C9F">
        <w:rPr>
          <w:rFonts w:ascii="Arial" w:hAnsi="Arial"/>
          <w:caps/>
          <w:sz w:val="32"/>
        </w:rPr>
        <w:t xml:space="preserve">: </w:t>
      </w:r>
      <w:r w:rsidR="00F2213D" w:rsidRPr="005F426F">
        <w:rPr>
          <w:rFonts w:ascii="Arial" w:hAnsi="Arial"/>
          <w:caps/>
          <w:sz w:val="32"/>
        </w:rPr>
        <w:t>en</w:t>
      </w:r>
      <w:r w:rsidR="00C03106" w:rsidRPr="007A1C9F">
        <w:rPr>
          <w:rFonts w:ascii="Arial" w:hAnsi="Arial"/>
          <w:caps/>
          <w:sz w:val="32"/>
        </w:rPr>
        <w:t xml:space="preserve">HEALTH </w:t>
      </w:r>
      <w:r w:rsidR="00D911B4" w:rsidRPr="007A1C9F">
        <w:rPr>
          <w:rFonts w:ascii="Arial" w:hAnsi="Arial"/>
          <w:caps/>
          <w:sz w:val="32"/>
        </w:rPr>
        <w:t>expert reference</w:t>
      </w:r>
      <w:r w:rsidR="00D911B4" w:rsidRPr="005F426F">
        <w:rPr>
          <w:rFonts w:ascii="Arial" w:hAnsi="Arial"/>
          <w:caps/>
          <w:sz w:val="32"/>
        </w:rPr>
        <w:t xml:space="preserve"> p</w:t>
      </w:r>
      <w:r w:rsidR="003774BC" w:rsidRPr="005F426F">
        <w:rPr>
          <w:rFonts w:ascii="Arial" w:hAnsi="Arial"/>
          <w:caps/>
          <w:sz w:val="32"/>
        </w:rPr>
        <w:t>anels</w:t>
      </w:r>
      <w:bookmarkEnd w:id="288"/>
    </w:p>
    <w:p w14:paraId="47D12C15" w14:textId="77777777" w:rsidR="0089100B" w:rsidRPr="0089100B" w:rsidRDefault="0089100B" w:rsidP="0089100B">
      <w:pPr>
        <w:pStyle w:val="Heading2"/>
        <w:numPr>
          <w:ilvl w:val="0"/>
          <w:numId w:val="0"/>
        </w:numPr>
        <w:rPr>
          <w:rFonts w:eastAsia="Batang"/>
        </w:rPr>
      </w:pPr>
      <w:bookmarkStart w:id="289" w:name="_Toc58502819"/>
      <w:r w:rsidRPr="0089100B">
        <w:rPr>
          <w:rFonts w:eastAsia="Batang"/>
        </w:rPr>
        <w:t>Expert Reference Panel on Aboriginal and Torres Strait Islander Environmental Health (ERPATSIEH)</w:t>
      </w:r>
      <w:bookmarkEnd w:id="289"/>
    </w:p>
    <w:p w14:paraId="3E94F879" w14:textId="656F87F6" w:rsidR="0089100B" w:rsidRPr="000C1838" w:rsidRDefault="0089100B" w:rsidP="007A1C9F">
      <w:pPr>
        <w:pStyle w:val="BodyText1"/>
        <w:spacing w:after="120" w:line="276" w:lineRule="auto"/>
        <w:ind w:left="0"/>
        <w:rPr>
          <w:rFonts w:ascii="Arial" w:hAnsi="Arial" w:cs="Arial"/>
        </w:rPr>
      </w:pPr>
      <w:r w:rsidRPr="000C1838">
        <w:rPr>
          <w:rFonts w:ascii="Arial" w:hAnsi="Arial" w:cs="Arial"/>
        </w:rPr>
        <w:t>ERPATSI</w:t>
      </w:r>
      <w:r>
        <w:rPr>
          <w:rFonts w:ascii="Arial" w:hAnsi="Arial" w:cs="Arial"/>
        </w:rPr>
        <w:t>E</w:t>
      </w:r>
      <w:r w:rsidRPr="000C1838">
        <w:rPr>
          <w:rFonts w:ascii="Arial" w:hAnsi="Arial" w:cs="Arial"/>
        </w:rPr>
        <w:t xml:space="preserve">H works under the guidance of enHealth and with reference to this strategic plan </w:t>
      </w:r>
      <w:r w:rsidR="00AE7523">
        <w:rPr>
          <w:rFonts w:ascii="Arial" w:hAnsi="Arial" w:cs="Arial"/>
        </w:rPr>
        <w:t xml:space="preserve">and the </w:t>
      </w:r>
      <w:r w:rsidR="00AE7523" w:rsidRPr="003949E9">
        <w:rPr>
          <w:rFonts w:ascii="Arial" w:hAnsi="Arial" w:cs="Arial"/>
          <w:i/>
        </w:rPr>
        <w:t>ERPATSIEH Action Plan 2019-2023</w:t>
      </w:r>
      <w:r w:rsidR="00AE7523">
        <w:rPr>
          <w:rFonts w:ascii="Arial" w:hAnsi="Arial" w:cs="Arial"/>
        </w:rPr>
        <w:t xml:space="preserve"> </w:t>
      </w:r>
      <w:r w:rsidRPr="000C1838">
        <w:rPr>
          <w:rFonts w:ascii="Arial" w:hAnsi="Arial" w:cs="Arial"/>
        </w:rPr>
        <w:t>acts to fulfil its terms of reference of:</w:t>
      </w:r>
    </w:p>
    <w:p w14:paraId="740D0170" w14:textId="77777777" w:rsidR="0089100B" w:rsidRPr="000C1838" w:rsidRDefault="0089100B" w:rsidP="007A1C9F">
      <w:pPr>
        <w:pStyle w:val="BodyText1"/>
        <w:numPr>
          <w:ilvl w:val="0"/>
          <w:numId w:val="22"/>
        </w:numPr>
        <w:spacing w:after="120" w:line="276" w:lineRule="auto"/>
        <w:ind w:left="426" w:hanging="426"/>
        <w:rPr>
          <w:rFonts w:ascii="Arial" w:hAnsi="Arial" w:cs="Arial"/>
        </w:rPr>
      </w:pPr>
      <w:r w:rsidRPr="000C1838">
        <w:rPr>
          <w:rFonts w:ascii="Arial" w:hAnsi="Arial" w:cs="Arial"/>
        </w:rPr>
        <w:t>Advising enHealth on Aboriginal and Torres Strait Islander environmental health issues.</w:t>
      </w:r>
    </w:p>
    <w:p w14:paraId="31FD0A78" w14:textId="77777777" w:rsidR="0089100B" w:rsidRPr="000C1838" w:rsidRDefault="0089100B" w:rsidP="007A1C9F">
      <w:pPr>
        <w:pStyle w:val="BodyText1"/>
        <w:numPr>
          <w:ilvl w:val="0"/>
          <w:numId w:val="22"/>
        </w:numPr>
        <w:spacing w:after="120" w:line="276" w:lineRule="auto"/>
        <w:ind w:left="426" w:hanging="426"/>
        <w:rPr>
          <w:rFonts w:ascii="Arial" w:hAnsi="Arial" w:cs="Arial"/>
        </w:rPr>
      </w:pPr>
      <w:r w:rsidRPr="000C1838">
        <w:rPr>
          <w:rFonts w:ascii="Arial" w:hAnsi="Arial" w:cs="Arial"/>
        </w:rPr>
        <w:t>Supporting the review and development of national Aboriginal and Torres Strait Islander environmental health policy.</w:t>
      </w:r>
    </w:p>
    <w:p w14:paraId="53875CE8" w14:textId="77777777" w:rsidR="0089100B" w:rsidRPr="000C1838" w:rsidRDefault="0089100B" w:rsidP="007A1C9F">
      <w:pPr>
        <w:pStyle w:val="BodyText1"/>
        <w:numPr>
          <w:ilvl w:val="0"/>
          <w:numId w:val="22"/>
        </w:numPr>
        <w:spacing w:after="120" w:line="276" w:lineRule="auto"/>
        <w:ind w:left="426" w:hanging="426"/>
        <w:rPr>
          <w:rFonts w:ascii="Arial" w:hAnsi="Arial" w:cs="Arial"/>
        </w:rPr>
      </w:pPr>
      <w:r w:rsidRPr="000C1838">
        <w:rPr>
          <w:rFonts w:ascii="Arial" w:hAnsi="Arial" w:cs="Arial"/>
        </w:rPr>
        <w:t>Acting as a focal expert group for enHealth in promoting Aboriginal and Torres Strait Islander environmental health with relevant stakeholders.</w:t>
      </w:r>
    </w:p>
    <w:p w14:paraId="0B041CC8" w14:textId="77777777" w:rsidR="0089100B" w:rsidRPr="000C1838" w:rsidRDefault="0089100B" w:rsidP="005F426F">
      <w:pPr>
        <w:pStyle w:val="BodyText1"/>
        <w:numPr>
          <w:ilvl w:val="0"/>
          <w:numId w:val="22"/>
        </w:numPr>
        <w:spacing w:line="276" w:lineRule="auto"/>
        <w:ind w:left="426" w:hanging="426"/>
        <w:rPr>
          <w:rFonts w:ascii="Arial" w:hAnsi="Arial" w:cs="Arial"/>
        </w:rPr>
      </w:pPr>
      <w:r w:rsidRPr="000C1838">
        <w:rPr>
          <w:rFonts w:ascii="Arial" w:hAnsi="Arial" w:cs="Arial"/>
        </w:rPr>
        <w:t>Providing input and direction into the Aboriginal and Torres Strait Islander environmental health conference/workshops and other mainstream conferences relating to environmental health.</w:t>
      </w:r>
    </w:p>
    <w:p w14:paraId="37D0D8BB" w14:textId="77777777" w:rsidR="0089100B" w:rsidRPr="0089100B" w:rsidRDefault="0089100B" w:rsidP="0089100B">
      <w:pPr>
        <w:pStyle w:val="Heading2"/>
        <w:numPr>
          <w:ilvl w:val="0"/>
          <w:numId w:val="0"/>
        </w:numPr>
        <w:rPr>
          <w:rFonts w:eastAsia="Batang"/>
        </w:rPr>
      </w:pPr>
      <w:bookmarkStart w:id="290" w:name="_Toc58502820"/>
      <w:r w:rsidRPr="0089100B">
        <w:rPr>
          <w:rFonts w:eastAsia="Batang"/>
        </w:rPr>
        <w:t xml:space="preserve">Expert Reference Panel on Environmental Health (ERPEH, </w:t>
      </w:r>
      <w:r>
        <w:rPr>
          <w:rFonts w:eastAsia="Batang"/>
        </w:rPr>
        <w:t xml:space="preserve">formerly </w:t>
      </w:r>
      <w:r w:rsidRPr="0089100B">
        <w:rPr>
          <w:rFonts w:eastAsia="Batang"/>
        </w:rPr>
        <w:t>Technical Working Group</w:t>
      </w:r>
      <w:r>
        <w:rPr>
          <w:rFonts w:eastAsia="Batang"/>
        </w:rPr>
        <w:t xml:space="preserve"> on Environmental Health</w:t>
      </w:r>
      <w:r w:rsidRPr="0089100B">
        <w:rPr>
          <w:rFonts w:eastAsia="Batang"/>
        </w:rPr>
        <w:t>)</w:t>
      </w:r>
      <w:bookmarkEnd w:id="290"/>
    </w:p>
    <w:p w14:paraId="621760FD" w14:textId="528A83FF" w:rsidR="0089100B" w:rsidRPr="000C1838" w:rsidRDefault="0089100B" w:rsidP="007A1C9F">
      <w:pPr>
        <w:pStyle w:val="BodyText1"/>
        <w:spacing w:after="120" w:line="276" w:lineRule="auto"/>
        <w:ind w:left="0"/>
        <w:rPr>
          <w:rFonts w:ascii="Arial" w:eastAsia="Batang" w:hAnsi="Arial" w:cs="Arial"/>
        </w:rPr>
      </w:pPr>
      <w:r>
        <w:rPr>
          <w:rFonts w:ascii="Arial" w:hAnsi="Arial" w:cs="Arial"/>
        </w:rPr>
        <w:t>ERPEH</w:t>
      </w:r>
      <w:r w:rsidRPr="000C1838">
        <w:rPr>
          <w:rFonts w:ascii="Arial" w:hAnsi="Arial" w:cs="Arial"/>
        </w:rPr>
        <w:t xml:space="preserve"> acts to provide t</w:t>
      </w:r>
      <w:r w:rsidRPr="000C1838">
        <w:rPr>
          <w:rFonts w:ascii="Arial" w:eastAsia="Batang" w:hAnsi="Arial" w:cs="Arial"/>
        </w:rPr>
        <w:t>echnical guidance, which is evidence-based, effective and nationally consistent and that supports the protection of public health, in particular for the assessment, management and communication of risk.</w:t>
      </w:r>
      <w:r>
        <w:rPr>
          <w:rFonts w:ascii="Arial" w:eastAsia="Batang" w:hAnsi="Arial" w:cs="Arial"/>
        </w:rPr>
        <w:t xml:space="preserve"> It </w:t>
      </w:r>
      <w:r w:rsidRPr="000C1838">
        <w:rPr>
          <w:rFonts w:ascii="Arial" w:hAnsi="Arial" w:cs="Arial"/>
        </w:rPr>
        <w:t xml:space="preserve">works under the direction of enHealth </w:t>
      </w:r>
      <w:r w:rsidR="00AE7523">
        <w:rPr>
          <w:rFonts w:ascii="Arial" w:hAnsi="Arial" w:cs="Arial"/>
        </w:rPr>
        <w:t xml:space="preserve">and the </w:t>
      </w:r>
      <w:r w:rsidR="00AE7523" w:rsidRPr="003949E9">
        <w:rPr>
          <w:rFonts w:ascii="Arial" w:hAnsi="Arial" w:cs="Arial"/>
          <w:i/>
        </w:rPr>
        <w:t>ERPEH Work Plan 2020-23</w:t>
      </w:r>
      <w:r w:rsidR="00AE7523">
        <w:rPr>
          <w:rFonts w:ascii="Arial" w:hAnsi="Arial" w:cs="Arial"/>
        </w:rPr>
        <w:t xml:space="preserve"> </w:t>
      </w:r>
      <w:r w:rsidRPr="000C1838">
        <w:rPr>
          <w:rFonts w:ascii="Arial" w:hAnsi="Arial" w:cs="Arial"/>
        </w:rPr>
        <w:t>to fulfil its objectives, including:</w:t>
      </w:r>
    </w:p>
    <w:p w14:paraId="35F0A8B2" w14:textId="77777777" w:rsidR="0089100B" w:rsidRPr="000C1838" w:rsidRDefault="0089100B" w:rsidP="007A1C9F">
      <w:pPr>
        <w:pStyle w:val="BodyText1"/>
        <w:numPr>
          <w:ilvl w:val="1"/>
          <w:numId w:val="18"/>
        </w:numPr>
        <w:spacing w:after="120" w:line="276" w:lineRule="auto"/>
        <w:ind w:left="426" w:hanging="426"/>
        <w:rPr>
          <w:rFonts w:ascii="Arial" w:hAnsi="Arial" w:cs="Arial"/>
        </w:rPr>
      </w:pPr>
      <w:r w:rsidRPr="000C1838">
        <w:rPr>
          <w:rFonts w:ascii="Arial" w:hAnsi="Arial" w:cs="Arial"/>
        </w:rPr>
        <w:t>Providing technical guidance to enHealth and AHPPC on issues that concern the health effects of environmental issues.</w:t>
      </w:r>
    </w:p>
    <w:p w14:paraId="6C8485E2" w14:textId="77777777" w:rsidR="0089100B" w:rsidRPr="000C1838" w:rsidRDefault="0089100B" w:rsidP="007A1C9F">
      <w:pPr>
        <w:pStyle w:val="BodyText1"/>
        <w:numPr>
          <w:ilvl w:val="1"/>
          <w:numId w:val="18"/>
        </w:numPr>
        <w:spacing w:after="120" w:line="276" w:lineRule="auto"/>
        <w:ind w:left="426" w:hanging="426"/>
        <w:rPr>
          <w:rFonts w:ascii="Arial" w:hAnsi="Arial" w:cs="Arial"/>
        </w:rPr>
      </w:pPr>
      <w:r w:rsidRPr="000C1838">
        <w:rPr>
          <w:rFonts w:ascii="Arial" w:hAnsi="Arial" w:cs="Arial"/>
        </w:rPr>
        <w:t>Conduct</w:t>
      </w:r>
      <w:r w:rsidR="005A2DF6">
        <w:rPr>
          <w:rFonts w:ascii="Arial" w:hAnsi="Arial" w:cs="Arial"/>
        </w:rPr>
        <w:t>ing</w:t>
      </w:r>
      <w:r w:rsidRPr="000C1838">
        <w:rPr>
          <w:rFonts w:ascii="Arial" w:hAnsi="Arial" w:cs="Arial"/>
        </w:rPr>
        <w:t xml:space="preserve"> and oversee</w:t>
      </w:r>
      <w:r w:rsidR="005A2DF6">
        <w:rPr>
          <w:rFonts w:ascii="Arial" w:hAnsi="Arial" w:cs="Arial"/>
        </w:rPr>
        <w:t>ing</w:t>
      </w:r>
      <w:r w:rsidRPr="000C1838">
        <w:rPr>
          <w:rFonts w:ascii="Arial" w:hAnsi="Arial" w:cs="Arial"/>
        </w:rPr>
        <w:t xml:space="preserve"> projects on environmental health issues with human health impacts.</w:t>
      </w:r>
    </w:p>
    <w:p w14:paraId="33112B69" w14:textId="61E962CF" w:rsidR="0089100B" w:rsidRPr="000C1838" w:rsidRDefault="0089100B" w:rsidP="007A1C9F">
      <w:pPr>
        <w:pStyle w:val="BodyText1"/>
        <w:numPr>
          <w:ilvl w:val="1"/>
          <w:numId w:val="18"/>
        </w:numPr>
        <w:spacing w:after="120" w:line="276" w:lineRule="auto"/>
        <w:ind w:left="426" w:hanging="426"/>
        <w:rPr>
          <w:rFonts w:ascii="Arial" w:hAnsi="Arial" w:cs="Arial"/>
        </w:rPr>
      </w:pPr>
      <w:r w:rsidRPr="000C1838">
        <w:rPr>
          <w:rFonts w:ascii="Arial" w:hAnsi="Arial" w:cs="Arial"/>
        </w:rPr>
        <w:t>Liais</w:t>
      </w:r>
      <w:r w:rsidR="005A2DF6">
        <w:rPr>
          <w:rFonts w:ascii="Arial" w:hAnsi="Arial" w:cs="Arial"/>
        </w:rPr>
        <w:t>ing</w:t>
      </w:r>
      <w:r w:rsidRPr="000C1838">
        <w:rPr>
          <w:rFonts w:ascii="Arial" w:hAnsi="Arial" w:cs="Arial"/>
        </w:rPr>
        <w:t xml:space="preserve"> with relevant agencies and organisations to provide technical advice on a range of environmental health issues.</w:t>
      </w:r>
    </w:p>
    <w:p w14:paraId="34BB1BCF" w14:textId="2526926C" w:rsidR="0089100B" w:rsidRPr="000C1838" w:rsidRDefault="0089100B" w:rsidP="005F426F">
      <w:pPr>
        <w:pStyle w:val="BodyText1"/>
        <w:numPr>
          <w:ilvl w:val="1"/>
          <w:numId w:val="18"/>
        </w:numPr>
        <w:spacing w:line="276" w:lineRule="auto"/>
        <w:ind w:left="426" w:hanging="426"/>
        <w:rPr>
          <w:rFonts w:ascii="Arial" w:hAnsi="Arial" w:cs="Arial"/>
        </w:rPr>
      </w:pPr>
      <w:r w:rsidRPr="000C1838">
        <w:rPr>
          <w:rFonts w:ascii="Arial" w:hAnsi="Arial" w:cs="Arial"/>
        </w:rPr>
        <w:t>Coordinat</w:t>
      </w:r>
      <w:r w:rsidR="005A2DF6">
        <w:rPr>
          <w:rFonts w:ascii="Arial" w:hAnsi="Arial" w:cs="Arial"/>
        </w:rPr>
        <w:t>ing</w:t>
      </w:r>
      <w:r w:rsidRPr="000C1838">
        <w:rPr>
          <w:rFonts w:ascii="Arial" w:hAnsi="Arial" w:cs="Arial"/>
        </w:rPr>
        <w:t xml:space="preserve"> responses to enquiries about environmental health issues on behalf of enHealth and AHPPC.</w:t>
      </w:r>
    </w:p>
    <w:p w14:paraId="0926A4AD" w14:textId="77777777" w:rsidR="0089100B" w:rsidRPr="0089100B" w:rsidRDefault="0089100B" w:rsidP="0089100B">
      <w:pPr>
        <w:pStyle w:val="Heading2"/>
        <w:numPr>
          <w:ilvl w:val="0"/>
          <w:numId w:val="0"/>
        </w:numPr>
      </w:pPr>
      <w:bookmarkStart w:id="291" w:name="_Toc58502821"/>
      <w:r w:rsidRPr="0089100B">
        <w:t>Water Quality Expert Reference Panel (WQERP)</w:t>
      </w:r>
      <w:bookmarkEnd w:id="291"/>
    </w:p>
    <w:p w14:paraId="2A883779" w14:textId="0E4FD025" w:rsidR="0089100B" w:rsidRPr="000C1838" w:rsidRDefault="0089100B" w:rsidP="007A1C9F">
      <w:pPr>
        <w:spacing w:after="120"/>
        <w:rPr>
          <w:rFonts w:ascii="Arial" w:hAnsi="Arial" w:cs="Arial"/>
        </w:rPr>
      </w:pPr>
      <w:r>
        <w:rPr>
          <w:rFonts w:ascii="Arial" w:hAnsi="Arial" w:cs="Arial"/>
        </w:rPr>
        <w:t>WQERP</w:t>
      </w:r>
      <w:r w:rsidR="005A2DF6">
        <w:rPr>
          <w:rFonts w:ascii="Arial" w:hAnsi="Arial" w:cs="Arial"/>
        </w:rPr>
        <w:t>,</w:t>
      </w:r>
      <w:r w:rsidRPr="000C1838">
        <w:rPr>
          <w:rFonts w:ascii="Arial" w:hAnsi="Arial" w:cs="Arial"/>
        </w:rPr>
        <w:t xml:space="preserve"> under the guidance of enHealth and with reference to </w:t>
      </w:r>
      <w:r w:rsidR="00AE7523">
        <w:rPr>
          <w:rFonts w:ascii="Arial" w:hAnsi="Arial" w:cs="Arial"/>
        </w:rPr>
        <w:t xml:space="preserve">the </w:t>
      </w:r>
      <w:r w:rsidR="00AE7523" w:rsidRPr="003949E9">
        <w:rPr>
          <w:rFonts w:ascii="Arial" w:hAnsi="Arial" w:cs="Arial"/>
          <w:i/>
        </w:rPr>
        <w:t>WQERP Work Plan 2019-2021</w:t>
      </w:r>
      <w:r w:rsidR="00AE7523">
        <w:rPr>
          <w:rFonts w:ascii="Arial" w:hAnsi="Arial" w:cs="Arial"/>
        </w:rPr>
        <w:t>,</w:t>
      </w:r>
      <w:r w:rsidRPr="000C1838">
        <w:rPr>
          <w:rFonts w:ascii="Arial" w:hAnsi="Arial" w:cs="Arial"/>
        </w:rPr>
        <w:t xml:space="preserve"> this strategy and the AHPPC strategic plan</w:t>
      </w:r>
      <w:r w:rsidR="005A2DF6">
        <w:rPr>
          <w:rFonts w:ascii="Arial" w:hAnsi="Arial" w:cs="Arial"/>
        </w:rPr>
        <w:t>,</w:t>
      </w:r>
      <w:r w:rsidRPr="000C1838">
        <w:rPr>
          <w:rFonts w:ascii="Arial" w:hAnsi="Arial" w:cs="Arial"/>
        </w:rPr>
        <w:t xml:space="preserve"> </w:t>
      </w:r>
      <w:r>
        <w:rPr>
          <w:rFonts w:ascii="Arial" w:hAnsi="Arial" w:cs="Arial"/>
        </w:rPr>
        <w:t>provides</w:t>
      </w:r>
      <w:r w:rsidRPr="000C1838">
        <w:rPr>
          <w:rFonts w:ascii="Arial" w:hAnsi="Arial" w:cs="Arial"/>
        </w:rPr>
        <w:t xml:space="preserve"> a </w:t>
      </w:r>
      <w:r>
        <w:rPr>
          <w:rFonts w:ascii="Arial" w:hAnsi="Arial" w:cs="Arial"/>
        </w:rPr>
        <w:t>forum for representatives from Australian, state and t</w:t>
      </w:r>
      <w:r w:rsidRPr="000C1838">
        <w:rPr>
          <w:rFonts w:ascii="Arial" w:hAnsi="Arial" w:cs="Arial"/>
        </w:rPr>
        <w:t>erritory health agencies to manage drinking water, recycled water, wastewater and recreational water to:</w:t>
      </w:r>
    </w:p>
    <w:p w14:paraId="46C4E064"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Advise enHealth of emerging regulatory and health issues.</w:t>
      </w:r>
    </w:p>
    <w:p w14:paraId="09E14874"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Foster a consistent approach to management of new and emerging water-related public health risks across all Australian jurisdictions.</w:t>
      </w:r>
    </w:p>
    <w:p w14:paraId="22A541BD"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Develop a shared strategic perspective on health risks from hazards in water.</w:t>
      </w:r>
    </w:p>
    <w:p w14:paraId="38D7C0F5"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Support nationally consistent frameworks for regulation of water quality.</w:t>
      </w:r>
    </w:p>
    <w:p w14:paraId="481253EA"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Share key outputs from local water research and outcomes from health incident investigations.</w:t>
      </w:r>
    </w:p>
    <w:p w14:paraId="022A1AD8"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t>Identify research gaps that could feed into new projects of interest to other jurisdictions, via partnerships with research organisations.</w:t>
      </w:r>
    </w:p>
    <w:p w14:paraId="245473FD" w14:textId="77777777" w:rsidR="0089100B" w:rsidRPr="000C1838" w:rsidRDefault="0089100B" w:rsidP="007A1C9F">
      <w:pPr>
        <w:pStyle w:val="ListParagraph"/>
        <w:numPr>
          <w:ilvl w:val="0"/>
          <w:numId w:val="36"/>
        </w:numPr>
        <w:spacing w:after="120" w:line="360" w:lineRule="auto"/>
        <w:ind w:left="426" w:hanging="426"/>
        <w:rPr>
          <w:rFonts w:ascii="Arial" w:hAnsi="Arial" w:cs="Arial"/>
        </w:rPr>
      </w:pPr>
      <w:r w:rsidRPr="000C1838">
        <w:rPr>
          <w:rFonts w:ascii="Arial" w:hAnsi="Arial" w:cs="Arial"/>
        </w:rPr>
        <w:lastRenderedPageBreak/>
        <w:t>Form inter-jurisdictional working groups to develop strategies, policy and/or guidance documents intended to help address the issues identified.</w:t>
      </w:r>
    </w:p>
    <w:p w14:paraId="56F26822" w14:textId="77777777" w:rsidR="0089100B" w:rsidRDefault="0089100B" w:rsidP="007A1C9F">
      <w:pPr>
        <w:pStyle w:val="ListParagraph"/>
        <w:numPr>
          <w:ilvl w:val="0"/>
          <w:numId w:val="36"/>
        </w:numPr>
        <w:spacing w:line="360" w:lineRule="auto"/>
        <w:ind w:left="426" w:hanging="426"/>
        <w:rPr>
          <w:rFonts w:ascii="Arial" w:hAnsi="Arial" w:cs="Arial"/>
        </w:rPr>
      </w:pPr>
      <w:r>
        <w:rPr>
          <w:rFonts w:ascii="Arial" w:hAnsi="Arial" w:cs="Arial"/>
        </w:rPr>
        <w:t>Raise or respond to</w:t>
      </w:r>
      <w:r w:rsidRPr="000C1838">
        <w:rPr>
          <w:rFonts w:ascii="Arial" w:hAnsi="Arial" w:cs="Arial"/>
        </w:rPr>
        <w:t xml:space="preserve"> issues of national significance with the </w:t>
      </w:r>
      <w:r>
        <w:rPr>
          <w:rFonts w:ascii="Arial" w:hAnsi="Arial" w:cs="Arial"/>
        </w:rPr>
        <w:t>AHPPC</w:t>
      </w:r>
      <w:r w:rsidRPr="000C1838">
        <w:rPr>
          <w:rFonts w:ascii="Arial" w:hAnsi="Arial" w:cs="Arial"/>
        </w:rPr>
        <w:t>, where appropriate.</w:t>
      </w:r>
    </w:p>
    <w:p w14:paraId="2C91CC2D" w14:textId="77777777" w:rsidR="0089100B" w:rsidRPr="0089100B" w:rsidRDefault="003B6A96" w:rsidP="0089100B">
      <w:pPr>
        <w:pStyle w:val="Heading2"/>
        <w:numPr>
          <w:ilvl w:val="0"/>
          <w:numId w:val="0"/>
        </w:numPr>
      </w:pPr>
      <w:bookmarkStart w:id="292" w:name="_Toc58502822"/>
      <w:r>
        <w:t>Radiation</w:t>
      </w:r>
      <w:r w:rsidR="0089100B" w:rsidRPr="0089100B">
        <w:t xml:space="preserve"> Health </w:t>
      </w:r>
      <w:r>
        <w:t>Expert Reference Panel</w:t>
      </w:r>
      <w:r w:rsidR="0089100B" w:rsidRPr="0089100B">
        <w:t xml:space="preserve"> (</w:t>
      </w:r>
      <w:r>
        <w:t>RHERP</w:t>
      </w:r>
      <w:r w:rsidR="0089100B" w:rsidRPr="0089100B">
        <w:t>)</w:t>
      </w:r>
      <w:bookmarkEnd w:id="292"/>
    </w:p>
    <w:p w14:paraId="4B9B28D8" w14:textId="5B9889D8" w:rsidR="00195A98" w:rsidRPr="000C1838" w:rsidRDefault="005A2DF6" w:rsidP="00195A98">
      <w:pPr>
        <w:pStyle w:val="BodyText1"/>
        <w:spacing w:after="120" w:line="276" w:lineRule="auto"/>
        <w:ind w:left="0"/>
        <w:rPr>
          <w:rFonts w:ascii="Arial" w:hAnsi="Arial" w:cs="Arial"/>
        </w:rPr>
      </w:pPr>
      <w:r>
        <w:rPr>
          <w:rFonts w:ascii="Arial" w:hAnsi="Arial" w:cs="Arial"/>
        </w:rPr>
        <w:t>RHERP</w:t>
      </w:r>
      <w:r w:rsidR="00195A98">
        <w:rPr>
          <w:rFonts w:ascii="Arial" w:hAnsi="Arial" w:cs="Arial"/>
        </w:rPr>
        <w:t xml:space="preserve"> </w:t>
      </w:r>
      <w:r w:rsidR="00195A98" w:rsidRPr="000C1838">
        <w:rPr>
          <w:rFonts w:ascii="Arial" w:hAnsi="Arial" w:cs="Arial"/>
        </w:rPr>
        <w:t>works under the guidance of enHealth and with reference to</w:t>
      </w:r>
      <w:r w:rsidR="005437C6">
        <w:rPr>
          <w:rFonts w:ascii="Arial" w:hAnsi="Arial" w:cs="Arial"/>
        </w:rPr>
        <w:t xml:space="preserve"> the </w:t>
      </w:r>
      <w:r w:rsidR="005437C6" w:rsidRPr="003949E9">
        <w:rPr>
          <w:rFonts w:ascii="Arial" w:hAnsi="Arial" w:cs="Arial"/>
          <w:i/>
        </w:rPr>
        <w:t>RHERP Work Plan</w:t>
      </w:r>
      <w:r w:rsidR="005437C6">
        <w:rPr>
          <w:rFonts w:ascii="Arial" w:hAnsi="Arial" w:cs="Arial"/>
        </w:rPr>
        <w:t xml:space="preserve"> and</w:t>
      </w:r>
      <w:r w:rsidR="00195A98" w:rsidRPr="000C1838">
        <w:rPr>
          <w:rFonts w:ascii="Arial" w:hAnsi="Arial" w:cs="Arial"/>
        </w:rPr>
        <w:t xml:space="preserve"> this strategic plan acts to fulfil its terms of reference of:</w:t>
      </w:r>
    </w:p>
    <w:p w14:paraId="5C9C5DB8" w14:textId="4FA06F1C" w:rsidR="00195A98" w:rsidRDefault="00AE7523" w:rsidP="00195A98">
      <w:pPr>
        <w:pStyle w:val="ListParagraph"/>
        <w:numPr>
          <w:ilvl w:val="0"/>
          <w:numId w:val="104"/>
        </w:numPr>
        <w:spacing w:after="120" w:line="360" w:lineRule="auto"/>
        <w:rPr>
          <w:rFonts w:ascii="Arial" w:hAnsi="Arial" w:cs="Arial"/>
        </w:rPr>
      </w:pPr>
      <w:r>
        <w:rPr>
          <w:rFonts w:ascii="Arial" w:hAnsi="Arial" w:cs="Arial"/>
        </w:rPr>
        <w:t xml:space="preserve"> </w:t>
      </w:r>
      <w:r w:rsidR="00195A98">
        <w:rPr>
          <w:rFonts w:ascii="Arial" w:hAnsi="Arial" w:cs="Arial"/>
        </w:rPr>
        <w:t>Providing expert advice on radiation</w:t>
      </w:r>
      <w:r w:rsidR="007A4111" w:rsidRPr="00195A98">
        <w:rPr>
          <w:rFonts w:ascii="Arial" w:hAnsi="Arial" w:cs="Arial"/>
        </w:rPr>
        <w:t xml:space="preserve"> </w:t>
      </w:r>
      <w:r>
        <w:rPr>
          <w:rFonts w:ascii="Arial" w:hAnsi="Arial" w:cs="Arial"/>
        </w:rPr>
        <w:t xml:space="preserve">protection and nuclear safety </w:t>
      </w:r>
      <w:r w:rsidR="007A4111" w:rsidRPr="00195A98">
        <w:rPr>
          <w:rFonts w:ascii="Arial" w:hAnsi="Arial" w:cs="Arial"/>
        </w:rPr>
        <w:t xml:space="preserve">issues as directed by enHealth. </w:t>
      </w:r>
    </w:p>
    <w:p w14:paraId="686A574B" w14:textId="620293DD" w:rsidR="007A4111" w:rsidRPr="00195A98" w:rsidRDefault="00195A98" w:rsidP="00195A98">
      <w:pPr>
        <w:pStyle w:val="ListParagraph"/>
        <w:numPr>
          <w:ilvl w:val="0"/>
          <w:numId w:val="104"/>
        </w:numPr>
        <w:spacing w:after="120" w:line="360" w:lineRule="auto"/>
        <w:ind w:left="426" w:hanging="426"/>
        <w:rPr>
          <w:rFonts w:ascii="Arial" w:hAnsi="Arial" w:cs="Arial"/>
        </w:rPr>
      </w:pPr>
      <w:r>
        <w:rPr>
          <w:rFonts w:ascii="Arial" w:hAnsi="Arial" w:cs="Arial"/>
        </w:rPr>
        <w:t>Developing</w:t>
      </w:r>
      <w:r w:rsidR="007A4111" w:rsidRPr="00195A98">
        <w:rPr>
          <w:rFonts w:ascii="Arial" w:hAnsi="Arial" w:cs="Arial"/>
        </w:rPr>
        <w:t xml:space="preserve"> a </w:t>
      </w:r>
      <w:r w:rsidR="00A41D1A" w:rsidRPr="00195A98">
        <w:rPr>
          <w:rFonts w:ascii="Arial" w:hAnsi="Arial" w:cs="Arial"/>
        </w:rPr>
        <w:t>n</w:t>
      </w:r>
      <w:r w:rsidR="007A4111" w:rsidRPr="00195A98">
        <w:rPr>
          <w:rFonts w:ascii="Arial" w:hAnsi="Arial" w:cs="Arial"/>
        </w:rPr>
        <w:t xml:space="preserve">ational </w:t>
      </w:r>
      <w:r w:rsidR="00A41D1A" w:rsidRPr="00195A98">
        <w:rPr>
          <w:rFonts w:ascii="Arial" w:hAnsi="Arial" w:cs="Arial"/>
        </w:rPr>
        <w:t>s</w:t>
      </w:r>
      <w:r w:rsidR="007A4111" w:rsidRPr="00195A98">
        <w:rPr>
          <w:rFonts w:ascii="Arial" w:hAnsi="Arial" w:cs="Arial"/>
        </w:rPr>
        <w:t xml:space="preserve">trategy for uniformity of </w:t>
      </w:r>
      <w:r w:rsidR="00A41D1A" w:rsidRPr="00195A98">
        <w:rPr>
          <w:rFonts w:ascii="Arial" w:hAnsi="Arial" w:cs="Arial"/>
        </w:rPr>
        <w:t>r</w:t>
      </w:r>
      <w:r w:rsidR="007A4111" w:rsidRPr="00195A98">
        <w:rPr>
          <w:rFonts w:ascii="Arial" w:hAnsi="Arial" w:cs="Arial"/>
        </w:rPr>
        <w:t xml:space="preserve">adiation </w:t>
      </w:r>
      <w:r w:rsidR="00A41D1A" w:rsidRPr="00195A98">
        <w:rPr>
          <w:rFonts w:ascii="Arial" w:hAnsi="Arial" w:cs="Arial"/>
        </w:rPr>
        <w:t>p</w:t>
      </w:r>
      <w:r w:rsidR="007A4111" w:rsidRPr="00195A98">
        <w:rPr>
          <w:rFonts w:ascii="Arial" w:hAnsi="Arial" w:cs="Arial"/>
        </w:rPr>
        <w:t xml:space="preserve">rotection and </w:t>
      </w:r>
      <w:r w:rsidR="00A41D1A" w:rsidRPr="00195A98">
        <w:rPr>
          <w:rFonts w:ascii="Arial" w:hAnsi="Arial" w:cs="Arial"/>
        </w:rPr>
        <w:t>n</w:t>
      </w:r>
      <w:r w:rsidR="007A4111" w:rsidRPr="00195A98">
        <w:rPr>
          <w:rFonts w:ascii="Arial" w:hAnsi="Arial" w:cs="Arial"/>
        </w:rPr>
        <w:t xml:space="preserve">uclear </w:t>
      </w:r>
      <w:r w:rsidR="00A41D1A" w:rsidRPr="00195A98">
        <w:rPr>
          <w:rFonts w:ascii="Arial" w:hAnsi="Arial" w:cs="Arial"/>
        </w:rPr>
        <w:t>s</w:t>
      </w:r>
      <w:r w:rsidR="007A4111" w:rsidRPr="00195A98">
        <w:rPr>
          <w:rFonts w:ascii="Arial" w:hAnsi="Arial" w:cs="Arial"/>
        </w:rPr>
        <w:t xml:space="preserve">afety </w:t>
      </w:r>
      <w:r w:rsidR="00A41D1A" w:rsidRPr="00195A98">
        <w:rPr>
          <w:rFonts w:ascii="Arial" w:hAnsi="Arial" w:cs="Arial"/>
        </w:rPr>
        <w:t>r</w:t>
      </w:r>
      <w:r w:rsidR="007A4111" w:rsidRPr="00195A98">
        <w:rPr>
          <w:rFonts w:ascii="Arial" w:hAnsi="Arial" w:cs="Arial"/>
        </w:rPr>
        <w:t>egulation in Australia.</w:t>
      </w:r>
    </w:p>
    <w:p w14:paraId="7074D377" w14:textId="36C8775E" w:rsidR="007F4E20" w:rsidRDefault="007A4111" w:rsidP="003B1E87">
      <w:pPr>
        <w:pStyle w:val="NormalItalics"/>
        <w:spacing w:before="0" w:line="276" w:lineRule="auto"/>
        <w:ind w:left="0"/>
        <w:jc w:val="both"/>
      </w:pPr>
      <w:r w:rsidRPr="005F426F">
        <w:rPr>
          <w:rFonts w:ascii="Arial" w:hAnsi="Arial" w:cs="Arial"/>
          <w:i w:val="0"/>
          <w:iCs w:val="0"/>
          <w:sz w:val="22"/>
        </w:rPr>
        <w:t xml:space="preserve">The </w:t>
      </w:r>
      <w:r w:rsidR="00A41D1A">
        <w:rPr>
          <w:rFonts w:ascii="Arial" w:hAnsi="Arial" w:cs="Arial"/>
          <w:i w:val="0"/>
          <w:iCs w:val="0"/>
          <w:sz w:val="22"/>
        </w:rPr>
        <w:t>RHERP</w:t>
      </w:r>
      <w:r w:rsidRPr="005F426F">
        <w:rPr>
          <w:rFonts w:ascii="Arial" w:hAnsi="Arial" w:cs="Arial"/>
          <w:iCs w:val="0"/>
          <w:sz w:val="22"/>
        </w:rPr>
        <w:t xml:space="preserve"> </w:t>
      </w:r>
      <w:r w:rsidRPr="005F426F">
        <w:rPr>
          <w:rFonts w:ascii="Arial" w:hAnsi="Arial" w:cs="Arial"/>
          <w:i w:val="0"/>
          <w:iCs w:val="0"/>
          <w:sz w:val="22"/>
        </w:rPr>
        <w:t xml:space="preserve">is a network of experts with knowledge on the issue that will be addressed. Membership </w:t>
      </w:r>
      <w:r w:rsidR="00A41D1A">
        <w:rPr>
          <w:rFonts w:ascii="Arial" w:hAnsi="Arial" w:cs="Arial"/>
          <w:i w:val="0"/>
          <w:iCs w:val="0"/>
          <w:sz w:val="22"/>
        </w:rPr>
        <w:t>comprises</w:t>
      </w:r>
      <w:r w:rsidRPr="005F426F">
        <w:rPr>
          <w:rFonts w:ascii="Arial" w:hAnsi="Arial" w:cs="Arial"/>
          <w:i w:val="0"/>
          <w:iCs w:val="0"/>
          <w:sz w:val="22"/>
        </w:rPr>
        <w:t xml:space="preserve"> nominated jurisdictional representatives from the relevant regulators, ARPANSA</w:t>
      </w:r>
      <w:r w:rsidR="00A41D1A">
        <w:rPr>
          <w:rFonts w:ascii="Arial" w:hAnsi="Arial" w:cs="Arial"/>
          <w:i w:val="0"/>
          <w:iCs w:val="0"/>
          <w:sz w:val="22"/>
        </w:rPr>
        <w:t>,</w:t>
      </w:r>
      <w:r w:rsidRPr="005F426F">
        <w:rPr>
          <w:rFonts w:ascii="Arial" w:hAnsi="Arial" w:cs="Arial"/>
          <w:i w:val="0"/>
          <w:iCs w:val="0"/>
          <w:sz w:val="22"/>
        </w:rPr>
        <w:t xml:space="preserve"> and external experts as appropriate.</w:t>
      </w:r>
      <w:bookmarkEnd w:id="2"/>
      <w:bookmarkEnd w:id="267"/>
    </w:p>
    <w:p w14:paraId="31163A07" w14:textId="4BED04A8" w:rsidR="003A746E" w:rsidRDefault="003A746E" w:rsidP="00081B35"/>
    <w:p w14:paraId="5ED88476" w14:textId="488E7088" w:rsidR="003A746E" w:rsidRDefault="003A746E" w:rsidP="00081B35"/>
    <w:p w14:paraId="17A7D01F" w14:textId="77777777" w:rsidR="003A746E" w:rsidRDefault="003A746E" w:rsidP="00081B35">
      <w:pPr>
        <w:sectPr w:rsidR="003A746E" w:rsidSect="005F426F">
          <w:footerReference w:type="default" r:id="rId18"/>
          <w:pgSz w:w="11900" w:h="16840" w:code="9"/>
          <w:pgMar w:top="851" w:right="851" w:bottom="851" w:left="851" w:header="567" w:footer="567" w:gutter="0"/>
          <w:cols w:space="720"/>
          <w:titlePg/>
          <w:docGrid w:linePitch="299"/>
        </w:sectPr>
      </w:pPr>
    </w:p>
    <w:p w14:paraId="05503805" w14:textId="035C557B" w:rsidR="003D262A" w:rsidRDefault="003D262A" w:rsidP="00E006A3">
      <w:pPr>
        <w:pStyle w:val="Heading1"/>
        <w:numPr>
          <w:ilvl w:val="0"/>
          <w:numId w:val="0"/>
        </w:numPr>
        <w:rPr>
          <w:rFonts w:ascii="Arial" w:hAnsi="Arial"/>
          <w:caps/>
          <w:sz w:val="32"/>
        </w:rPr>
      </w:pPr>
      <w:bookmarkStart w:id="293" w:name="_Toc58502823"/>
      <w:r w:rsidRPr="005F426F">
        <w:rPr>
          <w:rFonts w:ascii="Arial" w:hAnsi="Arial"/>
          <w:caps/>
          <w:sz w:val="32"/>
        </w:rPr>
        <w:lastRenderedPageBreak/>
        <w:t xml:space="preserve">Appendix </w:t>
      </w:r>
      <w:r>
        <w:rPr>
          <w:rFonts w:ascii="Arial" w:hAnsi="Arial"/>
          <w:caps/>
          <w:sz w:val="32"/>
        </w:rPr>
        <w:t>3</w:t>
      </w:r>
      <w:r w:rsidRPr="005F426F">
        <w:rPr>
          <w:rFonts w:ascii="Arial" w:hAnsi="Arial"/>
          <w:caps/>
          <w:sz w:val="32"/>
        </w:rPr>
        <w:t xml:space="preserve">:  enHealth </w:t>
      </w:r>
      <w:r>
        <w:rPr>
          <w:rFonts w:ascii="Arial" w:hAnsi="Arial"/>
          <w:caps/>
          <w:sz w:val="32"/>
        </w:rPr>
        <w:t>KEY FOCUS AREA STRATEGIES</w:t>
      </w:r>
      <w:bookmarkEnd w:id="293"/>
    </w:p>
    <w:tbl>
      <w:tblPr>
        <w:tblStyle w:val="TableGrid1"/>
        <w:tblpPr w:leftFromText="180" w:rightFromText="180" w:vertAnchor="page" w:horzAnchor="margin" w:tblpX="-152" w:tblpY="1608"/>
        <w:tblW w:w="15451" w:type="dxa"/>
        <w:tblLook w:val="04A0" w:firstRow="1" w:lastRow="0" w:firstColumn="1" w:lastColumn="0" w:noHBand="0" w:noVBand="1"/>
        <w:tblCaption w:val="enHealth Key Focus Area Strategies"/>
        <w:tblDescription w:val="This table provides an overview of enHealth key focus area strategies."/>
      </w:tblPr>
      <w:tblGrid>
        <w:gridCol w:w="2704"/>
        <w:gridCol w:w="283"/>
        <w:gridCol w:w="1134"/>
        <w:gridCol w:w="284"/>
        <w:gridCol w:w="425"/>
        <w:gridCol w:w="1559"/>
        <w:gridCol w:w="1134"/>
        <w:gridCol w:w="1134"/>
        <w:gridCol w:w="993"/>
        <w:gridCol w:w="425"/>
        <w:gridCol w:w="1712"/>
        <w:gridCol w:w="414"/>
        <w:gridCol w:w="284"/>
        <w:gridCol w:w="2966"/>
      </w:tblGrid>
      <w:tr w:rsidR="003D262A" w:rsidRPr="003D262A" w14:paraId="4AF60694" w14:textId="77777777" w:rsidTr="00534C6A">
        <w:trPr>
          <w:trHeight w:val="189"/>
          <w:tblHeader/>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0EB4D903" w14:textId="77777777" w:rsidR="003D262A" w:rsidRPr="003D262A" w:rsidRDefault="003D262A" w:rsidP="003D262A">
            <w:pPr>
              <w:numPr>
                <w:ilvl w:val="0"/>
                <w:numId w:val="115"/>
              </w:numPr>
              <w:spacing w:after="0"/>
              <w:contextualSpacing/>
              <w:rPr>
                <w:rFonts w:ascii="Calibri" w:hAnsi="Calibri" w:cs="Calibri"/>
                <w:b/>
                <w:color w:val="FFFFFF"/>
                <w:sz w:val="20"/>
              </w:rPr>
            </w:pPr>
            <w:r w:rsidRPr="003D262A">
              <w:rPr>
                <w:rFonts w:ascii="Calibri" w:hAnsi="Calibri" w:cs="Calibri"/>
                <w:b/>
                <w:color w:val="FFFFFF"/>
                <w:sz w:val="20"/>
              </w:rPr>
              <w:t>Timely, coordinated, and evidence-based response to emerging environmental health issues of national concern.</w:t>
            </w:r>
          </w:p>
        </w:tc>
      </w:tr>
      <w:tr w:rsidR="003D262A" w:rsidRPr="003D262A" w14:paraId="481AC17E" w14:textId="77777777" w:rsidTr="00E006A3">
        <w:trPr>
          <w:trHeight w:val="1235"/>
        </w:trPr>
        <w:tc>
          <w:tcPr>
            <w:tcW w:w="4121" w:type="dxa"/>
            <w:gridSpan w:val="3"/>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5B674856" w14:textId="4D8B1C66" w:rsidR="003D262A" w:rsidRPr="003D262A" w:rsidRDefault="003D262A" w:rsidP="004D4638">
            <w:pPr>
              <w:spacing w:after="0"/>
              <w:rPr>
                <w:rFonts w:ascii="Times New Roman" w:eastAsia="Calibri" w:hAnsi="Times New Roman"/>
                <w:sz w:val="20"/>
              </w:rPr>
            </w:pPr>
            <w:r w:rsidRPr="003D262A">
              <w:rPr>
                <w:rFonts w:ascii="Calibri" w:eastAsia="Calibri" w:hAnsi="Calibri" w:cs="Calibri"/>
                <w:color w:val="000000"/>
                <w:sz w:val="20"/>
              </w:rPr>
              <w:t xml:space="preserve">A.1 </w:t>
            </w:r>
            <w:r w:rsidRPr="003D262A">
              <w:rPr>
                <w:rFonts w:ascii="Calibri" w:eastAsia="Calibri" w:hAnsi="Calibri" w:cs="Calibri"/>
                <w:sz w:val="20"/>
                <w:lang w:bidi="en-AU"/>
              </w:rPr>
              <w:t xml:space="preserve">Ensure that enHealth and AHPPC governance mechanisms are flexible enough to </w:t>
            </w:r>
            <w:r w:rsidR="00467AD1">
              <w:rPr>
                <w:rFonts w:ascii="Calibri" w:eastAsia="Calibri" w:hAnsi="Calibri" w:cs="Calibri"/>
                <w:sz w:val="20"/>
                <w:lang w:bidi="en-AU"/>
              </w:rPr>
              <w:t xml:space="preserve">allow for </w:t>
            </w:r>
            <w:proofErr w:type="spellStart"/>
            <w:r w:rsidRPr="003D262A">
              <w:rPr>
                <w:rFonts w:ascii="Calibri" w:eastAsia="Calibri" w:hAnsi="Calibri" w:cs="Calibri"/>
                <w:sz w:val="20"/>
                <w:lang w:bidi="en-AU"/>
              </w:rPr>
              <w:t>enHealth's</w:t>
            </w:r>
            <w:proofErr w:type="spellEnd"/>
            <w:r w:rsidRPr="003D262A">
              <w:rPr>
                <w:rFonts w:ascii="Calibri" w:eastAsia="Calibri" w:hAnsi="Calibri" w:cs="Calibri"/>
                <w:sz w:val="20"/>
                <w:lang w:bidi="en-AU"/>
              </w:rPr>
              <w:t xml:space="preserve"> advice </w:t>
            </w:r>
            <w:r w:rsidR="00467AD1">
              <w:rPr>
                <w:rFonts w:ascii="Calibri" w:eastAsia="Calibri" w:hAnsi="Calibri" w:cs="Calibri"/>
                <w:sz w:val="20"/>
                <w:lang w:bidi="en-AU"/>
              </w:rPr>
              <w:t>to</w:t>
            </w:r>
            <w:r w:rsidRPr="003D262A">
              <w:rPr>
                <w:rFonts w:ascii="Calibri" w:eastAsia="Calibri" w:hAnsi="Calibri" w:cs="Calibri"/>
                <w:sz w:val="20"/>
                <w:lang w:bidi="en-AU"/>
              </w:rPr>
              <w:t xml:space="preserve"> be developed and approved rapidly to ensure relevance.</w:t>
            </w:r>
          </w:p>
        </w:tc>
        <w:tc>
          <w:tcPr>
            <w:tcW w:w="3402"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244EECA7"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color w:val="000000"/>
                <w:sz w:val="20"/>
              </w:rPr>
              <w:t xml:space="preserve">A.2 </w:t>
            </w:r>
            <w:r w:rsidRPr="003D262A">
              <w:rPr>
                <w:rFonts w:ascii="Calibri" w:hAnsi="Calibri" w:cs="Calibri"/>
                <w:bCs/>
                <w:color w:val="000000"/>
                <w:sz w:val="20"/>
                <w:lang w:bidi="en-AU"/>
              </w:rPr>
              <w:t>Ensure that enHealth and AHPPC are seen as Australia’s definitive source of information on environmental health issues.</w:t>
            </w:r>
          </w:p>
        </w:tc>
        <w:tc>
          <w:tcPr>
            <w:tcW w:w="4264"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02D97B3E" w14:textId="77777777" w:rsidR="003D262A" w:rsidRPr="003D262A" w:rsidRDefault="003D262A" w:rsidP="003D262A">
            <w:pPr>
              <w:spacing w:after="0"/>
              <w:rPr>
                <w:rFonts w:ascii="Calibri" w:hAnsi="Calibri" w:cs="Calibri"/>
                <w:color w:val="000000"/>
                <w:sz w:val="20"/>
              </w:rPr>
            </w:pPr>
            <w:r w:rsidRPr="003D262A">
              <w:rPr>
                <w:rFonts w:ascii="Calibri" w:eastAsia="Calibri" w:hAnsi="Calibri" w:cs="Calibri"/>
                <w:color w:val="000000"/>
                <w:sz w:val="20"/>
              </w:rPr>
              <w:t xml:space="preserve">A.3 </w:t>
            </w:r>
            <w:r w:rsidRPr="003D262A">
              <w:rPr>
                <w:rFonts w:ascii="Calibri" w:hAnsi="Calibri" w:cs="Calibri"/>
                <w:bCs/>
                <w:sz w:val="20"/>
                <w:lang w:bidi="en-AU"/>
              </w:rPr>
              <w:t>Maintain timely, coordinated and evidence-based responses to environmental health issues of national relevance and concern.</w:t>
            </w:r>
          </w:p>
        </w:tc>
        <w:tc>
          <w:tcPr>
            <w:tcW w:w="3664" w:type="dxa"/>
            <w:gridSpan w:val="3"/>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6C59B251"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color w:val="000000"/>
                <w:sz w:val="20"/>
              </w:rPr>
              <w:t xml:space="preserve">A.4 </w:t>
            </w:r>
            <w:r w:rsidRPr="003D262A">
              <w:rPr>
                <w:rFonts w:ascii="Calibri" w:hAnsi="Calibri" w:cs="Calibri"/>
                <w:bCs/>
                <w:sz w:val="20"/>
                <w:lang w:bidi="en-AU"/>
              </w:rPr>
              <w:t>Ensure that enHealth is involved in meeting international obligations related to environmental health issues.</w:t>
            </w:r>
          </w:p>
        </w:tc>
      </w:tr>
      <w:tr w:rsidR="003D262A" w:rsidRPr="003D262A" w14:paraId="07B2534C" w14:textId="77777777" w:rsidTr="00E006A3">
        <w:trPr>
          <w:trHeight w:val="201"/>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vAlign w:val="center"/>
          </w:tcPr>
          <w:p w14:paraId="457DD71D" w14:textId="77777777" w:rsidR="003D262A" w:rsidRPr="003D262A" w:rsidRDefault="003D262A" w:rsidP="003D262A">
            <w:pPr>
              <w:spacing w:after="0"/>
              <w:rPr>
                <w:rFonts w:ascii="Times New Roman" w:hAnsi="Times New Roman"/>
                <w:sz w:val="20"/>
              </w:rPr>
            </w:pPr>
            <w:r w:rsidRPr="003D262A">
              <w:rPr>
                <w:rFonts w:ascii="Calibri" w:hAnsi="Calibri" w:cs="Calibri"/>
                <w:b/>
                <w:color w:val="FFFFFF"/>
                <w:sz w:val="20"/>
              </w:rPr>
              <w:t>B.</w:t>
            </w:r>
            <w:r w:rsidRPr="003D262A">
              <w:rPr>
                <w:rFonts w:ascii="Calibri" w:eastAsia="Calibri" w:hAnsi="Calibri" w:cs="Calibri"/>
                <w:b/>
                <w:color w:val="FFFFFF"/>
                <w:sz w:val="20"/>
              </w:rPr>
              <w:t xml:space="preserve"> </w:t>
            </w:r>
            <w:r w:rsidRPr="003D262A">
              <w:rPr>
                <w:rFonts w:ascii="Calibri" w:hAnsi="Calibri" w:cs="Calibri"/>
                <w:b/>
                <w:color w:val="FFFFFF"/>
                <w:sz w:val="20"/>
              </w:rPr>
              <w:t xml:space="preserve"> Nationally consistent evidence base for risk assessment, communication and management of significant environmental health issues of concern to the community.</w:t>
            </w:r>
          </w:p>
        </w:tc>
      </w:tr>
      <w:tr w:rsidR="003D262A" w:rsidRPr="003D262A" w14:paraId="13C87E7F" w14:textId="77777777" w:rsidTr="00E006A3">
        <w:trPr>
          <w:trHeight w:val="919"/>
        </w:trPr>
        <w:tc>
          <w:tcPr>
            <w:tcW w:w="7523"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5F324354"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sz w:val="20"/>
              </w:rPr>
              <w:t xml:space="preserve">B.1 </w:t>
            </w:r>
            <w:r w:rsidRPr="003D262A">
              <w:rPr>
                <w:rFonts w:ascii="Calibri" w:hAnsi="Calibri" w:cs="Calibri"/>
                <w:bCs/>
                <w:sz w:val="20"/>
                <w:lang w:bidi="en-AU"/>
              </w:rPr>
              <w:t>Develop and maintain a suite of practical and evidence-based guidelines to support nationally consistent risk assessment, communication and management of common and significant environmental health issues of concern.</w:t>
            </w:r>
          </w:p>
        </w:tc>
        <w:tc>
          <w:tcPr>
            <w:tcW w:w="7928"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264DDA9D"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sz w:val="20"/>
              </w:rPr>
              <w:t xml:space="preserve">B.2 </w:t>
            </w:r>
            <w:r w:rsidRPr="003D262A">
              <w:rPr>
                <w:rFonts w:ascii="Calibri" w:eastAsia="Calibri" w:hAnsi="Calibri" w:cs="Calibri"/>
                <w:sz w:val="20"/>
                <w:lang w:bidi="en-AU"/>
              </w:rPr>
              <w:t>Regular review of enHealth publications to ensure an up-to-date and relevant evidence base</w:t>
            </w:r>
            <w:r w:rsidRPr="003D262A">
              <w:rPr>
                <w:rFonts w:ascii="Calibri" w:eastAsia="Calibri" w:hAnsi="Calibri" w:cs="Calibri"/>
                <w:sz w:val="20"/>
              </w:rPr>
              <w:t>.</w:t>
            </w:r>
          </w:p>
        </w:tc>
      </w:tr>
      <w:tr w:rsidR="003D262A" w:rsidRPr="003D262A" w14:paraId="3D0EBC7D" w14:textId="77777777" w:rsidTr="00E006A3">
        <w:trPr>
          <w:trHeight w:val="201"/>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vAlign w:val="center"/>
          </w:tcPr>
          <w:p w14:paraId="0DA9903A" w14:textId="77777777" w:rsidR="003D262A" w:rsidRPr="003D262A" w:rsidRDefault="003D262A" w:rsidP="003D262A">
            <w:pPr>
              <w:spacing w:after="0"/>
              <w:rPr>
                <w:rFonts w:ascii="Calibri" w:hAnsi="Calibri" w:cs="Calibri"/>
                <w:color w:val="000000"/>
                <w:sz w:val="20"/>
              </w:rPr>
            </w:pPr>
            <w:r w:rsidRPr="003D262A">
              <w:rPr>
                <w:rFonts w:ascii="Calibri" w:hAnsi="Calibri" w:cs="Calibri"/>
                <w:b/>
                <w:color w:val="FFFFFF"/>
                <w:sz w:val="20"/>
              </w:rPr>
              <w:t>C.</w:t>
            </w:r>
            <w:r w:rsidRPr="003D262A">
              <w:rPr>
                <w:rFonts w:ascii="Calibri" w:eastAsia="Calibri" w:hAnsi="Calibri" w:cs="Calibri"/>
                <w:b/>
                <w:color w:val="FFFFFF"/>
                <w:sz w:val="20"/>
              </w:rPr>
              <w:t xml:space="preserve"> </w:t>
            </w:r>
            <w:r w:rsidRPr="003D262A">
              <w:rPr>
                <w:rFonts w:ascii="Calibri" w:hAnsi="Calibri" w:cs="Calibri"/>
                <w:b/>
                <w:color w:val="FFFFFF"/>
                <w:sz w:val="20"/>
              </w:rPr>
              <w:t>National science policy and practice frameworks for environmental health.</w:t>
            </w:r>
          </w:p>
        </w:tc>
      </w:tr>
      <w:tr w:rsidR="003D262A" w:rsidRPr="003D262A" w14:paraId="418157E7" w14:textId="77777777" w:rsidTr="00E006A3">
        <w:trPr>
          <w:trHeight w:val="672"/>
        </w:trPr>
        <w:tc>
          <w:tcPr>
            <w:tcW w:w="7523"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7961E2D2"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color w:val="000000"/>
                <w:sz w:val="20"/>
              </w:rPr>
              <w:t xml:space="preserve">C.1 </w:t>
            </w:r>
            <w:r w:rsidRPr="003D262A">
              <w:rPr>
                <w:rFonts w:ascii="Calibri" w:eastAsia="Calibri" w:hAnsi="Calibri" w:cs="Calibri"/>
                <w:color w:val="000000"/>
                <w:sz w:val="20"/>
                <w:lang w:bidi="en-AU"/>
              </w:rPr>
              <w:t>Promote valid and consistent environmental health decision making on novel risks</w:t>
            </w:r>
            <w:r w:rsidRPr="003D262A">
              <w:rPr>
                <w:rFonts w:ascii="Calibri" w:eastAsia="Calibri" w:hAnsi="Calibri" w:cs="Calibri"/>
                <w:color w:val="000000"/>
                <w:sz w:val="20"/>
              </w:rPr>
              <w:t>.</w:t>
            </w:r>
          </w:p>
        </w:tc>
        <w:tc>
          <w:tcPr>
            <w:tcW w:w="7928"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3B478335"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color w:val="000000"/>
                <w:sz w:val="20"/>
              </w:rPr>
              <w:t xml:space="preserve">C.2 </w:t>
            </w:r>
            <w:r w:rsidRPr="003D262A">
              <w:rPr>
                <w:rFonts w:ascii="Calibri" w:eastAsia="Calibri" w:hAnsi="Calibri" w:cs="Calibri"/>
                <w:color w:val="000000"/>
                <w:sz w:val="20"/>
                <w:lang w:bidi="en-AU"/>
              </w:rPr>
              <w:t>Support effective management of community engagement and risk communication due to environmental health incidents, issues and community concerns.</w:t>
            </w:r>
          </w:p>
        </w:tc>
      </w:tr>
      <w:tr w:rsidR="003D262A" w:rsidRPr="003D262A" w14:paraId="5C560896" w14:textId="77777777" w:rsidTr="00E006A3">
        <w:trPr>
          <w:trHeight w:val="177"/>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1A1615FB" w14:textId="77777777" w:rsidR="003D262A" w:rsidRPr="003D262A" w:rsidRDefault="003D262A" w:rsidP="003D262A">
            <w:pPr>
              <w:spacing w:after="0"/>
              <w:rPr>
                <w:rFonts w:ascii="Calibri" w:eastAsia="Calibri" w:hAnsi="Calibri" w:cs="Calibri"/>
                <w:color w:val="FFFFFF"/>
                <w:sz w:val="20"/>
              </w:rPr>
            </w:pPr>
            <w:r w:rsidRPr="003D262A">
              <w:rPr>
                <w:rFonts w:ascii="Calibri" w:eastAsia="Calibri" w:hAnsi="Calibri" w:cs="Calibri"/>
                <w:b/>
                <w:color w:val="FFFFFF"/>
                <w:sz w:val="20"/>
              </w:rPr>
              <w:t>D. Sufficient and appropriately skilled workforce to address future environmental health challenges.</w:t>
            </w:r>
          </w:p>
        </w:tc>
      </w:tr>
      <w:tr w:rsidR="003D262A" w:rsidRPr="003D262A" w14:paraId="5429DA05" w14:textId="77777777" w:rsidTr="00E006A3">
        <w:trPr>
          <w:trHeight w:val="674"/>
        </w:trPr>
        <w:tc>
          <w:tcPr>
            <w:tcW w:w="7523"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6B944A7E" w14:textId="77777777" w:rsidR="003D262A" w:rsidRPr="003D262A" w:rsidRDefault="003D262A" w:rsidP="003D262A">
            <w:pPr>
              <w:spacing w:after="0"/>
              <w:rPr>
                <w:rFonts w:ascii="Times New Roman" w:eastAsia="Calibri" w:hAnsi="Times New Roman"/>
                <w:sz w:val="20"/>
              </w:rPr>
            </w:pPr>
            <w:r w:rsidRPr="003D262A">
              <w:rPr>
                <w:rFonts w:ascii="Calibri" w:eastAsia="Calibri" w:hAnsi="Calibri" w:cs="Calibri"/>
                <w:color w:val="000000"/>
                <w:sz w:val="20"/>
              </w:rPr>
              <w:t xml:space="preserve">D.1 </w:t>
            </w:r>
            <w:r w:rsidRPr="003D262A">
              <w:rPr>
                <w:rFonts w:ascii="Calibri" w:eastAsia="Calibri" w:hAnsi="Calibri" w:cs="Calibri"/>
                <w:sz w:val="20"/>
                <w:lang w:bidi="en-AU"/>
              </w:rPr>
              <w:t>Protect the health of the Australian community by building the capacity of a sufficient and appropriately skilled environmental health workforce.</w:t>
            </w:r>
          </w:p>
        </w:tc>
        <w:tc>
          <w:tcPr>
            <w:tcW w:w="7928" w:type="dxa"/>
            <w:gridSpan w:val="7"/>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32FAA21C"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color w:val="000000"/>
                <w:sz w:val="20"/>
              </w:rPr>
              <w:t xml:space="preserve">D.2 </w:t>
            </w:r>
            <w:r w:rsidRPr="003D262A">
              <w:rPr>
                <w:rFonts w:ascii="Calibri" w:eastAsia="Calibri" w:hAnsi="Calibri" w:cs="Calibri"/>
                <w:color w:val="000000"/>
                <w:sz w:val="20"/>
                <w:lang w:bidi="en-AU"/>
              </w:rPr>
              <w:t>Support the effective deployment of environmental health technical capacity across Australia to protect the health of the community.</w:t>
            </w:r>
          </w:p>
        </w:tc>
      </w:tr>
      <w:tr w:rsidR="003D262A" w:rsidRPr="003D262A" w14:paraId="18C52DBA" w14:textId="77777777" w:rsidTr="00E006A3">
        <w:trPr>
          <w:trHeight w:val="177"/>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649DE774"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b/>
                <w:color w:val="FFFFFF"/>
                <w:sz w:val="20"/>
              </w:rPr>
              <w:t>E. Promoting improved environmental health conditions and outcomes for Aboriginal and Torres Strait Islander communities</w:t>
            </w:r>
          </w:p>
        </w:tc>
      </w:tr>
      <w:tr w:rsidR="003D262A" w:rsidRPr="003D262A" w14:paraId="6563D5D3" w14:textId="77777777" w:rsidTr="00E006A3">
        <w:trPr>
          <w:trHeight w:val="648"/>
        </w:trPr>
        <w:tc>
          <w:tcPr>
            <w:tcW w:w="4830"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5F77F137"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E.1 </w:t>
            </w:r>
            <w:r w:rsidRPr="003D262A">
              <w:rPr>
                <w:rFonts w:ascii="Calibri" w:eastAsia="Calibri" w:hAnsi="Calibri" w:cs="Calibri"/>
                <w:sz w:val="20"/>
                <w:lang w:bidi="en-AU"/>
              </w:rPr>
              <w:t>Improve networking and professional development of the indigenous environmental health workforce</w:t>
            </w:r>
            <w:r w:rsidRPr="003D262A">
              <w:rPr>
                <w:rFonts w:ascii="Calibri" w:eastAsia="Calibri" w:hAnsi="Calibri" w:cs="Calibri"/>
                <w:sz w:val="20"/>
              </w:rPr>
              <w:t>.</w:t>
            </w:r>
          </w:p>
        </w:tc>
        <w:tc>
          <w:tcPr>
            <w:tcW w:w="5245"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176DB11C" w14:textId="77777777" w:rsidR="003D262A" w:rsidRPr="003D262A" w:rsidRDefault="003D262A" w:rsidP="003D262A">
            <w:pPr>
              <w:spacing w:after="0"/>
              <w:rPr>
                <w:rFonts w:ascii="Times New Roman" w:eastAsia="Calibri" w:hAnsi="Times New Roman"/>
                <w:sz w:val="20"/>
              </w:rPr>
            </w:pPr>
            <w:r w:rsidRPr="003D262A">
              <w:rPr>
                <w:rFonts w:ascii="Calibri" w:eastAsia="Calibri" w:hAnsi="Calibri" w:cs="Calibri"/>
                <w:color w:val="000000"/>
                <w:sz w:val="20"/>
              </w:rPr>
              <w:t xml:space="preserve">E.2 </w:t>
            </w:r>
            <w:r w:rsidRPr="003D262A">
              <w:rPr>
                <w:rFonts w:ascii="Calibri" w:eastAsia="Calibri" w:hAnsi="Calibri" w:cs="Calibri"/>
                <w:color w:val="000000"/>
                <w:sz w:val="20"/>
                <w:lang w:bidi="en-AU"/>
              </w:rPr>
              <w:t>Enhance environmental health conditions for Aboriginal and Torres Strait Islander communities.</w:t>
            </w:r>
          </w:p>
        </w:tc>
        <w:tc>
          <w:tcPr>
            <w:tcW w:w="537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663048C0" w14:textId="77777777" w:rsidR="003D262A" w:rsidRPr="003D262A" w:rsidRDefault="003D262A" w:rsidP="003D262A">
            <w:pPr>
              <w:spacing w:after="0"/>
              <w:rPr>
                <w:rFonts w:ascii="Calibri" w:eastAsia="Calibri" w:hAnsi="Calibri" w:cs="Calibri"/>
                <w:color w:val="DAEEF3"/>
                <w:sz w:val="20"/>
              </w:rPr>
            </w:pPr>
            <w:r w:rsidRPr="003D262A">
              <w:rPr>
                <w:rFonts w:ascii="Calibri" w:eastAsia="Calibri" w:hAnsi="Calibri" w:cs="Calibri"/>
                <w:color w:val="000000"/>
                <w:sz w:val="20"/>
              </w:rPr>
              <w:t xml:space="preserve">E.3 </w:t>
            </w:r>
            <w:r w:rsidRPr="003D262A">
              <w:rPr>
                <w:rFonts w:ascii="Calibri" w:eastAsia="Calibri" w:hAnsi="Calibri" w:cs="Calibri"/>
                <w:color w:val="000000"/>
                <w:sz w:val="20"/>
                <w:lang w:bidi="en-AU"/>
              </w:rPr>
              <w:t>Provide intelligence on environmental health conditions in communities</w:t>
            </w:r>
            <w:r w:rsidRPr="003D262A">
              <w:rPr>
                <w:rFonts w:ascii="Calibri" w:eastAsia="Calibri" w:hAnsi="Calibri" w:cs="Calibri"/>
                <w:color w:val="000000"/>
                <w:sz w:val="20"/>
              </w:rPr>
              <w:t>.</w:t>
            </w:r>
          </w:p>
        </w:tc>
      </w:tr>
      <w:tr w:rsidR="003D262A" w:rsidRPr="003D262A" w14:paraId="507254A8" w14:textId="77777777" w:rsidTr="00E006A3">
        <w:trPr>
          <w:trHeight w:val="79"/>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420EE4F5" w14:textId="77777777" w:rsidR="003D262A" w:rsidRPr="003D262A" w:rsidRDefault="003D262A" w:rsidP="003D262A">
            <w:pPr>
              <w:spacing w:after="0"/>
              <w:rPr>
                <w:rFonts w:ascii="Calibri" w:eastAsia="Calibri" w:hAnsi="Calibri" w:cs="Calibri"/>
                <w:b/>
                <w:color w:val="FFFFFF"/>
                <w:sz w:val="20"/>
              </w:rPr>
            </w:pPr>
            <w:r w:rsidRPr="003D262A">
              <w:rPr>
                <w:rFonts w:ascii="Calibri" w:eastAsia="Calibri" w:hAnsi="Calibri" w:cs="Calibri"/>
                <w:b/>
                <w:color w:val="FFFFFF"/>
                <w:sz w:val="20"/>
              </w:rPr>
              <w:t>F. Nationally consistent frameworks for public and environmental health regulation.</w:t>
            </w:r>
          </w:p>
        </w:tc>
      </w:tr>
      <w:tr w:rsidR="003D262A" w:rsidRPr="003D262A" w14:paraId="25D97D2F" w14:textId="77777777" w:rsidTr="00E006A3">
        <w:trPr>
          <w:trHeight w:val="736"/>
        </w:trPr>
        <w:tc>
          <w:tcPr>
            <w:tcW w:w="2987"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4D26A013" w14:textId="77777777" w:rsidR="003D262A" w:rsidRPr="003D262A" w:rsidRDefault="003D262A" w:rsidP="003D262A">
            <w:pPr>
              <w:spacing w:after="0"/>
              <w:rPr>
                <w:rFonts w:ascii="Calibri" w:eastAsia="Calibri" w:hAnsi="Calibri" w:cs="Calibri"/>
                <w:color w:val="FFFFFF"/>
                <w:sz w:val="20"/>
              </w:rPr>
            </w:pPr>
            <w:r w:rsidRPr="003D262A">
              <w:rPr>
                <w:rFonts w:ascii="Calibri" w:eastAsia="Calibri" w:hAnsi="Calibri" w:cs="Calibri"/>
                <w:sz w:val="20"/>
              </w:rPr>
              <w:t xml:space="preserve">F.1 </w:t>
            </w:r>
            <w:r w:rsidRPr="003D262A">
              <w:rPr>
                <w:rFonts w:ascii="Calibri" w:eastAsia="Calibri" w:hAnsi="Calibri" w:cs="Calibri"/>
                <w:sz w:val="20"/>
                <w:lang w:bidi="en-AU"/>
              </w:rPr>
              <w:t>Setting best practice standards in key environmental health areas.</w:t>
            </w:r>
          </w:p>
        </w:tc>
        <w:tc>
          <w:tcPr>
            <w:tcW w:w="4536"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5DD7DA15" w14:textId="77777777" w:rsidR="003D262A" w:rsidRPr="003D262A" w:rsidRDefault="003D262A" w:rsidP="003D262A">
            <w:pPr>
              <w:spacing w:after="0"/>
              <w:rPr>
                <w:rFonts w:ascii="Calibri" w:eastAsia="Calibri" w:hAnsi="Calibri" w:cs="Calibri"/>
                <w:color w:val="000000"/>
                <w:sz w:val="20"/>
              </w:rPr>
            </w:pPr>
            <w:r w:rsidRPr="003D262A">
              <w:rPr>
                <w:rFonts w:ascii="Calibri" w:eastAsia="Calibri" w:hAnsi="Calibri" w:cs="Calibri"/>
                <w:sz w:val="20"/>
              </w:rPr>
              <w:t xml:space="preserve">F.2 </w:t>
            </w:r>
            <w:r w:rsidRPr="003D262A">
              <w:rPr>
                <w:rFonts w:ascii="Calibri" w:eastAsia="Calibri" w:hAnsi="Calibri" w:cs="Calibri"/>
                <w:sz w:val="20"/>
                <w:lang w:bidi="en-AU"/>
              </w:rPr>
              <w:t>Nationally consistent regulation of key environmental health matters across jurisdictions.</w:t>
            </w:r>
          </w:p>
        </w:tc>
        <w:tc>
          <w:tcPr>
            <w:tcW w:w="4962" w:type="dxa"/>
            <w:gridSpan w:val="6"/>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3CD64806" w14:textId="77777777" w:rsidR="003D262A" w:rsidRPr="003D262A" w:rsidRDefault="003D262A" w:rsidP="003D262A">
            <w:pPr>
              <w:spacing w:after="0"/>
              <w:rPr>
                <w:rFonts w:ascii="Calibri" w:hAnsi="Calibri" w:cs="Calibri"/>
                <w:sz w:val="20"/>
              </w:rPr>
            </w:pPr>
            <w:r w:rsidRPr="003D262A">
              <w:rPr>
                <w:rFonts w:ascii="Calibri" w:eastAsia="Calibri" w:hAnsi="Calibri" w:cs="Calibri"/>
                <w:sz w:val="20"/>
              </w:rPr>
              <w:t xml:space="preserve">F.3 </w:t>
            </w:r>
            <w:r w:rsidRPr="003D262A">
              <w:rPr>
                <w:rFonts w:ascii="Calibri" w:eastAsia="Calibri" w:hAnsi="Calibri" w:cs="Calibri"/>
                <w:sz w:val="20"/>
                <w:lang w:bidi="en-AU"/>
              </w:rPr>
              <w:t>Development of national uniformity in radiation protection and nuclear safety in Australia.</w:t>
            </w:r>
          </w:p>
        </w:tc>
        <w:tc>
          <w:tcPr>
            <w:tcW w:w="296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0395D358"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F.4 </w:t>
            </w:r>
            <w:r w:rsidRPr="003D262A">
              <w:rPr>
                <w:rFonts w:ascii="Calibri" w:eastAsia="Calibri" w:hAnsi="Calibri" w:cs="Calibri"/>
                <w:sz w:val="20"/>
                <w:lang w:bidi="en-AU"/>
              </w:rPr>
              <w:t>Improve public health regulatory practice and build capacity.</w:t>
            </w:r>
          </w:p>
        </w:tc>
      </w:tr>
      <w:tr w:rsidR="003D262A" w:rsidRPr="003D262A" w14:paraId="6F3733BB" w14:textId="77777777" w:rsidTr="00E006A3">
        <w:trPr>
          <w:trHeight w:val="244"/>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23A43FFB" w14:textId="77777777" w:rsidR="003D262A" w:rsidRPr="003D262A" w:rsidRDefault="003D262A" w:rsidP="003D262A">
            <w:pPr>
              <w:spacing w:after="0"/>
              <w:rPr>
                <w:rFonts w:ascii="Calibri" w:eastAsia="Calibri" w:hAnsi="Calibri" w:cs="Calibri"/>
                <w:b/>
                <w:color w:val="FFFFFF"/>
                <w:sz w:val="20"/>
              </w:rPr>
            </w:pPr>
            <w:r w:rsidRPr="003D262A">
              <w:rPr>
                <w:rFonts w:ascii="Calibri" w:eastAsia="Calibri" w:hAnsi="Calibri" w:cs="Calibri"/>
                <w:b/>
                <w:color w:val="FFFFFF"/>
                <w:sz w:val="20"/>
              </w:rPr>
              <w:t>G. Effective networking and partnerships with stakeholders to ensure a coordinated approach to addressing environmental risks to health.</w:t>
            </w:r>
          </w:p>
        </w:tc>
      </w:tr>
      <w:tr w:rsidR="003D262A" w:rsidRPr="003D262A" w14:paraId="66B2FB45" w14:textId="77777777" w:rsidTr="00E006A3">
        <w:trPr>
          <w:trHeight w:val="1219"/>
        </w:trPr>
        <w:tc>
          <w:tcPr>
            <w:tcW w:w="270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33C88BF0"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G.1 </w:t>
            </w:r>
            <w:r w:rsidRPr="003D262A">
              <w:rPr>
                <w:rFonts w:ascii="Calibri" w:eastAsia="Calibri" w:hAnsi="Calibri" w:cs="Calibri"/>
                <w:sz w:val="20"/>
                <w:lang w:bidi="en-AU"/>
              </w:rPr>
              <w:t>Support local government’s role as a key provider of environmental health services.</w:t>
            </w:r>
          </w:p>
        </w:tc>
        <w:tc>
          <w:tcPr>
            <w:tcW w:w="3685"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2FAD4B88"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G.2 </w:t>
            </w:r>
            <w:r w:rsidRPr="003D262A">
              <w:rPr>
                <w:rFonts w:ascii="Calibri" w:eastAsia="Calibri" w:hAnsi="Calibri" w:cs="Calibri"/>
                <w:sz w:val="20"/>
                <w:lang w:bidi="en-AU"/>
              </w:rPr>
              <w:t>Improve links with other key committees and agencies, including strategic policy bodies and research institutions.</w:t>
            </w:r>
          </w:p>
        </w:tc>
        <w:tc>
          <w:tcPr>
            <w:tcW w:w="2268"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263775FA" w14:textId="77777777" w:rsidR="003D262A" w:rsidRPr="003D262A" w:rsidRDefault="003D262A" w:rsidP="003D262A">
            <w:pPr>
              <w:spacing w:after="0"/>
              <w:rPr>
                <w:rFonts w:ascii="Calibri" w:hAnsi="Calibri" w:cs="Calibri"/>
                <w:sz w:val="20"/>
              </w:rPr>
            </w:pPr>
            <w:r w:rsidRPr="003D262A">
              <w:rPr>
                <w:rFonts w:ascii="Calibri" w:eastAsia="Calibri" w:hAnsi="Calibri" w:cs="Calibri"/>
                <w:sz w:val="20"/>
              </w:rPr>
              <w:t xml:space="preserve">G.3 </w:t>
            </w:r>
            <w:r w:rsidRPr="003D262A">
              <w:rPr>
                <w:rFonts w:ascii="Calibri" w:eastAsia="Calibri" w:hAnsi="Calibri" w:cs="Calibri"/>
                <w:sz w:val="20"/>
                <w:lang w:bidi="en-AU"/>
              </w:rPr>
              <w:t>Evaluate effectiveness and use of guidelines by stakeholders.</w:t>
            </w:r>
          </w:p>
        </w:tc>
        <w:tc>
          <w:tcPr>
            <w:tcW w:w="3544"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38B5BBEE" w14:textId="77777777" w:rsidR="003D262A" w:rsidRPr="003D262A" w:rsidRDefault="003D262A" w:rsidP="003D262A">
            <w:pPr>
              <w:spacing w:after="0"/>
              <w:rPr>
                <w:rFonts w:ascii="Calibri" w:hAnsi="Calibri" w:cs="Calibri"/>
                <w:sz w:val="20"/>
              </w:rPr>
            </w:pPr>
            <w:r w:rsidRPr="003D262A">
              <w:rPr>
                <w:rFonts w:ascii="Calibri" w:eastAsia="Calibri" w:hAnsi="Calibri" w:cs="Calibri"/>
                <w:sz w:val="20"/>
              </w:rPr>
              <w:t xml:space="preserve">G.4 </w:t>
            </w:r>
            <w:r w:rsidRPr="003D262A">
              <w:rPr>
                <w:rFonts w:ascii="Calibri" w:eastAsia="Calibri" w:hAnsi="Calibri" w:cs="Calibri"/>
                <w:sz w:val="20"/>
                <w:lang w:bidi="en-AU"/>
              </w:rPr>
              <w:t>Contribute and link to climate change and health work and priorities from an environmental health perspective.</w:t>
            </w:r>
          </w:p>
        </w:tc>
        <w:tc>
          <w:tcPr>
            <w:tcW w:w="3250"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2EF77792"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G.5 </w:t>
            </w:r>
            <w:r w:rsidRPr="003D262A">
              <w:rPr>
                <w:rFonts w:ascii="Calibri" w:eastAsia="Calibri" w:hAnsi="Calibri" w:cs="Calibri"/>
                <w:sz w:val="20"/>
                <w:lang w:bidi="en-AU"/>
              </w:rPr>
              <w:t>Identify and exploit opportunities for national leadership of stakeholders in areas of environmental health importance.</w:t>
            </w:r>
          </w:p>
        </w:tc>
      </w:tr>
      <w:tr w:rsidR="003D262A" w:rsidRPr="003D262A" w14:paraId="738B7FA9" w14:textId="77777777" w:rsidTr="00E006A3">
        <w:trPr>
          <w:trHeight w:val="180"/>
        </w:trPr>
        <w:tc>
          <w:tcPr>
            <w:tcW w:w="15451"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7B5E8118" w14:textId="77777777" w:rsidR="003D262A" w:rsidRPr="003D262A" w:rsidRDefault="003D262A" w:rsidP="003D262A">
            <w:pPr>
              <w:numPr>
                <w:ilvl w:val="0"/>
                <w:numId w:val="116"/>
              </w:numPr>
              <w:spacing w:after="0"/>
              <w:contextualSpacing/>
              <w:rPr>
                <w:rFonts w:ascii="Calibri" w:hAnsi="Calibri" w:cs="Calibri"/>
                <w:b/>
                <w:color w:val="FFFFFF"/>
                <w:sz w:val="20"/>
              </w:rPr>
            </w:pPr>
            <w:r w:rsidRPr="003D262A">
              <w:rPr>
                <w:rFonts w:ascii="Calibri" w:hAnsi="Calibri" w:cs="Calibri"/>
                <w:b/>
                <w:bCs/>
                <w:color w:val="FFFFFF"/>
                <w:sz w:val="20"/>
                <w:lang w:bidi="en-AU"/>
              </w:rPr>
              <w:t>Strengthened research and data capacity, to assist translation of research and data to environmental health policy and interventions.</w:t>
            </w:r>
          </w:p>
        </w:tc>
      </w:tr>
      <w:tr w:rsidR="003D262A" w:rsidRPr="003D262A" w14:paraId="3461A06F" w14:textId="77777777" w:rsidTr="00E006A3">
        <w:trPr>
          <w:trHeight w:val="670"/>
        </w:trPr>
        <w:tc>
          <w:tcPr>
            <w:tcW w:w="4405"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49AD5FAB"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H.1 </w:t>
            </w:r>
            <w:r w:rsidRPr="003D262A">
              <w:rPr>
                <w:rFonts w:ascii="Calibri" w:eastAsia="Calibri" w:hAnsi="Calibri" w:cs="Calibri"/>
                <w:sz w:val="20"/>
                <w:lang w:bidi="en-AU"/>
              </w:rPr>
              <w:t>Contribute to the setting of the national agenda in applied environmental health research.</w:t>
            </w:r>
          </w:p>
        </w:tc>
        <w:tc>
          <w:tcPr>
            <w:tcW w:w="5245"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1B3C04E8"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H.2 </w:t>
            </w:r>
            <w:r w:rsidRPr="003D262A">
              <w:rPr>
                <w:rFonts w:ascii="Calibri" w:eastAsia="Calibri" w:hAnsi="Calibri" w:cs="Calibri"/>
                <w:sz w:val="20"/>
                <w:lang w:bidi="en-AU"/>
              </w:rPr>
              <w:t>Facilitating the collection of data and analysis to support environmental health decision making.</w:t>
            </w:r>
          </w:p>
        </w:tc>
        <w:tc>
          <w:tcPr>
            <w:tcW w:w="5801" w:type="dxa"/>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hemeFill="background1"/>
          </w:tcPr>
          <w:p w14:paraId="6894ED54" w14:textId="77777777" w:rsidR="003D262A" w:rsidRPr="003D262A" w:rsidRDefault="003D262A" w:rsidP="003D262A">
            <w:pPr>
              <w:spacing w:after="0"/>
              <w:rPr>
                <w:rFonts w:ascii="Calibri" w:eastAsia="Calibri" w:hAnsi="Calibri" w:cs="Calibri"/>
                <w:sz w:val="20"/>
              </w:rPr>
            </w:pPr>
            <w:r w:rsidRPr="003D262A">
              <w:rPr>
                <w:rFonts w:ascii="Calibri" w:eastAsia="Calibri" w:hAnsi="Calibri" w:cs="Calibri"/>
                <w:sz w:val="20"/>
              </w:rPr>
              <w:t xml:space="preserve">H.3 </w:t>
            </w:r>
            <w:r w:rsidRPr="003D262A">
              <w:rPr>
                <w:rFonts w:ascii="Calibri" w:eastAsia="Calibri" w:hAnsi="Calibri" w:cs="Calibri"/>
                <w:sz w:val="20"/>
                <w:lang w:bidi="en-AU"/>
              </w:rPr>
              <w:t>Advocate for necessary funding to support the development and implementation of big data projects in environmental health.</w:t>
            </w:r>
          </w:p>
        </w:tc>
      </w:tr>
    </w:tbl>
    <w:p w14:paraId="6B154E3C" w14:textId="420FC626" w:rsidR="003A746E" w:rsidRDefault="003A746E" w:rsidP="00081B35"/>
    <w:sectPr w:rsidR="003A746E" w:rsidSect="00E006A3">
      <w:pgSz w:w="16840" w:h="11900" w:orient="landscape" w:code="9"/>
      <w:pgMar w:top="851" w:right="851" w:bottom="851" w:left="85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E8482" w14:textId="77777777" w:rsidR="00A0212A" w:rsidRDefault="00A0212A" w:rsidP="00480EC6">
      <w:pPr>
        <w:spacing w:after="0"/>
      </w:pPr>
      <w:r>
        <w:separator/>
      </w:r>
    </w:p>
  </w:endnote>
  <w:endnote w:type="continuationSeparator" w:id="0">
    <w:p w14:paraId="4ADDAACF" w14:textId="77777777" w:rsidR="00A0212A" w:rsidRDefault="00A0212A" w:rsidP="00480EC6">
      <w:pPr>
        <w:spacing w:after="0"/>
      </w:pPr>
      <w:r>
        <w:continuationSeparator/>
      </w:r>
    </w:p>
  </w:endnote>
  <w:endnote w:type="continuationNotice" w:id="1">
    <w:p w14:paraId="42B02247" w14:textId="77777777" w:rsidR="00A0212A" w:rsidRDefault="00A021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 w:name="Myriad Pro Light">
    <w:altName w:val="Arial"/>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265006"/>
      <w:docPartObj>
        <w:docPartGallery w:val="Page Numbers (Bottom of Page)"/>
        <w:docPartUnique/>
      </w:docPartObj>
    </w:sdtPr>
    <w:sdtEndPr>
      <w:rPr>
        <w:noProof/>
      </w:rPr>
    </w:sdtEndPr>
    <w:sdtContent>
      <w:p w14:paraId="3769EC48" w14:textId="4573A0AA" w:rsidR="00602A59" w:rsidRDefault="00602A59">
        <w:pPr>
          <w:pStyle w:val="Footer"/>
          <w:jc w:val="center"/>
        </w:pPr>
        <w:r>
          <w:fldChar w:fldCharType="begin"/>
        </w:r>
        <w:r>
          <w:instrText xml:space="preserve"> PAGE   \* MERGEFORMAT </w:instrText>
        </w:r>
        <w:r>
          <w:fldChar w:fldCharType="separate"/>
        </w:r>
        <w:r w:rsidR="003B1E87">
          <w:rPr>
            <w:noProof/>
          </w:rPr>
          <w:t>21</w:t>
        </w:r>
        <w:r>
          <w:rPr>
            <w:noProof/>
          </w:rPr>
          <w:fldChar w:fldCharType="end"/>
        </w:r>
      </w:p>
    </w:sdtContent>
  </w:sdt>
  <w:p w14:paraId="759A6922" w14:textId="77777777" w:rsidR="00602A59" w:rsidRDefault="0060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215C" w14:textId="77777777" w:rsidR="00A0212A" w:rsidRDefault="00A0212A" w:rsidP="00480EC6">
      <w:pPr>
        <w:spacing w:after="0"/>
      </w:pPr>
      <w:r>
        <w:separator/>
      </w:r>
    </w:p>
  </w:footnote>
  <w:footnote w:type="continuationSeparator" w:id="0">
    <w:p w14:paraId="08B3C227" w14:textId="77777777" w:rsidR="00A0212A" w:rsidRDefault="00A0212A" w:rsidP="00480EC6">
      <w:pPr>
        <w:spacing w:after="0"/>
      </w:pPr>
      <w:r>
        <w:continuationSeparator/>
      </w:r>
    </w:p>
  </w:footnote>
  <w:footnote w:type="continuationNotice" w:id="1">
    <w:p w14:paraId="7B265982" w14:textId="77777777" w:rsidR="00A0212A" w:rsidRDefault="00A0212A">
      <w:pPr>
        <w:spacing w:after="0"/>
      </w:pPr>
    </w:p>
  </w:footnote>
  <w:footnote w:id="2">
    <w:p w14:paraId="62BB8C51" w14:textId="41CB15A3" w:rsidR="00602A59" w:rsidRPr="005F426F" w:rsidRDefault="00602A59">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World Health Organi</w:t>
      </w:r>
      <w:r>
        <w:rPr>
          <w:rFonts w:ascii="Arial" w:hAnsi="Arial" w:cs="Arial"/>
          <w:sz w:val="16"/>
          <w:szCs w:val="16"/>
        </w:rPr>
        <w:t>z</w:t>
      </w:r>
      <w:r w:rsidRPr="005F426F">
        <w:rPr>
          <w:rFonts w:ascii="Arial" w:hAnsi="Arial" w:cs="Arial"/>
          <w:sz w:val="16"/>
          <w:szCs w:val="16"/>
        </w:rPr>
        <w:t xml:space="preserve">ation, 2019, </w:t>
      </w:r>
      <w:r w:rsidRPr="005F426F">
        <w:rPr>
          <w:rFonts w:ascii="Arial" w:hAnsi="Arial" w:cs="Arial"/>
          <w:i/>
          <w:sz w:val="16"/>
          <w:szCs w:val="16"/>
        </w:rPr>
        <w:t>Environmental Health.</w:t>
      </w:r>
      <w:r w:rsidRPr="005F426F">
        <w:rPr>
          <w:rFonts w:ascii="Arial" w:hAnsi="Arial" w:cs="Arial"/>
          <w:sz w:val="16"/>
          <w:szCs w:val="16"/>
        </w:rPr>
        <w:t xml:space="preserve"> Online at </w:t>
      </w:r>
      <w:r>
        <w:rPr>
          <w:rStyle w:val="Hyperlink"/>
          <w:rFonts w:ascii="Arial" w:hAnsi="Arial" w:cs="Arial"/>
          <w:sz w:val="16"/>
          <w:szCs w:val="16"/>
        </w:rPr>
        <w:t xml:space="preserve"> </w:t>
      </w:r>
      <w:r w:rsidRPr="003B1E87">
        <w:rPr>
          <w:rFonts w:ascii="Arial" w:hAnsi="Arial" w:cs="Arial"/>
          <w:sz w:val="16"/>
          <w:szCs w:val="16"/>
        </w:rPr>
        <w:t>http://origin.searo.who.int/topics/environmental_health/en</w:t>
      </w:r>
      <w:r w:rsidRPr="009B6D6C">
        <w:rPr>
          <w:rStyle w:val="Hyperlink"/>
          <w:rFonts w:ascii="Arial" w:hAnsi="Arial" w:cs="Arial"/>
          <w:sz w:val="16"/>
          <w:szCs w:val="16"/>
        </w:rPr>
        <w:t>/</w:t>
      </w:r>
    </w:p>
  </w:footnote>
  <w:footnote w:id="3">
    <w:p w14:paraId="5002E9E6" w14:textId="77777777" w:rsidR="00602A59" w:rsidRPr="005F426F" w:rsidRDefault="00602A59" w:rsidP="004A3EFC">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w:t>
      </w:r>
      <w:r w:rsidRPr="005F426F">
        <w:rPr>
          <w:rFonts w:ascii="Arial" w:hAnsi="Arial" w:cs="Arial"/>
          <w:sz w:val="16"/>
          <w:szCs w:val="16"/>
          <w:lang w:val="en"/>
        </w:rPr>
        <w:t xml:space="preserve">Smith K. R., </w:t>
      </w:r>
      <w:r w:rsidRPr="005F426F">
        <w:rPr>
          <w:rFonts w:ascii="Arial" w:hAnsi="Arial" w:cs="Arial"/>
          <w:sz w:val="16"/>
          <w:szCs w:val="16"/>
          <w:lang w:val="en"/>
        </w:rPr>
        <w:t xml:space="preserve">Corvalan C., Kjellstrom T. </w:t>
      </w:r>
      <w:r w:rsidRPr="005F426F">
        <w:rPr>
          <w:rFonts w:ascii="Arial" w:hAnsi="Arial" w:cs="Arial"/>
          <w:i/>
          <w:sz w:val="16"/>
          <w:szCs w:val="16"/>
          <w:lang w:val="en"/>
        </w:rPr>
        <w:t>How Much Global Ill Health Is Attributable to Environmental Factors?</w:t>
      </w:r>
      <w:r w:rsidRPr="005F426F">
        <w:rPr>
          <w:rFonts w:ascii="Arial" w:hAnsi="Arial" w:cs="Arial"/>
          <w:sz w:val="16"/>
          <w:szCs w:val="16"/>
          <w:lang w:val="en"/>
        </w:rPr>
        <w:t xml:space="preserve"> Epidemiology. 1999; 10: 573–84.</w:t>
      </w:r>
    </w:p>
  </w:footnote>
  <w:footnote w:id="4">
    <w:p w14:paraId="1AD3FAAB" w14:textId="77777777" w:rsidR="00602A59" w:rsidRPr="005F426F" w:rsidRDefault="00602A59" w:rsidP="00B81DEA">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w:t>
      </w:r>
      <w:r w:rsidRPr="005F426F">
        <w:rPr>
          <w:rFonts w:ascii="Arial" w:hAnsi="Arial" w:cs="Arial"/>
          <w:sz w:val="16"/>
          <w:szCs w:val="16"/>
        </w:rPr>
        <w:t xml:space="preserve">Prüss-Üstün A, Corvalán C. </w:t>
      </w:r>
      <w:r w:rsidRPr="005F426F">
        <w:rPr>
          <w:rFonts w:ascii="Arial" w:hAnsi="Arial" w:cs="Arial"/>
          <w:i/>
          <w:iCs/>
          <w:sz w:val="16"/>
          <w:szCs w:val="16"/>
        </w:rPr>
        <w:t>Preventing disease through healthy environments. Towards an estimate of the environmental</w:t>
      </w:r>
      <w:r>
        <w:rPr>
          <w:rFonts w:ascii="Arial" w:hAnsi="Arial" w:cs="Arial"/>
          <w:i/>
          <w:iCs/>
          <w:sz w:val="16"/>
          <w:szCs w:val="16"/>
        </w:rPr>
        <w:t xml:space="preserve"> </w:t>
      </w:r>
      <w:r w:rsidRPr="005F426F">
        <w:rPr>
          <w:rFonts w:ascii="Arial" w:hAnsi="Arial" w:cs="Arial"/>
          <w:i/>
          <w:iCs/>
          <w:sz w:val="16"/>
          <w:szCs w:val="16"/>
        </w:rPr>
        <w:t>burden of disease</w:t>
      </w:r>
      <w:r w:rsidRPr="005F426F">
        <w:rPr>
          <w:rFonts w:ascii="Arial" w:hAnsi="Arial" w:cs="Arial"/>
          <w:sz w:val="16"/>
          <w:szCs w:val="16"/>
        </w:rPr>
        <w:t>. Geneva, World Health Organization, 2006.</w:t>
      </w:r>
    </w:p>
  </w:footnote>
  <w:footnote w:id="5">
    <w:p w14:paraId="51442AFE" w14:textId="003504AA" w:rsidR="00602A59" w:rsidRPr="005F426F" w:rsidRDefault="00602A59">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w:t>
      </w:r>
      <w:r w:rsidRPr="005F426F">
        <w:rPr>
          <w:rFonts w:ascii="Arial" w:hAnsi="Arial" w:cs="Arial"/>
          <w:i/>
          <w:sz w:val="16"/>
          <w:szCs w:val="16"/>
        </w:rPr>
        <w:t>The world health report 2013: research for universal health coverage</w:t>
      </w:r>
      <w:r w:rsidRPr="005F426F">
        <w:rPr>
          <w:rFonts w:ascii="Arial" w:hAnsi="Arial" w:cs="Arial"/>
          <w:sz w:val="16"/>
          <w:szCs w:val="16"/>
        </w:rPr>
        <w:t xml:space="preserve">. Online at </w:t>
      </w:r>
      <w:r w:rsidRPr="003B1E87">
        <w:rPr>
          <w:rFonts w:ascii="Arial" w:hAnsi="Arial" w:cs="Arial"/>
          <w:sz w:val="16"/>
          <w:szCs w:val="16"/>
        </w:rPr>
        <w:t>https://www.who.int/whr/2013/report/en/</w:t>
      </w:r>
      <w:r w:rsidRPr="005F426F">
        <w:rPr>
          <w:rFonts w:ascii="Arial" w:hAnsi="Arial" w:cs="Arial"/>
          <w:sz w:val="16"/>
          <w:szCs w:val="16"/>
        </w:rPr>
        <w:t xml:space="preserve"> </w:t>
      </w:r>
    </w:p>
  </w:footnote>
  <w:footnote w:id="6">
    <w:p w14:paraId="3F3226F1" w14:textId="7CF40D3C" w:rsidR="00602A59" w:rsidRPr="005F426F" w:rsidRDefault="00602A59" w:rsidP="00B40FF4">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United States Government, </w:t>
      </w:r>
      <w:r w:rsidRPr="005F426F">
        <w:rPr>
          <w:rFonts w:ascii="Arial" w:hAnsi="Arial" w:cs="Arial"/>
          <w:sz w:val="16"/>
          <w:szCs w:val="16"/>
        </w:rPr>
        <w:t xml:space="preserve">Centers for Disease Control and Prevention and Department of Health and Human Services 2003, </w:t>
      </w:r>
      <w:r w:rsidRPr="005F426F">
        <w:rPr>
          <w:rFonts w:ascii="Arial" w:hAnsi="Arial" w:cs="Arial"/>
          <w:i/>
          <w:sz w:val="16"/>
          <w:szCs w:val="16"/>
        </w:rPr>
        <w:t>A National Strategy to Revitalize Environmental Public Health Services</w:t>
      </w:r>
      <w:r w:rsidRPr="005F426F">
        <w:rPr>
          <w:rFonts w:ascii="Arial" w:hAnsi="Arial" w:cs="Arial"/>
          <w:sz w:val="16"/>
          <w:szCs w:val="16"/>
        </w:rPr>
        <w:t>. Online</w:t>
      </w:r>
      <w:r>
        <w:rPr>
          <w:rFonts w:ascii="Arial" w:hAnsi="Arial" w:cs="Arial"/>
          <w:sz w:val="16"/>
          <w:szCs w:val="16"/>
        </w:rPr>
        <w:t xml:space="preserve"> at</w:t>
      </w:r>
      <w:r w:rsidRPr="005F426F">
        <w:rPr>
          <w:rFonts w:ascii="Arial" w:hAnsi="Arial" w:cs="Arial"/>
          <w:sz w:val="16"/>
          <w:szCs w:val="16"/>
        </w:rPr>
        <w:t xml:space="preserve"> </w:t>
      </w:r>
      <w:r w:rsidRPr="003B1E87">
        <w:rPr>
          <w:rFonts w:ascii="Arial" w:hAnsi="Arial" w:cs="Arial"/>
          <w:sz w:val="16"/>
          <w:szCs w:val="16"/>
        </w:rPr>
        <w:t>www.cdc.gov/nceh/ehs/publications/strategy.htm</w:t>
      </w:r>
    </w:p>
  </w:footnote>
  <w:footnote w:id="7">
    <w:p w14:paraId="020CCF22" w14:textId="17E1899C" w:rsidR="00602A59" w:rsidRPr="005F426F" w:rsidRDefault="00602A59" w:rsidP="00602930">
      <w:pPr>
        <w:pStyle w:val="FootnoteText"/>
        <w:rPr>
          <w:rFonts w:ascii="Arial" w:hAnsi="Arial" w:cs="Arial"/>
          <w:i/>
          <w:sz w:val="18"/>
          <w:szCs w:val="18"/>
        </w:rPr>
      </w:pPr>
      <w:r w:rsidRPr="005F426F">
        <w:rPr>
          <w:rStyle w:val="FootnoteReference"/>
          <w:rFonts w:ascii="Arial" w:hAnsi="Arial" w:cs="Arial"/>
          <w:sz w:val="16"/>
          <w:szCs w:val="16"/>
        </w:rPr>
        <w:footnoteRef/>
      </w:r>
      <w:r w:rsidRPr="005F426F">
        <w:rPr>
          <w:rFonts w:ascii="Arial" w:hAnsi="Arial" w:cs="Arial"/>
          <w:sz w:val="16"/>
          <w:szCs w:val="16"/>
        </w:rPr>
        <w:t xml:space="preserve"> UK Government, Public Health England 2019, </w:t>
      </w:r>
      <w:r w:rsidRPr="005F426F">
        <w:rPr>
          <w:rFonts w:ascii="Arial" w:hAnsi="Arial" w:cs="Arial"/>
          <w:i/>
          <w:sz w:val="16"/>
          <w:szCs w:val="16"/>
        </w:rPr>
        <w:t>Environmental public health surveillance system (EPHSS)</w:t>
      </w:r>
      <w:r w:rsidRPr="003949E9">
        <w:rPr>
          <w:rFonts w:ascii="Arial" w:hAnsi="Arial" w:cs="Arial"/>
          <w:sz w:val="16"/>
          <w:szCs w:val="16"/>
        </w:rPr>
        <w:t>.</w:t>
      </w:r>
      <w:r w:rsidRPr="005F426F">
        <w:rPr>
          <w:rFonts w:ascii="Arial" w:hAnsi="Arial" w:cs="Arial"/>
          <w:sz w:val="16"/>
          <w:szCs w:val="16"/>
        </w:rPr>
        <w:t xml:space="preserve"> Online at </w:t>
      </w:r>
      <w:r w:rsidRPr="003B1E87">
        <w:rPr>
          <w:rFonts w:ascii="Arial" w:hAnsi="Arial" w:cs="Arial"/>
          <w:sz w:val="16"/>
          <w:szCs w:val="16"/>
        </w:rPr>
        <w:t>https://www.gov.uk/government/publications/environmental-public-health-surveillance-system/environmental-public-health-surveillance-system-ephss</w:t>
      </w:r>
    </w:p>
  </w:footnote>
  <w:footnote w:id="8">
    <w:p w14:paraId="40730E30" w14:textId="7BC32DB2" w:rsidR="00602A59" w:rsidRPr="005F426F" w:rsidRDefault="00602A59" w:rsidP="00602930">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Australian Government Department of Health 2019, </w:t>
      </w:r>
      <w:r w:rsidRPr="005F426F">
        <w:rPr>
          <w:rFonts w:ascii="Arial" w:hAnsi="Arial" w:cs="Arial"/>
          <w:i/>
          <w:sz w:val="16"/>
          <w:szCs w:val="16"/>
        </w:rPr>
        <w:t>Overview of environmental Health</w:t>
      </w:r>
      <w:r w:rsidRPr="005F426F">
        <w:rPr>
          <w:rFonts w:ascii="Arial" w:hAnsi="Arial" w:cs="Arial"/>
          <w:sz w:val="16"/>
          <w:szCs w:val="16"/>
        </w:rPr>
        <w:t xml:space="preserve">. Online at </w:t>
      </w:r>
      <w:r w:rsidRPr="003B1E87">
        <w:rPr>
          <w:rFonts w:ascii="Arial" w:hAnsi="Arial" w:cs="Arial"/>
          <w:sz w:val="16"/>
          <w:szCs w:val="16"/>
        </w:rPr>
        <w:t>https://www1.health.gov.au/internet/main/publishing.nsf/content/health-pubhlth-strateg-envhlth-index.htm</w:t>
      </w:r>
      <w:r w:rsidRPr="005F426F">
        <w:rPr>
          <w:rFonts w:ascii="Arial" w:hAnsi="Arial" w:cs="Arial"/>
          <w:sz w:val="16"/>
          <w:szCs w:val="16"/>
        </w:rPr>
        <w:t>.</w:t>
      </w:r>
    </w:p>
  </w:footnote>
  <w:footnote w:id="9">
    <w:p w14:paraId="18F4222E" w14:textId="7AFD7880" w:rsidR="00602A59" w:rsidRPr="005F426F" w:rsidRDefault="00602A59">
      <w:pPr>
        <w:pStyle w:val="FootnoteText"/>
        <w:rPr>
          <w:rFonts w:ascii="Arial" w:hAnsi="Arial" w:cs="Arial"/>
          <w:sz w:val="16"/>
          <w:szCs w:val="16"/>
        </w:rPr>
      </w:pPr>
      <w:r w:rsidRPr="005F426F">
        <w:rPr>
          <w:rStyle w:val="FootnoteReference"/>
          <w:rFonts w:ascii="Arial" w:hAnsi="Arial" w:cs="Arial"/>
          <w:sz w:val="16"/>
          <w:szCs w:val="16"/>
        </w:rPr>
        <w:footnoteRef/>
      </w:r>
      <w:r w:rsidRPr="005F426F">
        <w:rPr>
          <w:rFonts w:ascii="Arial" w:hAnsi="Arial" w:cs="Arial"/>
          <w:sz w:val="16"/>
          <w:szCs w:val="16"/>
        </w:rPr>
        <w:t xml:space="preserve"> World Health Organi</w:t>
      </w:r>
      <w:r>
        <w:rPr>
          <w:rFonts w:ascii="Arial" w:hAnsi="Arial" w:cs="Arial"/>
          <w:sz w:val="16"/>
          <w:szCs w:val="16"/>
        </w:rPr>
        <w:t>z</w:t>
      </w:r>
      <w:r w:rsidRPr="005F426F">
        <w:rPr>
          <w:rFonts w:ascii="Arial" w:hAnsi="Arial" w:cs="Arial"/>
          <w:sz w:val="16"/>
          <w:szCs w:val="16"/>
        </w:rPr>
        <w:t xml:space="preserve">ation, 2005, </w:t>
      </w:r>
      <w:r w:rsidRPr="005F426F">
        <w:rPr>
          <w:rFonts w:ascii="Arial" w:hAnsi="Arial" w:cs="Arial"/>
          <w:i/>
          <w:sz w:val="16"/>
          <w:szCs w:val="16"/>
        </w:rPr>
        <w:t>International Health Regulations</w:t>
      </w:r>
      <w:r w:rsidRPr="005F426F">
        <w:rPr>
          <w:rFonts w:ascii="Arial" w:hAnsi="Arial" w:cs="Arial"/>
          <w:sz w:val="16"/>
          <w:szCs w:val="16"/>
        </w:rPr>
        <w:t xml:space="preserve">. Online at </w:t>
      </w:r>
      <w:r w:rsidRPr="003B1E87">
        <w:rPr>
          <w:rFonts w:ascii="Arial" w:hAnsi="Arial" w:cs="Arial"/>
          <w:sz w:val="16"/>
          <w:szCs w:val="16"/>
        </w:rPr>
        <w:t>https://www.who.int/ihr/publications/9789241580496/en/</w:t>
      </w:r>
      <w:r w:rsidRPr="005F426F">
        <w:rPr>
          <w:rFonts w:ascii="Arial" w:hAnsi="Arial" w:cs="Arial"/>
          <w:sz w:val="16"/>
          <w:szCs w:val="16"/>
        </w:rPr>
        <w:t xml:space="preserve"> </w:t>
      </w:r>
    </w:p>
  </w:footnote>
  <w:footnote w:id="10">
    <w:p w14:paraId="68D007EA" w14:textId="09A87374" w:rsidR="00602A59" w:rsidRPr="00BB50FB" w:rsidRDefault="00602A59" w:rsidP="00BB50FB">
      <w:pPr>
        <w:pStyle w:val="FootnoteText"/>
      </w:pPr>
      <w:r w:rsidRPr="005F426F">
        <w:rPr>
          <w:rStyle w:val="FootnoteReference"/>
          <w:rFonts w:ascii="Arial" w:hAnsi="Arial" w:cs="Arial"/>
          <w:sz w:val="16"/>
          <w:szCs w:val="16"/>
        </w:rPr>
        <w:footnoteRef/>
      </w:r>
      <w:r w:rsidRPr="005F426F">
        <w:rPr>
          <w:rFonts w:ascii="Arial" w:hAnsi="Arial" w:cs="Arial"/>
          <w:sz w:val="16"/>
          <w:szCs w:val="16"/>
        </w:rPr>
        <w:t xml:space="preserve"> Australian Government Department of Health 2019, </w:t>
      </w:r>
      <w:r w:rsidRPr="005F426F">
        <w:rPr>
          <w:rFonts w:ascii="Arial" w:hAnsi="Arial" w:cs="Arial"/>
          <w:i/>
          <w:sz w:val="16"/>
          <w:szCs w:val="16"/>
          <w:lang w:val="en-US"/>
        </w:rPr>
        <w:t>Australia’s National Action Plan for Health Security 2019-2023</w:t>
      </w:r>
      <w:r w:rsidRPr="005F426F">
        <w:rPr>
          <w:rFonts w:ascii="Arial" w:hAnsi="Arial" w:cs="Arial"/>
          <w:sz w:val="16"/>
          <w:szCs w:val="16"/>
          <w:lang w:val="en-US"/>
        </w:rPr>
        <w:t xml:space="preserve">. Online at </w:t>
      </w:r>
      <w:r w:rsidRPr="003B1E87">
        <w:rPr>
          <w:rFonts w:ascii="Arial" w:hAnsi="Arial" w:cs="Arial"/>
          <w:sz w:val="16"/>
          <w:szCs w:val="16"/>
        </w:rPr>
        <w:t>https://extranet.who.int/sph/docs/file/2458</w:t>
      </w:r>
    </w:p>
  </w:footnote>
  <w:footnote w:id="11">
    <w:p w14:paraId="7D9176C9" w14:textId="45FA2187" w:rsidR="00602A59" w:rsidRDefault="00602A59">
      <w:pPr>
        <w:pStyle w:val="FootnoteText"/>
      </w:pPr>
      <w:r>
        <w:rPr>
          <w:rStyle w:val="FootnoteReference"/>
        </w:rPr>
        <w:footnoteRef/>
      </w:r>
      <w:r>
        <w:t xml:space="preserve"> United Nations 2015</w:t>
      </w:r>
      <w:r w:rsidRPr="005F426F">
        <w:rPr>
          <w:rFonts w:ascii="Arial" w:hAnsi="Arial" w:cs="Arial"/>
          <w:sz w:val="16"/>
          <w:szCs w:val="16"/>
        </w:rPr>
        <w:t xml:space="preserve">, </w:t>
      </w:r>
      <w:r>
        <w:rPr>
          <w:rFonts w:ascii="Arial" w:hAnsi="Arial" w:cs="Arial"/>
          <w:i/>
          <w:sz w:val="16"/>
          <w:szCs w:val="16"/>
          <w:lang w:val="en-US"/>
        </w:rPr>
        <w:t>Transforming our world: The 2030 Agenda for Sustainable Development</w:t>
      </w:r>
      <w:r w:rsidRPr="005F426F">
        <w:rPr>
          <w:rFonts w:ascii="Arial" w:hAnsi="Arial" w:cs="Arial"/>
          <w:sz w:val="16"/>
          <w:szCs w:val="16"/>
          <w:lang w:val="en-US"/>
        </w:rPr>
        <w:t xml:space="preserve">. Online at </w:t>
      </w:r>
      <w:r w:rsidRPr="003B1E87">
        <w:rPr>
          <w:rFonts w:ascii="Arial" w:hAnsi="Arial" w:cs="Arial"/>
          <w:sz w:val="16"/>
          <w:szCs w:val="16"/>
        </w:rPr>
        <w:t>https://sustainabledevelopment.un.org/post2015/transformingourworld/publication</w:t>
      </w:r>
      <w:r>
        <w:rPr>
          <w:rFonts w:ascii="Arial" w:hAnsi="Arial" w:cs="Arial"/>
          <w:sz w:val="16"/>
          <w:szCs w:val="16"/>
          <w:lang w:val="en-US"/>
        </w:rPr>
        <w:t xml:space="preserve"> </w:t>
      </w:r>
    </w:p>
  </w:footnote>
  <w:footnote w:id="12">
    <w:p w14:paraId="50C0C4FE" w14:textId="491FF23A" w:rsidR="00602A59" w:rsidRPr="00CB5150" w:rsidRDefault="00602A59">
      <w:pPr>
        <w:pStyle w:val="FootnoteText"/>
        <w:rPr>
          <w:i/>
        </w:rPr>
      </w:pPr>
      <w:r>
        <w:rPr>
          <w:rStyle w:val="FootnoteReference"/>
        </w:rPr>
        <w:footnoteRef/>
      </w:r>
      <w:r>
        <w:t xml:space="preserve"> </w:t>
      </w:r>
      <w:r w:rsidRPr="00CB5150">
        <w:rPr>
          <w:rFonts w:ascii="Arial" w:hAnsi="Arial" w:cs="Arial"/>
          <w:sz w:val="16"/>
          <w:szCs w:val="16"/>
        </w:rPr>
        <w:t xml:space="preserve">Prüss-Üstün, A; Wolf, J; Corvalán, CF; Bos, R; Neira, MP, </w:t>
      </w:r>
      <w:r w:rsidRPr="00CB5150">
        <w:rPr>
          <w:rFonts w:ascii="Arial" w:hAnsi="Arial" w:cs="Arial"/>
          <w:i/>
          <w:sz w:val="16"/>
          <w:szCs w:val="16"/>
        </w:rPr>
        <w:t>Preventing disease through healthy environments: a global assessment of the burden of disease from environmental risks</w:t>
      </w:r>
      <w:r w:rsidRPr="00CB5150">
        <w:rPr>
          <w:rFonts w:ascii="Arial" w:hAnsi="Arial" w:cs="Arial"/>
          <w:sz w:val="16"/>
          <w:szCs w:val="16"/>
        </w:rPr>
        <w:t>. World Health Organization,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6AAA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A381F"/>
    <w:multiLevelType w:val="hybridMultilevel"/>
    <w:tmpl w:val="6C8CD7B0"/>
    <w:lvl w:ilvl="0" w:tplc="8ABE24AA">
      <w:numFmt w:val="bullet"/>
      <w:lvlText w:val="•"/>
      <w:lvlJc w:val="left"/>
      <w:pPr>
        <w:ind w:left="1211" w:hanging="360"/>
      </w:pPr>
      <w:rPr>
        <w:rFonts w:ascii="Calibri" w:eastAsia="Batang"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059EC"/>
    <w:multiLevelType w:val="hybridMultilevel"/>
    <w:tmpl w:val="3BEC2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D2954"/>
    <w:multiLevelType w:val="hybridMultilevel"/>
    <w:tmpl w:val="8456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F19AB"/>
    <w:multiLevelType w:val="hybridMultilevel"/>
    <w:tmpl w:val="1E02A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D0756"/>
    <w:multiLevelType w:val="hybridMultilevel"/>
    <w:tmpl w:val="9F5882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CF300F"/>
    <w:multiLevelType w:val="hybridMultilevel"/>
    <w:tmpl w:val="BB4CC62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08431270"/>
    <w:multiLevelType w:val="hybridMultilevel"/>
    <w:tmpl w:val="2EB8B8CE"/>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0B0B4F6D"/>
    <w:multiLevelType w:val="hybridMultilevel"/>
    <w:tmpl w:val="ABA0C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734B7D"/>
    <w:multiLevelType w:val="hybridMultilevel"/>
    <w:tmpl w:val="20C0B128"/>
    <w:lvl w:ilvl="0" w:tplc="7778AC5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FF49C1"/>
    <w:multiLevelType w:val="hybridMultilevel"/>
    <w:tmpl w:val="821E4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7F04F5"/>
    <w:multiLevelType w:val="hybridMultilevel"/>
    <w:tmpl w:val="C248FB3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0F0C6960"/>
    <w:multiLevelType w:val="hybridMultilevel"/>
    <w:tmpl w:val="E042C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11749C5"/>
    <w:multiLevelType w:val="hybridMultilevel"/>
    <w:tmpl w:val="84368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E94AC9"/>
    <w:multiLevelType w:val="multilevel"/>
    <w:tmpl w:val="4DEA9FEE"/>
    <w:lvl w:ilvl="0">
      <w:start w:val="1"/>
      <w:numFmt w:val="decimal"/>
      <w:pStyle w:val="Heading1"/>
      <w:lvlText w:val="%1"/>
      <w:lvlJc w:val="left"/>
      <w:pPr>
        <w:ind w:left="2843" w:hanging="432"/>
      </w:pPr>
      <w:rPr>
        <w:b w:val="0"/>
        <w:bCs w:val="0"/>
        <w:i w:val="0"/>
        <w:iCs w:val="0"/>
        <w:caps w:val="0"/>
        <w:smallCaps w:val="0"/>
        <w:strike w:val="0"/>
        <w:dstrike w:val="0"/>
        <w:noProof w:val="0"/>
        <w:vanish w:val="0"/>
        <w:color w:val="9BBB59"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color w:val="9BBB59" w:themeColor="accent3"/>
      </w:rPr>
    </w:lvl>
    <w:lvl w:ilvl="2">
      <w:start w:val="1"/>
      <w:numFmt w:val="decimal"/>
      <w:pStyle w:val="Heading3"/>
      <w:lvlText w:val="%1.%2.%3"/>
      <w:lvlJc w:val="left"/>
      <w:pPr>
        <w:ind w:left="1004" w:hanging="720"/>
      </w:pPr>
      <w:rPr>
        <w:color w:val="9BBB59" w:themeColor="accent3"/>
      </w:rPr>
    </w:lvl>
    <w:lvl w:ilvl="3">
      <w:start w:val="1"/>
      <w:numFmt w:val="decimal"/>
      <w:pStyle w:val="Heading4"/>
      <w:lvlText w:val="%1.%2.%3.%4"/>
      <w:lvlJc w:val="left"/>
      <w:pPr>
        <w:ind w:left="3275" w:hanging="864"/>
      </w:pPr>
    </w:lvl>
    <w:lvl w:ilvl="4">
      <w:start w:val="1"/>
      <w:numFmt w:val="decimal"/>
      <w:pStyle w:val="Heading5"/>
      <w:lvlText w:val="%1.%2.%3.%4.%5"/>
      <w:lvlJc w:val="left"/>
      <w:pPr>
        <w:ind w:left="3419" w:hanging="1008"/>
      </w:pPr>
    </w:lvl>
    <w:lvl w:ilvl="5">
      <w:start w:val="1"/>
      <w:numFmt w:val="decimal"/>
      <w:pStyle w:val="Heading6"/>
      <w:lvlText w:val="%1.%2.%3.%4.%5.%6"/>
      <w:lvlJc w:val="left"/>
      <w:pPr>
        <w:ind w:left="3563" w:hanging="1152"/>
      </w:pPr>
    </w:lvl>
    <w:lvl w:ilvl="6">
      <w:start w:val="1"/>
      <w:numFmt w:val="decimal"/>
      <w:pStyle w:val="Heading7"/>
      <w:lvlText w:val="%1.%2.%3.%4.%5.%6.%7"/>
      <w:lvlJc w:val="left"/>
      <w:pPr>
        <w:ind w:left="3707" w:hanging="1296"/>
      </w:pPr>
    </w:lvl>
    <w:lvl w:ilvl="7">
      <w:start w:val="1"/>
      <w:numFmt w:val="decimal"/>
      <w:pStyle w:val="Heading8"/>
      <w:lvlText w:val="%1.%2.%3.%4.%5.%6.%7.%8"/>
      <w:lvlJc w:val="left"/>
      <w:pPr>
        <w:ind w:left="3851" w:hanging="1440"/>
      </w:pPr>
    </w:lvl>
    <w:lvl w:ilvl="8">
      <w:start w:val="1"/>
      <w:numFmt w:val="decimal"/>
      <w:pStyle w:val="Heading9"/>
      <w:lvlText w:val="%1.%2.%3.%4.%5.%6.%7.%8.%9"/>
      <w:lvlJc w:val="left"/>
      <w:pPr>
        <w:ind w:left="3995" w:hanging="1584"/>
      </w:pPr>
    </w:lvl>
  </w:abstractNum>
  <w:abstractNum w:abstractNumId="15" w15:restartNumberingAfterBreak="0">
    <w:nsid w:val="183D2306"/>
    <w:multiLevelType w:val="multilevel"/>
    <w:tmpl w:val="CAD6EEAE"/>
    <w:lvl w:ilvl="0">
      <w:start w:val="1"/>
      <w:numFmt w:val="decimal"/>
      <w:lvlText w:val="%1"/>
      <w:lvlJc w:val="left"/>
      <w:pPr>
        <w:ind w:left="360" w:hanging="360"/>
      </w:pPr>
      <w:rPr>
        <w:rFonts w:hint="default"/>
      </w:rPr>
    </w:lvl>
    <w:lvl w:ilvl="1">
      <w:start w:val="1"/>
      <w:numFmt w:val="decimal"/>
      <w:lvlText w:val="%2."/>
      <w:lvlJc w:val="left"/>
      <w:pPr>
        <w:ind w:left="1211" w:hanging="360"/>
      </w:pPr>
      <w:rPr>
        <w:rFonts w:ascii="Arial" w:eastAsia="Times New Roman" w:hAnsi="Arial" w:cs="Arial"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18DC5380"/>
    <w:multiLevelType w:val="multilevel"/>
    <w:tmpl w:val="AA52BA24"/>
    <w:styleLink w:val="Bullets"/>
    <w:lvl w:ilvl="0">
      <w:start w:val="1"/>
      <w:numFmt w:val="bullet"/>
      <w:lvlText w:val=""/>
      <w:lvlJc w:val="left"/>
      <w:pPr>
        <w:tabs>
          <w:tab w:val="num" w:pos="851"/>
        </w:tabs>
        <w:ind w:left="284" w:firstLine="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2D70EF"/>
    <w:multiLevelType w:val="hybridMultilevel"/>
    <w:tmpl w:val="9F9C9850"/>
    <w:lvl w:ilvl="0" w:tplc="0C090015">
      <w:start w:val="8"/>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C3A0866"/>
    <w:multiLevelType w:val="hybridMultilevel"/>
    <w:tmpl w:val="CEB4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F33F36"/>
    <w:multiLevelType w:val="hybridMultilevel"/>
    <w:tmpl w:val="8864E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602C06"/>
    <w:multiLevelType w:val="multilevel"/>
    <w:tmpl w:val="9000F932"/>
    <w:lvl w:ilvl="0">
      <w:start w:val="1"/>
      <w:numFmt w:val="decimal"/>
      <w:pStyle w:val="Heading1A"/>
      <w:lvlText w:val="B%1"/>
      <w:lvlJc w:val="left"/>
      <w:pPr>
        <w:tabs>
          <w:tab w:val="num" w:pos="1029"/>
        </w:tabs>
        <w:ind w:left="1029" w:hanging="924"/>
      </w:pPr>
      <w:rPr>
        <w:rFonts w:hint="default"/>
      </w:rPr>
    </w:lvl>
    <w:lvl w:ilvl="1">
      <w:start w:val="1"/>
      <w:numFmt w:val="decimal"/>
      <w:pStyle w:val="PFNumLevel2"/>
      <w:lvlText w:val="A%1.%2"/>
      <w:lvlJc w:val="left"/>
      <w:pPr>
        <w:tabs>
          <w:tab w:val="num" w:pos="924"/>
        </w:tabs>
        <w:ind w:left="924" w:hanging="924"/>
      </w:pPr>
      <w:rPr>
        <w:rFonts w:hint="default"/>
        <w:b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E01310A"/>
    <w:multiLevelType w:val="hybridMultilevel"/>
    <w:tmpl w:val="05CE2BCE"/>
    <w:lvl w:ilvl="0" w:tplc="8ABE24AA">
      <w:numFmt w:val="bullet"/>
      <w:lvlText w:val="•"/>
      <w:lvlJc w:val="left"/>
      <w:pPr>
        <w:ind w:left="1211" w:hanging="360"/>
      </w:pPr>
      <w:rPr>
        <w:rFonts w:ascii="Calibri" w:eastAsia="Batang"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853548"/>
    <w:multiLevelType w:val="multilevel"/>
    <w:tmpl w:val="3EA824F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4B4422E"/>
    <w:multiLevelType w:val="hybridMultilevel"/>
    <w:tmpl w:val="7E9A3C8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24DB1C87"/>
    <w:multiLevelType w:val="hybridMultilevel"/>
    <w:tmpl w:val="9A6A7AC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90291B"/>
    <w:multiLevelType w:val="hybridMultilevel"/>
    <w:tmpl w:val="562A0372"/>
    <w:lvl w:ilvl="0" w:tplc="1E5285B0">
      <w:start w:val="3"/>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2B43E5"/>
    <w:multiLevelType w:val="multilevel"/>
    <w:tmpl w:val="AE6CDD7E"/>
    <w:lvl w:ilvl="0">
      <w:start w:val="1"/>
      <w:numFmt w:val="bullet"/>
      <w:pStyle w:val="ITSListBullet"/>
      <w:lvlText w:val=""/>
      <w:lvlJc w:val="left"/>
      <w:pPr>
        <w:tabs>
          <w:tab w:val="num" w:pos="657"/>
        </w:tabs>
        <w:ind w:left="657" w:hanging="567"/>
      </w:pPr>
      <w:rPr>
        <w:rFonts w:ascii="Symbol" w:hAnsi="Symbol" w:hint="default"/>
      </w:rPr>
    </w:lvl>
    <w:lvl w:ilvl="1">
      <w:start w:val="1"/>
      <w:numFmt w:val="bullet"/>
      <w:pStyle w:val="ITSListBullet2"/>
      <w:lvlText w:val=""/>
      <w:lvlJc w:val="left"/>
      <w:pPr>
        <w:tabs>
          <w:tab w:val="num" w:pos="1134"/>
        </w:tabs>
        <w:ind w:left="1134" w:hanging="567"/>
      </w:pPr>
      <w:rPr>
        <w:rFonts w:ascii="Wingdings" w:hAnsi="Wingdings" w:hint="default"/>
      </w:rPr>
    </w:lvl>
    <w:lvl w:ilvl="2">
      <w:start w:val="1"/>
      <w:numFmt w:val="bullet"/>
      <w:pStyle w:val="ITSListBullet3"/>
      <w:lvlText w:val=""/>
      <w:lvlJc w:val="left"/>
      <w:pPr>
        <w:tabs>
          <w:tab w:val="num" w:pos="1701"/>
        </w:tabs>
        <w:ind w:left="1701" w:hanging="56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275476E3"/>
    <w:multiLevelType w:val="multilevel"/>
    <w:tmpl w:val="667C3710"/>
    <w:numStyleLink w:val="PPMList"/>
  </w:abstractNum>
  <w:abstractNum w:abstractNumId="28" w15:restartNumberingAfterBreak="0">
    <w:nsid w:val="28AE4EFA"/>
    <w:multiLevelType w:val="multilevel"/>
    <w:tmpl w:val="785A749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A232F70"/>
    <w:multiLevelType w:val="hybridMultilevel"/>
    <w:tmpl w:val="344E1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C66D47"/>
    <w:multiLevelType w:val="multilevel"/>
    <w:tmpl w:val="785A749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EE00C34"/>
    <w:multiLevelType w:val="hybridMultilevel"/>
    <w:tmpl w:val="D0A62B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F894A0A"/>
    <w:multiLevelType w:val="hybridMultilevel"/>
    <w:tmpl w:val="333AC66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09627FA"/>
    <w:multiLevelType w:val="hybridMultilevel"/>
    <w:tmpl w:val="A56ED7A6"/>
    <w:lvl w:ilvl="0" w:tplc="0C090001">
      <w:start w:val="1"/>
      <w:numFmt w:val="decimal"/>
      <w:pStyle w:val="PPMNumberlevel1"/>
      <w:lvlText w:val="%1."/>
      <w:lvlJc w:val="left"/>
      <w:pPr>
        <w:ind w:left="786" w:hanging="360"/>
      </w:pPr>
      <w:rPr>
        <w:rFonts w:hint="default"/>
      </w:rPr>
    </w:lvl>
    <w:lvl w:ilvl="1" w:tplc="0C090003">
      <w:start w:val="1"/>
      <w:numFmt w:val="lowerLetter"/>
      <w:lvlText w:val="%2."/>
      <w:lvlJc w:val="left"/>
      <w:pPr>
        <w:ind w:left="1866" w:hanging="360"/>
      </w:pPr>
    </w:lvl>
    <w:lvl w:ilvl="2" w:tplc="0C090005">
      <w:start w:val="1"/>
      <w:numFmt w:val="lowerRoman"/>
      <w:lvlText w:val="%3."/>
      <w:lvlJc w:val="right"/>
      <w:pPr>
        <w:ind w:left="2586" w:hanging="180"/>
      </w:pPr>
    </w:lvl>
    <w:lvl w:ilvl="3" w:tplc="0C090001" w:tentative="1">
      <w:start w:val="1"/>
      <w:numFmt w:val="decimal"/>
      <w:lvlText w:val="%4."/>
      <w:lvlJc w:val="left"/>
      <w:pPr>
        <w:ind w:left="3306" w:hanging="360"/>
      </w:pPr>
    </w:lvl>
    <w:lvl w:ilvl="4" w:tplc="0C090003" w:tentative="1">
      <w:start w:val="1"/>
      <w:numFmt w:val="lowerLetter"/>
      <w:lvlText w:val="%5."/>
      <w:lvlJc w:val="left"/>
      <w:pPr>
        <w:ind w:left="4026" w:hanging="360"/>
      </w:pPr>
    </w:lvl>
    <w:lvl w:ilvl="5" w:tplc="0C090005" w:tentative="1">
      <w:start w:val="1"/>
      <w:numFmt w:val="lowerRoman"/>
      <w:lvlText w:val="%6."/>
      <w:lvlJc w:val="right"/>
      <w:pPr>
        <w:ind w:left="4746" w:hanging="180"/>
      </w:pPr>
    </w:lvl>
    <w:lvl w:ilvl="6" w:tplc="0C090001" w:tentative="1">
      <w:start w:val="1"/>
      <w:numFmt w:val="decimal"/>
      <w:lvlText w:val="%7."/>
      <w:lvlJc w:val="left"/>
      <w:pPr>
        <w:ind w:left="5466" w:hanging="360"/>
      </w:pPr>
    </w:lvl>
    <w:lvl w:ilvl="7" w:tplc="0C090003" w:tentative="1">
      <w:start w:val="1"/>
      <w:numFmt w:val="lowerLetter"/>
      <w:lvlText w:val="%8."/>
      <w:lvlJc w:val="left"/>
      <w:pPr>
        <w:ind w:left="6186" w:hanging="360"/>
      </w:pPr>
    </w:lvl>
    <w:lvl w:ilvl="8" w:tplc="0C090005" w:tentative="1">
      <w:start w:val="1"/>
      <w:numFmt w:val="lowerRoman"/>
      <w:lvlText w:val="%9."/>
      <w:lvlJc w:val="right"/>
      <w:pPr>
        <w:ind w:left="6906" w:hanging="180"/>
      </w:pPr>
    </w:lvl>
  </w:abstractNum>
  <w:abstractNum w:abstractNumId="34" w15:restartNumberingAfterBreak="0">
    <w:nsid w:val="31E43CD5"/>
    <w:multiLevelType w:val="hybridMultilevel"/>
    <w:tmpl w:val="04F22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8B12C9"/>
    <w:multiLevelType w:val="multilevel"/>
    <w:tmpl w:val="785A749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443314B"/>
    <w:multiLevelType w:val="hybridMultilevel"/>
    <w:tmpl w:val="7CC8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FC1B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75856F8"/>
    <w:multiLevelType w:val="hybridMultilevel"/>
    <w:tmpl w:val="5622D718"/>
    <w:lvl w:ilvl="0" w:tplc="8ABE24AA">
      <w:numFmt w:val="bullet"/>
      <w:lvlText w:val="•"/>
      <w:lvlJc w:val="left"/>
      <w:pPr>
        <w:ind w:left="1211" w:hanging="360"/>
      </w:pPr>
      <w:rPr>
        <w:rFonts w:ascii="Calibri" w:eastAsia="Batang"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B8D459D"/>
    <w:multiLevelType w:val="hybridMultilevel"/>
    <w:tmpl w:val="C212A86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0" w15:restartNumberingAfterBreak="0">
    <w:nsid w:val="3F4501EE"/>
    <w:multiLevelType w:val="hybridMultilevel"/>
    <w:tmpl w:val="4BD455C4"/>
    <w:lvl w:ilvl="0" w:tplc="0C090001">
      <w:start w:val="3"/>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C3298B"/>
    <w:multiLevelType w:val="hybridMultilevel"/>
    <w:tmpl w:val="C4EE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254699"/>
    <w:multiLevelType w:val="hybridMultilevel"/>
    <w:tmpl w:val="63923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916BEE"/>
    <w:multiLevelType w:val="hybridMultilevel"/>
    <w:tmpl w:val="C2CECD3C"/>
    <w:lvl w:ilvl="0" w:tplc="0C090001">
      <w:start w:val="1"/>
      <w:numFmt w:val="bullet"/>
      <w:lvlText w:val=""/>
      <w:lvlJc w:val="left"/>
      <w:pPr>
        <w:ind w:left="1138" w:hanging="360"/>
      </w:pPr>
      <w:rPr>
        <w:rFonts w:ascii="Symbol" w:hAnsi="Symbol" w:hint="default"/>
      </w:rPr>
    </w:lvl>
    <w:lvl w:ilvl="1" w:tplc="0C090003" w:tentative="1">
      <w:start w:val="1"/>
      <w:numFmt w:val="bullet"/>
      <w:lvlText w:val="o"/>
      <w:lvlJc w:val="left"/>
      <w:pPr>
        <w:ind w:left="1858" w:hanging="360"/>
      </w:pPr>
      <w:rPr>
        <w:rFonts w:ascii="Courier New" w:hAnsi="Courier New" w:cs="Courier New" w:hint="default"/>
      </w:rPr>
    </w:lvl>
    <w:lvl w:ilvl="2" w:tplc="0C090005" w:tentative="1">
      <w:start w:val="1"/>
      <w:numFmt w:val="bullet"/>
      <w:lvlText w:val=""/>
      <w:lvlJc w:val="left"/>
      <w:pPr>
        <w:ind w:left="2578" w:hanging="360"/>
      </w:pPr>
      <w:rPr>
        <w:rFonts w:ascii="Wingdings" w:hAnsi="Wingdings" w:hint="default"/>
      </w:rPr>
    </w:lvl>
    <w:lvl w:ilvl="3" w:tplc="0C090001" w:tentative="1">
      <w:start w:val="1"/>
      <w:numFmt w:val="bullet"/>
      <w:lvlText w:val=""/>
      <w:lvlJc w:val="left"/>
      <w:pPr>
        <w:ind w:left="3298" w:hanging="360"/>
      </w:pPr>
      <w:rPr>
        <w:rFonts w:ascii="Symbol" w:hAnsi="Symbol" w:hint="default"/>
      </w:rPr>
    </w:lvl>
    <w:lvl w:ilvl="4" w:tplc="0C090003" w:tentative="1">
      <w:start w:val="1"/>
      <w:numFmt w:val="bullet"/>
      <w:lvlText w:val="o"/>
      <w:lvlJc w:val="left"/>
      <w:pPr>
        <w:ind w:left="4018" w:hanging="360"/>
      </w:pPr>
      <w:rPr>
        <w:rFonts w:ascii="Courier New" w:hAnsi="Courier New" w:cs="Courier New" w:hint="default"/>
      </w:rPr>
    </w:lvl>
    <w:lvl w:ilvl="5" w:tplc="0C090005" w:tentative="1">
      <w:start w:val="1"/>
      <w:numFmt w:val="bullet"/>
      <w:lvlText w:val=""/>
      <w:lvlJc w:val="left"/>
      <w:pPr>
        <w:ind w:left="4738" w:hanging="360"/>
      </w:pPr>
      <w:rPr>
        <w:rFonts w:ascii="Wingdings" w:hAnsi="Wingdings" w:hint="default"/>
      </w:rPr>
    </w:lvl>
    <w:lvl w:ilvl="6" w:tplc="0C090001" w:tentative="1">
      <w:start w:val="1"/>
      <w:numFmt w:val="bullet"/>
      <w:lvlText w:val=""/>
      <w:lvlJc w:val="left"/>
      <w:pPr>
        <w:ind w:left="5458" w:hanging="360"/>
      </w:pPr>
      <w:rPr>
        <w:rFonts w:ascii="Symbol" w:hAnsi="Symbol" w:hint="default"/>
      </w:rPr>
    </w:lvl>
    <w:lvl w:ilvl="7" w:tplc="0C090003" w:tentative="1">
      <w:start w:val="1"/>
      <w:numFmt w:val="bullet"/>
      <w:lvlText w:val="o"/>
      <w:lvlJc w:val="left"/>
      <w:pPr>
        <w:ind w:left="6178" w:hanging="360"/>
      </w:pPr>
      <w:rPr>
        <w:rFonts w:ascii="Courier New" w:hAnsi="Courier New" w:cs="Courier New" w:hint="default"/>
      </w:rPr>
    </w:lvl>
    <w:lvl w:ilvl="8" w:tplc="0C090005" w:tentative="1">
      <w:start w:val="1"/>
      <w:numFmt w:val="bullet"/>
      <w:lvlText w:val=""/>
      <w:lvlJc w:val="left"/>
      <w:pPr>
        <w:ind w:left="6898" w:hanging="360"/>
      </w:pPr>
      <w:rPr>
        <w:rFonts w:ascii="Wingdings" w:hAnsi="Wingdings" w:hint="default"/>
      </w:rPr>
    </w:lvl>
  </w:abstractNum>
  <w:abstractNum w:abstractNumId="44" w15:restartNumberingAfterBreak="0">
    <w:nsid w:val="448C667D"/>
    <w:multiLevelType w:val="hybridMultilevel"/>
    <w:tmpl w:val="4584697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5C841BC"/>
    <w:multiLevelType w:val="hybridMultilevel"/>
    <w:tmpl w:val="2292C5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6" w15:restartNumberingAfterBreak="0">
    <w:nsid w:val="482579D8"/>
    <w:multiLevelType w:val="hybridMultilevel"/>
    <w:tmpl w:val="62CA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3257D6"/>
    <w:multiLevelType w:val="hybridMultilevel"/>
    <w:tmpl w:val="C4D0EA2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8" w15:restartNumberingAfterBreak="0">
    <w:nsid w:val="48C6235A"/>
    <w:multiLevelType w:val="hybridMultilevel"/>
    <w:tmpl w:val="F4D0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0F706A"/>
    <w:multiLevelType w:val="hybridMultilevel"/>
    <w:tmpl w:val="A37C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2128B0"/>
    <w:multiLevelType w:val="multilevel"/>
    <w:tmpl w:val="CE9CD2F8"/>
    <w:lvl w:ilvl="0">
      <w:start w:val="1"/>
      <w:numFmt w:val="lowerLetter"/>
      <w:pStyle w:val="Apis2010NumberedList"/>
      <w:lvlText w:val="%1."/>
      <w:lvlJc w:val="left"/>
      <w:pPr>
        <w:tabs>
          <w:tab w:val="num" w:pos="567"/>
        </w:tabs>
        <w:ind w:left="567" w:hanging="567"/>
      </w:pPr>
      <w:rPr>
        <w:rFonts w:ascii="Arial" w:hAnsi="Arial" w:hint="default"/>
        <w:b w:val="0"/>
        <w:i w:val="0"/>
        <w:caps w:val="0"/>
        <w:sz w:val="16"/>
        <w:szCs w:val="16"/>
      </w:rPr>
    </w:lvl>
    <w:lvl w:ilvl="1">
      <w:start w:val="1"/>
      <w:numFmt w:val="lowerRoman"/>
      <w:lvlText w:val="%2."/>
      <w:lvlJc w:val="left"/>
      <w:pPr>
        <w:tabs>
          <w:tab w:val="num" w:pos="1134"/>
        </w:tabs>
        <w:ind w:left="1134" w:hanging="567"/>
      </w:pPr>
      <w:rPr>
        <w:rFonts w:ascii="Arial" w:hAnsi="Arial" w:hint="default"/>
        <w:b w:val="0"/>
        <w:i w:val="0"/>
        <w:strike w:val="0"/>
        <w:dstrike w:val="0"/>
        <w:vanish w:val="0"/>
        <w:color w:val="000000"/>
        <w:sz w:val="21"/>
        <w:szCs w:val="28"/>
        <w:vertAlign w:val="baseline"/>
      </w:rPr>
    </w:lvl>
    <w:lvl w:ilvl="2">
      <w:start w:val="1"/>
      <w:numFmt w:val="bullet"/>
      <w:lvlText w:val="-"/>
      <w:lvlJc w:val="left"/>
      <w:pPr>
        <w:tabs>
          <w:tab w:val="num" w:pos="1701"/>
        </w:tabs>
        <w:ind w:left="1701" w:hanging="567"/>
      </w:pPr>
      <w:rPr>
        <w:rFonts w:ascii="Arial" w:hAnsi="Arial" w:hint="default"/>
        <w:color w:val="auto"/>
        <w:sz w:val="20"/>
      </w:rPr>
    </w:lvl>
    <w:lvl w:ilvl="3">
      <w:start w:val="1"/>
      <w:numFmt w:val="bullet"/>
      <w:lvlText w:val=""/>
      <w:lvlJc w:val="left"/>
      <w:pPr>
        <w:tabs>
          <w:tab w:val="num" w:pos="2268"/>
        </w:tabs>
        <w:ind w:left="2268" w:hanging="567"/>
      </w:pPr>
      <w:rPr>
        <w:rFonts w:ascii="Symbol" w:hAnsi="Symbol" w:hint="default"/>
        <w:color w:val="auto"/>
      </w:rPr>
    </w:lvl>
    <w:lvl w:ilvl="4">
      <w:start w:val="1"/>
      <w:numFmt w:val="bullet"/>
      <w:lvlText w:val=""/>
      <w:lvlJc w:val="left"/>
      <w:pPr>
        <w:tabs>
          <w:tab w:val="num" w:pos="2835"/>
        </w:tabs>
        <w:ind w:left="2835" w:hanging="567"/>
      </w:pPr>
      <w:rPr>
        <w:rFonts w:ascii="Symbol" w:hAnsi="Symbol" w:hint="default"/>
        <w:color w:val="auto"/>
      </w:rPr>
    </w:lvl>
    <w:lvl w:ilvl="5">
      <w:start w:val="1"/>
      <w:numFmt w:val="bullet"/>
      <w:lvlText w:val=""/>
      <w:lvlJc w:val="left"/>
      <w:pPr>
        <w:tabs>
          <w:tab w:val="num" w:pos="3402"/>
        </w:tabs>
        <w:ind w:left="3402" w:hanging="567"/>
      </w:pPr>
      <w:rPr>
        <w:rFonts w:ascii="Symbol" w:hAnsi="Symbol" w:hint="default"/>
        <w:color w:val="auto"/>
      </w:rPr>
    </w:lvl>
    <w:lvl w:ilvl="6">
      <w:start w:val="1"/>
      <w:numFmt w:val="bullet"/>
      <w:lvlText w:val=""/>
      <w:lvlJc w:val="left"/>
      <w:pPr>
        <w:tabs>
          <w:tab w:val="num" w:pos="3969"/>
        </w:tabs>
        <w:ind w:left="3969" w:hanging="567"/>
      </w:pPr>
      <w:rPr>
        <w:rFonts w:ascii="Symbol" w:hAnsi="Symbol" w:hint="default"/>
        <w:color w:val="auto"/>
      </w:rPr>
    </w:lvl>
    <w:lvl w:ilvl="7">
      <w:start w:val="1"/>
      <w:numFmt w:val="bullet"/>
      <w:lvlText w:val=""/>
      <w:lvlJc w:val="left"/>
      <w:pPr>
        <w:tabs>
          <w:tab w:val="num" w:pos="4536"/>
        </w:tabs>
        <w:ind w:left="4536" w:hanging="567"/>
      </w:pPr>
      <w:rPr>
        <w:rFonts w:ascii="Symbol" w:hAnsi="Symbol" w:hint="default"/>
        <w:color w:val="auto"/>
      </w:rPr>
    </w:lvl>
    <w:lvl w:ilvl="8">
      <w:start w:val="1"/>
      <w:numFmt w:val="bullet"/>
      <w:lvlText w:val=""/>
      <w:lvlJc w:val="left"/>
      <w:pPr>
        <w:tabs>
          <w:tab w:val="num" w:pos="5103"/>
        </w:tabs>
        <w:ind w:left="5103" w:hanging="567"/>
      </w:pPr>
      <w:rPr>
        <w:rFonts w:ascii="Symbol" w:hAnsi="Symbol" w:hint="default"/>
        <w:color w:val="auto"/>
      </w:rPr>
    </w:lvl>
  </w:abstractNum>
  <w:abstractNum w:abstractNumId="51" w15:restartNumberingAfterBreak="0">
    <w:nsid w:val="4D976C1A"/>
    <w:multiLevelType w:val="hybridMultilevel"/>
    <w:tmpl w:val="C97AEEE2"/>
    <w:lvl w:ilvl="0" w:tplc="9EC4459E">
      <w:start w:val="1"/>
      <w:numFmt w:val="lowerLetter"/>
      <w:pStyle w:val="PPMNumberlevel2alphabetlist"/>
      <w:lvlText w:val="%1."/>
      <w:lvlJc w:val="left"/>
      <w:pPr>
        <w:ind w:left="1571" w:hanging="360"/>
      </w:pPr>
    </w:lvl>
    <w:lvl w:ilvl="1" w:tplc="4BBE3728" w:tentative="1">
      <w:start w:val="1"/>
      <w:numFmt w:val="lowerLetter"/>
      <w:lvlText w:val="%2."/>
      <w:lvlJc w:val="left"/>
      <w:pPr>
        <w:ind w:left="2291" w:hanging="360"/>
      </w:pPr>
    </w:lvl>
    <w:lvl w:ilvl="2" w:tplc="6026FB16" w:tentative="1">
      <w:start w:val="1"/>
      <w:numFmt w:val="lowerRoman"/>
      <w:lvlText w:val="%3."/>
      <w:lvlJc w:val="right"/>
      <w:pPr>
        <w:ind w:left="3011" w:hanging="180"/>
      </w:pPr>
    </w:lvl>
    <w:lvl w:ilvl="3" w:tplc="1CECF4E8" w:tentative="1">
      <w:start w:val="1"/>
      <w:numFmt w:val="decimal"/>
      <w:lvlText w:val="%4."/>
      <w:lvlJc w:val="left"/>
      <w:pPr>
        <w:ind w:left="3731" w:hanging="360"/>
      </w:pPr>
    </w:lvl>
    <w:lvl w:ilvl="4" w:tplc="0680BF70" w:tentative="1">
      <w:start w:val="1"/>
      <w:numFmt w:val="lowerLetter"/>
      <w:lvlText w:val="%5."/>
      <w:lvlJc w:val="left"/>
      <w:pPr>
        <w:ind w:left="4451" w:hanging="360"/>
      </w:pPr>
    </w:lvl>
    <w:lvl w:ilvl="5" w:tplc="A614D6F2" w:tentative="1">
      <w:start w:val="1"/>
      <w:numFmt w:val="lowerRoman"/>
      <w:lvlText w:val="%6."/>
      <w:lvlJc w:val="right"/>
      <w:pPr>
        <w:ind w:left="5171" w:hanging="180"/>
      </w:pPr>
    </w:lvl>
    <w:lvl w:ilvl="6" w:tplc="867494E8" w:tentative="1">
      <w:start w:val="1"/>
      <w:numFmt w:val="decimal"/>
      <w:lvlText w:val="%7."/>
      <w:lvlJc w:val="left"/>
      <w:pPr>
        <w:ind w:left="5891" w:hanging="360"/>
      </w:pPr>
    </w:lvl>
    <w:lvl w:ilvl="7" w:tplc="FFA04DD6" w:tentative="1">
      <w:start w:val="1"/>
      <w:numFmt w:val="lowerLetter"/>
      <w:lvlText w:val="%8."/>
      <w:lvlJc w:val="left"/>
      <w:pPr>
        <w:ind w:left="6611" w:hanging="360"/>
      </w:pPr>
    </w:lvl>
    <w:lvl w:ilvl="8" w:tplc="9C58616A" w:tentative="1">
      <w:start w:val="1"/>
      <w:numFmt w:val="lowerRoman"/>
      <w:lvlText w:val="%9."/>
      <w:lvlJc w:val="right"/>
      <w:pPr>
        <w:ind w:left="7331" w:hanging="180"/>
      </w:pPr>
    </w:lvl>
  </w:abstractNum>
  <w:abstractNum w:abstractNumId="52" w15:restartNumberingAfterBreak="0">
    <w:nsid w:val="4E8E643A"/>
    <w:multiLevelType w:val="hybridMultilevel"/>
    <w:tmpl w:val="7FD0CD90"/>
    <w:lvl w:ilvl="0" w:tplc="8ABE24AA">
      <w:numFmt w:val="bullet"/>
      <w:lvlText w:val="•"/>
      <w:lvlJc w:val="left"/>
      <w:pPr>
        <w:ind w:left="1211" w:hanging="360"/>
      </w:pPr>
      <w:rPr>
        <w:rFonts w:ascii="Calibri" w:eastAsia="Batang"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EC6BE8"/>
    <w:multiLevelType w:val="hybridMultilevel"/>
    <w:tmpl w:val="102A9A7E"/>
    <w:lvl w:ilvl="0" w:tplc="8ABE24AA">
      <w:numFmt w:val="bullet"/>
      <w:lvlText w:val="•"/>
      <w:lvlJc w:val="left"/>
      <w:pPr>
        <w:ind w:left="1211" w:hanging="360"/>
      </w:pPr>
      <w:rPr>
        <w:rFonts w:ascii="Calibri" w:eastAsia="Batang" w:hAnsi="Calibri" w:cs="Times New Roman"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4" w15:restartNumberingAfterBreak="0">
    <w:nsid w:val="4F8436FD"/>
    <w:multiLevelType w:val="hybridMultilevel"/>
    <w:tmpl w:val="9F588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820862"/>
    <w:multiLevelType w:val="hybridMultilevel"/>
    <w:tmpl w:val="3A5C67A2"/>
    <w:lvl w:ilvl="0" w:tplc="60C2560E">
      <w:start w:val="4"/>
      <w:numFmt w:val="bullet"/>
      <w:lvlText w:val="-"/>
      <w:lvlJc w:val="left"/>
      <w:pPr>
        <w:ind w:left="1571" w:hanging="360"/>
      </w:pPr>
      <w:rPr>
        <w:rFonts w:ascii="Calibri" w:eastAsiaTheme="minorHAnsi" w:hAnsi="Calibri" w:cstheme="minorBidi"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6" w15:restartNumberingAfterBreak="0">
    <w:nsid w:val="530661B7"/>
    <w:multiLevelType w:val="hybridMultilevel"/>
    <w:tmpl w:val="F51244A0"/>
    <w:lvl w:ilvl="0" w:tplc="0C09000F">
      <w:start w:val="1"/>
      <w:numFmt w:val="decimal"/>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7" w15:restartNumberingAfterBreak="0">
    <w:nsid w:val="539D74D2"/>
    <w:multiLevelType w:val="hybridMultilevel"/>
    <w:tmpl w:val="DF6E1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53B7951"/>
    <w:multiLevelType w:val="hybridMultilevel"/>
    <w:tmpl w:val="7524474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55C411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6DE3C81"/>
    <w:multiLevelType w:val="hybridMultilevel"/>
    <w:tmpl w:val="C7D6183E"/>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795388E"/>
    <w:multiLevelType w:val="hybridMultilevel"/>
    <w:tmpl w:val="A8681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959752F"/>
    <w:multiLevelType w:val="hybridMultilevel"/>
    <w:tmpl w:val="2E26D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C0A243E"/>
    <w:multiLevelType w:val="multilevel"/>
    <w:tmpl w:val="9B8CC344"/>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296C8D"/>
    <w:multiLevelType w:val="multilevel"/>
    <w:tmpl w:val="667C3710"/>
    <w:styleLink w:val="PPMList"/>
    <w:lvl w:ilvl="0">
      <w:start w:val="1"/>
      <w:numFmt w:val="decimal"/>
      <w:pStyle w:val="PPMNumbered"/>
      <w:lvlText w:val="%1."/>
      <w:lvlJc w:val="left"/>
      <w:pPr>
        <w:tabs>
          <w:tab w:val="num" w:pos="1701"/>
        </w:tabs>
        <w:ind w:left="1701" w:hanging="567"/>
      </w:pPr>
      <w:rPr>
        <w:rFonts w:hint="default"/>
      </w:rPr>
    </w:lvl>
    <w:lvl w:ilvl="1">
      <w:start w:val="1"/>
      <w:numFmt w:val="lowerLetter"/>
      <w:lvlText w:val="%2."/>
      <w:lvlJc w:val="left"/>
      <w:pPr>
        <w:tabs>
          <w:tab w:val="num" w:pos="1701"/>
        </w:tabs>
        <w:ind w:left="2268" w:hanging="567"/>
      </w:pPr>
      <w:rPr>
        <w:rFonts w:hint="default"/>
      </w:rPr>
    </w:lvl>
    <w:lvl w:ilvl="2">
      <w:start w:val="1"/>
      <w:numFmt w:val="lowerRoman"/>
      <w:lvlText w:val="%3."/>
      <w:lvlJc w:val="left"/>
      <w:pPr>
        <w:ind w:left="2835" w:hanging="567"/>
      </w:pPr>
      <w:rPr>
        <w:rFonts w:hint="default"/>
      </w:rPr>
    </w:lvl>
    <w:lvl w:ilvl="3">
      <w:start w:val="1"/>
      <w:numFmt w:val="decimal"/>
      <w:lvlText w:val="(%4)"/>
      <w:lvlJc w:val="left"/>
      <w:pPr>
        <w:ind w:left="-1449" w:hanging="360"/>
      </w:pPr>
      <w:rPr>
        <w:rFonts w:hint="default"/>
      </w:rPr>
    </w:lvl>
    <w:lvl w:ilvl="4">
      <w:start w:val="1"/>
      <w:numFmt w:val="lowerLetter"/>
      <w:lvlText w:val="(%5)"/>
      <w:lvlJc w:val="left"/>
      <w:pPr>
        <w:ind w:left="-1089" w:hanging="360"/>
      </w:pPr>
      <w:rPr>
        <w:rFonts w:hint="default"/>
      </w:rPr>
    </w:lvl>
    <w:lvl w:ilvl="5">
      <w:start w:val="1"/>
      <w:numFmt w:val="lowerRoman"/>
      <w:lvlText w:val="(%6)"/>
      <w:lvlJc w:val="left"/>
      <w:pPr>
        <w:ind w:left="-729" w:hanging="360"/>
      </w:pPr>
      <w:rPr>
        <w:rFonts w:hint="default"/>
      </w:rPr>
    </w:lvl>
    <w:lvl w:ilvl="6">
      <w:start w:val="1"/>
      <w:numFmt w:val="decimal"/>
      <w:lvlText w:val="%7."/>
      <w:lvlJc w:val="left"/>
      <w:pPr>
        <w:ind w:left="-369" w:hanging="360"/>
      </w:pPr>
      <w:rPr>
        <w:rFonts w:hint="default"/>
      </w:rPr>
    </w:lvl>
    <w:lvl w:ilvl="7">
      <w:start w:val="1"/>
      <w:numFmt w:val="lowerLetter"/>
      <w:lvlText w:val="%8."/>
      <w:lvlJc w:val="left"/>
      <w:pPr>
        <w:ind w:left="-9" w:hanging="360"/>
      </w:pPr>
      <w:rPr>
        <w:rFonts w:hint="default"/>
      </w:rPr>
    </w:lvl>
    <w:lvl w:ilvl="8">
      <w:start w:val="1"/>
      <w:numFmt w:val="lowerRoman"/>
      <w:lvlText w:val="%9."/>
      <w:lvlJc w:val="left"/>
      <w:pPr>
        <w:ind w:left="351" w:hanging="360"/>
      </w:pPr>
      <w:rPr>
        <w:rFonts w:hint="default"/>
      </w:rPr>
    </w:lvl>
  </w:abstractNum>
  <w:abstractNum w:abstractNumId="65" w15:restartNumberingAfterBreak="0">
    <w:nsid w:val="5CAF72AA"/>
    <w:multiLevelType w:val="hybridMultilevel"/>
    <w:tmpl w:val="6616D2EC"/>
    <w:lvl w:ilvl="0" w:tplc="768EA4F6">
      <w:start w:val="1"/>
      <w:numFmt w:val="bullet"/>
      <w:pStyle w:val="PPMBullet2"/>
      <w:lvlText w:val="o"/>
      <w:lvlJc w:val="left"/>
      <w:pPr>
        <w:ind w:left="1571" w:hanging="360"/>
      </w:pPr>
      <w:rPr>
        <w:rFonts w:ascii="Courier New" w:hAnsi="Courier New" w:cs="Courier New" w:hint="default"/>
      </w:rPr>
    </w:lvl>
    <w:lvl w:ilvl="1" w:tplc="14D47BEC" w:tentative="1">
      <w:start w:val="1"/>
      <w:numFmt w:val="lowerLetter"/>
      <w:lvlText w:val="%2."/>
      <w:lvlJc w:val="left"/>
      <w:pPr>
        <w:ind w:left="2291" w:hanging="360"/>
      </w:pPr>
    </w:lvl>
    <w:lvl w:ilvl="2" w:tplc="9A1A4568" w:tentative="1">
      <w:start w:val="1"/>
      <w:numFmt w:val="lowerRoman"/>
      <w:lvlText w:val="%3."/>
      <w:lvlJc w:val="right"/>
      <w:pPr>
        <w:ind w:left="3011" w:hanging="180"/>
      </w:pPr>
    </w:lvl>
    <w:lvl w:ilvl="3" w:tplc="324E62E2" w:tentative="1">
      <w:start w:val="1"/>
      <w:numFmt w:val="decimal"/>
      <w:lvlText w:val="%4."/>
      <w:lvlJc w:val="left"/>
      <w:pPr>
        <w:ind w:left="3731" w:hanging="360"/>
      </w:pPr>
    </w:lvl>
    <w:lvl w:ilvl="4" w:tplc="DC425E2A" w:tentative="1">
      <w:start w:val="1"/>
      <w:numFmt w:val="lowerLetter"/>
      <w:lvlText w:val="%5."/>
      <w:lvlJc w:val="left"/>
      <w:pPr>
        <w:ind w:left="4451" w:hanging="360"/>
      </w:pPr>
    </w:lvl>
    <w:lvl w:ilvl="5" w:tplc="CEC84832" w:tentative="1">
      <w:start w:val="1"/>
      <w:numFmt w:val="lowerRoman"/>
      <w:lvlText w:val="%6."/>
      <w:lvlJc w:val="right"/>
      <w:pPr>
        <w:ind w:left="5171" w:hanging="180"/>
      </w:pPr>
    </w:lvl>
    <w:lvl w:ilvl="6" w:tplc="26F04944" w:tentative="1">
      <w:start w:val="1"/>
      <w:numFmt w:val="decimal"/>
      <w:lvlText w:val="%7."/>
      <w:lvlJc w:val="left"/>
      <w:pPr>
        <w:ind w:left="5891" w:hanging="360"/>
      </w:pPr>
    </w:lvl>
    <w:lvl w:ilvl="7" w:tplc="28D4B942" w:tentative="1">
      <w:start w:val="1"/>
      <w:numFmt w:val="lowerLetter"/>
      <w:lvlText w:val="%8."/>
      <w:lvlJc w:val="left"/>
      <w:pPr>
        <w:ind w:left="6611" w:hanging="360"/>
      </w:pPr>
    </w:lvl>
    <w:lvl w:ilvl="8" w:tplc="BA20019A" w:tentative="1">
      <w:start w:val="1"/>
      <w:numFmt w:val="lowerRoman"/>
      <w:lvlText w:val="%9."/>
      <w:lvlJc w:val="right"/>
      <w:pPr>
        <w:ind w:left="7331" w:hanging="180"/>
      </w:pPr>
    </w:lvl>
  </w:abstractNum>
  <w:abstractNum w:abstractNumId="66" w15:restartNumberingAfterBreak="0">
    <w:nsid w:val="5E6356FC"/>
    <w:multiLevelType w:val="hybridMultilevel"/>
    <w:tmpl w:val="D2F6C8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7" w15:restartNumberingAfterBreak="0">
    <w:nsid w:val="5FC129E1"/>
    <w:multiLevelType w:val="hybridMultilevel"/>
    <w:tmpl w:val="2ADEEB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8" w15:restartNumberingAfterBreak="0">
    <w:nsid w:val="614E4A58"/>
    <w:multiLevelType w:val="hybridMultilevel"/>
    <w:tmpl w:val="BFF0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675B41"/>
    <w:multiLevelType w:val="hybridMultilevel"/>
    <w:tmpl w:val="294C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843D30"/>
    <w:multiLevelType w:val="hybridMultilevel"/>
    <w:tmpl w:val="4F8AC1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6FC24B6"/>
    <w:multiLevelType w:val="hybridMultilevel"/>
    <w:tmpl w:val="BA6EBAEA"/>
    <w:lvl w:ilvl="0" w:tplc="DCF0A572">
      <w:start w:val="1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DB5EE8"/>
    <w:multiLevelType w:val="multilevel"/>
    <w:tmpl w:val="8D7EA4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6D343D36"/>
    <w:multiLevelType w:val="hybridMultilevel"/>
    <w:tmpl w:val="C9925F7E"/>
    <w:lvl w:ilvl="0" w:tplc="F000D0E8">
      <w:start w:val="1"/>
      <w:numFmt w:val="upperLetter"/>
      <w:lvlText w:val="%1."/>
      <w:lvlJc w:val="left"/>
      <w:pPr>
        <w:ind w:left="360" w:hanging="360"/>
      </w:pPr>
      <w:rPr>
        <w:rFonts w:ascii="Arial" w:eastAsia="Times New Roman"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6D523C86"/>
    <w:multiLevelType w:val="hybridMultilevel"/>
    <w:tmpl w:val="7E7E360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5" w15:restartNumberingAfterBreak="0">
    <w:nsid w:val="6FB40AEE"/>
    <w:multiLevelType w:val="hybridMultilevel"/>
    <w:tmpl w:val="DAAEDF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4B33EC"/>
    <w:multiLevelType w:val="hybridMultilevel"/>
    <w:tmpl w:val="3BFA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DF123A"/>
    <w:multiLevelType w:val="hybridMultilevel"/>
    <w:tmpl w:val="C1F8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30161F"/>
    <w:multiLevelType w:val="hybridMultilevel"/>
    <w:tmpl w:val="ADE6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F401D6"/>
    <w:multiLevelType w:val="multilevel"/>
    <w:tmpl w:val="C33A2390"/>
    <w:styleLink w:val="BulletList"/>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3B7F8F"/>
    <w:multiLevelType w:val="hybridMultilevel"/>
    <w:tmpl w:val="D8D64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E8B7B47"/>
    <w:multiLevelType w:val="hybridMultilevel"/>
    <w:tmpl w:val="5BA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042201"/>
    <w:multiLevelType w:val="hybridMultilevel"/>
    <w:tmpl w:val="C8C24730"/>
    <w:lvl w:ilvl="0" w:tplc="60C2560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DF6A95"/>
    <w:multiLevelType w:val="hybridMultilevel"/>
    <w:tmpl w:val="6358BA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61656867">
    <w:abstractNumId w:val="14"/>
  </w:num>
  <w:num w:numId="2" w16cid:durableId="521478969">
    <w:abstractNumId w:val="79"/>
  </w:num>
  <w:num w:numId="3" w16cid:durableId="1406759527">
    <w:abstractNumId w:val="16"/>
  </w:num>
  <w:num w:numId="4" w16cid:durableId="557742734">
    <w:abstractNumId w:val="64"/>
  </w:num>
  <w:num w:numId="5" w16cid:durableId="1708990918">
    <w:abstractNumId w:val="27"/>
  </w:num>
  <w:num w:numId="6" w16cid:durableId="200675978">
    <w:abstractNumId w:val="65"/>
  </w:num>
  <w:num w:numId="7" w16cid:durableId="722484942">
    <w:abstractNumId w:val="0"/>
  </w:num>
  <w:num w:numId="8" w16cid:durableId="959803388">
    <w:abstractNumId w:val="33"/>
  </w:num>
  <w:num w:numId="9" w16cid:durableId="861743604">
    <w:abstractNumId w:val="51"/>
  </w:num>
  <w:num w:numId="10" w16cid:durableId="2111118825">
    <w:abstractNumId w:val="26"/>
  </w:num>
  <w:num w:numId="11" w16cid:durableId="1798986436">
    <w:abstractNumId w:val="63"/>
  </w:num>
  <w:num w:numId="12" w16cid:durableId="1800805764">
    <w:abstractNumId w:val="50"/>
  </w:num>
  <w:num w:numId="13" w16cid:durableId="1761368300">
    <w:abstractNumId w:val="20"/>
  </w:num>
  <w:num w:numId="14" w16cid:durableId="1160391882">
    <w:abstractNumId w:val="7"/>
  </w:num>
  <w:num w:numId="15" w16cid:durableId="35158007">
    <w:abstractNumId w:val="56"/>
  </w:num>
  <w:num w:numId="16" w16cid:durableId="1888759850">
    <w:abstractNumId w:val="66"/>
  </w:num>
  <w:num w:numId="17" w16cid:durableId="1089471879">
    <w:abstractNumId w:val="58"/>
  </w:num>
  <w:num w:numId="18" w16cid:durableId="50157918">
    <w:abstractNumId w:val="15"/>
  </w:num>
  <w:num w:numId="19" w16cid:durableId="275186089">
    <w:abstractNumId w:val="67"/>
  </w:num>
  <w:num w:numId="20" w16cid:durableId="1453327572">
    <w:abstractNumId w:val="37"/>
  </w:num>
  <w:num w:numId="21" w16cid:durableId="1555434972">
    <w:abstractNumId w:val="30"/>
  </w:num>
  <w:num w:numId="22" w16cid:durableId="1286498550">
    <w:abstractNumId w:val="74"/>
  </w:num>
  <w:num w:numId="23" w16cid:durableId="1657763647">
    <w:abstractNumId w:val="59"/>
  </w:num>
  <w:num w:numId="24" w16cid:durableId="473916095">
    <w:abstractNumId w:val="11"/>
  </w:num>
  <w:num w:numId="25" w16cid:durableId="340470775">
    <w:abstractNumId w:val="82"/>
  </w:num>
  <w:num w:numId="26" w16cid:durableId="663819481">
    <w:abstractNumId w:val="6"/>
  </w:num>
  <w:num w:numId="27" w16cid:durableId="1315137861">
    <w:abstractNumId w:val="47"/>
  </w:num>
  <w:num w:numId="28" w16cid:durableId="399014485">
    <w:abstractNumId w:val="55"/>
  </w:num>
  <w:num w:numId="29" w16cid:durableId="2144303350">
    <w:abstractNumId w:val="53"/>
  </w:num>
  <w:num w:numId="30" w16cid:durableId="311300265">
    <w:abstractNumId w:val="52"/>
  </w:num>
  <w:num w:numId="31" w16cid:durableId="621611749">
    <w:abstractNumId w:val="38"/>
  </w:num>
  <w:num w:numId="32" w16cid:durableId="710763832">
    <w:abstractNumId w:val="1"/>
  </w:num>
  <w:num w:numId="33" w16cid:durableId="1207185358">
    <w:abstractNumId w:val="21"/>
  </w:num>
  <w:num w:numId="34" w16cid:durableId="75398154">
    <w:abstractNumId w:val="28"/>
  </w:num>
  <w:num w:numId="35" w16cid:durableId="1579248714">
    <w:abstractNumId w:val="35"/>
  </w:num>
  <w:num w:numId="36" w16cid:durableId="822114920">
    <w:abstractNumId w:val="54"/>
  </w:num>
  <w:num w:numId="37" w16cid:durableId="836192995">
    <w:abstractNumId w:val="43"/>
  </w:num>
  <w:num w:numId="38" w16cid:durableId="222524911">
    <w:abstractNumId w:val="44"/>
  </w:num>
  <w:num w:numId="39" w16cid:durableId="1586962925">
    <w:abstractNumId w:val="29"/>
  </w:num>
  <w:num w:numId="40" w16cid:durableId="438989017">
    <w:abstractNumId w:val="78"/>
  </w:num>
  <w:num w:numId="41" w16cid:durableId="796096597">
    <w:abstractNumId w:val="57"/>
  </w:num>
  <w:num w:numId="42" w16cid:durableId="304091208">
    <w:abstractNumId w:val="48"/>
  </w:num>
  <w:num w:numId="43" w16cid:durableId="377826814">
    <w:abstractNumId w:val="3"/>
  </w:num>
  <w:num w:numId="44" w16cid:durableId="752505402">
    <w:abstractNumId w:val="75"/>
  </w:num>
  <w:num w:numId="45" w16cid:durableId="977566676">
    <w:abstractNumId w:val="70"/>
  </w:num>
  <w:num w:numId="46" w16cid:durableId="1774861312">
    <w:abstractNumId w:val="14"/>
  </w:num>
  <w:num w:numId="47" w16cid:durableId="419253334">
    <w:abstractNumId w:val="10"/>
  </w:num>
  <w:num w:numId="48" w16cid:durableId="1746563029">
    <w:abstractNumId w:val="14"/>
  </w:num>
  <w:num w:numId="49" w16cid:durableId="2114936803">
    <w:abstractNumId w:val="14"/>
  </w:num>
  <w:num w:numId="50" w16cid:durableId="1308970662">
    <w:abstractNumId w:val="14"/>
  </w:num>
  <w:num w:numId="51" w16cid:durableId="1016539842">
    <w:abstractNumId w:val="14"/>
  </w:num>
  <w:num w:numId="52" w16cid:durableId="2064787420">
    <w:abstractNumId w:val="14"/>
  </w:num>
  <w:num w:numId="53" w16cid:durableId="710228573">
    <w:abstractNumId w:val="14"/>
  </w:num>
  <w:num w:numId="54" w16cid:durableId="383452647">
    <w:abstractNumId w:val="14"/>
  </w:num>
  <w:num w:numId="55" w16cid:durableId="1466922813">
    <w:abstractNumId w:val="14"/>
  </w:num>
  <w:num w:numId="56" w16cid:durableId="1725522253">
    <w:abstractNumId w:val="14"/>
  </w:num>
  <w:num w:numId="57" w16cid:durableId="1032998814">
    <w:abstractNumId w:val="14"/>
  </w:num>
  <w:num w:numId="58" w16cid:durableId="616183941">
    <w:abstractNumId w:val="14"/>
  </w:num>
  <w:num w:numId="59" w16cid:durableId="2136875167">
    <w:abstractNumId w:val="14"/>
  </w:num>
  <w:num w:numId="60" w16cid:durableId="1953052713">
    <w:abstractNumId w:val="14"/>
  </w:num>
  <w:num w:numId="61" w16cid:durableId="1069772275">
    <w:abstractNumId w:val="14"/>
  </w:num>
  <w:num w:numId="62" w16cid:durableId="1643536190">
    <w:abstractNumId w:val="14"/>
  </w:num>
  <w:num w:numId="63" w16cid:durableId="1023897037">
    <w:abstractNumId w:val="14"/>
  </w:num>
  <w:num w:numId="64" w16cid:durableId="66460107">
    <w:abstractNumId w:val="14"/>
  </w:num>
  <w:num w:numId="65" w16cid:durableId="1818493076">
    <w:abstractNumId w:val="14"/>
  </w:num>
  <w:num w:numId="66" w16cid:durableId="1447500056">
    <w:abstractNumId w:val="14"/>
  </w:num>
  <w:num w:numId="67" w16cid:durableId="312639380">
    <w:abstractNumId w:val="14"/>
  </w:num>
  <w:num w:numId="68" w16cid:durableId="1290166812">
    <w:abstractNumId w:val="14"/>
  </w:num>
  <w:num w:numId="69" w16cid:durableId="514153536">
    <w:abstractNumId w:val="14"/>
  </w:num>
  <w:num w:numId="70" w16cid:durableId="476268767">
    <w:abstractNumId w:val="14"/>
  </w:num>
  <w:num w:numId="71" w16cid:durableId="603080287">
    <w:abstractNumId w:val="14"/>
  </w:num>
  <w:num w:numId="72" w16cid:durableId="1163660411">
    <w:abstractNumId w:val="14"/>
  </w:num>
  <w:num w:numId="73" w16cid:durableId="295837015">
    <w:abstractNumId w:val="72"/>
  </w:num>
  <w:num w:numId="74" w16cid:durableId="2353566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28171511">
    <w:abstractNumId w:val="14"/>
  </w:num>
  <w:num w:numId="76" w16cid:durableId="1365055310">
    <w:abstractNumId w:val="9"/>
  </w:num>
  <w:num w:numId="77" w16cid:durableId="99450282">
    <w:abstractNumId w:val="62"/>
  </w:num>
  <w:num w:numId="78" w16cid:durableId="258560673">
    <w:abstractNumId w:val="22"/>
  </w:num>
  <w:num w:numId="79" w16cid:durableId="512186724">
    <w:abstractNumId w:val="73"/>
  </w:num>
  <w:num w:numId="80" w16cid:durableId="243344306">
    <w:abstractNumId w:val="14"/>
  </w:num>
  <w:num w:numId="81" w16cid:durableId="798302649">
    <w:abstractNumId w:val="49"/>
  </w:num>
  <w:num w:numId="82" w16cid:durableId="953440032">
    <w:abstractNumId w:val="8"/>
  </w:num>
  <w:num w:numId="83" w16cid:durableId="1762339407">
    <w:abstractNumId w:val="77"/>
  </w:num>
  <w:num w:numId="84" w16cid:durableId="1974946688">
    <w:abstractNumId w:val="14"/>
  </w:num>
  <w:num w:numId="85" w16cid:durableId="1950895254">
    <w:abstractNumId w:val="40"/>
  </w:num>
  <w:num w:numId="86" w16cid:durableId="1257254929">
    <w:abstractNumId w:val="36"/>
  </w:num>
  <w:num w:numId="87" w16cid:durableId="1663773281">
    <w:abstractNumId w:val="46"/>
  </w:num>
  <w:num w:numId="88" w16cid:durableId="852650040">
    <w:abstractNumId w:val="18"/>
  </w:num>
  <w:num w:numId="89" w16cid:durableId="89010731">
    <w:abstractNumId w:val="13"/>
  </w:num>
  <w:num w:numId="90" w16cid:durableId="474028561">
    <w:abstractNumId w:val="71"/>
  </w:num>
  <w:num w:numId="91" w16cid:durableId="1767768410">
    <w:abstractNumId w:val="14"/>
  </w:num>
  <w:num w:numId="92" w16cid:durableId="2114858729">
    <w:abstractNumId w:val="14"/>
  </w:num>
  <w:num w:numId="93" w16cid:durableId="789206151">
    <w:abstractNumId w:val="14"/>
  </w:num>
  <w:num w:numId="94" w16cid:durableId="703943935">
    <w:abstractNumId w:val="14"/>
  </w:num>
  <w:num w:numId="95" w16cid:durableId="1883201244">
    <w:abstractNumId w:val="14"/>
  </w:num>
  <w:num w:numId="96" w16cid:durableId="676494283">
    <w:abstractNumId w:val="14"/>
  </w:num>
  <w:num w:numId="97" w16cid:durableId="598873456">
    <w:abstractNumId w:val="14"/>
  </w:num>
  <w:num w:numId="98" w16cid:durableId="339358885">
    <w:abstractNumId w:val="14"/>
  </w:num>
  <w:num w:numId="99" w16cid:durableId="379284339">
    <w:abstractNumId w:val="14"/>
  </w:num>
  <w:num w:numId="100" w16cid:durableId="351496054">
    <w:abstractNumId w:val="61"/>
  </w:num>
  <w:num w:numId="101" w16cid:durableId="1138650679">
    <w:abstractNumId w:val="2"/>
  </w:num>
  <w:num w:numId="102" w16cid:durableId="527067837">
    <w:abstractNumId w:val="25"/>
  </w:num>
  <w:num w:numId="103" w16cid:durableId="985890322">
    <w:abstractNumId w:val="4"/>
  </w:num>
  <w:num w:numId="104" w16cid:durableId="215745109">
    <w:abstractNumId w:val="5"/>
  </w:num>
  <w:num w:numId="105" w16cid:durableId="397561756">
    <w:abstractNumId w:val="23"/>
  </w:num>
  <w:num w:numId="106" w16cid:durableId="840391638">
    <w:abstractNumId w:val="19"/>
  </w:num>
  <w:num w:numId="107" w16cid:durableId="1575093266">
    <w:abstractNumId w:val="80"/>
  </w:num>
  <w:num w:numId="108" w16cid:durableId="1836531281">
    <w:abstractNumId w:val="83"/>
  </w:num>
  <w:num w:numId="109" w16cid:durableId="175773999">
    <w:abstractNumId w:val="31"/>
  </w:num>
  <w:num w:numId="110" w16cid:durableId="1570843349">
    <w:abstractNumId w:val="39"/>
  </w:num>
  <w:num w:numId="111" w16cid:durableId="1690713485">
    <w:abstractNumId w:val="42"/>
  </w:num>
  <w:num w:numId="112" w16cid:durableId="1889798902">
    <w:abstractNumId w:val="34"/>
  </w:num>
  <w:num w:numId="113" w16cid:durableId="776561942">
    <w:abstractNumId w:val="60"/>
  </w:num>
  <w:num w:numId="114" w16cid:durableId="938869950">
    <w:abstractNumId w:val="45"/>
  </w:num>
  <w:num w:numId="115" w16cid:durableId="1853447592">
    <w:abstractNumId w:val="32"/>
  </w:num>
  <w:num w:numId="116" w16cid:durableId="17507116">
    <w:abstractNumId w:val="17"/>
  </w:num>
  <w:num w:numId="117" w16cid:durableId="631328902">
    <w:abstractNumId w:val="14"/>
  </w:num>
  <w:num w:numId="118" w16cid:durableId="938637407">
    <w:abstractNumId w:val="24"/>
  </w:num>
  <w:num w:numId="119" w16cid:durableId="1739786836">
    <w:abstractNumId w:val="12"/>
  </w:num>
  <w:num w:numId="120" w16cid:durableId="1692560402">
    <w:abstractNumId w:val="68"/>
  </w:num>
  <w:num w:numId="121" w16cid:durableId="1286235834">
    <w:abstractNumId w:val="81"/>
  </w:num>
  <w:num w:numId="122" w16cid:durableId="33621549">
    <w:abstractNumId w:val="41"/>
  </w:num>
  <w:num w:numId="123" w16cid:durableId="460465108">
    <w:abstractNumId w:val="69"/>
  </w:num>
  <w:num w:numId="124" w16cid:durableId="1965891621">
    <w:abstractNumId w:val="7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EC6"/>
    <w:rsid w:val="00001122"/>
    <w:rsid w:val="00001AD3"/>
    <w:rsid w:val="0000378B"/>
    <w:rsid w:val="00011B75"/>
    <w:rsid w:val="00013C29"/>
    <w:rsid w:val="00014D1A"/>
    <w:rsid w:val="00020C16"/>
    <w:rsid w:val="0002124B"/>
    <w:rsid w:val="00021884"/>
    <w:rsid w:val="000229EF"/>
    <w:rsid w:val="0002498F"/>
    <w:rsid w:val="000330D1"/>
    <w:rsid w:val="00035EFD"/>
    <w:rsid w:val="0003653D"/>
    <w:rsid w:val="00036E70"/>
    <w:rsid w:val="000543B3"/>
    <w:rsid w:val="000552B8"/>
    <w:rsid w:val="00055C0F"/>
    <w:rsid w:val="00056015"/>
    <w:rsid w:val="00057483"/>
    <w:rsid w:val="000577B3"/>
    <w:rsid w:val="000703FF"/>
    <w:rsid w:val="0007136F"/>
    <w:rsid w:val="0007278E"/>
    <w:rsid w:val="00074BC7"/>
    <w:rsid w:val="00075D3A"/>
    <w:rsid w:val="000771E6"/>
    <w:rsid w:val="00081B35"/>
    <w:rsid w:val="00082682"/>
    <w:rsid w:val="00095206"/>
    <w:rsid w:val="000A237E"/>
    <w:rsid w:val="000A59D4"/>
    <w:rsid w:val="000B6197"/>
    <w:rsid w:val="000B6646"/>
    <w:rsid w:val="000C1838"/>
    <w:rsid w:val="000C295B"/>
    <w:rsid w:val="000C4B4D"/>
    <w:rsid w:val="000D52C5"/>
    <w:rsid w:val="000E1954"/>
    <w:rsid w:val="000E2AF5"/>
    <w:rsid w:val="000F7CBF"/>
    <w:rsid w:val="0010364C"/>
    <w:rsid w:val="00105E65"/>
    <w:rsid w:val="00107839"/>
    <w:rsid w:val="0011433D"/>
    <w:rsid w:val="00114A31"/>
    <w:rsid w:val="00117275"/>
    <w:rsid w:val="001173D5"/>
    <w:rsid w:val="001221B3"/>
    <w:rsid w:val="001250EE"/>
    <w:rsid w:val="00125909"/>
    <w:rsid w:val="0013275D"/>
    <w:rsid w:val="00133FD6"/>
    <w:rsid w:val="001415B5"/>
    <w:rsid w:val="00142069"/>
    <w:rsid w:val="00143DD7"/>
    <w:rsid w:val="0015455F"/>
    <w:rsid w:val="00156B37"/>
    <w:rsid w:val="00156BCB"/>
    <w:rsid w:val="00161BE7"/>
    <w:rsid w:val="00181860"/>
    <w:rsid w:val="00190A30"/>
    <w:rsid w:val="00191E38"/>
    <w:rsid w:val="00195A98"/>
    <w:rsid w:val="001A25F2"/>
    <w:rsid w:val="001A3329"/>
    <w:rsid w:val="001B3D0D"/>
    <w:rsid w:val="001B5EF3"/>
    <w:rsid w:val="001B61FF"/>
    <w:rsid w:val="001B6B4C"/>
    <w:rsid w:val="001C0ED0"/>
    <w:rsid w:val="001C2BBC"/>
    <w:rsid w:val="001C45C4"/>
    <w:rsid w:val="001D03CF"/>
    <w:rsid w:val="001D498C"/>
    <w:rsid w:val="001D4B51"/>
    <w:rsid w:val="001D7882"/>
    <w:rsid w:val="001E6E48"/>
    <w:rsid w:val="00214ED0"/>
    <w:rsid w:val="002158B0"/>
    <w:rsid w:val="00216B33"/>
    <w:rsid w:val="002200FD"/>
    <w:rsid w:val="002205CC"/>
    <w:rsid w:val="00220E4A"/>
    <w:rsid w:val="00222FB3"/>
    <w:rsid w:val="00234E2F"/>
    <w:rsid w:val="00241C02"/>
    <w:rsid w:val="002444D7"/>
    <w:rsid w:val="00260EC4"/>
    <w:rsid w:val="00263C81"/>
    <w:rsid w:val="00275413"/>
    <w:rsid w:val="002766F4"/>
    <w:rsid w:val="00282B3C"/>
    <w:rsid w:val="0029551E"/>
    <w:rsid w:val="002A6806"/>
    <w:rsid w:val="002A7735"/>
    <w:rsid w:val="002B0A43"/>
    <w:rsid w:val="002B22F5"/>
    <w:rsid w:val="002B46BA"/>
    <w:rsid w:val="002B5EF7"/>
    <w:rsid w:val="002B7E80"/>
    <w:rsid w:val="002C69CC"/>
    <w:rsid w:val="002C752D"/>
    <w:rsid w:val="002D0456"/>
    <w:rsid w:val="002D0BD6"/>
    <w:rsid w:val="002D5FEE"/>
    <w:rsid w:val="002D77D5"/>
    <w:rsid w:val="002E673A"/>
    <w:rsid w:val="002F49A8"/>
    <w:rsid w:val="002F550C"/>
    <w:rsid w:val="00304F21"/>
    <w:rsid w:val="00305DF5"/>
    <w:rsid w:val="003112CF"/>
    <w:rsid w:val="00312B60"/>
    <w:rsid w:val="003267BB"/>
    <w:rsid w:val="0033000B"/>
    <w:rsid w:val="00337485"/>
    <w:rsid w:val="003504E1"/>
    <w:rsid w:val="00354F04"/>
    <w:rsid w:val="00362401"/>
    <w:rsid w:val="0037458D"/>
    <w:rsid w:val="003774BC"/>
    <w:rsid w:val="00382D8B"/>
    <w:rsid w:val="00383D64"/>
    <w:rsid w:val="00386A34"/>
    <w:rsid w:val="003900A7"/>
    <w:rsid w:val="00390C25"/>
    <w:rsid w:val="003949E9"/>
    <w:rsid w:val="00394E58"/>
    <w:rsid w:val="00396B21"/>
    <w:rsid w:val="003A0283"/>
    <w:rsid w:val="003A746E"/>
    <w:rsid w:val="003B11AC"/>
    <w:rsid w:val="003B1E87"/>
    <w:rsid w:val="003B2D71"/>
    <w:rsid w:val="003B2DC1"/>
    <w:rsid w:val="003B6A96"/>
    <w:rsid w:val="003B72A9"/>
    <w:rsid w:val="003B7486"/>
    <w:rsid w:val="003C0AFD"/>
    <w:rsid w:val="003C28AD"/>
    <w:rsid w:val="003C3CBE"/>
    <w:rsid w:val="003C5AD3"/>
    <w:rsid w:val="003D2497"/>
    <w:rsid w:val="003D262A"/>
    <w:rsid w:val="003E509D"/>
    <w:rsid w:val="00401E37"/>
    <w:rsid w:val="0041096A"/>
    <w:rsid w:val="00415527"/>
    <w:rsid w:val="004156E0"/>
    <w:rsid w:val="0042131F"/>
    <w:rsid w:val="004366AF"/>
    <w:rsid w:val="004447A2"/>
    <w:rsid w:val="0044663E"/>
    <w:rsid w:val="004504C3"/>
    <w:rsid w:val="00454384"/>
    <w:rsid w:val="00467AD1"/>
    <w:rsid w:val="00467B78"/>
    <w:rsid w:val="00472C01"/>
    <w:rsid w:val="0047356C"/>
    <w:rsid w:val="00480EC6"/>
    <w:rsid w:val="0048220B"/>
    <w:rsid w:val="004838E7"/>
    <w:rsid w:val="00484D38"/>
    <w:rsid w:val="0048634B"/>
    <w:rsid w:val="004875A5"/>
    <w:rsid w:val="0049569A"/>
    <w:rsid w:val="00496D22"/>
    <w:rsid w:val="004A3EFC"/>
    <w:rsid w:val="004C33A0"/>
    <w:rsid w:val="004C3828"/>
    <w:rsid w:val="004C6427"/>
    <w:rsid w:val="004C7BE6"/>
    <w:rsid w:val="004D3CB5"/>
    <w:rsid w:val="004D4638"/>
    <w:rsid w:val="004E0205"/>
    <w:rsid w:val="004F6212"/>
    <w:rsid w:val="004F7C89"/>
    <w:rsid w:val="00503C02"/>
    <w:rsid w:val="00506754"/>
    <w:rsid w:val="0051032B"/>
    <w:rsid w:val="00511A22"/>
    <w:rsid w:val="00511F31"/>
    <w:rsid w:val="005138A7"/>
    <w:rsid w:val="0052054B"/>
    <w:rsid w:val="00523DCB"/>
    <w:rsid w:val="00525C6B"/>
    <w:rsid w:val="00532594"/>
    <w:rsid w:val="00534C6A"/>
    <w:rsid w:val="00535A22"/>
    <w:rsid w:val="00537BD7"/>
    <w:rsid w:val="005437C6"/>
    <w:rsid w:val="00545C21"/>
    <w:rsid w:val="00547ED6"/>
    <w:rsid w:val="00547EE0"/>
    <w:rsid w:val="00551D58"/>
    <w:rsid w:val="00552376"/>
    <w:rsid w:val="005567E4"/>
    <w:rsid w:val="005639D8"/>
    <w:rsid w:val="0056530D"/>
    <w:rsid w:val="00566193"/>
    <w:rsid w:val="00572187"/>
    <w:rsid w:val="00574A46"/>
    <w:rsid w:val="005813DB"/>
    <w:rsid w:val="005840D0"/>
    <w:rsid w:val="00591B92"/>
    <w:rsid w:val="00593572"/>
    <w:rsid w:val="00595BDD"/>
    <w:rsid w:val="005A043B"/>
    <w:rsid w:val="005A2DF6"/>
    <w:rsid w:val="005B2CB2"/>
    <w:rsid w:val="005C19AE"/>
    <w:rsid w:val="005C1EDA"/>
    <w:rsid w:val="005C7FE8"/>
    <w:rsid w:val="005D2C83"/>
    <w:rsid w:val="005E1196"/>
    <w:rsid w:val="005E2C8F"/>
    <w:rsid w:val="005E2EB5"/>
    <w:rsid w:val="005F0C9E"/>
    <w:rsid w:val="005F1839"/>
    <w:rsid w:val="005F426F"/>
    <w:rsid w:val="005F5135"/>
    <w:rsid w:val="00602930"/>
    <w:rsid w:val="00602A59"/>
    <w:rsid w:val="00602FD4"/>
    <w:rsid w:val="00623726"/>
    <w:rsid w:val="00625910"/>
    <w:rsid w:val="0063431B"/>
    <w:rsid w:val="00634C49"/>
    <w:rsid w:val="00635D1E"/>
    <w:rsid w:val="00636E3A"/>
    <w:rsid w:val="00641178"/>
    <w:rsid w:val="006432FB"/>
    <w:rsid w:val="00645797"/>
    <w:rsid w:val="006616EA"/>
    <w:rsid w:val="006617AA"/>
    <w:rsid w:val="00663D2F"/>
    <w:rsid w:val="0066416C"/>
    <w:rsid w:val="00680B51"/>
    <w:rsid w:val="00685DDE"/>
    <w:rsid w:val="00687A48"/>
    <w:rsid w:val="00687BE6"/>
    <w:rsid w:val="00695CB5"/>
    <w:rsid w:val="006A07C8"/>
    <w:rsid w:val="006A629C"/>
    <w:rsid w:val="006A636A"/>
    <w:rsid w:val="006B0228"/>
    <w:rsid w:val="006B15A0"/>
    <w:rsid w:val="006B1EB8"/>
    <w:rsid w:val="006B1ECA"/>
    <w:rsid w:val="006B2A19"/>
    <w:rsid w:val="006B2EC4"/>
    <w:rsid w:val="006B5317"/>
    <w:rsid w:val="006D2597"/>
    <w:rsid w:val="006E1412"/>
    <w:rsid w:val="006E1F16"/>
    <w:rsid w:val="006E48F2"/>
    <w:rsid w:val="006E554A"/>
    <w:rsid w:val="006E7312"/>
    <w:rsid w:val="006F5318"/>
    <w:rsid w:val="00701D9B"/>
    <w:rsid w:val="00702EF1"/>
    <w:rsid w:val="0070425F"/>
    <w:rsid w:val="007051E4"/>
    <w:rsid w:val="00720BE8"/>
    <w:rsid w:val="00725701"/>
    <w:rsid w:val="007403F7"/>
    <w:rsid w:val="00740A4F"/>
    <w:rsid w:val="00742391"/>
    <w:rsid w:val="007434E9"/>
    <w:rsid w:val="007437F9"/>
    <w:rsid w:val="007506B2"/>
    <w:rsid w:val="00765242"/>
    <w:rsid w:val="0076539C"/>
    <w:rsid w:val="007853AB"/>
    <w:rsid w:val="007871D4"/>
    <w:rsid w:val="00791A7B"/>
    <w:rsid w:val="007A1885"/>
    <w:rsid w:val="007A1C9F"/>
    <w:rsid w:val="007A4111"/>
    <w:rsid w:val="007A7DD3"/>
    <w:rsid w:val="007B09DA"/>
    <w:rsid w:val="007B1F27"/>
    <w:rsid w:val="007B3BD7"/>
    <w:rsid w:val="007B4BC3"/>
    <w:rsid w:val="007B5404"/>
    <w:rsid w:val="007B5D3B"/>
    <w:rsid w:val="007C073F"/>
    <w:rsid w:val="007C0FDD"/>
    <w:rsid w:val="007D288C"/>
    <w:rsid w:val="007D3D2E"/>
    <w:rsid w:val="007E175A"/>
    <w:rsid w:val="007E4AF7"/>
    <w:rsid w:val="007F4CE5"/>
    <w:rsid w:val="007F4E20"/>
    <w:rsid w:val="007F633B"/>
    <w:rsid w:val="00801436"/>
    <w:rsid w:val="00803E0E"/>
    <w:rsid w:val="00812980"/>
    <w:rsid w:val="00813353"/>
    <w:rsid w:val="00816DCE"/>
    <w:rsid w:val="00827EE2"/>
    <w:rsid w:val="00830780"/>
    <w:rsid w:val="0083308C"/>
    <w:rsid w:val="00836B59"/>
    <w:rsid w:val="008425A0"/>
    <w:rsid w:val="00851434"/>
    <w:rsid w:val="0085472C"/>
    <w:rsid w:val="00860CB1"/>
    <w:rsid w:val="00861B04"/>
    <w:rsid w:val="00872A53"/>
    <w:rsid w:val="008774B1"/>
    <w:rsid w:val="00887384"/>
    <w:rsid w:val="00890D58"/>
    <w:rsid w:val="0089100B"/>
    <w:rsid w:val="008967D3"/>
    <w:rsid w:val="008B0A33"/>
    <w:rsid w:val="008B15E2"/>
    <w:rsid w:val="008B194A"/>
    <w:rsid w:val="008B26D7"/>
    <w:rsid w:val="008B5017"/>
    <w:rsid w:val="008C220E"/>
    <w:rsid w:val="008C3839"/>
    <w:rsid w:val="008C5487"/>
    <w:rsid w:val="008C55CF"/>
    <w:rsid w:val="008C5C35"/>
    <w:rsid w:val="008F0245"/>
    <w:rsid w:val="008F3C94"/>
    <w:rsid w:val="008F589F"/>
    <w:rsid w:val="009053F1"/>
    <w:rsid w:val="00906CD7"/>
    <w:rsid w:val="009071F9"/>
    <w:rsid w:val="009333F8"/>
    <w:rsid w:val="00937B8A"/>
    <w:rsid w:val="00944FC1"/>
    <w:rsid w:val="0094767E"/>
    <w:rsid w:val="009518B7"/>
    <w:rsid w:val="00953DBB"/>
    <w:rsid w:val="00961142"/>
    <w:rsid w:val="00961935"/>
    <w:rsid w:val="009641CC"/>
    <w:rsid w:val="00964780"/>
    <w:rsid w:val="00970E02"/>
    <w:rsid w:val="00973561"/>
    <w:rsid w:val="009741AD"/>
    <w:rsid w:val="00981574"/>
    <w:rsid w:val="00982E26"/>
    <w:rsid w:val="00986877"/>
    <w:rsid w:val="00987FEA"/>
    <w:rsid w:val="00990B02"/>
    <w:rsid w:val="0099177E"/>
    <w:rsid w:val="0099526E"/>
    <w:rsid w:val="009954F4"/>
    <w:rsid w:val="00995875"/>
    <w:rsid w:val="009958F8"/>
    <w:rsid w:val="00996B0F"/>
    <w:rsid w:val="009A16D6"/>
    <w:rsid w:val="009A32D0"/>
    <w:rsid w:val="009A6060"/>
    <w:rsid w:val="009A62A0"/>
    <w:rsid w:val="009B02E2"/>
    <w:rsid w:val="009B16A9"/>
    <w:rsid w:val="009B6D6C"/>
    <w:rsid w:val="009C3D8A"/>
    <w:rsid w:val="009C404C"/>
    <w:rsid w:val="009C597A"/>
    <w:rsid w:val="009C6F66"/>
    <w:rsid w:val="009D3B6C"/>
    <w:rsid w:val="009E2066"/>
    <w:rsid w:val="009E2BAE"/>
    <w:rsid w:val="009E3009"/>
    <w:rsid w:val="00A00150"/>
    <w:rsid w:val="00A0212A"/>
    <w:rsid w:val="00A067F7"/>
    <w:rsid w:val="00A104B8"/>
    <w:rsid w:val="00A131EF"/>
    <w:rsid w:val="00A169CA"/>
    <w:rsid w:val="00A20E30"/>
    <w:rsid w:val="00A27736"/>
    <w:rsid w:val="00A4191D"/>
    <w:rsid w:val="00A41D1A"/>
    <w:rsid w:val="00A4642D"/>
    <w:rsid w:val="00A506E0"/>
    <w:rsid w:val="00A52E31"/>
    <w:rsid w:val="00A5510E"/>
    <w:rsid w:val="00A611AE"/>
    <w:rsid w:val="00A61F6F"/>
    <w:rsid w:val="00A6536F"/>
    <w:rsid w:val="00A65A72"/>
    <w:rsid w:val="00A67B6E"/>
    <w:rsid w:val="00AA2B88"/>
    <w:rsid w:val="00AA5CF2"/>
    <w:rsid w:val="00AB5255"/>
    <w:rsid w:val="00AB65FC"/>
    <w:rsid w:val="00AC7C57"/>
    <w:rsid w:val="00AD19A2"/>
    <w:rsid w:val="00AD33B9"/>
    <w:rsid w:val="00AD771F"/>
    <w:rsid w:val="00AE0FEF"/>
    <w:rsid w:val="00AE2D62"/>
    <w:rsid w:val="00AE7523"/>
    <w:rsid w:val="00AE7C10"/>
    <w:rsid w:val="00AF0AAE"/>
    <w:rsid w:val="00AF6323"/>
    <w:rsid w:val="00AF7FD1"/>
    <w:rsid w:val="00B01554"/>
    <w:rsid w:val="00B03777"/>
    <w:rsid w:val="00B06E33"/>
    <w:rsid w:val="00B11885"/>
    <w:rsid w:val="00B13C8D"/>
    <w:rsid w:val="00B16887"/>
    <w:rsid w:val="00B20057"/>
    <w:rsid w:val="00B20FBA"/>
    <w:rsid w:val="00B21A0B"/>
    <w:rsid w:val="00B24747"/>
    <w:rsid w:val="00B32494"/>
    <w:rsid w:val="00B352B7"/>
    <w:rsid w:val="00B36779"/>
    <w:rsid w:val="00B40FF4"/>
    <w:rsid w:val="00B5766B"/>
    <w:rsid w:val="00B6292D"/>
    <w:rsid w:val="00B637E1"/>
    <w:rsid w:val="00B679FC"/>
    <w:rsid w:val="00B7076D"/>
    <w:rsid w:val="00B71120"/>
    <w:rsid w:val="00B72EB2"/>
    <w:rsid w:val="00B72F89"/>
    <w:rsid w:val="00B745CA"/>
    <w:rsid w:val="00B747A9"/>
    <w:rsid w:val="00B75A30"/>
    <w:rsid w:val="00B81DEA"/>
    <w:rsid w:val="00B86262"/>
    <w:rsid w:val="00B864E7"/>
    <w:rsid w:val="00B907F9"/>
    <w:rsid w:val="00BA0368"/>
    <w:rsid w:val="00BA16DE"/>
    <w:rsid w:val="00BA260E"/>
    <w:rsid w:val="00BB50FB"/>
    <w:rsid w:val="00BB6590"/>
    <w:rsid w:val="00BC16EC"/>
    <w:rsid w:val="00BC2D95"/>
    <w:rsid w:val="00BD1FFC"/>
    <w:rsid w:val="00BE1069"/>
    <w:rsid w:val="00BE50AA"/>
    <w:rsid w:val="00BE6F05"/>
    <w:rsid w:val="00BF1317"/>
    <w:rsid w:val="00BF318B"/>
    <w:rsid w:val="00C03106"/>
    <w:rsid w:val="00C04E42"/>
    <w:rsid w:val="00C055DF"/>
    <w:rsid w:val="00C14982"/>
    <w:rsid w:val="00C243A8"/>
    <w:rsid w:val="00C31EFF"/>
    <w:rsid w:val="00C33EB3"/>
    <w:rsid w:val="00C449BF"/>
    <w:rsid w:val="00C45D15"/>
    <w:rsid w:val="00C50011"/>
    <w:rsid w:val="00C544B7"/>
    <w:rsid w:val="00C6128F"/>
    <w:rsid w:val="00C64A51"/>
    <w:rsid w:val="00C65400"/>
    <w:rsid w:val="00C72162"/>
    <w:rsid w:val="00C7289F"/>
    <w:rsid w:val="00C72CF8"/>
    <w:rsid w:val="00C82F61"/>
    <w:rsid w:val="00C844FA"/>
    <w:rsid w:val="00C879F8"/>
    <w:rsid w:val="00C931E8"/>
    <w:rsid w:val="00CB2888"/>
    <w:rsid w:val="00CB3B2F"/>
    <w:rsid w:val="00CB3ED9"/>
    <w:rsid w:val="00CB477E"/>
    <w:rsid w:val="00CB5150"/>
    <w:rsid w:val="00CC5B30"/>
    <w:rsid w:val="00CC6619"/>
    <w:rsid w:val="00CD2706"/>
    <w:rsid w:val="00CE2F25"/>
    <w:rsid w:val="00CE4CA0"/>
    <w:rsid w:val="00CF233B"/>
    <w:rsid w:val="00CF6D84"/>
    <w:rsid w:val="00D009BA"/>
    <w:rsid w:val="00D02C37"/>
    <w:rsid w:val="00D0341D"/>
    <w:rsid w:val="00D03551"/>
    <w:rsid w:val="00D1271C"/>
    <w:rsid w:val="00D1439E"/>
    <w:rsid w:val="00D146CA"/>
    <w:rsid w:val="00D272AE"/>
    <w:rsid w:val="00D30B37"/>
    <w:rsid w:val="00D30CA9"/>
    <w:rsid w:val="00D378CB"/>
    <w:rsid w:val="00D37B1F"/>
    <w:rsid w:val="00D43D4F"/>
    <w:rsid w:val="00D4769C"/>
    <w:rsid w:val="00D5165E"/>
    <w:rsid w:val="00D57526"/>
    <w:rsid w:val="00D65D1E"/>
    <w:rsid w:val="00D80D17"/>
    <w:rsid w:val="00D85F53"/>
    <w:rsid w:val="00D87251"/>
    <w:rsid w:val="00D911B4"/>
    <w:rsid w:val="00D94D33"/>
    <w:rsid w:val="00DA34AD"/>
    <w:rsid w:val="00DA4A7C"/>
    <w:rsid w:val="00DA6480"/>
    <w:rsid w:val="00DB1421"/>
    <w:rsid w:val="00DB18E8"/>
    <w:rsid w:val="00DE795F"/>
    <w:rsid w:val="00DF0CE8"/>
    <w:rsid w:val="00E006A3"/>
    <w:rsid w:val="00E0334C"/>
    <w:rsid w:val="00E047FC"/>
    <w:rsid w:val="00E0757D"/>
    <w:rsid w:val="00E15AB9"/>
    <w:rsid w:val="00E15E1E"/>
    <w:rsid w:val="00E22032"/>
    <w:rsid w:val="00E239FB"/>
    <w:rsid w:val="00E47137"/>
    <w:rsid w:val="00E55A9D"/>
    <w:rsid w:val="00E676F1"/>
    <w:rsid w:val="00E757ED"/>
    <w:rsid w:val="00E80698"/>
    <w:rsid w:val="00E833F2"/>
    <w:rsid w:val="00E8776F"/>
    <w:rsid w:val="00E87794"/>
    <w:rsid w:val="00E924D8"/>
    <w:rsid w:val="00E95B72"/>
    <w:rsid w:val="00E9600B"/>
    <w:rsid w:val="00EA0C59"/>
    <w:rsid w:val="00EA2070"/>
    <w:rsid w:val="00EA210D"/>
    <w:rsid w:val="00EA244C"/>
    <w:rsid w:val="00EA4699"/>
    <w:rsid w:val="00EA7B86"/>
    <w:rsid w:val="00EA7CB7"/>
    <w:rsid w:val="00EB2879"/>
    <w:rsid w:val="00EB58EB"/>
    <w:rsid w:val="00EC14D7"/>
    <w:rsid w:val="00EC7AEC"/>
    <w:rsid w:val="00ED2C4C"/>
    <w:rsid w:val="00ED700A"/>
    <w:rsid w:val="00EE0A23"/>
    <w:rsid w:val="00EE79CD"/>
    <w:rsid w:val="00EF24B2"/>
    <w:rsid w:val="00EF5553"/>
    <w:rsid w:val="00F01A2B"/>
    <w:rsid w:val="00F024CC"/>
    <w:rsid w:val="00F035FA"/>
    <w:rsid w:val="00F06C52"/>
    <w:rsid w:val="00F2213D"/>
    <w:rsid w:val="00F27629"/>
    <w:rsid w:val="00F27EF9"/>
    <w:rsid w:val="00F34DAA"/>
    <w:rsid w:val="00F35069"/>
    <w:rsid w:val="00F37E95"/>
    <w:rsid w:val="00F42336"/>
    <w:rsid w:val="00F42FF8"/>
    <w:rsid w:val="00F43B7B"/>
    <w:rsid w:val="00F443D1"/>
    <w:rsid w:val="00F62D7F"/>
    <w:rsid w:val="00F67DDB"/>
    <w:rsid w:val="00F727A3"/>
    <w:rsid w:val="00F85D31"/>
    <w:rsid w:val="00F86C34"/>
    <w:rsid w:val="00F9494A"/>
    <w:rsid w:val="00F97890"/>
    <w:rsid w:val="00FA507A"/>
    <w:rsid w:val="00FA5279"/>
    <w:rsid w:val="00FA73D2"/>
    <w:rsid w:val="00FB30CE"/>
    <w:rsid w:val="00FB3E49"/>
    <w:rsid w:val="00FC22A4"/>
    <w:rsid w:val="00FC2971"/>
    <w:rsid w:val="00FD62C3"/>
    <w:rsid w:val="00FE15D2"/>
    <w:rsid w:val="00FE3361"/>
    <w:rsid w:val="00FE7D88"/>
    <w:rsid w:val="00FF127A"/>
    <w:rsid w:val="00FF1CA9"/>
    <w:rsid w:val="00FF70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54D31"/>
  <w15:docId w15:val="{0EF24117-4967-4C84-89FB-B2986245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EC6"/>
    <w:pPr>
      <w:spacing w:after="240" w:line="240" w:lineRule="auto"/>
    </w:pPr>
    <w:rPr>
      <w:rFonts w:asciiTheme="minorHAnsi" w:eastAsia="Times New Roman" w:hAnsiTheme="minorHAnsi" w:cs="Times New Roman"/>
      <w:sz w:val="22"/>
      <w:szCs w:val="20"/>
    </w:rPr>
  </w:style>
  <w:style w:type="paragraph" w:styleId="Heading1">
    <w:name w:val="heading 1"/>
    <w:basedOn w:val="Normal"/>
    <w:next w:val="Heading2"/>
    <w:link w:val="Heading1Char"/>
    <w:qFormat/>
    <w:rsid w:val="001B6B4C"/>
    <w:pPr>
      <w:keepNext/>
      <w:pageBreakBefore/>
      <w:numPr>
        <w:numId w:val="1"/>
      </w:numPr>
      <w:tabs>
        <w:tab w:val="left" w:pos="851"/>
      </w:tabs>
      <w:outlineLvl w:val="0"/>
    </w:pPr>
    <w:rPr>
      <w:rFonts w:eastAsia="Batang" w:cs="Arial"/>
      <w:b/>
      <w:bCs/>
      <w:color w:val="9BBB59" w:themeColor="accent3"/>
      <w:sz w:val="36"/>
      <w:szCs w:val="32"/>
    </w:rPr>
  </w:style>
  <w:style w:type="paragraph" w:styleId="Heading2">
    <w:name w:val="heading 2"/>
    <w:basedOn w:val="Normal"/>
    <w:next w:val="BodyText1"/>
    <w:link w:val="Heading2Char"/>
    <w:qFormat/>
    <w:rsid w:val="001B6B4C"/>
    <w:pPr>
      <w:keepNext/>
      <w:numPr>
        <w:ilvl w:val="1"/>
        <w:numId w:val="1"/>
      </w:numPr>
      <w:tabs>
        <w:tab w:val="left" w:pos="851"/>
      </w:tabs>
      <w:ind w:left="1002"/>
      <w:outlineLvl w:val="1"/>
    </w:pPr>
    <w:rPr>
      <w:rFonts w:cs="Arial"/>
      <w:b/>
      <w:bCs/>
      <w:iCs/>
      <w:color w:val="9BBB59" w:themeColor="accent3"/>
      <w:sz w:val="28"/>
      <w:szCs w:val="28"/>
    </w:rPr>
  </w:style>
  <w:style w:type="paragraph" w:styleId="Heading3">
    <w:name w:val="heading 3"/>
    <w:basedOn w:val="Normal"/>
    <w:next w:val="BodyText1"/>
    <w:link w:val="Heading3Char"/>
    <w:qFormat/>
    <w:rsid w:val="005567E4"/>
    <w:pPr>
      <w:keepNext/>
      <w:numPr>
        <w:ilvl w:val="2"/>
        <w:numId w:val="1"/>
      </w:numPr>
      <w:tabs>
        <w:tab w:val="left" w:pos="851"/>
      </w:tabs>
      <w:outlineLvl w:val="2"/>
    </w:pPr>
    <w:rPr>
      <w:rFonts w:ascii="Arial" w:hAnsi="Arial" w:cs="Arial"/>
      <w:b/>
      <w:bCs/>
      <w:color w:val="76923C" w:themeColor="accent3" w:themeShade="BF"/>
      <w:szCs w:val="26"/>
    </w:rPr>
  </w:style>
  <w:style w:type="paragraph" w:styleId="Heading4">
    <w:name w:val="heading 4"/>
    <w:basedOn w:val="Normal"/>
    <w:next w:val="Normal"/>
    <w:link w:val="Heading4Char"/>
    <w:unhideWhenUsed/>
    <w:qFormat/>
    <w:rsid w:val="00480EC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80EC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80EC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80EC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80EC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480EC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B4C"/>
    <w:rPr>
      <w:rFonts w:asciiTheme="minorHAnsi" w:eastAsia="Batang" w:hAnsiTheme="minorHAnsi" w:cs="Arial"/>
      <w:b/>
      <w:bCs/>
      <w:color w:val="9BBB59" w:themeColor="accent3"/>
      <w:sz w:val="36"/>
      <w:szCs w:val="32"/>
    </w:rPr>
  </w:style>
  <w:style w:type="character" w:customStyle="1" w:styleId="Heading2Char">
    <w:name w:val="Heading 2 Char"/>
    <w:basedOn w:val="DefaultParagraphFont"/>
    <w:link w:val="Heading2"/>
    <w:rsid w:val="001B6B4C"/>
    <w:rPr>
      <w:rFonts w:asciiTheme="minorHAnsi" w:eastAsia="Times New Roman" w:hAnsiTheme="minorHAnsi" w:cs="Arial"/>
      <w:b/>
      <w:bCs/>
      <w:iCs/>
      <w:color w:val="9BBB59" w:themeColor="accent3"/>
      <w:sz w:val="28"/>
      <w:szCs w:val="28"/>
    </w:rPr>
  </w:style>
  <w:style w:type="character" w:customStyle="1" w:styleId="Heading3Char">
    <w:name w:val="Heading 3 Char"/>
    <w:basedOn w:val="DefaultParagraphFont"/>
    <w:link w:val="Heading3"/>
    <w:rsid w:val="005567E4"/>
    <w:rPr>
      <w:rFonts w:ascii="Arial" w:eastAsia="Times New Roman" w:hAnsi="Arial" w:cs="Arial"/>
      <w:b/>
      <w:bCs/>
      <w:color w:val="76923C" w:themeColor="accent3" w:themeShade="BF"/>
      <w:sz w:val="22"/>
      <w:szCs w:val="26"/>
    </w:rPr>
  </w:style>
  <w:style w:type="character" w:customStyle="1" w:styleId="Heading4Char">
    <w:name w:val="Heading 4 Char"/>
    <w:basedOn w:val="DefaultParagraphFont"/>
    <w:link w:val="Heading4"/>
    <w:rsid w:val="00480EC6"/>
    <w:rPr>
      <w:rFonts w:asciiTheme="majorHAnsi" w:eastAsiaTheme="majorEastAsia" w:hAnsiTheme="majorHAnsi" w:cstheme="majorBidi"/>
      <w:b/>
      <w:bCs/>
      <w:i/>
      <w:iCs/>
      <w:color w:val="4F81BD" w:themeColor="accent1"/>
      <w:sz w:val="22"/>
      <w:szCs w:val="20"/>
    </w:rPr>
  </w:style>
  <w:style w:type="character" w:customStyle="1" w:styleId="Heading5Char">
    <w:name w:val="Heading 5 Char"/>
    <w:basedOn w:val="DefaultParagraphFont"/>
    <w:link w:val="Heading5"/>
    <w:semiHidden/>
    <w:rsid w:val="00480EC6"/>
    <w:rPr>
      <w:rFonts w:asciiTheme="majorHAnsi" w:eastAsiaTheme="majorEastAsia" w:hAnsiTheme="majorHAnsi" w:cstheme="majorBidi"/>
      <w:color w:val="243F60" w:themeColor="accent1" w:themeShade="7F"/>
      <w:sz w:val="22"/>
      <w:szCs w:val="20"/>
    </w:rPr>
  </w:style>
  <w:style w:type="character" w:customStyle="1" w:styleId="Heading6Char">
    <w:name w:val="Heading 6 Char"/>
    <w:basedOn w:val="DefaultParagraphFont"/>
    <w:link w:val="Heading6"/>
    <w:semiHidden/>
    <w:rsid w:val="00480EC6"/>
    <w:rPr>
      <w:rFonts w:asciiTheme="majorHAnsi" w:eastAsiaTheme="majorEastAsia" w:hAnsiTheme="majorHAnsi" w:cstheme="majorBidi"/>
      <w:i/>
      <w:iCs/>
      <w:color w:val="243F60" w:themeColor="accent1" w:themeShade="7F"/>
      <w:sz w:val="22"/>
      <w:szCs w:val="20"/>
    </w:rPr>
  </w:style>
  <w:style w:type="character" w:customStyle="1" w:styleId="Heading7Char">
    <w:name w:val="Heading 7 Char"/>
    <w:basedOn w:val="DefaultParagraphFont"/>
    <w:link w:val="Heading7"/>
    <w:semiHidden/>
    <w:rsid w:val="00480EC6"/>
    <w:rPr>
      <w:rFonts w:asciiTheme="majorHAnsi" w:eastAsiaTheme="majorEastAsia" w:hAnsiTheme="majorHAnsi" w:cstheme="majorBidi"/>
      <w:i/>
      <w:iCs/>
      <w:color w:val="404040" w:themeColor="text1" w:themeTint="BF"/>
      <w:sz w:val="22"/>
      <w:szCs w:val="20"/>
    </w:rPr>
  </w:style>
  <w:style w:type="character" w:customStyle="1" w:styleId="Heading8Char">
    <w:name w:val="Heading 8 Char"/>
    <w:basedOn w:val="DefaultParagraphFont"/>
    <w:link w:val="Heading8"/>
    <w:semiHidden/>
    <w:rsid w:val="00480E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480EC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480EC6"/>
    <w:pPr>
      <w:ind w:left="720"/>
      <w:contextualSpacing/>
    </w:pPr>
  </w:style>
  <w:style w:type="paragraph" w:styleId="ListNumber">
    <w:name w:val="List Number"/>
    <w:basedOn w:val="Normal"/>
    <w:rsid w:val="00480EC6"/>
    <w:pPr>
      <w:tabs>
        <w:tab w:val="left" w:pos="1134"/>
      </w:tabs>
    </w:pPr>
  </w:style>
  <w:style w:type="numbering" w:customStyle="1" w:styleId="BulletList">
    <w:name w:val="Bullet List"/>
    <w:basedOn w:val="NoList"/>
    <w:rsid w:val="00480EC6"/>
    <w:pPr>
      <w:numPr>
        <w:numId w:val="2"/>
      </w:numPr>
    </w:pPr>
  </w:style>
  <w:style w:type="numbering" w:customStyle="1" w:styleId="Bullets">
    <w:name w:val="Bullets"/>
    <w:basedOn w:val="NoList"/>
    <w:rsid w:val="00480EC6"/>
    <w:pPr>
      <w:numPr>
        <w:numId w:val="3"/>
      </w:numPr>
    </w:pPr>
  </w:style>
  <w:style w:type="paragraph" w:customStyle="1" w:styleId="Bulletlist0">
    <w:name w:val="Bullet list"/>
    <w:basedOn w:val="ListParagraph"/>
    <w:link w:val="BulletlistChar"/>
    <w:qFormat/>
    <w:rsid w:val="00480EC6"/>
    <w:pPr>
      <w:tabs>
        <w:tab w:val="left" w:pos="1701"/>
      </w:tabs>
      <w:ind w:left="0"/>
      <w:contextualSpacing w:val="0"/>
    </w:pPr>
  </w:style>
  <w:style w:type="paragraph" w:customStyle="1" w:styleId="BodyText1">
    <w:name w:val="Body Text1"/>
    <w:basedOn w:val="Normal"/>
    <w:link w:val="BodytextChar"/>
    <w:qFormat/>
    <w:rsid w:val="00480EC6"/>
    <w:pPr>
      <w:ind w:left="851"/>
    </w:pPr>
  </w:style>
  <w:style w:type="character" w:customStyle="1" w:styleId="ListParagraphChar">
    <w:name w:val="List Paragraph Char"/>
    <w:basedOn w:val="DefaultParagraphFont"/>
    <w:link w:val="ListParagraph"/>
    <w:uiPriority w:val="34"/>
    <w:rsid w:val="00480EC6"/>
    <w:rPr>
      <w:rFonts w:asciiTheme="minorHAnsi" w:eastAsia="Times New Roman" w:hAnsiTheme="minorHAnsi" w:cs="Times New Roman"/>
      <w:sz w:val="22"/>
      <w:szCs w:val="20"/>
    </w:rPr>
  </w:style>
  <w:style w:type="character" w:customStyle="1" w:styleId="BulletlistChar">
    <w:name w:val="Bullet list Char"/>
    <w:basedOn w:val="ListParagraphChar"/>
    <w:link w:val="Bulletlist0"/>
    <w:rsid w:val="00480EC6"/>
    <w:rPr>
      <w:rFonts w:asciiTheme="minorHAnsi" w:eastAsia="Times New Roman" w:hAnsiTheme="minorHAnsi" w:cs="Times New Roman"/>
      <w:sz w:val="22"/>
      <w:szCs w:val="20"/>
    </w:rPr>
  </w:style>
  <w:style w:type="table" w:styleId="TableGrid">
    <w:name w:val="Table Grid"/>
    <w:basedOn w:val="TableNormal"/>
    <w:uiPriority w:val="59"/>
    <w:rsid w:val="00480EC6"/>
    <w:pPr>
      <w:spacing w:after="0" w:line="240" w:lineRule="auto"/>
    </w:pPr>
    <w:rPr>
      <w:rFonts w:eastAsia="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1"/>
    <w:rsid w:val="00480EC6"/>
    <w:rPr>
      <w:rFonts w:asciiTheme="minorHAnsi" w:eastAsia="Times New Roman" w:hAnsiTheme="minorHAnsi" w:cs="Times New Roman"/>
      <w:sz w:val="22"/>
      <w:szCs w:val="20"/>
    </w:rPr>
  </w:style>
  <w:style w:type="paragraph" w:customStyle="1" w:styleId="Draftingnote">
    <w:name w:val="Drafting note"/>
    <w:basedOn w:val="BodyText1"/>
    <w:link w:val="DraftingnoteChar"/>
    <w:qFormat/>
    <w:rsid w:val="00480EC6"/>
    <w:pPr>
      <w:shd w:val="clear" w:color="auto" w:fill="F2F2F2" w:themeFill="background1" w:themeFillShade="F2"/>
    </w:pPr>
    <w:rPr>
      <w:color w:val="808080" w:themeColor="background1" w:themeShade="80"/>
    </w:rPr>
  </w:style>
  <w:style w:type="character" w:styleId="Hyperlink">
    <w:name w:val="Hyperlink"/>
    <w:basedOn w:val="DefaultParagraphFont"/>
    <w:uiPriority w:val="99"/>
    <w:rsid w:val="00480EC6"/>
    <w:rPr>
      <w:color w:val="0000FF" w:themeColor="hyperlink"/>
      <w:u w:val="single"/>
    </w:rPr>
  </w:style>
  <w:style w:type="character" w:customStyle="1" w:styleId="DraftingnoteChar">
    <w:name w:val="Drafting note Char"/>
    <w:basedOn w:val="BodytextChar"/>
    <w:link w:val="Draftingnote"/>
    <w:rsid w:val="00480EC6"/>
    <w:rPr>
      <w:rFonts w:asciiTheme="minorHAnsi" w:eastAsia="Times New Roman" w:hAnsiTheme="minorHAnsi" w:cs="Times New Roman"/>
      <w:color w:val="808080" w:themeColor="background1" w:themeShade="80"/>
      <w:sz w:val="22"/>
      <w:szCs w:val="20"/>
      <w:shd w:val="clear" w:color="auto" w:fill="F2F2F2" w:themeFill="background1" w:themeFillShade="F2"/>
    </w:rPr>
  </w:style>
  <w:style w:type="paragraph" w:customStyle="1" w:styleId="TableText">
    <w:name w:val="Table Text"/>
    <w:basedOn w:val="Normal"/>
    <w:rsid w:val="00480EC6"/>
    <w:pPr>
      <w:spacing w:before="40" w:after="40"/>
    </w:pPr>
    <w:rPr>
      <w:sz w:val="20"/>
    </w:rPr>
  </w:style>
  <w:style w:type="paragraph" w:customStyle="1" w:styleId="TableHeading">
    <w:name w:val="Table Heading"/>
    <w:basedOn w:val="Heading3"/>
    <w:rsid w:val="00480EC6"/>
    <w:pPr>
      <w:numPr>
        <w:ilvl w:val="0"/>
        <w:numId w:val="0"/>
      </w:numPr>
      <w:spacing w:before="60" w:after="60"/>
    </w:pPr>
    <w:rPr>
      <w:rFonts w:cs="Times New Roman"/>
      <w:b w:val="0"/>
      <w:szCs w:val="20"/>
    </w:rPr>
  </w:style>
  <w:style w:type="paragraph" w:customStyle="1" w:styleId="Heading1NoNumber">
    <w:name w:val="Heading 1 No Number"/>
    <w:basedOn w:val="Heading1"/>
    <w:link w:val="Heading1NoNumberChar"/>
    <w:qFormat/>
    <w:rsid w:val="00480EC6"/>
    <w:pPr>
      <w:numPr>
        <w:numId w:val="0"/>
      </w:numPr>
    </w:pPr>
  </w:style>
  <w:style w:type="paragraph" w:styleId="TOCHeading">
    <w:name w:val="TOC Heading"/>
    <w:basedOn w:val="Heading1"/>
    <w:next w:val="Normal"/>
    <w:uiPriority w:val="39"/>
    <w:unhideWhenUsed/>
    <w:qFormat/>
    <w:rsid w:val="00480EC6"/>
    <w:pPr>
      <w:keepLines/>
      <w:numPr>
        <w:numId w:val="0"/>
      </w:numPr>
      <w:tabs>
        <w:tab w:val="clear" w:pos="851"/>
      </w:tabs>
      <w:spacing w:before="480" w:after="0" w:line="276" w:lineRule="auto"/>
      <w:outlineLvl w:val="9"/>
    </w:pPr>
    <w:rPr>
      <w:rFonts w:asciiTheme="majorHAnsi" w:eastAsiaTheme="majorEastAsia" w:hAnsiTheme="majorHAnsi" w:cstheme="majorBidi"/>
      <w:color w:val="365F91" w:themeColor="accent1" w:themeShade="BF"/>
      <w:sz w:val="28"/>
      <w:szCs w:val="28"/>
      <w:lang w:val="en-US"/>
    </w:rPr>
  </w:style>
  <w:style w:type="character" w:customStyle="1" w:styleId="Heading1NoNumberChar">
    <w:name w:val="Heading 1 No Number Char"/>
    <w:basedOn w:val="Heading1Char"/>
    <w:link w:val="Heading1NoNumber"/>
    <w:rsid w:val="00480EC6"/>
    <w:rPr>
      <w:rFonts w:asciiTheme="minorHAnsi" w:eastAsia="Batang" w:hAnsiTheme="minorHAnsi" w:cs="Arial"/>
      <w:b/>
      <w:bCs/>
      <w:color w:val="800000"/>
      <w:sz w:val="36"/>
      <w:szCs w:val="32"/>
    </w:rPr>
  </w:style>
  <w:style w:type="paragraph" w:styleId="TOC1">
    <w:name w:val="toc 1"/>
    <w:basedOn w:val="Normal"/>
    <w:next w:val="Normal"/>
    <w:autoRedefine/>
    <w:uiPriority w:val="39"/>
    <w:rsid w:val="00E676F1"/>
    <w:pPr>
      <w:tabs>
        <w:tab w:val="left" w:pos="426"/>
        <w:tab w:val="right" w:leader="dot" w:pos="9344"/>
      </w:tabs>
      <w:spacing w:after="100"/>
    </w:pPr>
    <w:rPr>
      <w:b/>
    </w:rPr>
  </w:style>
  <w:style w:type="paragraph" w:styleId="TOC2">
    <w:name w:val="toc 2"/>
    <w:basedOn w:val="Normal"/>
    <w:next w:val="Normal"/>
    <w:autoRedefine/>
    <w:uiPriority w:val="39"/>
    <w:rsid w:val="00260EC4"/>
    <w:pPr>
      <w:tabs>
        <w:tab w:val="left" w:pos="880"/>
        <w:tab w:val="right" w:leader="dot" w:pos="9344"/>
      </w:tabs>
      <w:spacing w:after="100"/>
      <w:ind w:left="426" w:right="1417"/>
    </w:pPr>
  </w:style>
  <w:style w:type="paragraph" w:styleId="TOC3">
    <w:name w:val="toc 3"/>
    <w:basedOn w:val="Normal"/>
    <w:next w:val="Normal"/>
    <w:autoRedefine/>
    <w:uiPriority w:val="39"/>
    <w:rsid w:val="00480EC6"/>
    <w:pPr>
      <w:spacing w:after="100"/>
      <w:ind w:left="440"/>
    </w:pPr>
  </w:style>
  <w:style w:type="paragraph" w:styleId="TOC4">
    <w:name w:val="toc 4"/>
    <w:basedOn w:val="Normal"/>
    <w:next w:val="Normal"/>
    <w:autoRedefine/>
    <w:uiPriority w:val="39"/>
    <w:unhideWhenUsed/>
    <w:rsid w:val="00480EC6"/>
    <w:pPr>
      <w:spacing w:after="100" w:line="276"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480EC6"/>
    <w:pPr>
      <w:spacing w:after="100" w:line="276"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480EC6"/>
    <w:pPr>
      <w:spacing w:after="100" w:line="276"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480EC6"/>
    <w:pPr>
      <w:spacing w:after="100" w:line="276"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480EC6"/>
    <w:pPr>
      <w:spacing w:after="100" w:line="276"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480EC6"/>
    <w:pPr>
      <w:spacing w:after="100" w:line="276" w:lineRule="auto"/>
      <w:ind w:left="1760"/>
    </w:pPr>
    <w:rPr>
      <w:rFonts w:eastAsiaTheme="minorEastAsia" w:cstheme="minorBidi"/>
      <w:szCs w:val="22"/>
      <w:lang w:eastAsia="en-AU"/>
    </w:rPr>
  </w:style>
  <w:style w:type="paragraph" w:styleId="BalloonText">
    <w:name w:val="Balloon Text"/>
    <w:basedOn w:val="Normal"/>
    <w:link w:val="BalloonTextChar"/>
    <w:uiPriority w:val="99"/>
    <w:rsid w:val="00480EC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80EC6"/>
    <w:rPr>
      <w:rFonts w:ascii="Tahoma" w:eastAsia="Times New Roman" w:hAnsi="Tahoma" w:cs="Tahoma"/>
      <w:sz w:val="16"/>
      <w:szCs w:val="16"/>
    </w:rPr>
  </w:style>
  <w:style w:type="paragraph" w:styleId="Header">
    <w:name w:val="header"/>
    <w:basedOn w:val="Normal"/>
    <w:link w:val="HeaderChar"/>
    <w:uiPriority w:val="99"/>
    <w:rsid w:val="00480EC6"/>
    <w:pPr>
      <w:tabs>
        <w:tab w:val="center" w:pos="4513"/>
        <w:tab w:val="right" w:pos="9026"/>
      </w:tabs>
      <w:spacing w:after="0"/>
    </w:pPr>
  </w:style>
  <w:style w:type="character" w:customStyle="1" w:styleId="HeaderChar">
    <w:name w:val="Header Char"/>
    <w:basedOn w:val="DefaultParagraphFont"/>
    <w:link w:val="Header"/>
    <w:uiPriority w:val="99"/>
    <w:rsid w:val="00480EC6"/>
    <w:rPr>
      <w:rFonts w:asciiTheme="minorHAnsi" w:eastAsia="Times New Roman" w:hAnsiTheme="minorHAnsi" w:cs="Times New Roman"/>
      <w:sz w:val="22"/>
      <w:szCs w:val="20"/>
    </w:rPr>
  </w:style>
  <w:style w:type="paragraph" w:styleId="Footer">
    <w:name w:val="footer"/>
    <w:basedOn w:val="Normal"/>
    <w:link w:val="FooterChar"/>
    <w:uiPriority w:val="99"/>
    <w:rsid w:val="00480EC6"/>
    <w:pPr>
      <w:tabs>
        <w:tab w:val="center" w:pos="4513"/>
        <w:tab w:val="right" w:pos="9026"/>
      </w:tabs>
      <w:spacing w:after="0"/>
    </w:pPr>
  </w:style>
  <w:style w:type="character" w:customStyle="1" w:styleId="FooterChar">
    <w:name w:val="Footer Char"/>
    <w:basedOn w:val="DefaultParagraphFont"/>
    <w:link w:val="Footer"/>
    <w:uiPriority w:val="99"/>
    <w:rsid w:val="00480EC6"/>
    <w:rPr>
      <w:rFonts w:asciiTheme="minorHAnsi" w:eastAsia="Times New Roman" w:hAnsiTheme="minorHAnsi" w:cs="Times New Roman"/>
      <w:sz w:val="22"/>
      <w:szCs w:val="20"/>
    </w:rPr>
  </w:style>
  <w:style w:type="character" w:styleId="FollowedHyperlink">
    <w:name w:val="FollowedHyperlink"/>
    <w:basedOn w:val="DefaultParagraphFont"/>
    <w:rsid w:val="00480EC6"/>
    <w:rPr>
      <w:color w:val="800080" w:themeColor="followedHyperlink"/>
      <w:u w:val="single"/>
    </w:rPr>
  </w:style>
  <w:style w:type="paragraph" w:styleId="FootnoteText">
    <w:name w:val="footnote text"/>
    <w:basedOn w:val="Normal"/>
    <w:link w:val="FootnoteTextChar"/>
    <w:rsid w:val="00480EC6"/>
    <w:pPr>
      <w:spacing w:after="0"/>
    </w:pPr>
    <w:rPr>
      <w:sz w:val="20"/>
    </w:rPr>
  </w:style>
  <w:style w:type="character" w:customStyle="1" w:styleId="FootnoteTextChar">
    <w:name w:val="Footnote Text Char"/>
    <w:basedOn w:val="DefaultParagraphFont"/>
    <w:link w:val="FootnoteText"/>
    <w:rsid w:val="00480EC6"/>
    <w:rPr>
      <w:rFonts w:asciiTheme="minorHAnsi" w:eastAsia="Times New Roman" w:hAnsiTheme="minorHAnsi" w:cs="Times New Roman"/>
      <w:sz w:val="20"/>
      <w:szCs w:val="20"/>
    </w:rPr>
  </w:style>
  <w:style w:type="character" w:styleId="FootnoteReference">
    <w:name w:val="footnote reference"/>
    <w:basedOn w:val="DefaultParagraphFont"/>
    <w:rsid w:val="00480EC6"/>
    <w:rPr>
      <w:vertAlign w:val="superscript"/>
    </w:rPr>
  </w:style>
  <w:style w:type="paragraph" w:customStyle="1" w:styleId="Heading2NoNumber">
    <w:name w:val="Heading 2 No Number"/>
    <w:basedOn w:val="Heading2"/>
    <w:link w:val="Heading2NoNumberChar"/>
    <w:qFormat/>
    <w:rsid w:val="00480EC6"/>
    <w:pPr>
      <w:numPr>
        <w:ilvl w:val="0"/>
        <w:numId w:val="0"/>
      </w:numPr>
    </w:pPr>
  </w:style>
  <w:style w:type="character" w:customStyle="1" w:styleId="Heading2NoNumberChar">
    <w:name w:val="Heading 2 No Number Char"/>
    <w:basedOn w:val="Heading2Char"/>
    <w:link w:val="Heading2NoNumber"/>
    <w:rsid w:val="00480EC6"/>
    <w:rPr>
      <w:rFonts w:asciiTheme="minorHAnsi" w:eastAsia="Times New Roman" w:hAnsiTheme="minorHAnsi" w:cs="Arial"/>
      <w:b/>
      <w:bCs/>
      <w:iCs/>
      <w:color w:val="990000"/>
      <w:sz w:val="28"/>
      <w:szCs w:val="28"/>
    </w:rPr>
  </w:style>
  <w:style w:type="paragraph" w:customStyle="1" w:styleId="Heading3NoNumber">
    <w:name w:val="Heading 3 No Number"/>
    <w:basedOn w:val="Heading3"/>
    <w:link w:val="Heading3NoNumberChar"/>
    <w:qFormat/>
    <w:rsid w:val="00480EC6"/>
    <w:pPr>
      <w:numPr>
        <w:ilvl w:val="0"/>
        <w:numId w:val="0"/>
      </w:numPr>
    </w:pPr>
  </w:style>
  <w:style w:type="character" w:customStyle="1" w:styleId="Heading3NoNumberChar">
    <w:name w:val="Heading 3 No Number Char"/>
    <w:basedOn w:val="Heading3Char"/>
    <w:link w:val="Heading3NoNumber"/>
    <w:rsid w:val="00480EC6"/>
    <w:rPr>
      <w:rFonts w:ascii="Calibri" w:eastAsia="Times New Roman" w:hAnsi="Calibri" w:cs="Arial"/>
      <w:b/>
      <w:bCs/>
      <w:color w:val="993300"/>
      <w:sz w:val="22"/>
      <w:szCs w:val="26"/>
    </w:rPr>
  </w:style>
  <w:style w:type="paragraph" w:styleId="BodyText">
    <w:name w:val="Body Text"/>
    <w:basedOn w:val="Normal"/>
    <w:link w:val="BodyTextChar0"/>
    <w:rsid w:val="00480EC6"/>
    <w:pPr>
      <w:spacing w:after="120"/>
    </w:pPr>
    <w:rPr>
      <w:rFonts w:ascii="Times New Roman" w:hAnsi="Times New Roman"/>
      <w:sz w:val="24"/>
      <w:szCs w:val="24"/>
      <w:lang w:eastAsia="en-AU"/>
    </w:rPr>
  </w:style>
  <w:style w:type="character" w:customStyle="1" w:styleId="BodyTextChar0">
    <w:name w:val="Body Text Char"/>
    <w:basedOn w:val="DefaultParagraphFont"/>
    <w:link w:val="BodyText"/>
    <w:rsid w:val="00480EC6"/>
    <w:rPr>
      <w:rFonts w:eastAsia="Times New Roman" w:cs="Times New Roman"/>
      <w:szCs w:val="24"/>
      <w:lang w:eastAsia="en-AU"/>
    </w:rPr>
  </w:style>
  <w:style w:type="paragraph" w:styleId="NoSpacing">
    <w:name w:val="No Spacing"/>
    <w:link w:val="NoSpacingChar"/>
    <w:uiPriority w:val="1"/>
    <w:qFormat/>
    <w:rsid w:val="00480EC6"/>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480EC6"/>
    <w:rPr>
      <w:rFonts w:asciiTheme="minorHAnsi" w:eastAsiaTheme="minorEastAsia" w:hAnsiTheme="minorHAnsi"/>
      <w:sz w:val="22"/>
      <w:lang w:val="en-US"/>
    </w:rPr>
  </w:style>
  <w:style w:type="character" w:styleId="CommentReference">
    <w:name w:val="annotation reference"/>
    <w:basedOn w:val="DefaultParagraphFont"/>
    <w:rsid w:val="00480EC6"/>
    <w:rPr>
      <w:sz w:val="16"/>
      <w:szCs w:val="16"/>
    </w:rPr>
  </w:style>
  <w:style w:type="paragraph" w:styleId="CommentText">
    <w:name w:val="annotation text"/>
    <w:basedOn w:val="Normal"/>
    <w:link w:val="CommentTextChar"/>
    <w:rsid w:val="00480EC6"/>
    <w:rPr>
      <w:sz w:val="20"/>
    </w:rPr>
  </w:style>
  <w:style w:type="character" w:customStyle="1" w:styleId="CommentTextChar">
    <w:name w:val="Comment Text Char"/>
    <w:basedOn w:val="DefaultParagraphFont"/>
    <w:link w:val="CommentText"/>
    <w:rsid w:val="00480EC6"/>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rsid w:val="00480EC6"/>
    <w:rPr>
      <w:b/>
      <w:bCs/>
    </w:rPr>
  </w:style>
  <w:style w:type="character" w:customStyle="1" w:styleId="CommentSubjectChar">
    <w:name w:val="Comment Subject Char"/>
    <w:basedOn w:val="CommentTextChar"/>
    <w:link w:val="CommentSubject"/>
    <w:rsid w:val="00480EC6"/>
    <w:rPr>
      <w:rFonts w:asciiTheme="minorHAnsi" w:eastAsia="Times New Roman" w:hAnsiTheme="minorHAnsi" w:cs="Times New Roman"/>
      <w:b/>
      <w:bCs/>
      <w:sz w:val="20"/>
      <w:szCs w:val="20"/>
    </w:rPr>
  </w:style>
  <w:style w:type="paragraph" w:customStyle="1" w:styleId="BodyText11">
    <w:name w:val="Body Text11"/>
    <w:basedOn w:val="Normal"/>
    <w:qFormat/>
    <w:rsid w:val="00480EC6"/>
    <w:pPr>
      <w:ind w:left="851"/>
    </w:pPr>
  </w:style>
  <w:style w:type="paragraph" w:styleId="NormalWeb">
    <w:name w:val="Normal (Web)"/>
    <w:basedOn w:val="Normal"/>
    <w:uiPriority w:val="99"/>
    <w:unhideWhenUsed/>
    <w:rsid w:val="00480EC6"/>
    <w:pPr>
      <w:spacing w:after="0"/>
    </w:pPr>
    <w:rPr>
      <w:rFonts w:ascii="Times New Roman" w:hAnsi="Times New Roman"/>
      <w:sz w:val="24"/>
      <w:szCs w:val="24"/>
      <w:lang w:eastAsia="en-AU"/>
    </w:rPr>
  </w:style>
  <w:style w:type="paragraph" w:customStyle="1" w:styleId="PPMBody">
    <w:name w:val="PPM Body"/>
    <w:basedOn w:val="Normal"/>
    <w:link w:val="PPMBodyChar"/>
    <w:qFormat/>
    <w:rsid w:val="00480EC6"/>
    <w:pPr>
      <w:ind w:left="851"/>
    </w:pPr>
  </w:style>
  <w:style w:type="paragraph" w:customStyle="1" w:styleId="Note">
    <w:name w:val="Note"/>
    <w:basedOn w:val="Normal"/>
    <w:rsid w:val="00480EC6"/>
    <w:pPr>
      <w:spacing w:before="120" w:after="0" w:line="221" w:lineRule="auto"/>
      <w:ind w:left="964"/>
      <w:jc w:val="both"/>
    </w:pPr>
    <w:rPr>
      <w:rFonts w:ascii="Times New Roman" w:hAnsi="Times New Roman"/>
      <w:sz w:val="20"/>
      <w:szCs w:val="24"/>
      <w:lang w:eastAsia="en-AU"/>
    </w:rPr>
  </w:style>
  <w:style w:type="paragraph" w:customStyle="1" w:styleId="R1">
    <w:name w:val="R1"/>
    <w:aliases w:val="1. or 1.(1)"/>
    <w:basedOn w:val="Normal"/>
    <w:next w:val="Normal"/>
    <w:rsid w:val="00480EC6"/>
    <w:pPr>
      <w:keepLines/>
      <w:tabs>
        <w:tab w:val="right" w:pos="794"/>
      </w:tabs>
      <w:spacing w:before="120" w:after="0" w:line="260" w:lineRule="exact"/>
      <w:ind w:left="964" w:hanging="964"/>
      <w:jc w:val="both"/>
    </w:pPr>
    <w:rPr>
      <w:rFonts w:ascii="Times New Roman" w:hAnsi="Times New Roman"/>
      <w:sz w:val="24"/>
      <w:szCs w:val="24"/>
    </w:rPr>
  </w:style>
  <w:style w:type="paragraph" w:customStyle="1" w:styleId="P1">
    <w:name w:val="P1"/>
    <w:aliases w:val="(a)"/>
    <w:basedOn w:val="Normal"/>
    <w:rsid w:val="00480EC6"/>
    <w:pPr>
      <w:tabs>
        <w:tab w:val="right" w:pos="1191"/>
      </w:tabs>
      <w:spacing w:before="60" w:after="0" w:line="260" w:lineRule="exact"/>
      <w:ind w:left="1418" w:hanging="1418"/>
      <w:jc w:val="both"/>
    </w:pPr>
    <w:rPr>
      <w:rFonts w:ascii="Times New Roman" w:hAnsi="Times New Roman"/>
      <w:sz w:val="24"/>
      <w:szCs w:val="24"/>
    </w:rPr>
  </w:style>
  <w:style w:type="paragraph" w:customStyle="1" w:styleId="ZP1">
    <w:name w:val="ZP1"/>
    <w:basedOn w:val="P1"/>
    <w:rsid w:val="00480EC6"/>
    <w:pPr>
      <w:keepNext/>
    </w:pPr>
  </w:style>
  <w:style w:type="paragraph" w:customStyle="1" w:styleId="ZR1">
    <w:name w:val="ZR1"/>
    <w:basedOn w:val="R1"/>
    <w:rsid w:val="00480EC6"/>
    <w:pPr>
      <w:keepNext/>
    </w:pPr>
  </w:style>
  <w:style w:type="paragraph" w:customStyle="1" w:styleId="ZRcN">
    <w:name w:val="ZRcN"/>
    <w:basedOn w:val="Normal"/>
    <w:rsid w:val="00480EC6"/>
    <w:pPr>
      <w:keepNext/>
      <w:spacing w:before="60" w:after="0" w:line="260" w:lineRule="exact"/>
      <w:ind w:left="964"/>
      <w:jc w:val="both"/>
    </w:pPr>
    <w:rPr>
      <w:rFonts w:ascii="Times New Roman" w:hAnsi="Times New Roman"/>
      <w:sz w:val="24"/>
      <w:szCs w:val="24"/>
    </w:rPr>
  </w:style>
  <w:style w:type="character" w:customStyle="1" w:styleId="CharSectno">
    <w:name w:val="CharSectno"/>
    <w:basedOn w:val="DefaultParagraphFont"/>
    <w:rsid w:val="00480EC6"/>
  </w:style>
  <w:style w:type="paragraph" w:customStyle="1" w:styleId="HR">
    <w:name w:val="HR"/>
    <w:aliases w:val="Regulation Heading"/>
    <w:basedOn w:val="Normal"/>
    <w:next w:val="Normal"/>
    <w:rsid w:val="00480EC6"/>
    <w:pPr>
      <w:keepNext/>
      <w:spacing w:before="360" w:after="0"/>
      <w:ind w:left="964" w:hanging="964"/>
    </w:pPr>
    <w:rPr>
      <w:rFonts w:ascii="Arial" w:hAnsi="Arial"/>
      <w:b/>
      <w:sz w:val="24"/>
      <w:szCs w:val="24"/>
    </w:rPr>
  </w:style>
  <w:style w:type="paragraph" w:customStyle="1" w:styleId="Rc">
    <w:name w:val="Rc"/>
    <w:aliases w:val="Rn continued"/>
    <w:basedOn w:val="Normal"/>
    <w:next w:val="Normal"/>
    <w:rsid w:val="00480EC6"/>
    <w:pPr>
      <w:spacing w:before="60" w:after="0" w:line="260" w:lineRule="exact"/>
      <w:ind w:left="964"/>
      <w:jc w:val="both"/>
    </w:pPr>
    <w:rPr>
      <w:rFonts w:ascii="Times New Roman" w:hAnsi="Times New Roman"/>
      <w:sz w:val="24"/>
      <w:szCs w:val="24"/>
    </w:rPr>
  </w:style>
  <w:style w:type="paragraph" w:customStyle="1" w:styleId="ZR2">
    <w:name w:val="ZR2"/>
    <w:basedOn w:val="Normal"/>
    <w:rsid w:val="00480EC6"/>
    <w:pPr>
      <w:keepNext/>
      <w:keepLines/>
      <w:tabs>
        <w:tab w:val="right" w:pos="794"/>
      </w:tabs>
      <w:spacing w:before="180" w:after="0" w:line="260" w:lineRule="exact"/>
      <w:ind w:left="964" w:hanging="964"/>
      <w:jc w:val="both"/>
    </w:pPr>
    <w:rPr>
      <w:rFonts w:ascii="Times New Roman" w:hAnsi="Times New Roman"/>
      <w:sz w:val="24"/>
      <w:szCs w:val="24"/>
    </w:rPr>
  </w:style>
  <w:style w:type="numbering" w:customStyle="1" w:styleId="PPMList">
    <w:name w:val="PPM List"/>
    <w:uiPriority w:val="99"/>
    <w:rsid w:val="00480EC6"/>
    <w:pPr>
      <w:numPr>
        <w:numId w:val="4"/>
      </w:numPr>
    </w:pPr>
  </w:style>
  <w:style w:type="paragraph" w:customStyle="1" w:styleId="PPMNumbered">
    <w:name w:val="PPM Numbered"/>
    <w:basedOn w:val="PPMBody"/>
    <w:link w:val="PPMNumberedChar"/>
    <w:qFormat/>
    <w:rsid w:val="00480EC6"/>
    <w:pPr>
      <w:numPr>
        <w:numId w:val="5"/>
      </w:numPr>
    </w:pPr>
  </w:style>
  <w:style w:type="character" w:customStyle="1" w:styleId="PPMBodyChar">
    <w:name w:val="PPM Body Char"/>
    <w:basedOn w:val="DefaultParagraphFont"/>
    <w:link w:val="PPMBody"/>
    <w:rsid w:val="00480EC6"/>
    <w:rPr>
      <w:rFonts w:asciiTheme="minorHAnsi" w:eastAsia="Times New Roman" w:hAnsiTheme="minorHAnsi" w:cs="Times New Roman"/>
      <w:sz w:val="22"/>
      <w:szCs w:val="20"/>
    </w:rPr>
  </w:style>
  <w:style w:type="character" w:customStyle="1" w:styleId="PPMNumberedChar">
    <w:name w:val="PPM Numbered Char"/>
    <w:basedOn w:val="PPMBodyChar"/>
    <w:link w:val="PPMNumbered"/>
    <w:rsid w:val="00480EC6"/>
    <w:rPr>
      <w:rFonts w:asciiTheme="minorHAnsi" w:eastAsia="Times New Roman" w:hAnsiTheme="minorHAnsi" w:cs="Times New Roman"/>
      <w:sz w:val="22"/>
      <w:szCs w:val="20"/>
    </w:rPr>
  </w:style>
  <w:style w:type="paragraph" w:customStyle="1" w:styleId="PPMNumberlevel1">
    <w:name w:val="PPM Number level 1"/>
    <w:basedOn w:val="PPMBody"/>
    <w:link w:val="PPMNumberlevel1Char"/>
    <w:qFormat/>
    <w:rsid w:val="00480EC6"/>
    <w:pPr>
      <w:numPr>
        <w:numId w:val="8"/>
      </w:numPr>
      <w:tabs>
        <w:tab w:val="left" w:pos="1276"/>
      </w:tabs>
    </w:pPr>
  </w:style>
  <w:style w:type="paragraph" w:customStyle="1" w:styleId="PPMBullet1">
    <w:name w:val="PPM Bullet 1"/>
    <w:basedOn w:val="PPMNumberlevel1"/>
    <w:link w:val="PPMBullet1Char"/>
    <w:qFormat/>
    <w:rsid w:val="00480EC6"/>
    <w:pPr>
      <w:numPr>
        <w:numId w:val="0"/>
      </w:numPr>
      <w:tabs>
        <w:tab w:val="clear" w:pos="1276"/>
        <w:tab w:val="left" w:pos="1701"/>
      </w:tabs>
    </w:pPr>
  </w:style>
  <w:style w:type="character" w:customStyle="1" w:styleId="PPMNumberlevel1Char">
    <w:name w:val="PPM Number level 1 Char"/>
    <w:basedOn w:val="PPMBodyChar"/>
    <w:link w:val="PPMNumberlevel1"/>
    <w:rsid w:val="00480EC6"/>
    <w:rPr>
      <w:rFonts w:asciiTheme="minorHAnsi" w:eastAsia="Times New Roman" w:hAnsiTheme="minorHAnsi" w:cs="Times New Roman"/>
      <w:sz w:val="22"/>
      <w:szCs w:val="20"/>
    </w:rPr>
  </w:style>
  <w:style w:type="paragraph" w:customStyle="1" w:styleId="PPMBullet2">
    <w:name w:val="PPM Bullet 2"/>
    <w:basedOn w:val="PPMBullet1"/>
    <w:link w:val="PPMBullet2Char"/>
    <w:qFormat/>
    <w:rsid w:val="00480EC6"/>
    <w:pPr>
      <w:numPr>
        <w:numId w:val="6"/>
      </w:numPr>
      <w:ind w:left="2126" w:hanging="425"/>
    </w:pPr>
  </w:style>
  <w:style w:type="character" w:customStyle="1" w:styleId="PPMBullet1Char">
    <w:name w:val="PPM Bullet 1 Char"/>
    <w:basedOn w:val="PPMNumberlevel1Char"/>
    <w:link w:val="PPMBullet1"/>
    <w:rsid w:val="00480EC6"/>
    <w:rPr>
      <w:rFonts w:asciiTheme="minorHAnsi" w:eastAsia="Times New Roman" w:hAnsiTheme="minorHAnsi" w:cs="Times New Roman"/>
      <w:sz w:val="22"/>
      <w:szCs w:val="20"/>
    </w:rPr>
  </w:style>
  <w:style w:type="character" w:customStyle="1" w:styleId="PPMBullet2Char">
    <w:name w:val="PPM Bullet 2 Char"/>
    <w:basedOn w:val="PPMBullet1Char"/>
    <w:link w:val="PPMBullet2"/>
    <w:rsid w:val="00480EC6"/>
    <w:rPr>
      <w:rFonts w:asciiTheme="minorHAnsi" w:eastAsia="Times New Roman" w:hAnsiTheme="minorHAnsi" w:cs="Times New Roman"/>
      <w:sz w:val="22"/>
      <w:szCs w:val="20"/>
    </w:rPr>
  </w:style>
  <w:style w:type="paragraph" w:styleId="ListBullet">
    <w:name w:val="List Bullet"/>
    <w:basedOn w:val="Normal"/>
    <w:rsid w:val="00480EC6"/>
    <w:pPr>
      <w:numPr>
        <w:numId w:val="7"/>
      </w:numPr>
      <w:contextualSpacing/>
    </w:pPr>
  </w:style>
  <w:style w:type="paragraph" w:customStyle="1" w:styleId="Heading1-NoNumber">
    <w:name w:val="Heading 1 - No Number"/>
    <w:basedOn w:val="Heading1"/>
    <w:link w:val="Heading1-NoNumberChar"/>
    <w:qFormat/>
    <w:rsid w:val="00480EC6"/>
    <w:pPr>
      <w:numPr>
        <w:numId w:val="0"/>
      </w:numPr>
    </w:pPr>
  </w:style>
  <w:style w:type="paragraph" w:customStyle="1" w:styleId="Heading2-NoNumber">
    <w:name w:val="Heading 2 - No Number"/>
    <w:basedOn w:val="Heading2"/>
    <w:link w:val="Heading2-NoNumberChar"/>
    <w:qFormat/>
    <w:rsid w:val="00480EC6"/>
    <w:pPr>
      <w:numPr>
        <w:ilvl w:val="0"/>
        <w:numId w:val="0"/>
      </w:numPr>
    </w:pPr>
  </w:style>
  <w:style w:type="character" w:customStyle="1" w:styleId="Heading1-NoNumberChar">
    <w:name w:val="Heading 1 - No Number Char"/>
    <w:basedOn w:val="Heading1Char"/>
    <w:link w:val="Heading1-NoNumber"/>
    <w:rsid w:val="00480EC6"/>
    <w:rPr>
      <w:rFonts w:asciiTheme="minorHAnsi" w:eastAsia="Batang" w:hAnsiTheme="minorHAnsi" w:cs="Arial"/>
      <w:b/>
      <w:bCs/>
      <w:color w:val="800000"/>
      <w:sz w:val="36"/>
      <w:szCs w:val="32"/>
    </w:rPr>
  </w:style>
  <w:style w:type="character" w:customStyle="1" w:styleId="Heading2-NoNumberChar">
    <w:name w:val="Heading 2 - No Number Char"/>
    <w:basedOn w:val="Heading2Char"/>
    <w:link w:val="Heading2-NoNumber"/>
    <w:rsid w:val="00480EC6"/>
    <w:rPr>
      <w:rFonts w:asciiTheme="minorHAnsi" w:eastAsia="Times New Roman" w:hAnsiTheme="minorHAnsi" w:cs="Arial"/>
      <w:b/>
      <w:bCs/>
      <w:iCs/>
      <w:color w:val="990000"/>
      <w:sz w:val="28"/>
      <w:szCs w:val="28"/>
    </w:rPr>
  </w:style>
  <w:style w:type="paragraph" w:styleId="EndnoteText">
    <w:name w:val="endnote text"/>
    <w:basedOn w:val="Normal"/>
    <w:link w:val="EndnoteTextChar"/>
    <w:rsid w:val="00480EC6"/>
    <w:pPr>
      <w:spacing w:after="0"/>
    </w:pPr>
    <w:rPr>
      <w:sz w:val="20"/>
    </w:rPr>
  </w:style>
  <w:style w:type="character" w:customStyle="1" w:styleId="EndnoteTextChar">
    <w:name w:val="Endnote Text Char"/>
    <w:basedOn w:val="DefaultParagraphFont"/>
    <w:link w:val="EndnoteText"/>
    <w:rsid w:val="00480EC6"/>
    <w:rPr>
      <w:rFonts w:asciiTheme="minorHAnsi" w:eastAsia="Times New Roman" w:hAnsiTheme="minorHAnsi" w:cs="Times New Roman"/>
      <w:sz w:val="20"/>
      <w:szCs w:val="20"/>
    </w:rPr>
  </w:style>
  <w:style w:type="character" w:styleId="EndnoteReference">
    <w:name w:val="endnote reference"/>
    <w:basedOn w:val="DefaultParagraphFont"/>
    <w:rsid w:val="00480EC6"/>
    <w:rPr>
      <w:vertAlign w:val="superscript"/>
    </w:rPr>
  </w:style>
  <w:style w:type="paragraph" w:styleId="Caption">
    <w:name w:val="caption"/>
    <w:basedOn w:val="Normal"/>
    <w:next w:val="Normal"/>
    <w:unhideWhenUsed/>
    <w:qFormat/>
    <w:rsid w:val="00480EC6"/>
    <w:pPr>
      <w:spacing w:after="200"/>
    </w:pPr>
    <w:rPr>
      <w:b/>
      <w:bCs/>
      <w:color w:val="4F81BD" w:themeColor="accent1"/>
      <w:sz w:val="18"/>
      <w:szCs w:val="18"/>
    </w:rPr>
  </w:style>
  <w:style w:type="paragraph" w:customStyle="1" w:styleId="PPMNumberlevel2alphabetlist">
    <w:name w:val="PPM Number level 2 alphabet list"/>
    <w:basedOn w:val="PPMNumberlevel1"/>
    <w:next w:val="PPMBody"/>
    <w:link w:val="PPMNumberlevel2alphabetlistChar"/>
    <w:qFormat/>
    <w:rsid w:val="00480EC6"/>
    <w:pPr>
      <w:numPr>
        <w:numId w:val="9"/>
      </w:numPr>
    </w:pPr>
  </w:style>
  <w:style w:type="character" w:customStyle="1" w:styleId="PPMNumberlevel2alphabetlistChar">
    <w:name w:val="PPM Number level 2 alphabet list Char"/>
    <w:basedOn w:val="BulletlistChar"/>
    <w:link w:val="PPMNumberlevel2alphabetlist"/>
    <w:rsid w:val="00480EC6"/>
    <w:rPr>
      <w:rFonts w:asciiTheme="minorHAnsi" w:eastAsia="Times New Roman" w:hAnsiTheme="minorHAnsi" w:cs="Times New Roman"/>
      <w:sz w:val="22"/>
      <w:szCs w:val="20"/>
    </w:rPr>
  </w:style>
  <w:style w:type="table" w:styleId="LightList-Accent1">
    <w:name w:val="Light List Accent 1"/>
    <w:basedOn w:val="TableNormal"/>
    <w:uiPriority w:val="61"/>
    <w:rsid w:val="00480EC6"/>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TSTableColumnHeadingwhiteongrey">
    <w:name w:val="ITS_Table Column Heading (white on grey)"/>
    <w:rsid w:val="00480EC6"/>
    <w:pPr>
      <w:spacing w:before="60" w:after="60" w:line="264" w:lineRule="auto"/>
    </w:pPr>
    <w:rPr>
      <w:rFonts w:ascii="Arial" w:eastAsia="Times New Roman" w:hAnsi="Arial" w:cs="Tahoma"/>
      <w:b/>
      <w:sz w:val="18"/>
      <w:szCs w:val="24"/>
      <w:lang w:eastAsia="en-AU"/>
    </w:rPr>
  </w:style>
  <w:style w:type="paragraph" w:customStyle="1" w:styleId="ITSTableHeading">
    <w:name w:val="ITS_Table Heading"/>
    <w:rsid w:val="00480EC6"/>
    <w:pPr>
      <w:spacing w:before="60" w:after="60" w:line="264" w:lineRule="auto"/>
    </w:pPr>
    <w:rPr>
      <w:rFonts w:ascii="Arial" w:eastAsia="Times New Roman" w:hAnsi="Arial" w:cs="Times New Roman"/>
      <w:b/>
      <w:sz w:val="18"/>
      <w:szCs w:val="24"/>
      <w:lang w:eastAsia="en-AU"/>
    </w:rPr>
  </w:style>
  <w:style w:type="paragraph" w:customStyle="1" w:styleId="ITSHeading1">
    <w:name w:val="ITS_Heading 1"/>
    <w:next w:val="Normal"/>
    <w:rsid w:val="00480EC6"/>
    <w:pPr>
      <w:keepNext/>
      <w:pageBreakBefore/>
      <w:spacing w:before="240" w:after="120" w:line="264" w:lineRule="auto"/>
    </w:pPr>
    <w:rPr>
      <w:rFonts w:ascii="Arial" w:eastAsia="Times New Roman" w:hAnsi="Arial" w:cs="Tahoma"/>
      <w:b/>
      <w:sz w:val="32"/>
      <w:szCs w:val="16"/>
      <w:lang w:eastAsia="en-AU"/>
    </w:rPr>
  </w:style>
  <w:style w:type="paragraph" w:customStyle="1" w:styleId="ITSListBullet">
    <w:name w:val="ITS_List Bullet"/>
    <w:rsid w:val="00480EC6"/>
    <w:pPr>
      <w:numPr>
        <w:numId w:val="10"/>
      </w:numPr>
      <w:spacing w:before="120" w:after="120" w:line="264" w:lineRule="auto"/>
    </w:pPr>
    <w:rPr>
      <w:rFonts w:ascii="Arial" w:eastAsia="Times New Roman" w:hAnsi="Arial" w:cs="Arial"/>
      <w:bCs/>
      <w:sz w:val="20"/>
      <w:szCs w:val="26"/>
      <w:lang w:eastAsia="en-AU"/>
    </w:rPr>
  </w:style>
  <w:style w:type="paragraph" w:customStyle="1" w:styleId="ITSListBullet2">
    <w:name w:val="ITS_List Bullet 2"/>
    <w:rsid w:val="00480EC6"/>
    <w:pPr>
      <w:numPr>
        <w:ilvl w:val="1"/>
        <w:numId w:val="10"/>
      </w:numPr>
      <w:spacing w:before="120" w:after="120" w:line="264" w:lineRule="auto"/>
    </w:pPr>
    <w:rPr>
      <w:rFonts w:ascii="Arial" w:eastAsia="Times New Roman" w:hAnsi="Arial" w:cs="Times New Roman"/>
      <w:sz w:val="20"/>
      <w:szCs w:val="24"/>
      <w:lang w:eastAsia="en-AU"/>
    </w:rPr>
  </w:style>
  <w:style w:type="paragraph" w:customStyle="1" w:styleId="ITSListBullet3">
    <w:name w:val="ITS_List Bullet 3"/>
    <w:rsid w:val="00480EC6"/>
    <w:pPr>
      <w:numPr>
        <w:ilvl w:val="2"/>
        <w:numId w:val="10"/>
      </w:numPr>
      <w:spacing w:before="120" w:after="120" w:line="264" w:lineRule="auto"/>
    </w:pPr>
    <w:rPr>
      <w:rFonts w:ascii="Arial" w:eastAsia="Times New Roman" w:hAnsi="Arial" w:cs="Times New Roman"/>
      <w:sz w:val="20"/>
      <w:szCs w:val="24"/>
      <w:lang w:eastAsia="en-AU"/>
    </w:rPr>
  </w:style>
  <w:style w:type="paragraph" w:customStyle="1" w:styleId="ITSTableText">
    <w:name w:val="ITS_Table Text"/>
    <w:rsid w:val="00480EC6"/>
    <w:pPr>
      <w:spacing w:before="60" w:after="60" w:line="264" w:lineRule="auto"/>
    </w:pPr>
    <w:rPr>
      <w:rFonts w:ascii="Arial" w:eastAsia="Times New Roman" w:hAnsi="Arial" w:cs="Times New Roman"/>
      <w:sz w:val="18"/>
      <w:szCs w:val="24"/>
      <w:lang w:eastAsia="en-AU"/>
    </w:rPr>
  </w:style>
  <w:style w:type="paragraph" w:customStyle="1" w:styleId="Apis2010Tablecolumnheading">
    <w:name w:val="Apis2010 Table column heading"/>
    <w:basedOn w:val="Normal"/>
    <w:rsid w:val="00480EC6"/>
    <w:pPr>
      <w:spacing w:before="80" w:after="80"/>
    </w:pPr>
    <w:rPr>
      <w:rFonts w:ascii="Arial Bold" w:eastAsia="MS Mincho" w:hAnsi="Arial Bold"/>
      <w:b/>
      <w:bCs/>
      <w:color w:val="463031"/>
      <w:sz w:val="20"/>
      <w:szCs w:val="24"/>
      <w:lang w:val="en-US" w:eastAsia="ja-JP"/>
    </w:rPr>
  </w:style>
  <w:style w:type="numbering" w:customStyle="1" w:styleId="Style1">
    <w:name w:val="Style1"/>
    <w:uiPriority w:val="99"/>
    <w:rsid w:val="00480EC6"/>
    <w:pPr>
      <w:numPr>
        <w:numId w:val="11"/>
      </w:numPr>
    </w:pPr>
  </w:style>
  <w:style w:type="paragraph" w:customStyle="1" w:styleId="AltHeading1">
    <w:name w:val="Alt Heading 1"/>
    <w:basedOn w:val="Heading1"/>
    <w:next w:val="Normal"/>
    <w:link w:val="AltHeading1Char"/>
    <w:qFormat/>
    <w:rsid w:val="00480EC6"/>
    <w:pPr>
      <w:pageBreakBefore w:val="0"/>
      <w:numPr>
        <w:numId w:val="0"/>
      </w:numPr>
      <w:tabs>
        <w:tab w:val="clear" w:pos="851"/>
        <w:tab w:val="left" w:pos="800"/>
      </w:tabs>
      <w:spacing w:before="240" w:after="120"/>
    </w:pPr>
    <w:rPr>
      <w:rFonts w:ascii="Arial Bold" w:hAnsi="Arial Bold"/>
      <w:color w:val="4329B1"/>
      <w:kern w:val="32"/>
      <w:lang w:val="en-GB"/>
    </w:rPr>
  </w:style>
  <w:style w:type="character" w:customStyle="1" w:styleId="AltHeading1Char">
    <w:name w:val="Alt Heading 1 Char"/>
    <w:basedOn w:val="Heading1Char"/>
    <w:link w:val="AltHeading1"/>
    <w:rsid w:val="00480EC6"/>
    <w:rPr>
      <w:rFonts w:ascii="Arial Bold" w:eastAsia="Batang" w:hAnsi="Arial Bold" w:cs="Arial"/>
      <w:b/>
      <w:bCs/>
      <w:color w:val="4329B1"/>
      <w:kern w:val="32"/>
      <w:sz w:val="36"/>
      <w:szCs w:val="32"/>
      <w:lang w:val="en-GB"/>
    </w:rPr>
  </w:style>
  <w:style w:type="table" w:styleId="MediumGrid1-Accent1">
    <w:name w:val="Medium Grid 1 Accent 1"/>
    <w:basedOn w:val="TableNormal"/>
    <w:uiPriority w:val="67"/>
    <w:rsid w:val="00480EC6"/>
    <w:pPr>
      <w:spacing w:after="0" w:line="240" w:lineRule="auto"/>
    </w:pPr>
    <w:rPr>
      <w:rFonts w:eastAsia="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Indent">
    <w:name w:val="Normal Indent"/>
    <w:basedOn w:val="Normal"/>
    <w:rsid w:val="00480EC6"/>
    <w:pPr>
      <w:keepLines/>
      <w:spacing w:before="220" w:after="220"/>
      <w:ind w:left="567"/>
    </w:pPr>
    <w:rPr>
      <w:rFonts w:ascii="Arial" w:hAnsi="Arial"/>
    </w:rPr>
  </w:style>
  <w:style w:type="paragraph" w:customStyle="1" w:styleId="Apis2010NumberedList">
    <w:name w:val="Apis2010 Numbered List"/>
    <w:basedOn w:val="Normal"/>
    <w:rsid w:val="00480EC6"/>
    <w:pPr>
      <w:numPr>
        <w:numId w:val="12"/>
      </w:numPr>
      <w:spacing w:before="60" w:after="160" w:line="280" w:lineRule="atLeast"/>
    </w:pPr>
    <w:rPr>
      <w:rFonts w:ascii="Arial" w:eastAsia="MS Mincho" w:hAnsi="Arial"/>
      <w:sz w:val="20"/>
      <w:szCs w:val="24"/>
      <w:lang w:val="en-US" w:eastAsia="ja-JP"/>
    </w:rPr>
  </w:style>
  <w:style w:type="paragraph" w:customStyle="1" w:styleId="TitlePageHeading">
    <w:name w:val="Title Page Heading"/>
    <w:rsid w:val="00480EC6"/>
    <w:pPr>
      <w:spacing w:before="960" w:after="240" w:line="250" w:lineRule="auto"/>
    </w:pPr>
    <w:rPr>
      <w:rFonts w:ascii="Georgia" w:eastAsia="Times" w:hAnsi="Georgia" w:cs="Times New Roman"/>
      <w:bCs/>
      <w:color w:val="7A1500"/>
      <w:kern w:val="28"/>
      <w:sz w:val="56"/>
      <w:szCs w:val="20"/>
    </w:rPr>
  </w:style>
  <w:style w:type="paragraph" w:customStyle="1" w:styleId="TitlePageSub-Heading">
    <w:name w:val="Title Page Sub-Heading"/>
    <w:basedOn w:val="TitlePageHeading"/>
    <w:rsid w:val="00480EC6"/>
    <w:pPr>
      <w:spacing w:before="0"/>
    </w:pPr>
    <w:rPr>
      <w:rFonts w:ascii="Arial" w:hAnsi="Arial"/>
      <w:color w:val="556058"/>
      <w:sz w:val="36"/>
    </w:rPr>
  </w:style>
  <w:style w:type="paragraph" w:customStyle="1" w:styleId="Titlepageitalicdetail">
    <w:name w:val="Title page – italic detail"/>
    <w:rsid w:val="00480EC6"/>
    <w:pPr>
      <w:spacing w:before="240" w:after="120" w:line="250" w:lineRule="auto"/>
    </w:pPr>
    <w:rPr>
      <w:rFonts w:ascii="Arial" w:eastAsia="Times" w:hAnsi="Arial" w:cs="Times New Roman"/>
      <w:bCs/>
      <w:i/>
      <w:iCs/>
      <w:sz w:val="18"/>
      <w:szCs w:val="20"/>
    </w:rPr>
  </w:style>
  <w:style w:type="paragraph" w:customStyle="1" w:styleId="PFNumLevel2">
    <w:name w:val="PF (Num) Level 2"/>
    <w:basedOn w:val="Normal"/>
    <w:rsid w:val="00480EC6"/>
    <w:pPr>
      <w:numPr>
        <w:ilvl w:val="1"/>
        <w:numId w:val="1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3">
    <w:name w:val="PF (Num) Level 3"/>
    <w:basedOn w:val="Normal"/>
    <w:rsid w:val="00480EC6"/>
    <w:pPr>
      <w:numPr>
        <w:ilvl w:val="2"/>
        <w:numId w:val="1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4">
    <w:name w:val="PF (Num) Level 4"/>
    <w:basedOn w:val="Normal"/>
    <w:rsid w:val="00480EC6"/>
    <w:pPr>
      <w:numPr>
        <w:ilvl w:val="3"/>
        <w:numId w:val="1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5">
    <w:name w:val="PF (Num) Level 5"/>
    <w:basedOn w:val="Normal"/>
    <w:rsid w:val="00480EC6"/>
    <w:pPr>
      <w:numPr>
        <w:ilvl w:val="4"/>
        <w:numId w:val="1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Heading1A">
    <w:name w:val="Heading 1A"/>
    <w:basedOn w:val="Heading1"/>
    <w:next w:val="Normal"/>
    <w:rsid w:val="00480EC6"/>
    <w:pPr>
      <w:pageBreakBefore w:val="0"/>
      <w:numPr>
        <w:numId w:val="13"/>
      </w:numPr>
      <w:tabs>
        <w:tab w:val="clear" w:pos="851"/>
        <w:tab w:val="clear" w:pos="1029"/>
        <w:tab w:val="num" w:pos="360"/>
        <w:tab w:val="left" w:pos="924"/>
        <w:tab w:val="left" w:pos="1848"/>
        <w:tab w:val="left" w:pos="2773"/>
        <w:tab w:val="left" w:pos="3697"/>
        <w:tab w:val="left" w:pos="4621"/>
        <w:tab w:val="left" w:pos="5545"/>
        <w:tab w:val="left" w:pos="6469"/>
        <w:tab w:val="left" w:pos="7394"/>
        <w:tab w:val="left" w:pos="8318"/>
        <w:tab w:val="right" w:pos="8930"/>
      </w:tabs>
      <w:spacing w:before="400" w:after="120" w:line="276" w:lineRule="auto"/>
      <w:ind w:left="0" w:firstLine="0"/>
    </w:pPr>
    <w:rPr>
      <w:rFonts w:ascii="Arial" w:eastAsia="Times New Roman" w:hAnsi="Arial" w:cs="Times New Roman"/>
      <w:bCs w:val="0"/>
      <w:color w:val="000000"/>
      <w:kern w:val="28"/>
      <w:sz w:val="24"/>
      <w:szCs w:val="20"/>
    </w:rPr>
  </w:style>
  <w:style w:type="paragraph" w:customStyle="1" w:styleId="PFNumLevel6">
    <w:name w:val="PF (Num) Level 6"/>
    <w:basedOn w:val="PFNumLevel4"/>
    <w:rsid w:val="00480EC6"/>
    <w:pPr>
      <w:numPr>
        <w:ilvl w:val="5"/>
      </w:numPr>
    </w:pPr>
  </w:style>
  <w:style w:type="paragraph" w:customStyle="1" w:styleId="Default">
    <w:name w:val="Default"/>
    <w:rsid w:val="00480EC6"/>
    <w:pPr>
      <w:autoSpaceDE w:val="0"/>
      <w:autoSpaceDN w:val="0"/>
      <w:adjustRightInd w:val="0"/>
      <w:spacing w:after="0" w:line="240" w:lineRule="auto"/>
    </w:pPr>
    <w:rPr>
      <w:rFonts w:ascii="Arial" w:eastAsia="Times New Roman" w:hAnsi="Arial" w:cs="Arial"/>
      <w:color w:val="000000"/>
      <w:szCs w:val="24"/>
      <w:lang w:eastAsia="en-AU"/>
    </w:rPr>
  </w:style>
  <w:style w:type="table" w:styleId="MediumShading1-Accent2">
    <w:name w:val="Medium Shading 1 Accent 2"/>
    <w:basedOn w:val="TableNormal"/>
    <w:uiPriority w:val="63"/>
    <w:rsid w:val="00480EC6"/>
    <w:pPr>
      <w:spacing w:after="0" w:line="240" w:lineRule="auto"/>
    </w:pPr>
    <w:rPr>
      <w:rFonts w:asciiTheme="minorHAnsi" w:hAnsiTheme="minorHAnsi"/>
      <w:sz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vision">
    <w:name w:val="Revision"/>
    <w:hidden/>
    <w:uiPriority w:val="99"/>
    <w:semiHidden/>
    <w:rsid w:val="00480EC6"/>
    <w:pPr>
      <w:spacing w:after="0" w:line="240" w:lineRule="auto"/>
    </w:pPr>
    <w:rPr>
      <w:rFonts w:asciiTheme="minorHAnsi" w:eastAsia="Times New Roman" w:hAnsiTheme="minorHAnsi" w:cs="Times New Roman"/>
      <w:sz w:val="22"/>
      <w:szCs w:val="20"/>
    </w:rPr>
  </w:style>
  <w:style w:type="character" w:styleId="Strong">
    <w:name w:val="Strong"/>
    <w:basedOn w:val="DefaultParagraphFont"/>
    <w:uiPriority w:val="22"/>
    <w:qFormat/>
    <w:rsid w:val="00480EC6"/>
    <w:rPr>
      <w:b/>
      <w:bCs/>
    </w:rPr>
  </w:style>
  <w:style w:type="paragraph" w:styleId="Quote">
    <w:name w:val="Quote"/>
    <w:basedOn w:val="Normal"/>
    <w:next w:val="Normal"/>
    <w:link w:val="QuoteChar"/>
    <w:uiPriority w:val="29"/>
    <w:qFormat/>
    <w:rsid w:val="00480EC6"/>
    <w:pPr>
      <w:ind w:left="1134"/>
    </w:pPr>
    <w:rPr>
      <w:i/>
      <w:iCs/>
      <w:color w:val="000000" w:themeColor="text1"/>
    </w:rPr>
  </w:style>
  <w:style w:type="character" w:customStyle="1" w:styleId="QuoteChar">
    <w:name w:val="Quote Char"/>
    <w:basedOn w:val="DefaultParagraphFont"/>
    <w:link w:val="Quote"/>
    <w:uiPriority w:val="29"/>
    <w:rsid w:val="00480EC6"/>
    <w:rPr>
      <w:rFonts w:asciiTheme="minorHAnsi" w:eastAsia="Times New Roman" w:hAnsiTheme="minorHAnsi" w:cs="Times New Roman"/>
      <w:i/>
      <w:iCs/>
      <w:color w:val="000000" w:themeColor="text1"/>
      <w:sz w:val="22"/>
      <w:szCs w:val="20"/>
    </w:rPr>
  </w:style>
  <w:style w:type="table" w:customStyle="1" w:styleId="ListTable3-Accent11">
    <w:name w:val="List Table 3 - Accent 11"/>
    <w:basedOn w:val="TableNormal"/>
    <w:uiPriority w:val="48"/>
    <w:rsid w:val="005840D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asicParagraph">
    <w:name w:val="[Basic Paragraph]"/>
    <w:basedOn w:val="Normal"/>
    <w:rsid w:val="00A169CA"/>
    <w:pPr>
      <w:autoSpaceDE w:val="0"/>
      <w:autoSpaceDN w:val="0"/>
      <w:adjustRightInd w:val="0"/>
      <w:spacing w:after="0" w:line="288" w:lineRule="auto"/>
      <w:textAlignment w:val="center"/>
    </w:pPr>
    <w:rPr>
      <w:rFonts w:ascii="Arial" w:hAnsi="Arial"/>
      <w:color w:val="000000"/>
      <w:szCs w:val="24"/>
      <w:lang w:val="en-US"/>
    </w:rPr>
  </w:style>
  <w:style w:type="paragraph" w:customStyle="1" w:styleId="T1">
    <w:name w:val="T1"/>
    <w:basedOn w:val="Normal"/>
    <w:rsid w:val="00A169CA"/>
    <w:pPr>
      <w:spacing w:after="0" w:line="600" w:lineRule="exact"/>
    </w:pPr>
    <w:rPr>
      <w:rFonts w:ascii="Myriad Pro" w:hAnsi="Myriad Pro"/>
      <w:color w:val="FFFFFF"/>
      <w:sz w:val="60"/>
      <w:szCs w:val="60"/>
      <w:lang w:val="en-US"/>
    </w:rPr>
  </w:style>
  <w:style w:type="table" w:customStyle="1" w:styleId="ListTable3-Accent31">
    <w:name w:val="List Table 3 - Accent 31"/>
    <w:basedOn w:val="TableNormal"/>
    <w:uiPriority w:val="48"/>
    <w:rsid w:val="001B6B4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NormalItalics">
    <w:name w:val="NormalItalics"/>
    <w:basedOn w:val="Normal"/>
    <w:rsid w:val="007A4111"/>
    <w:pPr>
      <w:spacing w:before="120"/>
      <w:ind w:left="720"/>
    </w:pPr>
    <w:rPr>
      <w:rFonts w:ascii="Times New Roman" w:hAnsi="Times New Roman"/>
      <w:i/>
      <w:iCs/>
      <w:sz w:val="24"/>
      <w:szCs w:val="24"/>
    </w:rPr>
  </w:style>
  <w:style w:type="table" w:customStyle="1" w:styleId="ListTable3-Accent61">
    <w:name w:val="List Table 3 - Accent 61"/>
    <w:basedOn w:val="TableNormal"/>
    <w:uiPriority w:val="48"/>
    <w:rsid w:val="00F27EF9"/>
    <w:pPr>
      <w:spacing w:after="0" w:line="240" w:lineRule="auto"/>
    </w:pPr>
    <w:rPr>
      <w:rFonts w:cs="Times New Roman"/>
      <w:szCs w:val="24"/>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eGrid1">
    <w:name w:val="Table Grid1"/>
    <w:basedOn w:val="TableNormal"/>
    <w:next w:val="TableGrid"/>
    <w:uiPriority w:val="39"/>
    <w:rsid w:val="003D262A"/>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34152">
      <w:bodyDiv w:val="1"/>
      <w:marLeft w:val="0"/>
      <w:marRight w:val="0"/>
      <w:marTop w:val="0"/>
      <w:marBottom w:val="0"/>
      <w:divBdr>
        <w:top w:val="none" w:sz="0" w:space="0" w:color="auto"/>
        <w:left w:val="none" w:sz="0" w:space="0" w:color="auto"/>
        <w:bottom w:val="none" w:sz="0" w:space="0" w:color="auto"/>
        <w:right w:val="none" w:sz="0" w:space="0" w:color="auto"/>
      </w:divBdr>
    </w:div>
    <w:div w:id="325598637">
      <w:bodyDiv w:val="1"/>
      <w:marLeft w:val="0"/>
      <w:marRight w:val="0"/>
      <w:marTop w:val="0"/>
      <w:marBottom w:val="0"/>
      <w:divBdr>
        <w:top w:val="none" w:sz="0" w:space="0" w:color="auto"/>
        <w:left w:val="none" w:sz="0" w:space="0" w:color="auto"/>
        <w:bottom w:val="none" w:sz="0" w:space="0" w:color="auto"/>
        <w:right w:val="none" w:sz="0" w:space="0" w:color="auto"/>
      </w:divBdr>
      <w:divsChild>
        <w:div w:id="1828210286">
          <w:marLeft w:val="0"/>
          <w:marRight w:val="0"/>
          <w:marTop w:val="240"/>
          <w:marBottom w:val="480"/>
          <w:divBdr>
            <w:top w:val="none" w:sz="0" w:space="0" w:color="auto"/>
            <w:left w:val="none" w:sz="0" w:space="0" w:color="auto"/>
            <w:bottom w:val="none" w:sz="0" w:space="0" w:color="auto"/>
            <w:right w:val="none" w:sz="0" w:space="0" w:color="auto"/>
          </w:divBdr>
          <w:divsChild>
            <w:div w:id="355422353">
              <w:marLeft w:val="0"/>
              <w:marRight w:val="0"/>
              <w:marTop w:val="0"/>
              <w:marBottom w:val="0"/>
              <w:divBdr>
                <w:top w:val="none" w:sz="0" w:space="0" w:color="auto"/>
                <w:left w:val="none" w:sz="0" w:space="0" w:color="auto"/>
                <w:bottom w:val="none" w:sz="0" w:space="0" w:color="auto"/>
                <w:right w:val="none" w:sz="0" w:space="0" w:color="auto"/>
              </w:divBdr>
              <w:divsChild>
                <w:div w:id="826281925">
                  <w:marLeft w:val="0"/>
                  <w:marRight w:val="0"/>
                  <w:marTop w:val="0"/>
                  <w:marBottom w:val="0"/>
                  <w:divBdr>
                    <w:top w:val="none" w:sz="0" w:space="0" w:color="auto"/>
                    <w:left w:val="none" w:sz="0" w:space="0" w:color="auto"/>
                    <w:bottom w:val="none" w:sz="0" w:space="0" w:color="auto"/>
                    <w:right w:val="none" w:sz="0" w:space="0" w:color="auto"/>
                  </w:divBdr>
                  <w:divsChild>
                    <w:div w:id="952174423">
                      <w:marLeft w:val="0"/>
                      <w:marRight w:val="0"/>
                      <w:marTop w:val="0"/>
                      <w:marBottom w:val="0"/>
                      <w:divBdr>
                        <w:top w:val="none" w:sz="0" w:space="0" w:color="auto"/>
                        <w:left w:val="none" w:sz="0" w:space="0" w:color="auto"/>
                        <w:bottom w:val="none" w:sz="0" w:space="0" w:color="auto"/>
                        <w:right w:val="none" w:sz="0" w:space="0" w:color="auto"/>
                      </w:divBdr>
                      <w:divsChild>
                        <w:div w:id="13987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870210">
      <w:bodyDiv w:val="1"/>
      <w:marLeft w:val="0"/>
      <w:marRight w:val="0"/>
      <w:marTop w:val="0"/>
      <w:marBottom w:val="0"/>
      <w:divBdr>
        <w:top w:val="none" w:sz="0" w:space="0" w:color="auto"/>
        <w:left w:val="none" w:sz="0" w:space="0" w:color="auto"/>
        <w:bottom w:val="none" w:sz="0" w:space="0" w:color="auto"/>
        <w:right w:val="none" w:sz="0" w:space="0" w:color="auto"/>
      </w:divBdr>
      <w:divsChild>
        <w:div w:id="1871798092">
          <w:marLeft w:val="0"/>
          <w:marRight w:val="0"/>
          <w:marTop w:val="240"/>
          <w:marBottom w:val="480"/>
          <w:divBdr>
            <w:top w:val="none" w:sz="0" w:space="0" w:color="auto"/>
            <w:left w:val="none" w:sz="0" w:space="0" w:color="auto"/>
            <w:bottom w:val="none" w:sz="0" w:space="0" w:color="auto"/>
            <w:right w:val="none" w:sz="0" w:space="0" w:color="auto"/>
          </w:divBdr>
          <w:divsChild>
            <w:div w:id="1844316924">
              <w:marLeft w:val="0"/>
              <w:marRight w:val="0"/>
              <w:marTop w:val="0"/>
              <w:marBottom w:val="0"/>
              <w:divBdr>
                <w:top w:val="none" w:sz="0" w:space="0" w:color="auto"/>
                <w:left w:val="none" w:sz="0" w:space="0" w:color="auto"/>
                <w:bottom w:val="none" w:sz="0" w:space="0" w:color="auto"/>
                <w:right w:val="none" w:sz="0" w:space="0" w:color="auto"/>
              </w:divBdr>
              <w:divsChild>
                <w:div w:id="1523975201">
                  <w:marLeft w:val="0"/>
                  <w:marRight w:val="0"/>
                  <w:marTop w:val="0"/>
                  <w:marBottom w:val="0"/>
                  <w:divBdr>
                    <w:top w:val="none" w:sz="0" w:space="0" w:color="auto"/>
                    <w:left w:val="none" w:sz="0" w:space="0" w:color="auto"/>
                    <w:bottom w:val="none" w:sz="0" w:space="0" w:color="auto"/>
                    <w:right w:val="none" w:sz="0" w:space="0" w:color="auto"/>
                  </w:divBdr>
                  <w:divsChild>
                    <w:div w:id="1583104410">
                      <w:marLeft w:val="0"/>
                      <w:marRight w:val="0"/>
                      <w:marTop w:val="0"/>
                      <w:marBottom w:val="0"/>
                      <w:divBdr>
                        <w:top w:val="none" w:sz="0" w:space="0" w:color="auto"/>
                        <w:left w:val="none" w:sz="0" w:space="0" w:color="auto"/>
                        <w:bottom w:val="none" w:sz="0" w:space="0" w:color="auto"/>
                        <w:right w:val="none" w:sz="0" w:space="0" w:color="auto"/>
                      </w:divBdr>
                      <w:divsChild>
                        <w:div w:id="6001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671431">
      <w:bodyDiv w:val="1"/>
      <w:marLeft w:val="0"/>
      <w:marRight w:val="0"/>
      <w:marTop w:val="0"/>
      <w:marBottom w:val="0"/>
      <w:divBdr>
        <w:top w:val="none" w:sz="0" w:space="0" w:color="auto"/>
        <w:left w:val="none" w:sz="0" w:space="0" w:color="auto"/>
        <w:bottom w:val="none" w:sz="0" w:space="0" w:color="auto"/>
        <w:right w:val="none" w:sz="0" w:space="0" w:color="auto"/>
      </w:divBdr>
      <w:divsChild>
        <w:div w:id="1428766031">
          <w:marLeft w:val="0"/>
          <w:marRight w:val="0"/>
          <w:marTop w:val="240"/>
          <w:marBottom w:val="480"/>
          <w:divBdr>
            <w:top w:val="none" w:sz="0" w:space="0" w:color="auto"/>
            <w:left w:val="none" w:sz="0" w:space="0" w:color="auto"/>
            <w:bottom w:val="none" w:sz="0" w:space="0" w:color="auto"/>
            <w:right w:val="none" w:sz="0" w:space="0" w:color="auto"/>
          </w:divBdr>
          <w:divsChild>
            <w:div w:id="2105760263">
              <w:marLeft w:val="0"/>
              <w:marRight w:val="0"/>
              <w:marTop w:val="0"/>
              <w:marBottom w:val="0"/>
              <w:divBdr>
                <w:top w:val="none" w:sz="0" w:space="0" w:color="auto"/>
                <w:left w:val="none" w:sz="0" w:space="0" w:color="auto"/>
                <w:bottom w:val="none" w:sz="0" w:space="0" w:color="auto"/>
                <w:right w:val="none" w:sz="0" w:space="0" w:color="auto"/>
              </w:divBdr>
              <w:divsChild>
                <w:div w:id="1704600338">
                  <w:marLeft w:val="0"/>
                  <w:marRight w:val="0"/>
                  <w:marTop w:val="0"/>
                  <w:marBottom w:val="0"/>
                  <w:divBdr>
                    <w:top w:val="none" w:sz="0" w:space="0" w:color="auto"/>
                    <w:left w:val="none" w:sz="0" w:space="0" w:color="auto"/>
                    <w:bottom w:val="none" w:sz="0" w:space="0" w:color="auto"/>
                    <w:right w:val="none" w:sz="0" w:space="0" w:color="auto"/>
                  </w:divBdr>
                  <w:divsChild>
                    <w:div w:id="1625308550">
                      <w:marLeft w:val="0"/>
                      <w:marRight w:val="0"/>
                      <w:marTop w:val="0"/>
                      <w:marBottom w:val="0"/>
                      <w:divBdr>
                        <w:top w:val="none" w:sz="0" w:space="0" w:color="auto"/>
                        <w:left w:val="none" w:sz="0" w:space="0" w:color="auto"/>
                        <w:bottom w:val="none" w:sz="0" w:space="0" w:color="auto"/>
                        <w:right w:val="none" w:sz="0" w:space="0" w:color="auto"/>
                      </w:divBdr>
                      <w:divsChild>
                        <w:div w:id="379012780">
                          <w:marLeft w:val="0"/>
                          <w:marRight w:val="0"/>
                          <w:marTop w:val="0"/>
                          <w:marBottom w:val="0"/>
                          <w:divBdr>
                            <w:top w:val="none" w:sz="0" w:space="0" w:color="auto"/>
                            <w:left w:val="none" w:sz="0" w:space="0" w:color="auto"/>
                            <w:bottom w:val="none" w:sz="0" w:space="0" w:color="auto"/>
                            <w:right w:val="none" w:sz="0" w:space="0" w:color="auto"/>
                          </w:divBdr>
                          <w:divsChild>
                            <w:div w:id="943152462">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 w:id="668485347">
      <w:bodyDiv w:val="1"/>
      <w:marLeft w:val="0"/>
      <w:marRight w:val="0"/>
      <w:marTop w:val="0"/>
      <w:marBottom w:val="0"/>
      <w:divBdr>
        <w:top w:val="none" w:sz="0" w:space="0" w:color="auto"/>
        <w:left w:val="none" w:sz="0" w:space="0" w:color="auto"/>
        <w:bottom w:val="none" w:sz="0" w:space="0" w:color="auto"/>
        <w:right w:val="none" w:sz="0" w:space="0" w:color="auto"/>
      </w:divBdr>
    </w:div>
    <w:div w:id="745998435">
      <w:bodyDiv w:val="1"/>
      <w:marLeft w:val="0"/>
      <w:marRight w:val="0"/>
      <w:marTop w:val="0"/>
      <w:marBottom w:val="0"/>
      <w:divBdr>
        <w:top w:val="none" w:sz="0" w:space="0" w:color="auto"/>
        <w:left w:val="none" w:sz="0" w:space="0" w:color="auto"/>
        <w:bottom w:val="none" w:sz="0" w:space="0" w:color="auto"/>
        <w:right w:val="none" w:sz="0" w:space="0" w:color="auto"/>
      </w:divBdr>
      <w:divsChild>
        <w:div w:id="595165010">
          <w:marLeft w:val="0"/>
          <w:marRight w:val="0"/>
          <w:marTop w:val="240"/>
          <w:marBottom w:val="480"/>
          <w:divBdr>
            <w:top w:val="none" w:sz="0" w:space="0" w:color="auto"/>
            <w:left w:val="none" w:sz="0" w:space="0" w:color="auto"/>
            <w:bottom w:val="none" w:sz="0" w:space="0" w:color="auto"/>
            <w:right w:val="none" w:sz="0" w:space="0" w:color="auto"/>
          </w:divBdr>
          <w:divsChild>
            <w:div w:id="627975105">
              <w:marLeft w:val="0"/>
              <w:marRight w:val="0"/>
              <w:marTop w:val="0"/>
              <w:marBottom w:val="0"/>
              <w:divBdr>
                <w:top w:val="none" w:sz="0" w:space="0" w:color="auto"/>
                <w:left w:val="none" w:sz="0" w:space="0" w:color="auto"/>
                <w:bottom w:val="none" w:sz="0" w:space="0" w:color="auto"/>
                <w:right w:val="none" w:sz="0" w:space="0" w:color="auto"/>
              </w:divBdr>
              <w:divsChild>
                <w:div w:id="1904442861">
                  <w:marLeft w:val="0"/>
                  <w:marRight w:val="0"/>
                  <w:marTop w:val="0"/>
                  <w:marBottom w:val="0"/>
                  <w:divBdr>
                    <w:top w:val="none" w:sz="0" w:space="0" w:color="auto"/>
                    <w:left w:val="none" w:sz="0" w:space="0" w:color="auto"/>
                    <w:bottom w:val="none" w:sz="0" w:space="0" w:color="auto"/>
                    <w:right w:val="none" w:sz="0" w:space="0" w:color="auto"/>
                  </w:divBdr>
                  <w:divsChild>
                    <w:div w:id="1621641851">
                      <w:marLeft w:val="0"/>
                      <w:marRight w:val="0"/>
                      <w:marTop w:val="0"/>
                      <w:marBottom w:val="0"/>
                      <w:divBdr>
                        <w:top w:val="none" w:sz="0" w:space="0" w:color="auto"/>
                        <w:left w:val="none" w:sz="0" w:space="0" w:color="auto"/>
                        <w:bottom w:val="none" w:sz="0" w:space="0" w:color="auto"/>
                        <w:right w:val="none" w:sz="0" w:space="0" w:color="auto"/>
                      </w:divBdr>
                      <w:divsChild>
                        <w:div w:id="7477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1152">
      <w:bodyDiv w:val="1"/>
      <w:marLeft w:val="0"/>
      <w:marRight w:val="0"/>
      <w:marTop w:val="0"/>
      <w:marBottom w:val="0"/>
      <w:divBdr>
        <w:top w:val="none" w:sz="0" w:space="0" w:color="auto"/>
        <w:left w:val="none" w:sz="0" w:space="0" w:color="auto"/>
        <w:bottom w:val="none" w:sz="0" w:space="0" w:color="auto"/>
        <w:right w:val="none" w:sz="0" w:space="0" w:color="auto"/>
      </w:divBdr>
    </w:div>
    <w:div w:id="904218689">
      <w:bodyDiv w:val="1"/>
      <w:marLeft w:val="0"/>
      <w:marRight w:val="0"/>
      <w:marTop w:val="0"/>
      <w:marBottom w:val="0"/>
      <w:divBdr>
        <w:top w:val="none" w:sz="0" w:space="0" w:color="auto"/>
        <w:left w:val="none" w:sz="0" w:space="0" w:color="auto"/>
        <w:bottom w:val="none" w:sz="0" w:space="0" w:color="auto"/>
        <w:right w:val="none" w:sz="0" w:space="0" w:color="auto"/>
      </w:divBdr>
      <w:divsChild>
        <w:div w:id="520556276">
          <w:marLeft w:val="0"/>
          <w:marRight w:val="0"/>
          <w:marTop w:val="240"/>
          <w:marBottom w:val="480"/>
          <w:divBdr>
            <w:top w:val="none" w:sz="0" w:space="0" w:color="auto"/>
            <w:left w:val="none" w:sz="0" w:space="0" w:color="auto"/>
            <w:bottom w:val="none" w:sz="0" w:space="0" w:color="auto"/>
            <w:right w:val="none" w:sz="0" w:space="0" w:color="auto"/>
          </w:divBdr>
          <w:divsChild>
            <w:div w:id="1959872905">
              <w:marLeft w:val="0"/>
              <w:marRight w:val="0"/>
              <w:marTop w:val="0"/>
              <w:marBottom w:val="0"/>
              <w:divBdr>
                <w:top w:val="none" w:sz="0" w:space="0" w:color="auto"/>
                <w:left w:val="none" w:sz="0" w:space="0" w:color="auto"/>
                <w:bottom w:val="none" w:sz="0" w:space="0" w:color="auto"/>
                <w:right w:val="none" w:sz="0" w:space="0" w:color="auto"/>
              </w:divBdr>
              <w:divsChild>
                <w:div w:id="1009914801">
                  <w:marLeft w:val="0"/>
                  <w:marRight w:val="0"/>
                  <w:marTop w:val="0"/>
                  <w:marBottom w:val="0"/>
                  <w:divBdr>
                    <w:top w:val="none" w:sz="0" w:space="0" w:color="auto"/>
                    <w:left w:val="none" w:sz="0" w:space="0" w:color="auto"/>
                    <w:bottom w:val="none" w:sz="0" w:space="0" w:color="auto"/>
                    <w:right w:val="none" w:sz="0" w:space="0" w:color="auto"/>
                  </w:divBdr>
                  <w:divsChild>
                    <w:div w:id="1639141810">
                      <w:marLeft w:val="0"/>
                      <w:marRight w:val="0"/>
                      <w:marTop w:val="0"/>
                      <w:marBottom w:val="0"/>
                      <w:divBdr>
                        <w:top w:val="none" w:sz="0" w:space="0" w:color="auto"/>
                        <w:left w:val="none" w:sz="0" w:space="0" w:color="auto"/>
                        <w:bottom w:val="none" w:sz="0" w:space="0" w:color="auto"/>
                        <w:right w:val="none" w:sz="0" w:space="0" w:color="auto"/>
                      </w:divBdr>
                      <w:divsChild>
                        <w:div w:id="18221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76733">
      <w:bodyDiv w:val="1"/>
      <w:marLeft w:val="0"/>
      <w:marRight w:val="0"/>
      <w:marTop w:val="0"/>
      <w:marBottom w:val="0"/>
      <w:divBdr>
        <w:top w:val="none" w:sz="0" w:space="0" w:color="auto"/>
        <w:left w:val="none" w:sz="0" w:space="0" w:color="auto"/>
        <w:bottom w:val="none" w:sz="0" w:space="0" w:color="auto"/>
        <w:right w:val="none" w:sz="0" w:space="0" w:color="auto"/>
      </w:divBdr>
    </w:div>
    <w:div w:id="962341919">
      <w:bodyDiv w:val="1"/>
      <w:marLeft w:val="0"/>
      <w:marRight w:val="0"/>
      <w:marTop w:val="0"/>
      <w:marBottom w:val="0"/>
      <w:divBdr>
        <w:top w:val="none" w:sz="0" w:space="0" w:color="auto"/>
        <w:left w:val="none" w:sz="0" w:space="0" w:color="auto"/>
        <w:bottom w:val="none" w:sz="0" w:space="0" w:color="auto"/>
        <w:right w:val="none" w:sz="0" w:space="0" w:color="auto"/>
      </w:divBdr>
      <w:divsChild>
        <w:div w:id="325134784">
          <w:marLeft w:val="0"/>
          <w:marRight w:val="0"/>
          <w:marTop w:val="240"/>
          <w:marBottom w:val="480"/>
          <w:divBdr>
            <w:top w:val="none" w:sz="0" w:space="0" w:color="auto"/>
            <w:left w:val="none" w:sz="0" w:space="0" w:color="auto"/>
            <w:bottom w:val="none" w:sz="0" w:space="0" w:color="auto"/>
            <w:right w:val="none" w:sz="0" w:space="0" w:color="auto"/>
          </w:divBdr>
          <w:divsChild>
            <w:div w:id="1468737779">
              <w:marLeft w:val="0"/>
              <w:marRight w:val="0"/>
              <w:marTop w:val="0"/>
              <w:marBottom w:val="0"/>
              <w:divBdr>
                <w:top w:val="none" w:sz="0" w:space="0" w:color="auto"/>
                <w:left w:val="none" w:sz="0" w:space="0" w:color="auto"/>
                <w:bottom w:val="none" w:sz="0" w:space="0" w:color="auto"/>
                <w:right w:val="none" w:sz="0" w:space="0" w:color="auto"/>
              </w:divBdr>
              <w:divsChild>
                <w:div w:id="1045258936">
                  <w:marLeft w:val="0"/>
                  <w:marRight w:val="0"/>
                  <w:marTop w:val="0"/>
                  <w:marBottom w:val="0"/>
                  <w:divBdr>
                    <w:top w:val="none" w:sz="0" w:space="0" w:color="auto"/>
                    <w:left w:val="none" w:sz="0" w:space="0" w:color="auto"/>
                    <w:bottom w:val="none" w:sz="0" w:space="0" w:color="auto"/>
                    <w:right w:val="none" w:sz="0" w:space="0" w:color="auto"/>
                  </w:divBdr>
                  <w:divsChild>
                    <w:div w:id="2033527579">
                      <w:marLeft w:val="0"/>
                      <w:marRight w:val="0"/>
                      <w:marTop w:val="0"/>
                      <w:marBottom w:val="0"/>
                      <w:divBdr>
                        <w:top w:val="none" w:sz="0" w:space="0" w:color="auto"/>
                        <w:left w:val="none" w:sz="0" w:space="0" w:color="auto"/>
                        <w:bottom w:val="none" w:sz="0" w:space="0" w:color="auto"/>
                        <w:right w:val="none" w:sz="0" w:space="0" w:color="auto"/>
                      </w:divBdr>
                      <w:divsChild>
                        <w:div w:id="2498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062059">
      <w:bodyDiv w:val="1"/>
      <w:marLeft w:val="0"/>
      <w:marRight w:val="0"/>
      <w:marTop w:val="0"/>
      <w:marBottom w:val="0"/>
      <w:divBdr>
        <w:top w:val="none" w:sz="0" w:space="0" w:color="auto"/>
        <w:left w:val="none" w:sz="0" w:space="0" w:color="auto"/>
        <w:bottom w:val="none" w:sz="0" w:space="0" w:color="auto"/>
        <w:right w:val="none" w:sz="0" w:space="0" w:color="auto"/>
      </w:divBdr>
      <w:divsChild>
        <w:div w:id="1939487987">
          <w:marLeft w:val="0"/>
          <w:marRight w:val="0"/>
          <w:marTop w:val="240"/>
          <w:marBottom w:val="480"/>
          <w:divBdr>
            <w:top w:val="none" w:sz="0" w:space="0" w:color="auto"/>
            <w:left w:val="none" w:sz="0" w:space="0" w:color="auto"/>
            <w:bottom w:val="none" w:sz="0" w:space="0" w:color="auto"/>
            <w:right w:val="none" w:sz="0" w:space="0" w:color="auto"/>
          </w:divBdr>
          <w:divsChild>
            <w:div w:id="861673777">
              <w:marLeft w:val="0"/>
              <w:marRight w:val="0"/>
              <w:marTop w:val="0"/>
              <w:marBottom w:val="0"/>
              <w:divBdr>
                <w:top w:val="none" w:sz="0" w:space="0" w:color="auto"/>
                <w:left w:val="none" w:sz="0" w:space="0" w:color="auto"/>
                <w:bottom w:val="none" w:sz="0" w:space="0" w:color="auto"/>
                <w:right w:val="none" w:sz="0" w:space="0" w:color="auto"/>
              </w:divBdr>
              <w:divsChild>
                <w:div w:id="1960524001">
                  <w:marLeft w:val="0"/>
                  <w:marRight w:val="0"/>
                  <w:marTop w:val="0"/>
                  <w:marBottom w:val="0"/>
                  <w:divBdr>
                    <w:top w:val="none" w:sz="0" w:space="0" w:color="auto"/>
                    <w:left w:val="none" w:sz="0" w:space="0" w:color="auto"/>
                    <w:bottom w:val="none" w:sz="0" w:space="0" w:color="auto"/>
                    <w:right w:val="none" w:sz="0" w:space="0" w:color="auto"/>
                  </w:divBdr>
                  <w:divsChild>
                    <w:div w:id="1421100520">
                      <w:marLeft w:val="0"/>
                      <w:marRight w:val="0"/>
                      <w:marTop w:val="0"/>
                      <w:marBottom w:val="0"/>
                      <w:divBdr>
                        <w:top w:val="none" w:sz="0" w:space="0" w:color="auto"/>
                        <w:left w:val="none" w:sz="0" w:space="0" w:color="auto"/>
                        <w:bottom w:val="none" w:sz="0" w:space="0" w:color="auto"/>
                        <w:right w:val="none" w:sz="0" w:space="0" w:color="auto"/>
                      </w:divBdr>
                      <w:divsChild>
                        <w:div w:id="12517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26837">
      <w:bodyDiv w:val="1"/>
      <w:marLeft w:val="0"/>
      <w:marRight w:val="0"/>
      <w:marTop w:val="0"/>
      <w:marBottom w:val="0"/>
      <w:divBdr>
        <w:top w:val="none" w:sz="0" w:space="0" w:color="auto"/>
        <w:left w:val="none" w:sz="0" w:space="0" w:color="auto"/>
        <w:bottom w:val="none" w:sz="0" w:space="0" w:color="auto"/>
        <w:right w:val="none" w:sz="0" w:space="0" w:color="auto"/>
      </w:divBdr>
    </w:div>
    <w:div w:id="1422681320">
      <w:bodyDiv w:val="1"/>
      <w:marLeft w:val="0"/>
      <w:marRight w:val="0"/>
      <w:marTop w:val="0"/>
      <w:marBottom w:val="0"/>
      <w:divBdr>
        <w:top w:val="none" w:sz="0" w:space="0" w:color="auto"/>
        <w:left w:val="none" w:sz="0" w:space="0" w:color="auto"/>
        <w:bottom w:val="none" w:sz="0" w:space="0" w:color="auto"/>
        <w:right w:val="none" w:sz="0" w:space="0" w:color="auto"/>
      </w:divBdr>
      <w:divsChild>
        <w:div w:id="419831579">
          <w:marLeft w:val="0"/>
          <w:marRight w:val="0"/>
          <w:marTop w:val="240"/>
          <w:marBottom w:val="480"/>
          <w:divBdr>
            <w:top w:val="none" w:sz="0" w:space="0" w:color="auto"/>
            <w:left w:val="none" w:sz="0" w:space="0" w:color="auto"/>
            <w:bottom w:val="none" w:sz="0" w:space="0" w:color="auto"/>
            <w:right w:val="none" w:sz="0" w:space="0" w:color="auto"/>
          </w:divBdr>
          <w:divsChild>
            <w:div w:id="351999665">
              <w:marLeft w:val="0"/>
              <w:marRight w:val="0"/>
              <w:marTop w:val="0"/>
              <w:marBottom w:val="0"/>
              <w:divBdr>
                <w:top w:val="none" w:sz="0" w:space="0" w:color="auto"/>
                <w:left w:val="none" w:sz="0" w:space="0" w:color="auto"/>
                <w:bottom w:val="none" w:sz="0" w:space="0" w:color="auto"/>
                <w:right w:val="none" w:sz="0" w:space="0" w:color="auto"/>
              </w:divBdr>
              <w:divsChild>
                <w:div w:id="644312079">
                  <w:marLeft w:val="0"/>
                  <w:marRight w:val="0"/>
                  <w:marTop w:val="0"/>
                  <w:marBottom w:val="0"/>
                  <w:divBdr>
                    <w:top w:val="none" w:sz="0" w:space="0" w:color="auto"/>
                    <w:left w:val="none" w:sz="0" w:space="0" w:color="auto"/>
                    <w:bottom w:val="none" w:sz="0" w:space="0" w:color="auto"/>
                    <w:right w:val="none" w:sz="0" w:space="0" w:color="auto"/>
                  </w:divBdr>
                  <w:divsChild>
                    <w:div w:id="1733962582">
                      <w:marLeft w:val="0"/>
                      <w:marRight w:val="0"/>
                      <w:marTop w:val="0"/>
                      <w:marBottom w:val="0"/>
                      <w:divBdr>
                        <w:top w:val="none" w:sz="0" w:space="0" w:color="auto"/>
                        <w:left w:val="none" w:sz="0" w:space="0" w:color="auto"/>
                        <w:bottom w:val="none" w:sz="0" w:space="0" w:color="auto"/>
                        <w:right w:val="none" w:sz="0" w:space="0" w:color="auto"/>
                      </w:divBdr>
                      <w:divsChild>
                        <w:div w:id="2136023762">
                          <w:marLeft w:val="0"/>
                          <w:marRight w:val="0"/>
                          <w:marTop w:val="0"/>
                          <w:marBottom w:val="0"/>
                          <w:divBdr>
                            <w:top w:val="none" w:sz="0" w:space="0" w:color="auto"/>
                            <w:left w:val="none" w:sz="0" w:space="0" w:color="auto"/>
                            <w:bottom w:val="none" w:sz="0" w:space="0" w:color="auto"/>
                            <w:right w:val="none" w:sz="0" w:space="0" w:color="auto"/>
                          </w:divBdr>
                          <w:divsChild>
                            <w:div w:id="525488143">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 w:id="1426001840">
      <w:bodyDiv w:val="1"/>
      <w:marLeft w:val="0"/>
      <w:marRight w:val="0"/>
      <w:marTop w:val="0"/>
      <w:marBottom w:val="0"/>
      <w:divBdr>
        <w:top w:val="none" w:sz="0" w:space="0" w:color="auto"/>
        <w:left w:val="none" w:sz="0" w:space="0" w:color="auto"/>
        <w:bottom w:val="none" w:sz="0" w:space="0" w:color="auto"/>
        <w:right w:val="none" w:sz="0" w:space="0" w:color="auto"/>
      </w:divBdr>
    </w:div>
    <w:div w:id="1533149455">
      <w:bodyDiv w:val="1"/>
      <w:marLeft w:val="0"/>
      <w:marRight w:val="0"/>
      <w:marTop w:val="0"/>
      <w:marBottom w:val="0"/>
      <w:divBdr>
        <w:top w:val="none" w:sz="0" w:space="0" w:color="auto"/>
        <w:left w:val="none" w:sz="0" w:space="0" w:color="auto"/>
        <w:bottom w:val="none" w:sz="0" w:space="0" w:color="auto"/>
        <w:right w:val="none" w:sz="0" w:space="0" w:color="auto"/>
      </w:divBdr>
    </w:div>
    <w:div w:id="1639022352">
      <w:bodyDiv w:val="1"/>
      <w:marLeft w:val="0"/>
      <w:marRight w:val="0"/>
      <w:marTop w:val="0"/>
      <w:marBottom w:val="0"/>
      <w:divBdr>
        <w:top w:val="none" w:sz="0" w:space="0" w:color="auto"/>
        <w:left w:val="none" w:sz="0" w:space="0" w:color="auto"/>
        <w:bottom w:val="none" w:sz="0" w:space="0" w:color="auto"/>
        <w:right w:val="none" w:sz="0" w:space="0" w:color="auto"/>
      </w:divBdr>
      <w:divsChild>
        <w:div w:id="1482775204">
          <w:marLeft w:val="0"/>
          <w:marRight w:val="0"/>
          <w:marTop w:val="240"/>
          <w:marBottom w:val="480"/>
          <w:divBdr>
            <w:top w:val="none" w:sz="0" w:space="0" w:color="auto"/>
            <w:left w:val="none" w:sz="0" w:space="0" w:color="auto"/>
            <w:bottom w:val="none" w:sz="0" w:space="0" w:color="auto"/>
            <w:right w:val="none" w:sz="0" w:space="0" w:color="auto"/>
          </w:divBdr>
          <w:divsChild>
            <w:div w:id="589392469">
              <w:marLeft w:val="0"/>
              <w:marRight w:val="0"/>
              <w:marTop w:val="0"/>
              <w:marBottom w:val="0"/>
              <w:divBdr>
                <w:top w:val="none" w:sz="0" w:space="0" w:color="auto"/>
                <w:left w:val="none" w:sz="0" w:space="0" w:color="auto"/>
                <w:bottom w:val="none" w:sz="0" w:space="0" w:color="auto"/>
                <w:right w:val="none" w:sz="0" w:space="0" w:color="auto"/>
              </w:divBdr>
              <w:divsChild>
                <w:div w:id="49958191">
                  <w:marLeft w:val="0"/>
                  <w:marRight w:val="0"/>
                  <w:marTop w:val="0"/>
                  <w:marBottom w:val="0"/>
                  <w:divBdr>
                    <w:top w:val="none" w:sz="0" w:space="0" w:color="auto"/>
                    <w:left w:val="none" w:sz="0" w:space="0" w:color="auto"/>
                    <w:bottom w:val="none" w:sz="0" w:space="0" w:color="auto"/>
                    <w:right w:val="none" w:sz="0" w:space="0" w:color="auto"/>
                  </w:divBdr>
                  <w:divsChild>
                    <w:div w:id="1223325074">
                      <w:marLeft w:val="0"/>
                      <w:marRight w:val="0"/>
                      <w:marTop w:val="0"/>
                      <w:marBottom w:val="0"/>
                      <w:divBdr>
                        <w:top w:val="none" w:sz="0" w:space="0" w:color="auto"/>
                        <w:left w:val="none" w:sz="0" w:space="0" w:color="auto"/>
                        <w:bottom w:val="none" w:sz="0" w:space="0" w:color="auto"/>
                        <w:right w:val="none" w:sz="0" w:space="0" w:color="auto"/>
                      </w:divBdr>
                      <w:divsChild>
                        <w:div w:id="108857760">
                          <w:marLeft w:val="0"/>
                          <w:marRight w:val="0"/>
                          <w:marTop w:val="0"/>
                          <w:marBottom w:val="0"/>
                          <w:divBdr>
                            <w:top w:val="none" w:sz="0" w:space="0" w:color="auto"/>
                            <w:left w:val="none" w:sz="0" w:space="0" w:color="auto"/>
                            <w:bottom w:val="none" w:sz="0" w:space="0" w:color="auto"/>
                            <w:right w:val="none" w:sz="0" w:space="0" w:color="auto"/>
                          </w:divBdr>
                          <w:divsChild>
                            <w:div w:id="126557824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 w:id="1968967480">
      <w:bodyDiv w:val="1"/>
      <w:marLeft w:val="0"/>
      <w:marRight w:val="0"/>
      <w:marTop w:val="0"/>
      <w:marBottom w:val="0"/>
      <w:divBdr>
        <w:top w:val="none" w:sz="0" w:space="0" w:color="auto"/>
        <w:left w:val="none" w:sz="0" w:space="0" w:color="auto"/>
        <w:bottom w:val="none" w:sz="0" w:space="0" w:color="auto"/>
        <w:right w:val="none" w:sz="0" w:space="0" w:color="auto"/>
      </w:divBdr>
      <w:divsChild>
        <w:div w:id="893198278">
          <w:marLeft w:val="0"/>
          <w:marRight w:val="0"/>
          <w:marTop w:val="240"/>
          <w:marBottom w:val="480"/>
          <w:divBdr>
            <w:top w:val="none" w:sz="0" w:space="0" w:color="auto"/>
            <w:left w:val="none" w:sz="0" w:space="0" w:color="auto"/>
            <w:bottom w:val="none" w:sz="0" w:space="0" w:color="auto"/>
            <w:right w:val="none" w:sz="0" w:space="0" w:color="auto"/>
          </w:divBdr>
          <w:divsChild>
            <w:div w:id="961348052">
              <w:marLeft w:val="0"/>
              <w:marRight w:val="0"/>
              <w:marTop w:val="0"/>
              <w:marBottom w:val="0"/>
              <w:divBdr>
                <w:top w:val="none" w:sz="0" w:space="0" w:color="auto"/>
                <w:left w:val="none" w:sz="0" w:space="0" w:color="auto"/>
                <w:bottom w:val="none" w:sz="0" w:space="0" w:color="auto"/>
                <w:right w:val="none" w:sz="0" w:space="0" w:color="auto"/>
              </w:divBdr>
              <w:divsChild>
                <w:div w:id="313025384">
                  <w:marLeft w:val="0"/>
                  <w:marRight w:val="0"/>
                  <w:marTop w:val="0"/>
                  <w:marBottom w:val="0"/>
                  <w:divBdr>
                    <w:top w:val="none" w:sz="0" w:space="0" w:color="auto"/>
                    <w:left w:val="none" w:sz="0" w:space="0" w:color="auto"/>
                    <w:bottom w:val="none" w:sz="0" w:space="0" w:color="auto"/>
                    <w:right w:val="none" w:sz="0" w:space="0" w:color="auto"/>
                  </w:divBdr>
                  <w:divsChild>
                    <w:div w:id="21396202">
                      <w:marLeft w:val="0"/>
                      <w:marRight w:val="0"/>
                      <w:marTop w:val="0"/>
                      <w:marBottom w:val="0"/>
                      <w:divBdr>
                        <w:top w:val="none" w:sz="0" w:space="0" w:color="auto"/>
                        <w:left w:val="none" w:sz="0" w:space="0" w:color="auto"/>
                        <w:bottom w:val="none" w:sz="0" w:space="0" w:color="auto"/>
                        <w:right w:val="none" w:sz="0" w:space="0" w:color="auto"/>
                      </w:divBdr>
                      <w:divsChild>
                        <w:div w:id="18865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4405">
      <w:bodyDiv w:val="1"/>
      <w:marLeft w:val="0"/>
      <w:marRight w:val="0"/>
      <w:marTop w:val="0"/>
      <w:marBottom w:val="0"/>
      <w:divBdr>
        <w:top w:val="none" w:sz="0" w:space="0" w:color="auto"/>
        <w:left w:val="none" w:sz="0" w:space="0" w:color="auto"/>
        <w:bottom w:val="none" w:sz="0" w:space="0" w:color="auto"/>
        <w:right w:val="none" w:sz="0" w:space="0" w:color="auto"/>
      </w:divBdr>
      <w:divsChild>
        <w:div w:id="755587889">
          <w:marLeft w:val="0"/>
          <w:marRight w:val="0"/>
          <w:marTop w:val="240"/>
          <w:marBottom w:val="480"/>
          <w:divBdr>
            <w:top w:val="none" w:sz="0" w:space="0" w:color="auto"/>
            <w:left w:val="none" w:sz="0" w:space="0" w:color="auto"/>
            <w:bottom w:val="none" w:sz="0" w:space="0" w:color="auto"/>
            <w:right w:val="none" w:sz="0" w:space="0" w:color="auto"/>
          </w:divBdr>
          <w:divsChild>
            <w:div w:id="300430224">
              <w:marLeft w:val="0"/>
              <w:marRight w:val="0"/>
              <w:marTop w:val="0"/>
              <w:marBottom w:val="0"/>
              <w:divBdr>
                <w:top w:val="none" w:sz="0" w:space="0" w:color="auto"/>
                <w:left w:val="none" w:sz="0" w:space="0" w:color="auto"/>
                <w:bottom w:val="none" w:sz="0" w:space="0" w:color="auto"/>
                <w:right w:val="none" w:sz="0" w:space="0" w:color="auto"/>
              </w:divBdr>
              <w:divsChild>
                <w:div w:id="638847874">
                  <w:marLeft w:val="0"/>
                  <w:marRight w:val="0"/>
                  <w:marTop w:val="0"/>
                  <w:marBottom w:val="0"/>
                  <w:divBdr>
                    <w:top w:val="none" w:sz="0" w:space="0" w:color="auto"/>
                    <w:left w:val="none" w:sz="0" w:space="0" w:color="auto"/>
                    <w:bottom w:val="none" w:sz="0" w:space="0" w:color="auto"/>
                    <w:right w:val="none" w:sz="0" w:space="0" w:color="auto"/>
                  </w:divBdr>
                  <w:divsChild>
                    <w:div w:id="692924550">
                      <w:marLeft w:val="0"/>
                      <w:marRight w:val="0"/>
                      <w:marTop w:val="0"/>
                      <w:marBottom w:val="0"/>
                      <w:divBdr>
                        <w:top w:val="none" w:sz="0" w:space="0" w:color="auto"/>
                        <w:left w:val="none" w:sz="0" w:space="0" w:color="auto"/>
                        <w:bottom w:val="none" w:sz="0" w:space="0" w:color="auto"/>
                        <w:right w:val="none" w:sz="0" w:space="0" w:color="auto"/>
                      </w:divBdr>
                      <w:divsChild>
                        <w:div w:id="141580178">
                          <w:marLeft w:val="0"/>
                          <w:marRight w:val="0"/>
                          <w:marTop w:val="0"/>
                          <w:marBottom w:val="0"/>
                          <w:divBdr>
                            <w:top w:val="none" w:sz="0" w:space="0" w:color="auto"/>
                            <w:left w:val="none" w:sz="0" w:space="0" w:color="auto"/>
                            <w:bottom w:val="none" w:sz="0" w:space="0" w:color="auto"/>
                            <w:right w:val="none" w:sz="0" w:space="0" w:color="auto"/>
                          </w:divBdr>
                          <w:divsChild>
                            <w:div w:id="1090158114">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4.jpg@01D30494.8E7883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[Document title][Document subtitle]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D38C1FDC724246A27161756D0D9C79" ma:contentTypeVersion="2" ma:contentTypeDescription="Create a new document." ma:contentTypeScope="" ma:versionID="926a8fa181224208abff2c8a52bbd709">
  <xsd:schema xmlns:xsd="http://www.w3.org/2001/XMLSchema" xmlns:xs="http://www.w3.org/2001/XMLSchema" xmlns:p="http://schemas.microsoft.com/office/2006/metadata/properties" xmlns:ns2="a98ed142-b570-4c9c-8578-21c71298d5d3" targetNamespace="http://schemas.microsoft.com/office/2006/metadata/properties" ma:root="true" ma:fieldsID="5f3876184094e48699720f12377c7e51" ns2:_="">
    <xsd:import namespace="a98ed142-b570-4c9c-8578-21c71298d5d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ed142-b570-4c9c-8578-21c71298d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CBDD958D25DDCB4F8619A60E93F1C431" ma:contentTypeVersion="13" ma:contentTypeDescription="Create a new document." ma:contentTypeScope="" ma:versionID="e556dbc5c27416c086ec60226e7220d4">
  <xsd:schema xmlns:xsd="http://www.w3.org/2001/XMLSchema" xmlns:xs="http://www.w3.org/2001/XMLSchema" xmlns:p="http://schemas.microsoft.com/office/2006/metadata/properties" xmlns:ns3="42c12ac9-11c7-4940-8875-ac5e02dfe72c" xmlns:ns4="60f89ba2-aa72-40ee-8cd4-866648a16fb4" targetNamespace="http://schemas.microsoft.com/office/2006/metadata/properties" ma:root="true" ma:fieldsID="8edaf05c43a10c7903dfc26bc34d95c7" ns3:_="" ns4:_="">
    <xsd:import namespace="42c12ac9-11c7-4940-8875-ac5e02dfe72c"/>
    <xsd:import namespace="60f89ba2-aa72-40ee-8cd4-866648a16f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12ac9-11c7-4940-8875-ac5e02dfe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f89ba2-aa72-40ee-8cd4-866648a16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Uni15</b:Tag>
    <b:SourceType>Report</b:SourceType>
    <b:Guid>{5651E418-9909-4284-A821-0275D0EE9D34}</b:Guid>
    <b:Author>
      <b:Author>
        <b:Corporate>United Nations</b:Corporate>
      </b:Author>
    </b:Author>
    <b:Title>Transforming Our World: The 2030 Agenda for Sustainable Development A/RES/70/1</b:Title>
    <b:Year>2015</b:Year>
    <b:Publisher>United Nations</b:Publisher>
    <b:URL>https://sustainabledevelopment.un.org/content/documents/21252030%20Agenda%20for%20Sustainable%20Development%20web.pdf</b:URL>
    <b:RefOrder>12</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EF1606-7802-4E83-932B-ECD00874D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ed142-b570-4c9c-8578-21c71298d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432E2-15CA-4961-917B-48658B887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12ac9-11c7-4940-8875-ac5e02dfe72c"/>
    <ds:schemaRef ds:uri="60f89ba2-aa72-40ee-8cd4-866648a16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83F16-3B87-4184-9381-EDC01D271AA2}">
  <ds:schemaRefs>
    <ds:schemaRef ds:uri="http://schemas.openxmlformats.org/officeDocument/2006/bibliography"/>
  </ds:schemaRefs>
</ds:datastoreItem>
</file>

<file path=customXml/itemProps5.xml><?xml version="1.0" encoding="utf-8"?>
<ds:datastoreItem xmlns:ds="http://schemas.openxmlformats.org/officeDocument/2006/customXml" ds:itemID="{418CC732-67ED-4F8C-A3D0-73D27ABC6EF0}">
  <ds:schemaRefs>
    <ds:schemaRef ds:uri="http://schemas.microsoft.com/sharepoint/v3/contenttype/forms"/>
  </ds:schemaRefs>
</ds:datastoreItem>
</file>

<file path=customXml/itemProps6.xml><?xml version="1.0" encoding="utf-8"?>
<ds:datastoreItem xmlns:ds="http://schemas.openxmlformats.org/officeDocument/2006/customXml" ds:itemID="{972528BB-5B9B-4FE4-A142-FCD9ABD948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9355</Words>
  <Characters>59406</Characters>
  <Application>Microsoft Office Word</Application>
  <DocSecurity>0</DocSecurity>
  <Lines>1006</Lines>
  <Paragraphs>520</Paragraphs>
  <ScaleCrop>false</ScaleCrop>
  <HeadingPairs>
    <vt:vector size="2" baseType="variant">
      <vt:variant>
        <vt:lpstr>Title</vt:lpstr>
      </vt:variant>
      <vt:variant>
        <vt:i4>1</vt:i4>
      </vt:variant>
    </vt:vector>
  </HeadingPairs>
  <TitlesOfParts>
    <vt:vector size="1" baseType="lpstr">
      <vt:lpstr/>
    </vt:vector>
  </TitlesOfParts>
  <Manager/>
  <Company>Dept Health And Ageing</Company>
  <LinksUpToDate>false</LinksUpToDate>
  <CharactersWithSpaces>68241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health standing committee (enHealth) – Strategic plan</dc:title>
  <dc:subject>Environmental health</dc:subject>
  <dc:creator>Environmental health standing committee (enHealth)</dc:creator>
  <cp:keywords>environmental health</cp:keywords>
  <dc:description/>
  <cp:lastModifiedBy>emma kennedy</cp:lastModifiedBy>
  <cp:revision>3</cp:revision>
  <cp:lastPrinted>2020-02-04T04:37:00Z</cp:lastPrinted>
  <dcterms:created xsi:type="dcterms:W3CDTF">2021-01-21T23:18:00Z</dcterms:created>
  <dcterms:modified xsi:type="dcterms:W3CDTF">2022-07-22T02:09:00Z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0x010100D2D38C1FDC724246A27161756D0D9C79</vt:lpwstr>
  </property>
</Properties>
</file>