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4FDBB" w14:textId="5C6D3AFC" w:rsidR="00D73D3F" w:rsidRDefault="00D73D3F" w:rsidP="00D73D3F">
      <w:pPr>
        <w:pStyle w:val="Title"/>
      </w:pPr>
      <w:r>
        <w:t>Electronic National Residential Medication Charts (eNRMC)</w:t>
      </w:r>
    </w:p>
    <w:p w14:paraId="28569992" w14:textId="25F9B451" w:rsidR="00D73D3F" w:rsidRPr="006C420E" w:rsidRDefault="00D73D3F" w:rsidP="00D73D3F">
      <w:pPr>
        <w:pStyle w:val="Subtitle"/>
        <w:rPr>
          <w:sz w:val="34"/>
          <w:szCs w:val="34"/>
        </w:rPr>
        <w:sectPr w:rsidR="00D73D3F" w:rsidRPr="006C420E" w:rsidSect="00C96221">
          <w:headerReference w:type="first" r:id="rId8"/>
          <w:pgSz w:w="11906" w:h="16838"/>
          <w:pgMar w:top="1701" w:right="1418" w:bottom="1418" w:left="1418" w:header="850" w:footer="709" w:gutter="0"/>
          <w:cols w:space="708"/>
          <w:titlePg/>
          <w:docGrid w:linePitch="360"/>
        </w:sectPr>
      </w:pPr>
      <w:r>
        <w:rPr>
          <w:sz w:val="34"/>
          <w:szCs w:val="34"/>
        </w:rPr>
        <w:t xml:space="preserve">State and Territory </w:t>
      </w:r>
      <w:r w:rsidR="0043341A">
        <w:rPr>
          <w:sz w:val="34"/>
          <w:szCs w:val="34"/>
        </w:rPr>
        <w:t xml:space="preserve">Software </w:t>
      </w:r>
      <w:r>
        <w:rPr>
          <w:sz w:val="34"/>
          <w:szCs w:val="34"/>
        </w:rPr>
        <w:t xml:space="preserve">Requirements </w:t>
      </w:r>
    </w:p>
    <w:p w14:paraId="429CE167" w14:textId="40D025B4" w:rsidR="00A85EB4" w:rsidRPr="006A7C4B" w:rsidRDefault="00D73D3F" w:rsidP="006A7C4B">
      <w:pPr>
        <w:pStyle w:val="Heading1"/>
        <w:spacing w:after="200"/>
        <w:rPr>
          <w:rStyle w:val="normaltextrun"/>
          <w:color w:val="358189"/>
          <w:sz w:val="32"/>
          <w:szCs w:val="32"/>
        </w:rPr>
      </w:pPr>
      <w:r w:rsidRPr="00D87DEC">
        <w:rPr>
          <w:color w:val="358189"/>
          <w:sz w:val="32"/>
          <w:szCs w:val="32"/>
        </w:rPr>
        <w:lastRenderedPageBreak/>
        <w:t xml:space="preserve">The Department of Health </w:t>
      </w:r>
      <w:r w:rsidR="0060240C" w:rsidRPr="00D87DEC">
        <w:rPr>
          <w:color w:val="358189"/>
          <w:sz w:val="32"/>
          <w:szCs w:val="32"/>
        </w:rPr>
        <w:t>is</w:t>
      </w:r>
      <w:r w:rsidRPr="00D87DEC">
        <w:rPr>
          <w:color w:val="358189"/>
          <w:sz w:val="32"/>
          <w:szCs w:val="32"/>
        </w:rPr>
        <w:t xml:space="preserve"> establishing an eNRMC Transitional Arrangement. The </w:t>
      </w:r>
      <w:r w:rsidRPr="00D87DEC">
        <w:rPr>
          <w:b/>
          <w:color w:val="358189"/>
          <w:sz w:val="32"/>
          <w:szCs w:val="32"/>
        </w:rPr>
        <w:t>Transitional Arrangement</w:t>
      </w:r>
      <w:r w:rsidRPr="00D87DEC">
        <w:rPr>
          <w:color w:val="358189"/>
          <w:sz w:val="32"/>
          <w:szCs w:val="32"/>
        </w:rPr>
        <w:t xml:space="preserve"> will allow all Residential Aged Care Services to begin adopting and benefiting from eNRMC products. </w:t>
      </w:r>
    </w:p>
    <w:p w14:paraId="7E00B392" w14:textId="46BA83D2" w:rsidR="00D73D3F" w:rsidRPr="00D87DEC" w:rsidRDefault="00D73D3F" w:rsidP="00D87DEC">
      <w:pPr>
        <w:spacing w:before="120" w:after="120"/>
        <w:rPr>
          <w:rStyle w:val="normaltextrun"/>
          <w:rFonts w:eastAsiaTheme="majorEastAsia"/>
          <w:color w:val="000000" w:themeColor="text1"/>
        </w:rPr>
      </w:pPr>
      <w:r w:rsidRPr="00D87DEC">
        <w:rPr>
          <w:rStyle w:val="normaltextrun"/>
          <w:rFonts w:eastAsiaTheme="majorEastAsia"/>
          <w:color w:val="000000" w:themeColor="text1"/>
        </w:rPr>
        <w:t xml:space="preserve">The Transitional Arrangement allows RACSs to benefit from the use of eNRMC products that meet the technical requirements of Conformance Profile version 3.0 (CPv3.0), while Prescription Delivery Services and dispensing software vendors continue to work towards conformance with CPv3.0. EMM vendors will need to apply to the </w:t>
      </w:r>
      <w:r w:rsidR="004C2106" w:rsidRPr="00D87DEC">
        <w:rPr>
          <w:rStyle w:val="normaltextrun"/>
          <w:rFonts w:eastAsiaTheme="majorEastAsia"/>
          <w:color w:val="000000" w:themeColor="text1"/>
        </w:rPr>
        <w:t xml:space="preserve">Australian Digital Health </w:t>
      </w:r>
      <w:r w:rsidRPr="00D87DEC">
        <w:rPr>
          <w:rStyle w:val="normaltextrun"/>
          <w:rFonts w:eastAsiaTheme="majorEastAsia"/>
          <w:color w:val="000000" w:themeColor="text1"/>
        </w:rPr>
        <w:t>Agency to have their product approved as a Transitional eNRMC Product which can then be used under the Transitional Arrangement.</w:t>
      </w:r>
    </w:p>
    <w:p w14:paraId="7BF5E4DE" w14:textId="6E8D8880" w:rsidR="00D73D3F" w:rsidRPr="00D87DEC" w:rsidRDefault="00D73D3F" w:rsidP="00D87DEC">
      <w:pPr>
        <w:spacing w:before="120" w:after="120"/>
        <w:rPr>
          <w:rStyle w:val="normaltextrun"/>
          <w:rFonts w:eastAsiaTheme="majorEastAsia"/>
          <w:color w:val="000000" w:themeColor="text1"/>
        </w:rPr>
      </w:pPr>
      <w:r w:rsidRPr="00D87DEC">
        <w:rPr>
          <w:rStyle w:val="normaltextrun"/>
          <w:rFonts w:eastAsiaTheme="majorEastAsia"/>
          <w:color w:val="000000" w:themeColor="text1"/>
        </w:rPr>
        <w:t>Transitional Arrangement will be enacted through an amendment to the eNRMC Trial Legislation: National Health (Electronic National Residential Medication Chart Trial) Special Arrangement 2018. The legislation allows RACSs to adopt Transitional eNRMC Products under the Transitional Arrangement. Although this federal legislation allows RACSs to participate Australia-wide, these services must also meet any state or territory legislative requirements if they wish to participate.</w:t>
      </w:r>
    </w:p>
    <w:p w14:paraId="6FD6887A" w14:textId="3AE06706" w:rsidR="00D73D3F" w:rsidRPr="00D87DEC" w:rsidRDefault="00D73D3F" w:rsidP="006A7C4B">
      <w:pPr>
        <w:spacing w:before="120" w:after="300"/>
        <w:rPr>
          <w:rStyle w:val="normaltextrun"/>
          <w:rFonts w:eastAsiaTheme="majorEastAsia"/>
          <w:color w:val="000000" w:themeColor="text1"/>
        </w:rPr>
      </w:pPr>
      <w:r w:rsidRPr="00D87DEC">
        <w:rPr>
          <w:rStyle w:val="normaltextrun"/>
          <w:rFonts w:eastAsiaTheme="majorEastAsia"/>
          <w:color w:val="000000" w:themeColor="text1"/>
        </w:rPr>
        <w:t>When prescribers use a Transitional eNRMC product for prescriptions, a paper copy of the prescription is not required.</w:t>
      </w:r>
      <w:bookmarkStart w:id="0" w:name="_Hlk106351307"/>
    </w:p>
    <w:bookmarkEnd w:id="0"/>
    <w:p w14:paraId="05408537" w14:textId="4DDD14C4" w:rsidR="00D73D3F" w:rsidRDefault="00D73D3F" w:rsidP="006A7C4B">
      <w:pPr>
        <w:pStyle w:val="Heading1"/>
        <w:spacing w:after="240"/>
      </w:pPr>
      <w:r>
        <w:t xml:space="preserve">State and </w:t>
      </w:r>
      <w:r w:rsidR="004C2106">
        <w:t>T</w:t>
      </w:r>
      <w:r>
        <w:t xml:space="preserve">erritory </w:t>
      </w:r>
      <w:r w:rsidR="0043341A">
        <w:t xml:space="preserve">Software </w:t>
      </w:r>
      <w:r w:rsidR="004C2106">
        <w:t>Requirements</w:t>
      </w:r>
    </w:p>
    <w:p w14:paraId="78080685" w14:textId="77777777" w:rsidR="00D73D3F" w:rsidRPr="00FD7F24" w:rsidRDefault="00D73D3F" w:rsidP="00D87DEC">
      <w:pPr>
        <w:pStyle w:val="Heading2"/>
        <w:rPr>
          <w:rStyle w:val="BoldAllCaps"/>
          <w:bCs/>
          <w:caps w:val="0"/>
        </w:rPr>
      </w:pPr>
      <w:r w:rsidRPr="00FD7F24">
        <w:rPr>
          <w:rStyle w:val="BoldAllCaps"/>
          <w:bCs/>
          <w:caps w:val="0"/>
        </w:rPr>
        <w:t>Australian Capital Territory (ACT)</w:t>
      </w:r>
    </w:p>
    <w:p w14:paraId="29B59C45" w14:textId="3037D1CC" w:rsidR="006B6CCA" w:rsidRDefault="006B6CCA" w:rsidP="006B6CCA">
      <w:pPr>
        <w:pStyle w:val="Paragraphtext"/>
        <w:rPr>
          <w:rStyle w:val="normaltextrun"/>
          <w:rFonts w:eastAsiaTheme="majorEastAsia" w:cs="Arial"/>
          <w:sz w:val="22"/>
          <w:szCs w:val="22"/>
        </w:rPr>
      </w:pPr>
      <w:r w:rsidRPr="005205D4">
        <w:rPr>
          <w:rStyle w:val="normaltextrun"/>
          <w:rFonts w:eastAsiaTheme="majorEastAsia" w:cs="Arial"/>
          <w:sz w:val="22"/>
          <w:szCs w:val="22"/>
        </w:rPr>
        <w:t xml:space="preserve">No additional requirements for </w:t>
      </w:r>
      <w:r>
        <w:rPr>
          <w:rStyle w:val="normaltextrun"/>
          <w:rFonts w:eastAsiaTheme="majorEastAsia" w:cs="Arial"/>
          <w:sz w:val="22"/>
          <w:szCs w:val="22"/>
        </w:rPr>
        <w:t>eNRMC products</w:t>
      </w:r>
      <w:r w:rsidRPr="005205D4">
        <w:rPr>
          <w:rStyle w:val="normaltextrun"/>
          <w:rFonts w:eastAsiaTheme="majorEastAsia" w:cs="Arial"/>
          <w:sz w:val="22"/>
          <w:szCs w:val="22"/>
        </w:rPr>
        <w:t>.</w:t>
      </w:r>
    </w:p>
    <w:p w14:paraId="7BCC454B" w14:textId="6276EC6B" w:rsidR="00D87DEC" w:rsidRPr="006A7C4B" w:rsidRDefault="001F204F" w:rsidP="006A7C4B">
      <w:pPr>
        <w:pStyle w:val="Paragraphtext"/>
        <w:spacing w:afterLines="100" w:after="240"/>
        <w:rPr>
          <w:rFonts w:eastAsiaTheme="majorEastAsia" w:cs="Arial"/>
          <w:sz w:val="22"/>
          <w:szCs w:val="22"/>
        </w:rPr>
      </w:pPr>
      <w:r>
        <w:rPr>
          <w:rStyle w:val="normaltextrun"/>
          <w:szCs w:val="22"/>
        </w:rPr>
        <w:t xml:space="preserve">Please direct any enquiries to </w:t>
      </w:r>
      <w:hyperlink r:id="rId9" w:history="1">
        <w:r w:rsidR="006B6CCA" w:rsidRPr="00B41746">
          <w:rPr>
            <w:rStyle w:val="Hyperlink"/>
            <w:rFonts w:cs="Arial"/>
            <w:szCs w:val="22"/>
          </w:rPr>
          <w:t>CanberraScript@act.gov.au</w:t>
        </w:r>
      </w:hyperlink>
      <w:r w:rsidR="006B6CCA">
        <w:rPr>
          <w:rStyle w:val="normaltextrun"/>
          <w:rFonts w:cs="Arial"/>
          <w:szCs w:val="22"/>
        </w:rPr>
        <w:t xml:space="preserve"> or </w:t>
      </w:r>
      <w:hyperlink r:id="rId10" w:history="1">
        <w:r w:rsidR="006B6CCA" w:rsidRPr="00B41746">
          <w:rPr>
            <w:rStyle w:val="Hyperlink"/>
            <w:rFonts w:cs="Arial"/>
            <w:szCs w:val="22"/>
          </w:rPr>
          <w:t>PSS@act.gov.au</w:t>
        </w:r>
      </w:hyperlink>
      <w:r w:rsidR="006B6CCA">
        <w:rPr>
          <w:rStyle w:val="normaltextrun"/>
          <w:rFonts w:cs="Arial"/>
          <w:szCs w:val="22"/>
        </w:rPr>
        <w:t xml:space="preserve">. </w:t>
      </w:r>
    </w:p>
    <w:p w14:paraId="5D9DB238" w14:textId="3B336073" w:rsidR="00D73D3F" w:rsidRPr="00FD7F24" w:rsidRDefault="00D73D3F" w:rsidP="00D73D3F">
      <w:pPr>
        <w:pStyle w:val="Heading2"/>
        <w:rPr>
          <w:rStyle w:val="BoldAllCaps"/>
          <w:bCs/>
          <w:caps w:val="0"/>
        </w:rPr>
      </w:pPr>
      <w:r w:rsidRPr="00FD7F24">
        <w:rPr>
          <w:rStyle w:val="BoldAllCaps"/>
          <w:bCs/>
          <w:caps w:val="0"/>
        </w:rPr>
        <w:t>New South Wales (NSW)</w:t>
      </w:r>
    </w:p>
    <w:p w14:paraId="75EAC056" w14:textId="668B3C04" w:rsidR="00881797" w:rsidRPr="005205D4" w:rsidRDefault="00697F6D" w:rsidP="00D87DEC">
      <w:pPr>
        <w:spacing w:before="120" w:after="120"/>
        <w:rPr>
          <w:rStyle w:val="normaltextrun"/>
          <w:rFonts w:eastAsiaTheme="majorEastAsia"/>
          <w:color w:val="000000" w:themeColor="text1"/>
          <w:szCs w:val="22"/>
        </w:rPr>
      </w:pPr>
      <w:r w:rsidRPr="005205D4">
        <w:rPr>
          <w:rStyle w:val="normaltextrun"/>
          <w:rFonts w:eastAsiaTheme="majorEastAsia"/>
          <w:color w:val="000000" w:themeColor="text1"/>
          <w:szCs w:val="22"/>
        </w:rPr>
        <w:t>No additional requirements for software during the period of the Transitional Arrangement.</w:t>
      </w:r>
    </w:p>
    <w:p w14:paraId="318B564A" w14:textId="0758A828" w:rsidR="00EF7C87" w:rsidRPr="006A7C4B" w:rsidRDefault="00EF7C87" w:rsidP="006A7C4B">
      <w:pPr>
        <w:spacing w:before="120" w:afterLines="100" w:after="240"/>
        <w:rPr>
          <w:rStyle w:val="BoldAllCaps"/>
          <w:rFonts w:eastAsiaTheme="minorHAnsi" w:cs="Arial"/>
          <w:b w:val="0"/>
          <w:caps w:val="0"/>
          <w:color w:val="auto"/>
          <w:szCs w:val="22"/>
        </w:rPr>
      </w:pPr>
      <w:r w:rsidRPr="005205D4">
        <w:rPr>
          <w:rStyle w:val="normaltextrun"/>
          <w:rFonts w:eastAsiaTheme="majorEastAsia"/>
          <w:color w:val="000000" w:themeColor="text1"/>
          <w:szCs w:val="22"/>
        </w:rPr>
        <w:t>Further information on the NSW Electronic National Residential Medication Chart trials can be found on the</w:t>
      </w:r>
      <w:r w:rsidRPr="005205D4">
        <w:rPr>
          <w:rFonts w:eastAsiaTheme="minorHAnsi" w:cs="Arial"/>
          <w:szCs w:val="22"/>
        </w:rPr>
        <w:t xml:space="preserve"> </w:t>
      </w:r>
      <w:hyperlink r:id="rId11" w:anchor="enmrc" w:history="1">
        <w:r w:rsidRPr="005205D4">
          <w:rPr>
            <w:rStyle w:val="Hyperlink"/>
            <w:rFonts w:eastAsiaTheme="minorHAnsi" w:cs="Arial"/>
            <w:szCs w:val="22"/>
          </w:rPr>
          <w:t>NSW Health website.</w:t>
        </w:r>
      </w:hyperlink>
      <w:r w:rsidRPr="005205D4">
        <w:rPr>
          <w:rFonts w:eastAsiaTheme="minorHAnsi" w:cs="Arial"/>
          <w:szCs w:val="22"/>
        </w:rPr>
        <w:t xml:space="preserve"> </w:t>
      </w:r>
    </w:p>
    <w:p w14:paraId="46AE8613" w14:textId="68180FA5" w:rsidR="00D73D3F" w:rsidRPr="00FD7F24" w:rsidRDefault="00D73D3F" w:rsidP="00D87DEC">
      <w:pPr>
        <w:pStyle w:val="Heading2"/>
        <w:rPr>
          <w:rStyle w:val="BoldAllCaps"/>
          <w:bCs/>
          <w:caps w:val="0"/>
        </w:rPr>
      </w:pPr>
      <w:r w:rsidRPr="00FD7F24">
        <w:rPr>
          <w:rStyle w:val="BoldAllCaps"/>
          <w:bCs/>
          <w:caps w:val="0"/>
        </w:rPr>
        <w:t>Northern Territory (NT)</w:t>
      </w:r>
    </w:p>
    <w:p w14:paraId="535E2CE3" w14:textId="77777777" w:rsidR="007746AC" w:rsidRPr="005205D4" w:rsidRDefault="007746AC" w:rsidP="007746AC">
      <w:pPr>
        <w:spacing w:before="120" w:after="120"/>
        <w:rPr>
          <w:rStyle w:val="normaltextrun"/>
          <w:rFonts w:eastAsiaTheme="majorEastAsia"/>
          <w:color w:val="000000" w:themeColor="text1"/>
          <w:szCs w:val="22"/>
        </w:rPr>
      </w:pPr>
      <w:r w:rsidRPr="005205D4">
        <w:rPr>
          <w:rStyle w:val="normaltextrun"/>
          <w:rFonts w:eastAsiaTheme="majorEastAsia"/>
          <w:color w:val="000000" w:themeColor="text1"/>
          <w:szCs w:val="22"/>
        </w:rPr>
        <w:t xml:space="preserve">eNRMC products are expected to meet the requirements of the contents of administration orders under Section 13 of the Medicines, Poisons and Therapeutic Goods Regulations 2014 </w:t>
      </w:r>
      <w:proofErr w:type="spellStart"/>
      <w:r w:rsidRPr="005205D4">
        <w:rPr>
          <w:rStyle w:val="normaltextrun"/>
          <w:rFonts w:eastAsiaTheme="majorEastAsia"/>
          <w:color w:val="000000" w:themeColor="text1"/>
          <w:szCs w:val="22"/>
        </w:rPr>
        <w:t>i.e</w:t>
      </w:r>
      <w:proofErr w:type="spellEnd"/>
      <w:r w:rsidRPr="005205D4">
        <w:rPr>
          <w:rStyle w:val="normaltextrun"/>
          <w:rFonts w:eastAsiaTheme="majorEastAsia"/>
          <w:color w:val="000000" w:themeColor="text1"/>
          <w:szCs w:val="22"/>
        </w:rPr>
        <w:t>:</w:t>
      </w:r>
    </w:p>
    <w:p w14:paraId="342B410D" w14:textId="77777777" w:rsidR="00881797" w:rsidRPr="005205D4" w:rsidRDefault="007746AC" w:rsidP="0085496A">
      <w:pPr>
        <w:pStyle w:val="ListParagraph"/>
        <w:numPr>
          <w:ilvl w:val="0"/>
          <w:numId w:val="10"/>
        </w:numPr>
        <w:spacing w:before="120" w:after="120"/>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state the name of the authorised prescriber issuing it; and</w:t>
      </w:r>
    </w:p>
    <w:p w14:paraId="1D34782A" w14:textId="55B5C4CE" w:rsidR="00881797" w:rsidRPr="005205D4" w:rsidRDefault="007746AC" w:rsidP="00EF51E4">
      <w:pPr>
        <w:pStyle w:val="ListParagraph"/>
        <w:numPr>
          <w:ilvl w:val="0"/>
          <w:numId w:val="10"/>
        </w:numPr>
        <w:spacing w:before="120" w:after="120"/>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state the date of issue and be signed by the authorised prescriber; and</w:t>
      </w:r>
    </w:p>
    <w:p w14:paraId="175BFB21" w14:textId="77777777" w:rsidR="00881797" w:rsidRPr="005205D4" w:rsidRDefault="007746AC" w:rsidP="00A73D94">
      <w:pPr>
        <w:pStyle w:val="ListParagraph"/>
        <w:numPr>
          <w:ilvl w:val="0"/>
          <w:numId w:val="10"/>
        </w:numPr>
        <w:spacing w:before="120" w:after="120"/>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state the name, address and, if applicable, hospital registration number of the person to whom the substance is to be administered; and</w:t>
      </w:r>
    </w:p>
    <w:p w14:paraId="62811404" w14:textId="77777777" w:rsidR="00881797" w:rsidRPr="005205D4" w:rsidRDefault="007746AC" w:rsidP="000820EC">
      <w:pPr>
        <w:pStyle w:val="ListParagraph"/>
        <w:numPr>
          <w:ilvl w:val="0"/>
          <w:numId w:val="10"/>
        </w:numPr>
        <w:spacing w:before="120" w:after="120"/>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 xml:space="preserve">state the name of the substance, and the dose, </w:t>
      </w:r>
      <w:proofErr w:type="gramStart"/>
      <w:r w:rsidRPr="005205D4">
        <w:rPr>
          <w:rStyle w:val="normaltextrun"/>
          <w:rFonts w:ascii="Arial" w:eastAsiaTheme="majorEastAsia" w:hAnsi="Arial" w:cs="Times New Roman"/>
          <w:color w:val="000000" w:themeColor="text1"/>
          <w:sz w:val="22"/>
          <w:szCs w:val="22"/>
          <w:lang w:eastAsia="en-US"/>
        </w:rPr>
        <w:t>form</w:t>
      </w:r>
      <w:proofErr w:type="gramEnd"/>
      <w:r w:rsidRPr="005205D4">
        <w:rPr>
          <w:rStyle w:val="normaltextrun"/>
          <w:rFonts w:ascii="Arial" w:eastAsiaTheme="majorEastAsia" w:hAnsi="Arial" w:cs="Times New Roman"/>
          <w:color w:val="000000" w:themeColor="text1"/>
          <w:sz w:val="22"/>
          <w:szCs w:val="22"/>
          <w:lang w:eastAsia="en-US"/>
        </w:rPr>
        <w:t xml:space="preserve"> and strength, to be administered; and</w:t>
      </w:r>
    </w:p>
    <w:p w14:paraId="7F0447B8" w14:textId="77777777" w:rsidR="00881797" w:rsidRPr="005205D4" w:rsidRDefault="007746AC" w:rsidP="00E64FC1">
      <w:pPr>
        <w:pStyle w:val="ListParagraph"/>
        <w:numPr>
          <w:ilvl w:val="0"/>
          <w:numId w:val="10"/>
        </w:numPr>
        <w:spacing w:before="120" w:after="120"/>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 xml:space="preserve">state the route, </w:t>
      </w:r>
      <w:proofErr w:type="gramStart"/>
      <w:r w:rsidRPr="005205D4">
        <w:rPr>
          <w:rStyle w:val="normaltextrun"/>
          <w:rFonts w:ascii="Arial" w:eastAsiaTheme="majorEastAsia" w:hAnsi="Arial" w:cs="Times New Roman"/>
          <w:color w:val="000000" w:themeColor="text1"/>
          <w:sz w:val="22"/>
          <w:szCs w:val="22"/>
          <w:lang w:eastAsia="en-US"/>
        </w:rPr>
        <w:t>frequency</w:t>
      </w:r>
      <w:proofErr w:type="gramEnd"/>
      <w:r w:rsidRPr="005205D4">
        <w:rPr>
          <w:rStyle w:val="normaltextrun"/>
          <w:rFonts w:ascii="Arial" w:eastAsiaTheme="majorEastAsia" w:hAnsi="Arial" w:cs="Times New Roman"/>
          <w:color w:val="000000" w:themeColor="text1"/>
          <w:sz w:val="22"/>
          <w:szCs w:val="22"/>
          <w:lang w:eastAsia="en-US"/>
        </w:rPr>
        <w:t xml:space="preserve"> and period of administration; and</w:t>
      </w:r>
    </w:p>
    <w:p w14:paraId="602565E4" w14:textId="36580300" w:rsidR="007746AC" w:rsidRPr="006A7C4B" w:rsidRDefault="00881797" w:rsidP="007746AC">
      <w:pPr>
        <w:pStyle w:val="ListParagraph"/>
        <w:numPr>
          <w:ilvl w:val="0"/>
          <w:numId w:val="10"/>
        </w:numPr>
        <w:spacing w:before="120" w:after="120"/>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s</w:t>
      </w:r>
      <w:r w:rsidR="007746AC" w:rsidRPr="005205D4">
        <w:rPr>
          <w:rStyle w:val="normaltextrun"/>
          <w:rFonts w:ascii="Arial" w:eastAsiaTheme="majorEastAsia" w:hAnsi="Arial" w:cs="Times New Roman"/>
          <w:color w:val="000000" w:themeColor="text1"/>
          <w:sz w:val="22"/>
          <w:szCs w:val="22"/>
          <w:lang w:eastAsia="en-US"/>
        </w:rPr>
        <w:t>tate the start date for administration, if different from the date the order is issued.</w:t>
      </w:r>
    </w:p>
    <w:p w14:paraId="15C2C87A" w14:textId="77777777" w:rsidR="007746AC" w:rsidRPr="005205D4" w:rsidRDefault="007746AC" w:rsidP="007746AC">
      <w:pPr>
        <w:spacing w:before="120" w:after="120"/>
        <w:rPr>
          <w:rStyle w:val="normaltextrun"/>
          <w:rFonts w:eastAsiaTheme="majorEastAsia"/>
          <w:color w:val="000000" w:themeColor="text1"/>
          <w:szCs w:val="22"/>
        </w:rPr>
      </w:pPr>
      <w:r w:rsidRPr="005205D4">
        <w:rPr>
          <w:rStyle w:val="normaltextrun"/>
          <w:rFonts w:eastAsiaTheme="majorEastAsia"/>
          <w:color w:val="000000" w:themeColor="text1"/>
          <w:szCs w:val="22"/>
        </w:rPr>
        <w:lastRenderedPageBreak/>
        <w:t>If the eNRMC product generates a prescription for a Schedule 8 medicine:</w:t>
      </w:r>
    </w:p>
    <w:p w14:paraId="1051A1A7" w14:textId="77777777" w:rsidR="00881797" w:rsidRPr="005205D4" w:rsidRDefault="007746AC" w:rsidP="007746AC">
      <w:pPr>
        <w:pStyle w:val="ListParagraph"/>
        <w:numPr>
          <w:ilvl w:val="0"/>
          <w:numId w:val="10"/>
        </w:numPr>
        <w:spacing w:before="120" w:after="120"/>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the DOB of the patient</w:t>
      </w:r>
    </w:p>
    <w:p w14:paraId="3F692501" w14:textId="1C6016D0" w:rsidR="00D87DEC" w:rsidRPr="006A7C4B" w:rsidRDefault="007746AC" w:rsidP="006A7C4B">
      <w:pPr>
        <w:pStyle w:val="ListParagraph"/>
        <w:numPr>
          <w:ilvl w:val="0"/>
          <w:numId w:val="10"/>
        </w:numPr>
        <w:spacing w:before="120" w:after="300"/>
        <w:ind w:left="714" w:hanging="357"/>
        <w:rPr>
          <w:rStyle w:val="normaltextrun"/>
          <w:rFonts w:ascii="Arial" w:eastAsiaTheme="majorEastAsia" w:hAnsi="Arial" w:cs="Times New Roman"/>
          <w:color w:val="000000" w:themeColor="text1"/>
          <w:sz w:val="22"/>
          <w:szCs w:val="22"/>
          <w:lang w:eastAsia="en-US"/>
        </w:rPr>
      </w:pPr>
      <w:r w:rsidRPr="005205D4">
        <w:rPr>
          <w:rStyle w:val="normaltextrun"/>
          <w:rFonts w:ascii="Arial" w:eastAsiaTheme="majorEastAsia" w:hAnsi="Arial" w:cs="Times New Roman"/>
          <w:color w:val="000000" w:themeColor="text1"/>
          <w:sz w:val="22"/>
          <w:szCs w:val="22"/>
          <w:lang w:eastAsia="en-US"/>
        </w:rPr>
        <w:t xml:space="preserve">the quantity must be in words and numbers </w:t>
      </w:r>
      <w:proofErr w:type="spellStart"/>
      <w:r w:rsidRPr="005205D4">
        <w:rPr>
          <w:rStyle w:val="normaltextrun"/>
          <w:rFonts w:ascii="Arial" w:eastAsiaTheme="majorEastAsia" w:hAnsi="Arial" w:cs="Times New Roman"/>
          <w:color w:val="000000" w:themeColor="text1"/>
          <w:sz w:val="22"/>
          <w:szCs w:val="22"/>
          <w:lang w:eastAsia="en-US"/>
        </w:rPr>
        <w:t>i.e</w:t>
      </w:r>
      <w:proofErr w:type="spellEnd"/>
      <w:r w:rsidRPr="005205D4">
        <w:rPr>
          <w:rStyle w:val="normaltextrun"/>
          <w:rFonts w:ascii="Arial" w:eastAsiaTheme="majorEastAsia" w:hAnsi="Arial" w:cs="Times New Roman"/>
          <w:color w:val="000000" w:themeColor="text1"/>
          <w:sz w:val="22"/>
          <w:szCs w:val="22"/>
          <w:lang w:eastAsia="en-US"/>
        </w:rPr>
        <w:t xml:space="preserve"> 10 (TEN) tablets</w:t>
      </w:r>
    </w:p>
    <w:p w14:paraId="7C38F129" w14:textId="22FDE506" w:rsidR="00D73D3F" w:rsidRPr="00FD7F24" w:rsidRDefault="00D73D3F" w:rsidP="00D73D3F">
      <w:pPr>
        <w:pStyle w:val="Heading2"/>
        <w:rPr>
          <w:rStyle w:val="BoldAllCaps"/>
          <w:bCs/>
          <w:caps w:val="0"/>
        </w:rPr>
      </w:pPr>
      <w:r w:rsidRPr="00FD7F24">
        <w:rPr>
          <w:rStyle w:val="BoldAllCaps"/>
          <w:bCs/>
          <w:caps w:val="0"/>
        </w:rPr>
        <w:t>Queensland</w:t>
      </w:r>
      <w:r w:rsidR="00FD7F24">
        <w:rPr>
          <w:rStyle w:val="BoldAllCaps"/>
          <w:bCs/>
          <w:caps w:val="0"/>
        </w:rPr>
        <w:t xml:space="preserve"> (QLD)</w:t>
      </w:r>
    </w:p>
    <w:p w14:paraId="1560760C" w14:textId="21E41091" w:rsidR="00D87DEC" w:rsidRPr="006A7C4B" w:rsidRDefault="007746AC" w:rsidP="006A7C4B">
      <w:pPr>
        <w:spacing w:before="120" w:after="300"/>
        <w:rPr>
          <w:rStyle w:val="normaltextrun"/>
          <w:rFonts w:eastAsiaTheme="majorEastAsia"/>
          <w:color w:val="000000" w:themeColor="text1"/>
          <w:szCs w:val="22"/>
        </w:rPr>
      </w:pPr>
      <w:r w:rsidRPr="005205D4">
        <w:rPr>
          <w:rStyle w:val="normaltextrun"/>
          <w:rFonts w:eastAsiaTheme="majorEastAsia"/>
          <w:color w:val="000000" w:themeColor="text1"/>
          <w:szCs w:val="22"/>
        </w:rPr>
        <w:t>Must comply with provisions of Queensland Health Departmental Standard –</w:t>
      </w:r>
      <w:r w:rsidRPr="005205D4">
        <w:rPr>
          <w:rStyle w:val="normaltextrun"/>
          <w:rFonts w:eastAsiaTheme="minorHAnsi"/>
          <w:color w:val="000000"/>
          <w:szCs w:val="22"/>
        </w:rPr>
        <w:t xml:space="preserve"> </w:t>
      </w:r>
      <w:hyperlink r:id="rId12" w:history="1">
        <w:r w:rsidRPr="005205D4">
          <w:rPr>
            <w:rStyle w:val="Hyperlink"/>
            <w:rFonts w:eastAsiaTheme="minorHAnsi"/>
            <w:szCs w:val="22"/>
          </w:rPr>
          <w:t>Requirements for an electronic prescription management system</w:t>
        </w:r>
      </w:hyperlink>
      <w:r w:rsidRPr="005205D4">
        <w:rPr>
          <w:rStyle w:val="normaltextrun"/>
          <w:rFonts w:eastAsiaTheme="minorHAnsi"/>
          <w:color w:val="000000"/>
          <w:szCs w:val="22"/>
        </w:rPr>
        <w:t xml:space="preserve"> </w:t>
      </w:r>
      <w:r w:rsidRPr="005205D4">
        <w:rPr>
          <w:rStyle w:val="normaltextrun"/>
          <w:rFonts w:eastAsiaTheme="majorEastAsia"/>
          <w:color w:val="000000" w:themeColor="text1"/>
          <w:szCs w:val="22"/>
        </w:rPr>
        <w:t>.</w:t>
      </w:r>
    </w:p>
    <w:p w14:paraId="6A89ED22" w14:textId="22BA5FE4" w:rsidR="00D73D3F" w:rsidRPr="00FD7F24" w:rsidRDefault="00D73D3F" w:rsidP="00D87DEC">
      <w:pPr>
        <w:pStyle w:val="Heading2"/>
        <w:rPr>
          <w:rStyle w:val="BoldAllCaps"/>
          <w:bCs/>
          <w:caps w:val="0"/>
        </w:rPr>
      </w:pPr>
      <w:r w:rsidRPr="00FD7F24">
        <w:rPr>
          <w:rStyle w:val="BoldAllCaps"/>
          <w:bCs/>
          <w:caps w:val="0"/>
        </w:rPr>
        <w:t>South Australia</w:t>
      </w:r>
      <w:r w:rsidR="00FD7F24">
        <w:rPr>
          <w:rStyle w:val="BoldAllCaps"/>
          <w:bCs/>
          <w:caps w:val="0"/>
        </w:rPr>
        <w:t xml:space="preserve"> (SA)</w:t>
      </w:r>
    </w:p>
    <w:p w14:paraId="363F4BF1" w14:textId="77777777" w:rsidR="007746AC" w:rsidRPr="005205D4" w:rsidRDefault="007746AC" w:rsidP="00D87DEC">
      <w:pPr>
        <w:pStyle w:val="Paragraphtext"/>
        <w:rPr>
          <w:rStyle w:val="normaltextrun"/>
          <w:rFonts w:eastAsiaTheme="majorEastAsia"/>
          <w:sz w:val="22"/>
          <w:szCs w:val="22"/>
        </w:rPr>
      </w:pPr>
      <w:r w:rsidRPr="005205D4">
        <w:rPr>
          <w:rStyle w:val="normaltextrun"/>
          <w:rFonts w:eastAsiaTheme="majorEastAsia"/>
          <w:sz w:val="22"/>
          <w:szCs w:val="22"/>
        </w:rPr>
        <w:t>In South Australia electronic medication chart prescriptions written in accordance with the National Health (Electronic National Residential Medication Chart Trial) Special Arrangement 2018 (Special Arrangement) for purposes of the Commonwealth’s trial of electronic residential medication management systems in residential aged care facilities will be taken to be medication chart prescriptions written in accordance with the National Health (Pharmaceutical Benefits) Regulations 2017, and therefore comply with legislative requirements in South Australia’s Controlled Substances (Poisons) Regulations 2011.</w:t>
      </w:r>
    </w:p>
    <w:p w14:paraId="044212CD" w14:textId="2F676F65" w:rsidR="007746AC" w:rsidRPr="005205D4" w:rsidRDefault="007746AC" w:rsidP="00D87DEC">
      <w:pPr>
        <w:pStyle w:val="Paragraphtext"/>
        <w:rPr>
          <w:rStyle w:val="normaltextrun"/>
          <w:rFonts w:eastAsiaTheme="majorEastAsia"/>
          <w:sz w:val="22"/>
          <w:szCs w:val="22"/>
        </w:rPr>
      </w:pPr>
      <w:r w:rsidRPr="005205D4">
        <w:rPr>
          <w:rStyle w:val="normaltextrun"/>
          <w:rFonts w:eastAsiaTheme="majorEastAsia"/>
          <w:sz w:val="22"/>
          <w:szCs w:val="22"/>
        </w:rPr>
        <w:t>Under the eNRMC Trial arrangements, a Transitional eNRMC can be used to generate a legal PBS prescription for prescribing, dispensing and administration of PBS (and non- PBS) medicines without requiring a duplicate paper copy. The Australian Digital Health Agency is fast tracking the adoption of eNRMC in residential aged care facilities via the eNRMC ‘Transitional Arrangement’, which is made under the Special Arrangement and commences on 1 July 2022.</w:t>
      </w:r>
    </w:p>
    <w:p w14:paraId="7A3F6EB8" w14:textId="77777777" w:rsidR="007746AC" w:rsidRPr="005205D4" w:rsidRDefault="007746AC" w:rsidP="00D87DEC">
      <w:pPr>
        <w:pStyle w:val="Paragraphtext"/>
        <w:rPr>
          <w:rStyle w:val="normaltextrun"/>
          <w:rFonts w:eastAsiaTheme="majorEastAsia"/>
          <w:sz w:val="22"/>
          <w:szCs w:val="22"/>
        </w:rPr>
      </w:pPr>
      <w:r w:rsidRPr="005205D4">
        <w:rPr>
          <w:rStyle w:val="normaltextrun"/>
          <w:rFonts w:eastAsiaTheme="majorEastAsia"/>
          <w:sz w:val="22"/>
          <w:szCs w:val="22"/>
        </w:rPr>
        <w:t>In South Australia a Transitional eNRMC must meet all the same requirements of a CPv3.0 Conformant eNRMC and be recognised by the Australia Digital Health Agency as transitionally conformant.</w:t>
      </w:r>
    </w:p>
    <w:p w14:paraId="1EEF3A62" w14:textId="695A744F" w:rsidR="00D87DEC" w:rsidRPr="005205D4" w:rsidRDefault="007746AC" w:rsidP="006A7C4B">
      <w:pPr>
        <w:pStyle w:val="Paragraphtext"/>
        <w:spacing w:after="300"/>
        <w:rPr>
          <w:rStyle w:val="normaltextrun"/>
          <w:rFonts w:eastAsiaTheme="majorEastAsia"/>
          <w:sz w:val="22"/>
          <w:szCs w:val="22"/>
        </w:rPr>
      </w:pPr>
      <w:r w:rsidRPr="005205D4">
        <w:rPr>
          <w:rStyle w:val="normaltextrun"/>
          <w:rFonts w:eastAsiaTheme="majorEastAsia"/>
          <w:sz w:val="22"/>
          <w:szCs w:val="22"/>
        </w:rPr>
        <w:t xml:space="preserve">Provided that all aspects of prescribing, dispensing, supply, </w:t>
      </w:r>
      <w:proofErr w:type="gramStart"/>
      <w:r w:rsidRPr="005205D4">
        <w:rPr>
          <w:rStyle w:val="normaltextrun"/>
          <w:rFonts w:eastAsiaTheme="majorEastAsia"/>
          <w:sz w:val="22"/>
          <w:szCs w:val="22"/>
        </w:rPr>
        <w:t>handling</w:t>
      </w:r>
      <w:proofErr w:type="gramEnd"/>
      <w:r w:rsidRPr="005205D4">
        <w:rPr>
          <w:rStyle w:val="normaltextrun"/>
          <w:rFonts w:eastAsiaTheme="majorEastAsia"/>
          <w:sz w:val="22"/>
          <w:szCs w:val="22"/>
        </w:rPr>
        <w:t xml:space="preserve"> and administration of medicines is in accordance with South Australian Controlled Substances legislation, and the Special Arrangement, no further approvals or exemptions are required from SA Health.</w:t>
      </w:r>
    </w:p>
    <w:p w14:paraId="5CEC0A3A" w14:textId="531A8040" w:rsidR="00D73D3F" w:rsidRPr="00FD7F24" w:rsidRDefault="00D73D3F" w:rsidP="00D87DEC">
      <w:pPr>
        <w:pStyle w:val="Heading2"/>
        <w:rPr>
          <w:rStyle w:val="BoldAllCaps"/>
          <w:bCs/>
          <w:caps w:val="0"/>
        </w:rPr>
      </w:pPr>
      <w:r w:rsidRPr="00FD7F24">
        <w:rPr>
          <w:rStyle w:val="BoldAllCaps"/>
          <w:bCs/>
          <w:caps w:val="0"/>
        </w:rPr>
        <w:t>Tasmania</w:t>
      </w:r>
      <w:r w:rsidR="00FD7F24">
        <w:rPr>
          <w:rStyle w:val="BoldAllCaps"/>
          <w:bCs/>
          <w:caps w:val="0"/>
        </w:rPr>
        <w:t xml:space="preserve"> (TAS)</w:t>
      </w:r>
    </w:p>
    <w:p w14:paraId="746C7365"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In Tasmania, the Poisons Regulations 2018 (Tas) require prior approval in writing from the Tasmanian Secretary for Health for:</w:t>
      </w:r>
    </w:p>
    <w:p w14:paraId="7F93F1FB" w14:textId="77777777" w:rsidR="00F3236B" w:rsidRPr="005205D4" w:rsidRDefault="00F3236B" w:rsidP="00F3236B">
      <w:pPr>
        <w:pStyle w:val="Paragraphtext"/>
        <w:numPr>
          <w:ilvl w:val="0"/>
          <w:numId w:val="13"/>
        </w:numPr>
        <w:rPr>
          <w:rStyle w:val="normaltextrun"/>
          <w:rFonts w:eastAsiaTheme="majorEastAsia"/>
          <w:sz w:val="22"/>
          <w:szCs w:val="22"/>
        </w:rPr>
      </w:pPr>
      <w:r w:rsidRPr="005205D4">
        <w:rPr>
          <w:rStyle w:val="normaltextrun"/>
          <w:rFonts w:eastAsiaTheme="majorEastAsia"/>
          <w:sz w:val="22"/>
          <w:szCs w:val="22"/>
        </w:rPr>
        <w:t xml:space="preserve">an electronic prescription system to issue a prescription; and </w:t>
      </w:r>
    </w:p>
    <w:p w14:paraId="3537CED0" w14:textId="7051F22A" w:rsidR="00F3236B" w:rsidRPr="006A7C4B" w:rsidRDefault="00F3236B" w:rsidP="006A7C4B">
      <w:pPr>
        <w:pStyle w:val="Paragraphtext"/>
        <w:numPr>
          <w:ilvl w:val="0"/>
          <w:numId w:val="13"/>
        </w:numPr>
        <w:spacing w:after="300"/>
        <w:ind w:left="714" w:hanging="357"/>
        <w:rPr>
          <w:rStyle w:val="normaltextrun"/>
          <w:rFonts w:eastAsiaTheme="majorEastAsia"/>
          <w:sz w:val="22"/>
          <w:szCs w:val="22"/>
        </w:rPr>
      </w:pPr>
      <w:r w:rsidRPr="005205D4">
        <w:rPr>
          <w:rStyle w:val="normaltextrun"/>
          <w:rFonts w:eastAsiaTheme="majorEastAsia"/>
          <w:sz w:val="22"/>
          <w:szCs w:val="22"/>
        </w:rPr>
        <w:t>an electronic system for prescribers to give instructions for administration of a Schedule 4 and 8 substance in a medical institution.</w:t>
      </w:r>
    </w:p>
    <w:p w14:paraId="3905D4BC"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 xml:space="preserve">Normally, approval of an electronic prescribing and/or dispensing product will only be considered where: </w:t>
      </w:r>
    </w:p>
    <w:p w14:paraId="2FBEFB9A"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 xml:space="preserve">The Australian Digital Health Agency’s (ADHA) Electronic Prescribing Conformance process has been fully completed, with addition of the Conformance ID for the vendor’s product to the Agency’s Conformant Software Register and </w:t>
      </w:r>
    </w:p>
    <w:p w14:paraId="4CC70B7A"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The software vendor has provided information to the Tasmanian Department of Health to show their product complies with the requirements of the Poisons Regulations 2018 (Tas).</w:t>
      </w:r>
    </w:p>
    <w:p w14:paraId="0B101A92"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 xml:space="preserve">Given the Department’s intention to fast track the adoption of electronic National Residential Medication Charts (eNRMC) by residential aged care facilities (RACF), they are introducing an eNRMC ‘Transitional Arrangement’, commencing on 1 July 2022. This Transitional </w:t>
      </w:r>
      <w:r w:rsidRPr="005205D4">
        <w:rPr>
          <w:rStyle w:val="normaltextrun"/>
          <w:rFonts w:eastAsiaTheme="majorEastAsia"/>
          <w:sz w:val="22"/>
          <w:szCs w:val="22"/>
        </w:rPr>
        <w:lastRenderedPageBreak/>
        <w:t>Arrangement is for eNRMC products that meet the technical requirements of Conformance Profile v3.0 (CPv3.0) while the Prescription Delivery Services and Dispensing Vendors continue to work towards conformance with CPv3.0.</w:t>
      </w:r>
    </w:p>
    <w:p w14:paraId="03D7FEF3"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To support the rollout of eNRMC in Tasmania, the Tasmanian Department of Health will consider approving an eNRMC for use in Tasmania in the following circumstances:</w:t>
      </w:r>
    </w:p>
    <w:p w14:paraId="105C74B1" w14:textId="77777777" w:rsidR="00F3236B" w:rsidRPr="005205D4" w:rsidRDefault="00F3236B" w:rsidP="00F3236B">
      <w:pPr>
        <w:pStyle w:val="Paragraphtext"/>
        <w:numPr>
          <w:ilvl w:val="0"/>
          <w:numId w:val="14"/>
        </w:numPr>
        <w:rPr>
          <w:rStyle w:val="normaltextrun"/>
          <w:rFonts w:eastAsiaTheme="majorEastAsia"/>
          <w:sz w:val="22"/>
          <w:szCs w:val="22"/>
        </w:rPr>
      </w:pPr>
      <w:r w:rsidRPr="005205D4">
        <w:rPr>
          <w:rStyle w:val="normaltextrun"/>
          <w:rFonts w:eastAsiaTheme="majorEastAsia"/>
          <w:sz w:val="22"/>
          <w:szCs w:val="22"/>
        </w:rPr>
        <w:t>The eNRMC product complies with the technical requirements of Conformance Profile v3.0 (CPv3.0) and is recognised by the ADHA as transitionally conformant and</w:t>
      </w:r>
    </w:p>
    <w:p w14:paraId="702CD7B2" w14:textId="3F6BEEBA" w:rsidR="00F3236B" w:rsidRPr="006A7C4B" w:rsidRDefault="00F3236B" w:rsidP="006A7C4B">
      <w:pPr>
        <w:pStyle w:val="Paragraphtext"/>
        <w:numPr>
          <w:ilvl w:val="0"/>
          <w:numId w:val="14"/>
        </w:numPr>
        <w:spacing w:after="120"/>
        <w:ind w:left="714" w:hanging="357"/>
        <w:rPr>
          <w:rStyle w:val="normaltextrun"/>
          <w:rFonts w:eastAsiaTheme="majorEastAsia"/>
          <w:sz w:val="22"/>
          <w:szCs w:val="22"/>
        </w:rPr>
      </w:pPr>
      <w:r w:rsidRPr="005205D4">
        <w:rPr>
          <w:rStyle w:val="normaltextrun"/>
          <w:rFonts w:eastAsiaTheme="majorEastAsia"/>
          <w:sz w:val="22"/>
          <w:szCs w:val="22"/>
        </w:rPr>
        <w:t>The eNRMC product will be used in a ‘closed system’ between the RACF and their dispensing pharmacy.</w:t>
      </w:r>
    </w:p>
    <w:p w14:paraId="035BC433"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 xml:space="preserve">The software vendor must make the application for approval to the Tasmanian Department of Health. As part of the approval process, a demonstration of the product will be </w:t>
      </w:r>
      <w:proofErr w:type="gramStart"/>
      <w:r w:rsidRPr="005205D4">
        <w:rPr>
          <w:rStyle w:val="normaltextrun"/>
          <w:rFonts w:eastAsiaTheme="majorEastAsia"/>
          <w:sz w:val="22"/>
          <w:szCs w:val="22"/>
        </w:rPr>
        <w:t>required</w:t>
      </w:r>
      <w:proofErr w:type="gramEnd"/>
      <w:r w:rsidRPr="005205D4">
        <w:rPr>
          <w:rStyle w:val="normaltextrun"/>
          <w:rFonts w:eastAsiaTheme="majorEastAsia"/>
          <w:sz w:val="22"/>
          <w:szCs w:val="22"/>
        </w:rPr>
        <w:t xml:space="preserve"> and it is expected that vendors will facilitate any such demonstration.</w:t>
      </w:r>
    </w:p>
    <w:p w14:paraId="0876DF44" w14:textId="535FD75F" w:rsidR="006A7C4B" w:rsidRDefault="00F3236B" w:rsidP="006A7C4B">
      <w:pPr>
        <w:pStyle w:val="Paragraphtext"/>
        <w:spacing w:after="300"/>
        <w:rPr>
          <w:rFonts w:eastAsiaTheme="majorEastAsia"/>
          <w:sz w:val="22"/>
          <w:szCs w:val="22"/>
        </w:rPr>
      </w:pPr>
      <w:r>
        <w:rPr>
          <w:rStyle w:val="normaltextrun"/>
          <w:rFonts w:eastAsiaTheme="majorEastAsia"/>
          <w:sz w:val="22"/>
          <w:szCs w:val="22"/>
        </w:rPr>
        <w:t xml:space="preserve">For further information about the use and approval of eNRMC products (including transitional eNRMC products) in Tasmania, please contact </w:t>
      </w:r>
      <w:hyperlink r:id="rId13" w:history="1">
        <w:r w:rsidRPr="007532AB">
          <w:rPr>
            <w:rStyle w:val="Hyperlink"/>
            <w:rFonts w:eastAsiaTheme="majorEastAsia"/>
            <w:sz w:val="22"/>
            <w:szCs w:val="22"/>
          </w:rPr>
          <w:t>pharmserv@health.tas.gov.au</w:t>
        </w:r>
      </w:hyperlink>
      <w:r>
        <w:rPr>
          <w:rFonts w:eastAsiaTheme="majorEastAsia"/>
          <w:sz w:val="22"/>
          <w:szCs w:val="22"/>
        </w:rPr>
        <w:t>.</w:t>
      </w:r>
    </w:p>
    <w:p w14:paraId="55AFFBBC" w14:textId="5632D2C7" w:rsidR="00D73D3F" w:rsidRPr="00FD7F24" w:rsidRDefault="00D73D3F" w:rsidP="00D73D3F">
      <w:pPr>
        <w:pStyle w:val="Heading2"/>
        <w:rPr>
          <w:rStyle w:val="BoldAllCaps"/>
          <w:bCs/>
          <w:caps w:val="0"/>
        </w:rPr>
      </w:pPr>
      <w:r w:rsidRPr="00FD7F24">
        <w:rPr>
          <w:rStyle w:val="BoldAllCaps"/>
          <w:bCs/>
          <w:caps w:val="0"/>
        </w:rPr>
        <w:t>Victoria</w:t>
      </w:r>
      <w:r w:rsidR="00FD7F24">
        <w:rPr>
          <w:rStyle w:val="BoldAllCaps"/>
          <w:bCs/>
          <w:caps w:val="0"/>
        </w:rPr>
        <w:t xml:space="preserve"> (VIC)</w:t>
      </w:r>
    </w:p>
    <w:p w14:paraId="4F3CB2A2" w14:textId="3EB72A9E" w:rsidR="00D87DEC" w:rsidRPr="005205D4" w:rsidRDefault="00881797" w:rsidP="006A7C4B">
      <w:pPr>
        <w:pStyle w:val="Paragraphtext"/>
        <w:spacing w:after="300"/>
        <w:rPr>
          <w:rStyle w:val="normaltextrun"/>
          <w:rFonts w:eastAsiaTheme="majorEastAsia" w:cs="Arial"/>
          <w:sz w:val="22"/>
          <w:szCs w:val="22"/>
        </w:rPr>
      </w:pPr>
      <w:r w:rsidRPr="005205D4">
        <w:rPr>
          <w:rStyle w:val="normaltextrun"/>
          <w:rFonts w:eastAsiaTheme="majorEastAsia" w:cs="Arial"/>
          <w:sz w:val="22"/>
          <w:szCs w:val="22"/>
        </w:rPr>
        <w:t>No additional requirements for software during the period of the Transitional Arrangement.</w:t>
      </w:r>
    </w:p>
    <w:p w14:paraId="63236709" w14:textId="7601ADBE" w:rsidR="00D73D3F" w:rsidRPr="00FD7F24" w:rsidRDefault="00D73D3F" w:rsidP="00D87DEC">
      <w:pPr>
        <w:pStyle w:val="Heading2"/>
        <w:rPr>
          <w:rStyle w:val="BoldAllCaps"/>
          <w:bCs/>
          <w:caps w:val="0"/>
        </w:rPr>
      </w:pPr>
      <w:r w:rsidRPr="00FD7F24">
        <w:rPr>
          <w:rStyle w:val="BoldAllCaps"/>
          <w:bCs/>
          <w:caps w:val="0"/>
        </w:rPr>
        <w:t>Western Australia</w:t>
      </w:r>
      <w:r w:rsidR="00FD7F24">
        <w:rPr>
          <w:rStyle w:val="BoldAllCaps"/>
          <w:bCs/>
          <w:caps w:val="0"/>
        </w:rPr>
        <w:t xml:space="preserve"> (WA)</w:t>
      </w:r>
    </w:p>
    <w:p w14:paraId="4294C7C2"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 xml:space="preserve">In Western Australia (WA), the Medicines and Poisons Regulations 2016 require each product, that is part of an electronic prescribing system, be approved by the WA Department of Health. </w:t>
      </w:r>
    </w:p>
    <w:p w14:paraId="60C03883"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 xml:space="preserve">Normally, approval of an electronic prescribing and/or dispensing product will only be considered where: </w:t>
      </w:r>
    </w:p>
    <w:p w14:paraId="4944EE07" w14:textId="77777777" w:rsidR="00F3236B" w:rsidRPr="005205D4" w:rsidRDefault="00F3236B" w:rsidP="00F3236B">
      <w:pPr>
        <w:pStyle w:val="Paragraphtext"/>
        <w:numPr>
          <w:ilvl w:val="0"/>
          <w:numId w:val="15"/>
        </w:numPr>
        <w:rPr>
          <w:rStyle w:val="normaltextrun"/>
          <w:rFonts w:eastAsiaTheme="majorEastAsia"/>
          <w:sz w:val="22"/>
          <w:szCs w:val="22"/>
        </w:rPr>
      </w:pPr>
      <w:r w:rsidRPr="005205D4">
        <w:rPr>
          <w:rStyle w:val="normaltextrun"/>
          <w:rFonts w:eastAsiaTheme="majorEastAsia"/>
          <w:sz w:val="22"/>
          <w:szCs w:val="22"/>
        </w:rPr>
        <w:t xml:space="preserve">The Australian Digital Health Agency’s (ADHA) Electronic Prescribing Conformance process has been fully completed, with addition of the Conformance ID for the vendor’s product to the Agency’s Conformant Software Register and </w:t>
      </w:r>
    </w:p>
    <w:p w14:paraId="7DAD9B6C" w14:textId="0AE40993" w:rsidR="00F3236B" w:rsidRPr="006A7C4B" w:rsidRDefault="00F3236B" w:rsidP="006A7C4B">
      <w:pPr>
        <w:pStyle w:val="Paragraphtext"/>
        <w:numPr>
          <w:ilvl w:val="0"/>
          <w:numId w:val="15"/>
        </w:numPr>
        <w:spacing w:after="300"/>
        <w:ind w:left="714" w:hanging="357"/>
        <w:rPr>
          <w:rStyle w:val="normaltextrun"/>
          <w:rFonts w:eastAsiaTheme="majorEastAsia"/>
          <w:sz w:val="22"/>
          <w:szCs w:val="22"/>
        </w:rPr>
      </w:pPr>
      <w:r w:rsidRPr="005205D4">
        <w:rPr>
          <w:rStyle w:val="normaltextrun"/>
          <w:rFonts w:eastAsiaTheme="majorEastAsia"/>
          <w:sz w:val="22"/>
          <w:szCs w:val="22"/>
        </w:rPr>
        <w:t>The software vendor has provided information to the WA Department of Health to show their product complies with the requirements of the Medicines and Poisons Regulations 2016.</w:t>
      </w:r>
    </w:p>
    <w:p w14:paraId="4860D592" w14:textId="5567C85B"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Given the Department’s intention to fast track the adoption of electronic National Residential Medication Charts (eNRMC) by residential aged care facilities (RACF), they are introducing an eNRMC ‘Transitional Arrangement’, commencing on 1 July 2022. This Transitional Arrangement is for eNRMC products that meet the technical requirements of Conformance Profile v3.0 (CPv3.0) while the Prescription Delivery Services and Dispensing Vendors continue to work towards conformance with CPv3.0.</w:t>
      </w:r>
    </w:p>
    <w:p w14:paraId="45EE217F" w14:textId="77777777" w:rsidR="00F3236B" w:rsidRPr="005205D4"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To support the rollout of eNRMC in WA, the WA Department of Health will consider approving an eNRMC for use in WA in the following circumstances:</w:t>
      </w:r>
    </w:p>
    <w:p w14:paraId="5B87EEB6" w14:textId="77777777" w:rsidR="00F3236B" w:rsidRPr="005205D4" w:rsidRDefault="00F3236B" w:rsidP="00F3236B">
      <w:pPr>
        <w:pStyle w:val="Paragraphtext"/>
        <w:numPr>
          <w:ilvl w:val="0"/>
          <w:numId w:val="16"/>
        </w:numPr>
        <w:rPr>
          <w:rStyle w:val="normaltextrun"/>
          <w:rFonts w:eastAsiaTheme="majorEastAsia"/>
          <w:sz w:val="22"/>
          <w:szCs w:val="22"/>
        </w:rPr>
      </w:pPr>
      <w:r w:rsidRPr="005205D4">
        <w:rPr>
          <w:rStyle w:val="normaltextrun"/>
          <w:rFonts w:eastAsiaTheme="majorEastAsia"/>
          <w:sz w:val="22"/>
          <w:szCs w:val="22"/>
        </w:rPr>
        <w:t>The eNRMC product complies with the technical requirements of Conformance Profile v3.0 (CPv3.0) and is recognised by the ADHA as transitionally conformant and</w:t>
      </w:r>
    </w:p>
    <w:p w14:paraId="376A0E34" w14:textId="0884BF97" w:rsidR="00F3236B" w:rsidRPr="006A7C4B" w:rsidRDefault="00F3236B" w:rsidP="00F3236B">
      <w:pPr>
        <w:pStyle w:val="Paragraphtext"/>
        <w:numPr>
          <w:ilvl w:val="0"/>
          <w:numId w:val="16"/>
        </w:numPr>
        <w:rPr>
          <w:rStyle w:val="normaltextrun"/>
          <w:rFonts w:eastAsiaTheme="majorEastAsia"/>
          <w:sz w:val="22"/>
          <w:szCs w:val="22"/>
        </w:rPr>
      </w:pPr>
      <w:r w:rsidRPr="005205D4">
        <w:rPr>
          <w:rStyle w:val="normaltextrun"/>
          <w:rFonts w:eastAsiaTheme="majorEastAsia"/>
          <w:sz w:val="22"/>
          <w:szCs w:val="22"/>
        </w:rPr>
        <w:t>The eNRMC product will be used in a ‘closed system’ between the RACF and their dispensing pharmacy.</w:t>
      </w:r>
    </w:p>
    <w:p w14:paraId="41289A4A" w14:textId="67B6CA70" w:rsidR="00F3236B" w:rsidRPr="00E7535B" w:rsidRDefault="00F3236B" w:rsidP="00F3236B">
      <w:pPr>
        <w:pStyle w:val="Paragraphtext"/>
        <w:rPr>
          <w:rStyle w:val="normaltextrun"/>
          <w:rFonts w:eastAsiaTheme="majorEastAsia"/>
          <w:sz w:val="22"/>
          <w:szCs w:val="22"/>
        </w:rPr>
      </w:pPr>
      <w:r w:rsidRPr="005205D4">
        <w:rPr>
          <w:rStyle w:val="normaltextrun"/>
          <w:rFonts w:eastAsiaTheme="majorEastAsia"/>
          <w:sz w:val="22"/>
          <w:szCs w:val="22"/>
        </w:rPr>
        <w:t xml:space="preserve">Because any ‘closed’ system is specific to an individual RACF site or RACF organisation (multiple sites), the RACF (individual site or organisation), rather than the software vendor, must make the application for approval to the Department. However, as part of the approval </w:t>
      </w:r>
      <w:r w:rsidRPr="005205D4">
        <w:rPr>
          <w:rStyle w:val="normaltextrun"/>
          <w:rFonts w:eastAsiaTheme="majorEastAsia"/>
          <w:sz w:val="22"/>
          <w:szCs w:val="22"/>
        </w:rPr>
        <w:lastRenderedPageBreak/>
        <w:t>process, a demonstration of the product will be required, and it is expected that vendors will facilitate any such demonstration.</w:t>
      </w:r>
    </w:p>
    <w:p w14:paraId="57ADF309" w14:textId="6A810892" w:rsidR="00D73D3F" w:rsidRPr="006A7C4B" w:rsidRDefault="00F3236B" w:rsidP="006A7C4B">
      <w:pPr>
        <w:pStyle w:val="Paragraphtext"/>
        <w:spacing w:after="300"/>
        <w:rPr>
          <w:rStyle w:val="normaltextrun"/>
          <w:rFonts w:eastAsiaTheme="majorEastAsia"/>
          <w:sz w:val="22"/>
          <w:szCs w:val="22"/>
        </w:rPr>
      </w:pPr>
      <w:r w:rsidRPr="00E7535B">
        <w:rPr>
          <w:rFonts w:eastAsiaTheme="majorEastAsia" w:cs="Arial"/>
          <w:sz w:val="22"/>
          <w:szCs w:val="22"/>
        </w:rPr>
        <w:t xml:space="preserve">For further information about the use and approval of eNRMC products (including transitional eNRMC products) in </w:t>
      </w:r>
      <w:r>
        <w:rPr>
          <w:rFonts w:eastAsiaTheme="majorEastAsia" w:cs="Arial"/>
          <w:sz w:val="22"/>
          <w:szCs w:val="22"/>
        </w:rPr>
        <w:t>WA</w:t>
      </w:r>
      <w:r w:rsidRPr="00E7535B">
        <w:rPr>
          <w:rFonts w:eastAsiaTheme="majorEastAsia" w:cs="Arial"/>
          <w:sz w:val="22"/>
          <w:szCs w:val="22"/>
        </w:rPr>
        <w:t xml:space="preserve">, please contact </w:t>
      </w:r>
      <w:hyperlink r:id="rId14" w:history="1">
        <w:r w:rsidRPr="00E7535B">
          <w:rPr>
            <w:rStyle w:val="Hyperlink"/>
            <w:rFonts w:eastAsiaTheme="majorEastAsia" w:cs="Arial"/>
            <w:sz w:val="22"/>
            <w:szCs w:val="22"/>
          </w:rPr>
          <w:t>MPRB.Policy@health.wa.gov.au</w:t>
        </w:r>
      </w:hyperlink>
      <w:r w:rsidRPr="00E7535B">
        <w:rPr>
          <w:rFonts w:eastAsiaTheme="majorEastAsia" w:cs="Arial"/>
          <w:sz w:val="22"/>
          <w:szCs w:val="22"/>
        </w:rPr>
        <w:t>.</w:t>
      </w:r>
    </w:p>
    <w:p w14:paraId="2C483963" w14:textId="29059EE8" w:rsidR="00D73D3F" w:rsidRDefault="00D73D3F" w:rsidP="00D73D3F">
      <w:pPr>
        <w:pStyle w:val="Paragraphtext"/>
        <w:rPr>
          <w:rStyle w:val="normaltextrun"/>
        </w:rPr>
      </w:pPr>
      <w:r w:rsidRPr="00BB7878">
        <w:rPr>
          <w:rStyle w:val="normaltextrun"/>
          <w:noProof/>
        </w:rPr>
        <mc:AlternateContent>
          <mc:Choice Requires="wps">
            <w:drawing>
              <wp:inline distT="0" distB="0" distL="0" distR="0" wp14:anchorId="4B94BB0D" wp14:editId="0FE42201">
                <wp:extent cx="5701086" cy="904875"/>
                <wp:effectExtent l="0" t="0" r="1397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86" cy="904875"/>
                        </a:xfrm>
                        <a:prstGeom prst="rect">
                          <a:avLst/>
                        </a:prstGeom>
                        <a:solidFill>
                          <a:srgbClr val="FFFFFF"/>
                        </a:solidFill>
                        <a:ln w="9525">
                          <a:solidFill>
                            <a:srgbClr val="000000"/>
                          </a:solidFill>
                          <a:miter lim="800000"/>
                          <a:headEnd/>
                          <a:tailEnd/>
                        </a:ln>
                      </wps:spPr>
                      <wps:txbx>
                        <w:txbxContent>
                          <w:p w14:paraId="4CF9A677" w14:textId="77777777" w:rsidR="00D73D3F" w:rsidRPr="005205D4" w:rsidRDefault="00D73D3F" w:rsidP="00D73D3F">
                            <w:pPr>
                              <w:spacing w:before="120" w:after="120"/>
                              <w:rPr>
                                <w:rStyle w:val="BoldAllCaps"/>
                                <w:b w:val="0"/>
                                <w:bCs/>
                                <w:caps w:val="0"/>
                                <w:szCs w:val="22"/>
                                <w:lang w:val="en"/>
                              </w:rPr>
                            </w:pPr>
                            <w:r w:rsidRPr="005205D4">
                              <w:rPr>
                                <w:rStyle w:val="BoldAllCaps"/>
                                <w:bCs/>
                                <w:szCs w:val="22"/>
                                <w:lang w:val="en"/>
                              </w:rPr>
                              <w:t xml:space="preserve">Further Information </w:t>
                            </w:r>
                          </w:p>
                          <w:p w14:paraId="2073F188" w14:textId="7B27CC57" w:rsidR="00D73D3F" w:rsidRPr="005205D4" w:rsidRDefault="00D73D3F" w:rsidP="00D73D3F">
                            <w:pPr>
                              <w:spacing w:after="120"/>
                              <w:rPr>
                                <w:rStyle w:val="Hyperlink"/>
                                <w:rFonts w:eastAsiaTheme="majorEastAsia" w:cs="Arial"/>
                                <w:szCs w:val="22"/>
                              </w:rPr>
                            </w:pPr>
                            <w:r w:rsidRPr="005205D4">
                              <w:rPr>
                                <w:rStyle w:val="normaltextrun"/>
                                <w:szCs w:val="22"/>
                              </w:rPr>
                              <w:t xml:space="preserve">For further </w:t>
                            </w:r>
                            <w:r w:rsidRPr="005205D4">
                              <w:rPr>
                                <w:rStyle w:val="normaltextrun"/>
                                <w:color w:val="000000" w:themeColor="text1"/>
                                <w:szCs w:val="22"/>
                              </w:rPr>
                              <w:t xml:space="preserve">information </w:t>
                            </w:r>
                            <w:r w:rsidRPr="005205D4">
                              <w:rPr>
                                <w:rStyle w:val="normaltextrun"/>
                                <w:rFonts w:cs="Arial"/>
                                <w:color w:val="000000" w:themeColor="text1"/>
                                <w:szCs w:val="22"/>
                              </w:rPr>
                              <w:t>concerning the transitional arrangement and e</w:t>
                            </w:r>
                            <w:r w:rsidR="00A15461" w:rsidRPr="005205D4">
                              <w:rPr>
                                <w:rStyle w:val="normaltextrun"/>
                                <w:rFonts w:cs="Arial"/>
                                <w:color w:val="000000" w:themeColor="text1"/>
                                <w:szCs w:val="22"/>
                              </w:rPr>
                              <w:t>NRMC</w:t>
                            </w:r>
                            <w:r w:rsidRPr="005205D4">
                              <w:rPr>
                                <w:rStyle w:val="normaltextrun"/>
                                <w:rFonts w:cs="Arial"/>
                                <w:color w:val="000000" w:themeColor="text1"/>
                                <w:szCs w:val="22"/>
                              </w:rPr>
                              <w:t>, please contact the department of health at</w:t>
                            </w:r>
                            <w:r w:rsidRPr="005205D4">
                              <w:rPr>
                                <w:rStyle w:val="normaltextrun"/>
                                <w:rFonts w:eastAsiaTheme="majorEastAsia" w:cs="Arial"/>
                                <w:color w:val="000000"/>
                                <w:szCs w:val="22"/>
                              </w:rPr>
                              <w:t xml:space="preserve"> </w:t>
                            </w:r>
                            <w:hyperlink r:id="rId15" w:history="1">
                              <w:r w:rsidRPr="005205D4">
                                <w:rPr>
                                  <w:rStyle w:val="Hyperlink"/>
                                  <w:rFonts w:eastAsiaTheme="majorEastAsia" w:cs="Arial"/>
                                  <w:szCs w:val="22"/>
                                </w:rPr>
                                <w:t>eNRMC@health.gov.au</w:t>
                              </w:r>
                            </w:hyperlink>
                            <w:r w:rsidRPr="005205D4">
                              <w:rPr>
                                <w:rStyle w:val="Hyperlink"/>
                                <w:rFonts w:eastAsiaTheme="majorEastAsia" w:cs="Arial"/>
                                <w:szCs w:val="22"/>
                              </w:rPr>
                              <w:t>.</w:t>
                            </w:r>
                          </w:p>
                          <w:p w14:paraId="1B05C121" w14:textId="2D42B086" w:rsidR="00D73D3F" w:rsidRPr="00BB7878" w:rsidRDefault="00D73D3F" w:rsidP="00D73D3F">
                            <w:pPr>
                              <w:spacing w:after="120"/>
                              <w:rPr>
                                <w:rStyle w:val="BoldAllCaps"/>
                                <w:b w:val="0"/>
                                <w:bCs/>
                                <w:caps w:val="0"/>
                                <w:sz w:val="21"/>
                                <w:szCs w:val="20"/>
                                <w:lang w:val="en"/>
                              </w:rPr>
                            </w:pPr>
                          </w:p>
                        </w:txbxContent>
                      </wps:txbx>
                      <wps:bodyPr rot="0" vert="horz" wrap="square" lIns="91440" tIns="45720" rIns="91440" bIns="45720" anchor="t" anchorCtr="0">
                        <a:noAutofit/>
                      </wps:bodyPr>
                    </wps:wsp>
                  </a:graphicData>
                </a:graphic>
              </wp:inline>
            </w:drawing>
          </mc:Choice>
          <mc:Fallback>
            <w:pict>
              <v:shapetype w14:anchorId="4B94BB0D" id="_x0000_t202" coordsize="21600,21600" o:spt="202" path="m,l,21600r21600,l21600,xe">
                <v:stroke joinstyle="miter"/>
                <v:path gradientshapeok="t" o:connecttype="rect"/>
              </v:shapetype>
              <v:shape id="Text Box 2" o:spid="_x0000_s1026" type="#_x0000_t202" style="width:448.9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">
                <v:textbox>
                  <w:txbxContent>
                    <w:p w14:paraId="4CF9A677" w14:textId="77777777" w:rsidR="00D73D3F" w:rsidRPr="005205D4" w:rsidRDefault="00D73D3F" w:rsidP="00D73D3F">
                      <w:pPr>
                        <w:spacing w:before="120" w:after="120"/>
                        <w:rPr>
                          <w:rStyle w:val="BoldAllCaps"/>
                          <w:b w:val="0"/>
                          <w:bCs/>
                          <w:caps w:val="0"/>
                          <w:szCs w:val="22"/>
                          <w:lang w:val="en"/>
                        </w:rPr>
                      </w:pPr>
                      <w:r w:rsidRPr="005205D4">
                        <w:rPr>
                          <w:rStyle w:val="BoldAllCaps"/>
                          <w:bCs/>
                          <w:szCs w:val="22"/>
                          <w:lang w:val="en"/>
                        </w:rPr>
                        <w:t xml:space="preserve">Further Information </w:t>
                      </w:r>
                    </w:p>
                    <w:p w14:paraId="2073F188" w14:textId="7B27CC57" w:rsidR="00D73D3F" w:rsidRPr="005205D4" w:rsidRDefault="00D73D3F" w:rsidP="00D73D3F">
                      <w:pPr>
                        <w:spacing w:after="120"/>
                        <w:rPr>
                          <w:rStyle w:val="Hyperlink"/>
                          <w:rFonts w:eastAsiaTheme="majorEastAsia" w:cs="Arial"/>
                          <w:szCs w:val="22"/>
                        </w:rPr>
                      </w:pPr>
                      <w:r w:rsidRPr="005205D4">
                        <w:rPr>
                          <w:rStyle w:val="normaltextrun"/>
                          <w:szCs w:val="22"/>
                        </w:rPr>
                        <w:t xml:space="preserve">For further </w:t>
                      </w:r>
                      <w:r w:rsidRPr="005205D4">
                        <w:rPr>
                          <w:rStyle w:val="normaltextrun"/>
                          <w:color w:val="000000" w:themeColor="text1"/>
                          <w:szCs w:val="22"/>
                        </w:rPr>
                        <w:t xml:space="preserve">information </w:t>
                      </w:r>
                      <w:r w:rsidRPr="005205D4">
                        <w:rPr>
                          <w:rStyle w:val="normaltextrun"/>
                          <w:rFonts w:cs="Arial"/>
                          <w:color w:val="000000" w:themeColor="text1"/>
                          <w:szCs w:val="22"/>
                        </w:rPr>
                        <w:t>concerning the transitional arrangement and e</w:t>
                      </w:r>
                      <w:r w:rsidR="00A15461" w:rsidRPr="005205D4">
                        <w:rPr>
                          <w:rStyle w:val="normaltextrun"/>
                          <w:rFonts w:cs="Arial"/>
                          <w:color w:val="000000" w:themeColor="text1"/>
                          <w:szCs w:val="22"/>
                        </w:rPr>
                        <w:t>NRMC</w:t>
                      </w:r>
                      <w:r w:rsidRPr="005205D4">
                        <w:rPr>
                          <w:rStyle w:val="normaltextrun"/>
                          <w:rFonts w:cs="Arial"/>
                          <w:color w:val="000000" w:themeColor="text1"/>
                          <w:szCs w:val="22"/>
                        </w:rPr>
                        <w:t>, please contact the department of health at</w:t>
                      </w:r>
                      <w:r w:rsidRPr="005205D4">
                        <w:rPr>
                          <w:rStyle w:val="normaltextrun"/>
                          <w:rFonts w:eastAsiaTheme="majorEastAsia" w:cs="Arial"/>
                          <w:color w:val="000000"/>
                          <w:szCs w:val="22"/>
                        </w:rPr>
                        <w:t xml:space="preserve"> </w:t>
                      </w:r>
                      <w:hyperlink r:id="rId17" w:history="1">
                        <w:r w:rsidRPr="005205D4">
                          <w:rPr>
                            <w:rStyle w:val="Hyperlink"/>
                            <w:rFonts w:eastAsiaTheme="majorEastAsia" w:cs="Arial"/>
                            <w:szCs w:val="22"/>
                          </w:rPr>
                          <w:t>eNRMC@health.gov.au</w:t>
                        </w:r>
                      </w:hyperlink>
                      <w:r w:rsidRPr="005205D4">
                        <w:rPr>
                          <w:rStyle w:val="Hyperlink"/>
                          <w:rFonts w:eastAsiaTheme="majorEastAsia" w:cs="Arial"/>
                          <w:szCs w:val="22"/>
                        </w:rPr>
                        <w:t>.</w:t>
                      </w:r>
                    </w:p>
                    <w:p w14:paraId="1B05C121" w14:textId="2D42B086" w:rsidR="00D73D3F" w:rsidRPr="00BB7878" w:rsidRDefault="00D73D3F" w:rsidP="00D73D3F">
                      <w:pPr>
                        <w:spacing w:after="120"/>
                        <w:rPr>
                          <w:rStyle w:val="BoldAllCaps"/>
                          <w:b w:val="0"/>
                          <w:bCs/>
                          <w:caps w:val="0"/>
                          <w:sz w:val="21"/>
                          <w:szCs w:val="20"/>
                          <w:lang w:val="en"/>
                        </w:rPr>
                      </w:pPr>
                    </w:p>
                  </w:txbxContent>
                </v:textbox>
                <w10:anchorlock/>
              </v:shape>
            </w:pict>
          </mc:Fallback>
        </mc:AlternateContent>
      </w:r>
    </w:p>
    <w:sectPr w:rsidR="00D73D3F" w:rsidSect="00A74345">
      <w:headerReference w:type="default" r:id="rId18"/>
      <w:footerReference w:type="default" r:id="rId1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58223" w14:textId="77777777" w:rsidR="005B7785" w:rsidRDefault="005B7785" w:rsidP="00D73D3F">
      <w:r>
        <w:separator/>
      </w:r>
    </w:p>
  </w:endnote>
  <w:endnote w:type="continuationSeparator" w:id="0">
    <w:p w14:paraId="778EF2D5" w14:textId="77777777" w:rsidR="005B7785" w:rsidRDefault="005B7785" w:rsidP="00D7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416B" w14:textId="74F03BCC" w:rsidR="00751A23" w:rsidRPr="00FD7F24" w:rsidRDefault="008C6FEA" w:rsidP="00FD7F24">
    <w:pPr>
      <w:pStyle w:val="Footer"/>
      <w:tabs>
        <w:tab w:val="clear" w:pos="4513"/>
        <w:tab w:val="center" w:pos="0"/>
      </w:tabs>
      <w:jc w:val="right"/>
      <w:rPr>
        <w:szCs w:val="20"/>
      </w:rPr>
    </w:pPr>
    <w:r>
      <w:t xml:space="preserve">eNRMC Transitional Arrangements </w:t>
    </w:r>
    <w:r w:rsidR="00D73D3F">
      <w:t>State and Territory Requirements</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szCs w:val="20"/>
          </w:rPr>
          <w:t>2</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91B35" w14:textId="77777777" w:rsidR="005B7785" w:rsidRDefault="005B7785" w:rsidP="00D73D3F">
      <w:r>
        <w:separator/>
      </w:r>
    </w:p>
  </w:footnote>
  <w:footnote w:type="continuationSeparator" w:id="0">
    <w:p w14:paraId="75F1A30B" w14:textId="77777777" w:rsidR="005B7785" w:rsidRDefault="005B7785" w:rsidP="00D7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546" w14:textId="77777777" w:rsidR="006C420E" w:rsidRDefault="008C6FEA">
    <w:pPr>
      <w:pStyle w:val="Header"/>
    </w:pPr>
    <w:r>
      <w:rPr>
        <w:noProof/>
        <w:lang w:eastAsia="en-AU"/>
      </w:rPr>
      <w:drawing>
        <wp:anchor distT="0" distB="0" distL="114300" distR="114300" simplePos="0" relativeHeight="251659264" behindDoc="1" locked="0" layoutInCell="1" allowOverlap="1" wp14:anchorId="0E458863" wp14:editId="1C8E04A0">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2C9E" w14:textId="77777777" w:rsidR="008E0C77" w:rsidRDefault="00A3785D"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317C5"/>
    <w:multiLevelType w:val="hybridMultilevel"/>
    <w:tmpl w:val="5052E048"/>
    <w:lvl w:ilvl="0" w:tplc="FEFE0EC0">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DE4763"/>
    <w:multiLevelType w:val="hybridMultilevel"/>
    <w:tmpl w:val="54AEF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D42F73"/>
    <w:multiLevelType w:val="hybridMultilevel"/>
    <w:tmpl w:val="0808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85B49"/>
    <w:multiLevelType w:val="hybridMultilevel"/>
    <w:tmpl w:val="89FE7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51EF7"/>
    <w:multiLevelType w:val="hybridMultilevel"/>
    <w:tmpl w:val="1604F0FC"/>
    <w:lvl w:ilvl="0" w:tplc="922063F4">
      <w:start w:val="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69469CB"/>
    <w:multiLevelType w:val="hybridMultilevel"/>
    <w:tmpl w:val="76A2BEB6"/>
    <w:lvl w:ilvl="0" w:tplc="F1AAAA30">
      <w:start w:val="1"/>
      <w:numFmt w:val="decimal"/>
      <w:lvlText w:val="%1)"/>
      <w:lvlJc w:val="left"/>
      <w:pPr>
        <w:ind w:left="720" w:hanging="360"/>
      </w:pPr>
      <w:rPr>
        <w:rFonts w:eastAsia="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8936A8D"/>
    <w:multiLevelType w:val="hybridMultilevel"/>
    <w:tmpl w:val="BFBE6F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0E4CC9"/>
    <w:multiLevelType w:val="hybridMultilevel"/>
    <w:tmpl w:val="4328C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AD930D4"/>
    <w:multiLevelType w:val="multilevel"/>
    <w:tmpl w:val="C7A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72E5E"/>
    <w:multiLevelType w:val="hybridMultilevel"/>
    <w:tmpl w:val="2062C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9E35BE"/>
    <w:multiLevelType w:val="hybridMultilevel"/>
    <w:tmpl w:val="16E8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145F3D"/>
    <w:multiLevelType w:val="hybridMultilevel"/>
    <w:tmpl w:val="B170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26E6D"/>
    <w:multiLevelType w:val="multilevel"/>
    <w:tmpl w:val="1FA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9C4D1C"/>
    <w:multiLevelType w:val="hybridMultilevel"/>
    <w:tmpl w:val="C8D2D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C921FC"/>
    <w:multiLevelType w:val="multilevel"/>
    <w:tmpl w:val="08F0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4"/>
  </w:num>
  <w:num w:numId="4">
    <w:abstractNumId w:val="8"/>
  </w:num>
  <w:num w:numId="5">
    <w:abstractNumId w:val="12"/>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num>
  <w:num w:numId="11">
    <w:abstractNumId w:val="0"/>
  </w:num>
  <w:num w:numId="12">
    <w:abstractNumId w:val="6"/>
  </w:num>
  <w:num w:numId="13">
    <w:abstractNumId w:val="10"/>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3F"/>
    <w:rsid w:val="001F204F"/>
    <w:rsid w:val="00220A49"/>
    <w:rsid w:val="00273D68"/>
    <w:rsid w:val="0043341A"/>
    <w:rsid w:val="00497416"/>
    <w:rsid w:val="004C2106"/>
    <w:rsid w:val="005205D4"/>
    <w:rsid w:val="00542729"/>
    <w:rsid w:val="005B7785"/>
    <w:rsid w:val="0060240C"/>
    <w:rsid w:val="00637C92"/>
    <w:rsid w:val="006654FD"/>
    <w:rsid w:val="00697F6D"/>
    <w:rsid w:val="006A7C4B"/>
    <w:rsid w:val="006B6CCA"/>
    <w:rsid w:val="007746AC"/>
    <w:rsid w:val="00791CB4"/>
    <w:rsid w:val="00881797"/>
    <w:rsid w:val="008A6474"/>
    <w:rsid w:val="008C6FEA"/>
    <w:rsid w:val="009B2F73"/>
    <w:rsid w:val="009C0BEA"/>
    <w:rsid w:val="00A15461"/>
    <w:rsid w:val="00A3785D"/>
    <w:rsid w:val="00A85EB4"/>
    <w:rsid w:val="00BA58BE"/>
    <w:rsid w:val="00CE4171"/>
    <w:rsid w:val="00D73D3F"/>
    <w:rsid w:val="00D87DEC"/>
    <w:rsid w:val="00DC7A13"/>
    <w:rsid w:val="00EF7C87"/>
    <w:rsid w:val="00F3236B"/>
    <w:rsid w:val="00FD7F24"/>
    <w:rsid w:val="00FE5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B32F"/>
  <w15:chartTrackingRefBased/>
  <w15:docId w15:val="{E3C2A6BE-76F5-44C8-A587-6273B760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3D3F"/>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D73D3F"/>
    <w:pPr>
      <w:keepNext/>
      <w:spacing w:before="240" w:after="60"/>
      <w:outlineLvl w:val="0"/>
    </w:pPr>
    <w:rPr>
      <w:rFonts w:cs="Arial"/>
      <w:bCs/>
      <w:color w:val="3F4A75"/>
      <w:kern w:val="28"/>
      <w:sz w:val="36"/>
      <w:szCs w:val="36"/>
    </w:rPr>
  </w:style>
  <w:style w:type="paragraph" w:styleId="Heading2">
    <w:name w:val="heading 2"/>
    <w:basedOn w:val="Normal"/>
    <w:next w:val="Normal"/>
    <w:link w:val="Heading2Char"/>
    <w:uiPriority w:val="9"/>
    <w:unhideWhenUsed/>
    <w:qFormat/>
    <w:rsid w:val="00D73D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D3F"/>
    <w:rPr>
      <w:rFonts w:ascii="Arial" w:eastAsia="Times New Roman" w:hAnsi="Arial" w:cs="Arial"/>
      <w:bCs/>
      <w:color w:val="3F4A75"/>
      <w:kern w:val="28"/>
      <w:sz w:val="36"/>
      <w:szCs w:val="36"/>
    </w:rPr>
  </w:style>
  <w:style w:type="paragraph" w:customStyle="1" w:styleId="Paragraphtext">
    <w:name w:val="Paragraph text"/>
    <w:basedOn w:val="Normal"/>
    <w:qFormat/>
    <w:rsid w:val="00D73D3F"/>
    <w:pPr>
      <w:spacing w:before="120" w:after="60"/>
    </w:pPr>
    <w:rPr>
      <w:color w:val="000000" w:themeColor="text1"/>
      <w:sz w:val="21"/>
    </w:rPr>
  </w:style>
  <w:style w:type="paragraph" w:styleId="Subtitle">
    <w:name w:val="Subtitle"/>
    <w:next w:val="Normal"/>
    <w:link w:val="SubtitleChar"/>
    <w:qFormat/>
    <w:rsid w:val="00D73D3F"/>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D73D3F"/>
    <w:rPr>
      <w:rFonts w:ascii="Arial" w:eastAsiaTheme="majorEastAsia" w:hAnsi="Arial" w:cstheme="majorBidi"/>
      <w:iCs/>
      <w:color w:val="3F4A75"/>
      <w:spacing w:val="15"/>
      <w:sz w:val="40"/>
      <w:szCs w:val="24"/>
    </w:rPr>
  </w:style>
  <w:style w:type="paragraph" w:styleId="Title">
    <w:name w:val="Title"/>
    <w:basedOn w:val="Normal"/>
    <w:next w:val="Paragraphtext"/>
    <w:link w:val="TitleChar"/>
    <w:qFormat/>
    <w:rsid w:val="00D73D3F"/>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D73D3F"/>
    <w:rPr>
      <w:rFonts w:ascii="Arial" w:eastAsiaTheme="majorEastAsia" w:hAnsi="Arial" w:cstheme="majorBidi"/>
      <w:b/>
      <w:color w:val="3F4A75"/>
      <w:kern w:val="28"/>
      <w:sz w:val="48"/>
      <w:szCs w:val="52"/>
    </w:rPr>
  </w:style>
  <w:style w:type="paragraph" w:styleId="Header">
    <w:name w:val="header"/>
    <w:basedOn w:val="Normal"/>
    <w:link w:val="HeaderChar"/>
    <w:qFormat/>
    <w:rsid w:val="00D73D3F"/>
    <w:pPr>
      <w:tabs>
        <w:tab w:val="center" w:pos="4513"/>
        <w:tab w:val="right" w:pos="9026"/>
      </w:tabs>
    </w:pPr>
  </w:style>
  <w:style w:type="character" w:customStyle="1" w:styleId="HeaderChar">
    <w:name w:val="Header Char"/>
    <w:basedOn w:val="DefaultParagraphFont"/>
    <w:link w:val="Header"/>
    <w:rsid w:val="00D73D3F"/>
    <w:rPr>
      <w:rFonts w:ascii="Arial" w:eastAsia="Times New Roman" w:hAnsi="Arial" w:cs="Times New Roman"/>
      <w:szCs w:val="24"/>
    </w:rPr>
  </w:style>
  <w:style w:type="paragraph" w:styleId="Footer">
    <w:name w:val="footer"/>
    <w:basedOn w:val="Normal"/>
    <w:link w:val="FooterChar"/>
    <w:uiPriority w:val="99"/>
    <w:qFormat/>
    <w:rsid w:val="00D73D3F"/>
    <w:pPr>
      <w:tabs>
        <w:tab w:val="center" w:pos="4513"/>
        <w:tab w:val="right" w:pos="9026"/>
      </w:tabs>
    </w:pPr>
    <w:rPr>
      <w:sz w:val="20"/>
    </w:rPr>
  </w:style>
  <w:style w:type="character" w:customStyle="1" w:styleId="FooterChar">
    <w:name w:val="Footer Char"/>
    <w:basedOn w:val="DefaultParagraphFont"/>
    <w:link w:val="Footer"/>
    <w:uiPriority w:val="99"/>
    <w:rsid w:val="00D73D3F"/>
    <w:rPr>
      <w:rFonts w:ascii="Arial" w:eastAsia="Times New Roman" w:hAnsi="Arial" w:cs="Times New Roman"/>
      <w:sz w:val="20"/>
      <w:szCs w:val="24"/>
    </w:rPr>
  </w:style>
  <w:style w:type="paragraph" w:customStyle="1" w:styleId="Headertext">
    <w:name w:val="Header text"/>
    <w:basedOn w:val="Normal"/>
    <w:rsid w:val="00D73D3F"/>
    <w:pPr>
      <w:jc w:val="right"/>
    </w:pPr>
    <w:rPr>
      <w:sz w:val="20"/>
    </w:rPr>
  </w:style>
  <w:style w:type="character" w:customStyle="1" w:styleId="BoldAllCaps">
    <w:name w:val="Bold All Caps"/>
    <w:basedOn w:val="DefaultParagraphFont"/>
    <w:uiPriority w:val="1"/>
    <w:qFormat/>
    <w:rsid w:val="00D73D3F"/>
    <w:rPr>
      <w:b/>
      <w:caps/>
      <w:smallCaps w:val="0"/>
      <w:color w:val="358189"/>
      <w:bdr w:val="none" w:sz="0" w:space="0" w:color="auto"/>
    </w:rPr>
  </w:style>
  <w:style w:type="character" w:styleId="Hyperlink">
    <w:name w:val="Hyperlink"/>
    <w:basedOn w:val="DefaultParagraphFont"/>
    <w:uiPriority w:val="99"/>
    <w:unhideWhenUsed/>
    <w:rsid w:val="00D73D3F"/>
    <w:rPr>
      <w:color w:val="0000FF"/>
      <w:u w:val="single"/>
    </w:rPr>
  </w:style>
  <w:style w:type="character" w:customStyle="1" w:styleId="normaltextrun">
    <w:name w:val="normaltextrun"/>
    <w:basedOn w:val="DefaultParagraphFont"/>
    <w:rsid w:val="00D73D3F"/>
  </w:style>
  <w:style w:type="character" w:styleId="CommentReference">
    <w:name w:val="annotation reference"/>
    <w:basedOn w:val="DefaultParagraphFont"/>
    <w:uiPriority w:val="99"/>
    <w:semiHidden/>
    <w:unhideWhenUsed/>
    <w:rsid w:val="00D73D3F"/>
    <w:rPr>
      <w:sz w:val="16"/>
      <w:szCs w:val="16"/>
    </w:rPr>
  </w:style>
  <w:style w:type="paragraph" w:styleId="CommentText">
    <w:name w:val="annotation text"/>
    <w:basedOn w:val="Normal"/>
    <w:link w:val="CommentTextChar"/>
    <w:uiPriority w:val="99"/>
    <w:semiHidden/>
    <w:unhideWhenUsed/>
    <w:rsid w:val="00D73D3F"/>
    <w:rPr>
      <w:sz w:val="20"/>
      <w:szCs w:val="20"/>
    </w:rPr>
  </w:style>
  <w:style w:type="character" w:customStyle="1" w:styleId="CommentTextChar">
    <w:name w:val="Comment Text Char"/>
    <w:basedOn w:val="DefaultParagraphFont"/>
    <w:link w:val="CommentText"/>
    <w:uiPriority w:val="99"/>
    <w:semiHidden/>
    <w:rsid w:val="00D73D3F"/>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D73D3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D73D3F"/>
    <w:pPr>
      <w:spacing w:before="100" w:beforeAutospacing="1" w:after="100" w:afterAutospacing="1"/>
    </w:pPr>
    <w:rPr>
      <w:rFonts w:ascii="Times New Roman" w:hAnsi="Times New Roman"/>
      <w:sz w:val="24"/>
      <w:lang w:eastAsia="en-AU"/>
    </w:rPr>
  </w:style>
  <w:style w:type="character" w:customStyle="1" w:styleId="eop">
    <w:name w:val="eop"/>
    <w:basedOn w:val="DefaultParagraphFont"/>
    <w:rsid w:val="00D73D3F"/>
  </w:style>
  <w:style w:type="paragraph" w:styleId="ListParagraph">
    <w:name w:val="List Paragraph"/>
    <w:basedOn w:val="Normal"/>
    <w:uiPriority w:val="34"/>
    <w:qFormat/>
    <w:rsid w:val="00EF7C87"/>
    <w:pPr>
      <w:ind w:left="720"/>
    </w:pPr>
    <w:rPr>
      <w:rFonts w:ascii="Calibri" w:hAnsi="Calibri" w:cs="Calibri"/>
      <w:sz w:val="20"/>
      <w:szCs w:val="20"/>
      <w:lang w:eastAsia="en-AU"/>
    </w:rPr>
  </w:style>
  <w:style w:type="character" w:styleId="FollowedHyperlink">
    <w:name w:val="FollowedHyperlink"/>
    <w:basedOn w:val="DefaultParagraphFont"/>
    <w:uiPriority w:val="99"/>
    <w:semiHidden/>
    <w:unhideWhenUsed/>
    <w:rsid w:val="00EF7C87"/>
    <w:rPr>
      <w:color w:val="954F72" w:themeColor="followedHyperlink"/>
      <w:u w:val="single"/>
    </w:rPr>
  </w:style>
  <w:style w:type="character" w:styleId="UnresolvedMention">
    <w:name w:val="Unresolved Mention"/>
    <w:basedOn w:val="DefaultParagraphFont"/>
    <w:uiPriority w:val="99"/>
    <w:semiHidden/>
    <w:unhideWhenUsed/>
    <w:rsid w:val="00EF7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24229">
      <w:bodyDiv w:val="1"/>
      <w:marLeft w:val="0"/>
      <w:marRight w:val="0"/>
      <w:marTop w:val="0"/>
      <w:marBottom w:val="0"/>
      <w:divBdr>
        <w:top w:val="none" w:sz="0" w:space="0" w:color="auto"/>
        <w:left w:val="none" w:sz="0" w:space="0" w:color="auto"/>
        <w:bottom w:val="none" w:sz="0" w:space="0" w:color="auto"/>
        <w:right w:val="none" w:sz="0" w:space="0" w:color="auto"/>
      </w:divBdr>
      <w:divsChild>
        <w:div w:id="1528636174">
          <w:marLeft w:val="0"/>
          <w:marRight w:val="0"/>
          <w:marTop w:val="0"/>
          <w:marBottom w:val="0"/>
          <w:divBdr>
            <w:top w:val="none" w:sz="0" w:space="0" w:color="auto"/>
            <w:left w:val="none" w:sz="0" w:space="0" w:color="auto"/>
            <w:bottom w:val="none" w:sz="0" w:space="0" w:color="auto"/>
            <w:right w:val="none" w:sz="0" w:space="0" w:color="auto"/>
          </w:divBdr>
        </w:div>
        <w:div w:id="1761873326">
          <w:marLeft w:val="0"/>
          <w:marRight w:val="0"/>
          <w:marTop w:val="0"/>
          <w:marBottom w:val="0"/>
          <w:divBdr>
            <w:top w:val="none" w:sz="0" w:space="0" w:color="auto"/>
            <w:left w:val="none" w:sz="0" w:space="0" w:color="auto"/>
            <w:bottom w:val="none" w:sz="0" w:space="0" w:color="auto"/>
            <w:right w:val="none" w:sz="0" w:space="0" w:color="auto"/>
          </w:divBdr>
        </w:div>
        <w:div w:id="1559240240">
          <w:marLeft w:val="0"/>
          <w:marRight w:val="0"/>
          <w:marTop w:val="0"/>
          <w:marBottom w:val="0"/>
          <w:divBdr>
            <w:top w:val="none" w:sz="0" w:space="0" w:color="auto"/>
            <w:left w:val="none" w:sz="0" w:space="0" w:color="auto"/>
            <w:bottom w:val="none" w:sz="0" w:space="0" w:color="auto"/>
            <w:right w:val="none" w:sz="0" w:space="0" w:color="auto"/>
          </w:divBdr>
        </w:div>
        <w:div w:id="834809473">
          <w:marLeft w:val="0"/>
          <w:marRight w:val="0"/>
          <w:marTop w:val="0"/>
          <w:marBottom w:val="0"/>
          <w:divBdr>
            <w:top w:val="none" w:sz="0" w:space="0" w:color="auto"/>
            <w:left w:val="none" w:sz="0" w:space="0" w:color="auto"/>
            <w:bottom w:val="none" w:sz="0" w:space="0" w:color="auto"/>
            <w:right w:val="none" w:sz="0" w:space="0" w:color="auto"/>
          </w:divBdr>
        </w:div>
        <w:div w:id="498077217">
          <w:marLeft w:val="0"/>
          <w:marRight w:val="0"/>
          <w:marTop w:val="0"/>
          <w:marBottom w:val="0"/>
          <w:divBdr>
            <w:top w:val="none" w:sz="0" w:space="0" w:color="auto"/>
            <w:left w:val="none" w:sz="0" w:space="0" w:color="auto"/>
            <w:bottom w:val="none" w:sz="0" w:space="0" w:color="auto"/>
            <w:right w:val="none" w:sz="0" w:space="0" w:color="auto"/>
          </w:divBdr>
        </w:div>
      </w:divsChild>
    </w:div>
    <w:div w:id="374432827">
      <w:bodyDiv w:val="1"/>
      <w:marLeft w:val="0"/>
      <w:marRight w:val="0"/>
      <w:marTop w:val="0"/>
      <w:marBottom w:val="0"/>
      <w:divBdr>
        <w:top w:val="none" w:sz="0" w:space="0" w:color="auto"/>
        <w:left w:val="none" w:sz="0" w:space="0" w:color="auto"/>
        <w:bottom w:val="none" w:sz="0" w:space="0" w:color="auto"/>
        <w:right w:val="none" w:sz="0" w:space="0" w:color="auto"/>
      </w:divBdr>
    </w:div>
    <w:div w:id="403722389">
      <w:bodyDiv w:val="1"/>
      <w:marLeft w:val="0"/>
      <w:marRight w:val="0"/>
      <w:marTop w:val="0"/>
      <w:marBottom w:val="0"/>
      <w:divBdr>
        <w:top w:val="none" w:sz="0" w:space="0" w:color="auto"/>
        <w:left w:val="none" w:sz="0" w:space="0" w:color="auto"/>
        <w:bottom w:val="none" w:sz="0" w:space="0" w:color="auto"/>
        <w:right w:val="none" w:sz="0" w:space="0" w:color="auto"/>
      </w:divBdr>
    </w:div>
    <w:div w:id="427890150">
      <w:bodyDiv w:val="1"/>
      <w:marLeft w:val="0"/>
      <w:marRight w:val="0"/>
      <w:marTop w:val="0"/>
      <w:marBottom w:val="0"/>
      <w:divBdr>
        <w:top w:val="none" w:sz="0" w:space="0" w:color="auto"/>
        <w:left w:val="none" w:sz="0" w:space="0" w:color="auto"/>
        <w:bottom w:val="none" w:sz="0" w:space="0" w:color="auto"/>
        <w:right w:val="none" w:sz="0" w:space="0" w:color="auto"/>
      </w:divBdr>
    </w:div>
    <w:div w:id="658535679">
      <w:bodyDiv w:val="1"/>
      <w:marLeft w:val="0"/>
      <w:marRight w:val="0"/>
      <w:marTop w:val="0"/>
      <w:marBottom w:val="0"/>
      <w:divBdr>
        <w:top w:val="none" w:sz="0" w:space="0" w:color="auto"/>
        <w:left w:val="none" w:sz="0" w:space="0" w:color="auto"/>
        <w:bottom w:val="none" w:sz="0" w:space="0" w:color="auto"/>
        <w:right w:val="none" w:sz="0" w:space="0" w:color="auto"/>
      </w:divBdr>
    </w:div>
    <w:div w:id="1169059758">
      <w:bodyDiv w:val="1"/>
      <w:marLeft w:val="0"/>
      <w:marRight w:val="0"/>
      <w:marTop w:val="0"/>
      <w:marBottom w:val="0"/>
      <w:divBdr>
        <w:top w:val="none" w:sz="0" w:space="0" w:color="auto"/>
        <w:left w:val="none" w:sz="0" w:space="0" w:color="auto"/>
        <w:bottom w:val="none" w:sz="0" w:space="0" w:color="auto"/>
        <w:right w:val="none" w:sz="0" w:space="0" w:color="auto"/>
      </w:divBdr>
    </w:div>
    <w:div w:id="1429736327">
      <w:bodyDiv w:val="1"/>
      <w:marLeft w:val="0"/>
      <w:marRight w:val="0"/>
      <w:marTop w:val="0"/>
      <w:marBottom w:val="0"/>
      <w:divBdr>
        <w:top w:val="none" w:sz="0" w:space="0" w:color="auto"/>
        <w:left w:val="none" w:sz="0" w:space="0" w:color="auto"/>
        <w:bottom w:val="none" w:sz="0" w:space="0" w:color="auto"/>
        <w:right w:val="none" w:sz="0" w:space="0" w:color="auto"/>
      </w:divBdr>
    </w:div>
    <w:div w:id="1458916151">
      <w:bodyDiv w:val="1"/>
      <w:marLeft w:val="0"/>
      <w:marRight w:val="0"/>
      <w:marTop w:val="0"/>
      <w:marBottom w:val="0"/>
      <w:divBdr>
        <w:top w:val="none" w:sz="0" w:space="0" w:color="auto"/>
        <w:left w:val="none" w:sz="0" w:space="0" w:color="auto"/>
        <w:bottom w:val="none" w:sz="0" w:space="0" w:color="auto"/>
        <w:right w:val="none" w:sz="0" w:space="0" w:color="auto"/>
      </w:divBdr>
      <w:divsChild>
        <w:div w:id="991828733">
          <w:marLeft w:val="0"/>
          <w:marRight w:val="0"/>
          <w:marTop w:val="0"/>
          <w:marBottom w:val="0"/>
          <w:divBdr>
            <w:top w:val="none" w:sz="0" w:space="0" w:color="auto"/>
            <w:left w:val="none" w:sz="0" w:space="0" w:color="auto"/>
            <w:bottom w:val="none" w:sz="0" w:space="0" w:color="auto"/>
            <w:right w:val="none" w:sz="0" w:space="0" w:color="auto"/>
          </w:divBdr>
        </w:div>
        <w:div w:id="1836451125">
          <w:marLeft w:val="0"/>
          <w:marRight w:val="0"/>
          <w:marTop w:val="0"/>
          <w:marBottom w:val="0"/>
          <w:divBdr>
            <w:top w:val="none" w:sz="0" w:space="0" w:color="auto"/>
            <w:left w:val="none" w:sz="0" w:space="0" w:color="auto"/>
            <w:bottom w:val="none" w:sz="0" w:space="0" w:color="auto"/>
            <w:right w:val="none" w:sz="0" w:space="0" w:color="auto"/>
          </w:divBdr>
        </w:div>
        <w:div w:id="1446775893">
          <w:marLeft w:val="0"/>
          <w:marRight w:val="0"/>
          <w:marTop w:val="0"/>
          <w:marBottom w:val="0"/>
          <w:divBdr>
            <w:top w:val="none" w:sz="0" w:space="0" w:color="auto"/>
            <w:left w:val="none" w:sz="0" w:space="0" w:color="auto"/>
            <w:bottom w:val="none" w:sz="0" w:space="0" w:color="auto"/>
            <w:right w:val="none" w:sz="0" w:space="0" w:color="auto"/>
          </w:divBdr>
        </w:div>
        <w:div w:id="876428287">
          <w:marLeft w:val="0"/>
          <w:marRight w:val="0"/>
          <w:marTop w:val="0"/>
          <w:marBottom w:val="0"/>
          <w:divBdr>
            <w:top w:val="none" w:sz="0" w:space="0" w:color="auto"/>
            <w:left w:val="none" w:sz="0" w:space="0" w:color="auto"/>
            <w:bottom w:val="none" w:sz="0" w:space="0" w:color="auto"/>
            <w:right w:val="none" w:sz="0" w:space="0" w:color="auto"/>
          </w:divBdr>
        </w:div>
        <w:div w:id="856235596">
          <w:marLeft w:val="0"/>
          <w:marRight w:val="0"/>
          <w:marTop w:val="0"/>
          <w:marBottom w:val="0"/>
          <w:divBdr>
            <w:top w:val="none" w:sz="0" w:space="0" w:color="auto"/>
            <w:left w:val="none" w:sz="0" w:space="0" w:color="auto"/>
            <w:bottom w:val="none" w:sz="0" w:space="0" w:color="auto"/>
            <w:right w:val="none" w:sz="0" w:space="0" w:color="auto"/>
          </w:divBdr>
        </w:div>
      </w:divsChild>
    </w:div>
    <w:div w:id="1566336492">
      <w:bodyDiv w:val="1"/>
      <w:marLeft w:val="0"/>
      <w:marRight w:val="0"/>
      <w:marTop w:val="0"/>
      <w:marBottom w:val="0"/>
      <w:divBdr>
        <w:top w:val="none" w:sz="0" w:space="0" w:color="auto"/>
        <w:left w:val="none" w:sz="0" w:space="0" w:color="auto"/>
        <w:bottom w:val="none" w:sz="0" w:space="0" w:color="auto"/>
        <w:right w:val="none" w:sz="0" w:space="0" w:color="auto"/>
      </w:divBdr>
    </w:div>
    <w:div w:id="1607158302">
      <w:bodyDiv w:val="1"/>
      <w:marLeft w:val="0"/>
      <w:marRight w:val="0"/>
      <w:marTop w:val="0"/>
      <w:marBottom w:val="0"/>
      <w:divBdr>
        <w:top w:val="none" w:sz="0" w:space="0" w:color="auto"/>
        <w:left w:val="none" w:sz="0" w:space="0" w:color="auto"/>
        <w:bottom w:val="none" w:sz="0" w:space="0" w:color="auto"/>
        <w:right w:val="none" w:sz="0" w:space="0" w:color="auto"/>
      </w:divBdr>
      <w:divsChild>
        <w:div w:id="1078476286">
          <w:marLeft w:val="0"/>
          <w:marRight w:val="0"/>
          <w:marTop w:val="0"/>
          <w:marBottom w:val="0"/>
          <w:divBdr>
            <w:top w:val="none" w:sz="0" w:space="0" w:color="auto"/>
            <w:left w:val="none" w:sz="0" w:space="0" w:color="auto"/>
            <w:bottom w:val="none" w:sz="0" w:space="0" w:color="auto"/>
            <w:right w:val="none" w:sz="0" w:space="0" w:color="auto"/>
          </w:divBdr>
          <w:divsChild>
            <w:div w:id="1312949003">
              <w:marLeft w:val="0"/>
              <w:marRight w:val="0"/>
              <w:marTop w:val="0"/>
              <w:marBottom w:val="0"/>
              <w:divBdr>
                <w:top w:val="none" w:sz="0" w:space="0" w:color="auto"/>
                <w:left w:val="none" w:sz="0" w:space="0" w:color="auto"/>
                <w:bottom w:val="none" w:sz="0" w:space="0" w:color="auto"/>
                <w:right w:val="none" w:sz="0" w:space="0" w:color="auto"/>
              </w:divBdr>
            </w:div>
            <w:div w:id="880825196">
              <w:marLeft w:val="0"/>
              <w:marRight w:val="0"/>
              <w:marTop w:val="0"/>
              <w:marBottom w:val="0"/>
              <w:divBdr>
                <w:top w:val="none" w:sz="0" w:space="0" w:color="auto"/>
                <w:left w:val="none" w:sz="0" w:space="0" w:color="auto"/>
                <w:bottom w:val="none" w:sz="0" w:space="0" w:color="auto"/>
                <w:right w:val="none" w:sz="0" w:space="0" w:color="auto"/>
              </w:divBdr>
            </w:div>
            <w:div w:id="471411406">
              <w:marLeft w:val="0"/>
              <w:marRight w:val="0"/>
              <w:marTop w:val="0"/>
              <w:marBottom w:val="0"/>
              <w:divBdr>
                <w:top w:val="none" w:sz="0" w:space="0" w:color="auto"/>
                <w:left w:val="none" w:sz="0" w:space="0" w:color="auto"/>
                <w:bottom w:val="none" w:sz="0" w:space="0" w:color="auto"/>
                <w:right w:val="none" w:sz="0" w:space="0" w:color="auto"/>
              </w:divBdr>
            </w:div>
          </w:divsChild>
        </w:div>
        <w:div w:id="919753356">
          <w:marLeft w:val="0"/>
          <w:marRight w:val="0"/>
          <w:marTop w:val="0"/>
          <w:marBottom w:val="0"/>
          <w:divBdr>
            <w:top w:val="none" w:sz="0" w:space="0" w:color="auto"/>
            <w:left w:val="none" w:sz="0" w:space="0" w:color="auto"/>
            <w:bottom w:val="none" w:sz="0" w:space="0" w:color="auto"/>
            <w:right w:val="none" w:sz="0" w:space="0" w:color="auto"/>
          </w:divBdr>
          <w:divsChild>
            <w:div w:id="1607813858">
              <w:marLeft w:val="0"/>
              <w:marRight w:val="0"/>
              <w:marTop w:val="0"/>
              <w:marBottom w:val="0"/>
              <w:divBdr>
                <w:top w:val="none" w:sz="0" w:space="0" w:color="auto"/>
                <w:left w:val="none" w:sz="0" w:space="0" w:color="auto"/>
                <w:bottom w:val="none" w:sz="0" w:space="0" w:color="auto"/>
                <w:right w:val="none" w:sz="0" w:space="0" w:color="auto"/>
              </w:divBdr>
            </w:div>
            <w:div w:id="1283614412">
              <w:marLeft w:val="0"/>
              <w:marRight w:val="0"/>
              <w:marTop w:val="0"/>
              <w:marBottom w:val="0"/>
              <w:divBdr>
                <w:top w:val="none" w:sz="0" w:space="0" w:color="auto"/>
                <w:left w:val="none" w:sz="0" w:space="0" w:color="auto"/>
                <w:bottom w:val="none" w:sz="0" w:space="0" w:color="auto"/>
                <w:right w:val="none" w:sz="0" w:space="0" w:color="auto"/>
              </w:divBdr>
            </w:div>
            <w:div w:id="996616259">
              <w:marLeft w:val="0"/>
              <w:marRight w:val="0"/>
              <w:marTop w:val="0"/>
              <w:marBottom w:val="0"/>
              <w:divBdr>
                <w:top w:val="none" w:sz="0" w:space="0" w:color="auto"/>
                <w:left w:val="none" w:sz="0" w:space="0" w:color="auto"/>
                <w:bottom w:val="none" w:sz="0" w:space="0" w:color="auto"/>
                <w:right w:val="none" w:sz="0" w:space="0" w:color="auto"/>
              </w:divBdr>
            </w:div>
          </w:divsChild>
        </w:div>
        <w:div w:id="32315162">
          <w:marLeft w:val="0"/>
          <w:marRight w:val="0"/>
          <w:marTop w:val="0"/>
          <w:marBottom w:val="0"/>
          <w:divBdr>
            <w:top w:val="none" w:sz="0" w:space="0" w:color="auto"/>
            <w:left w:val="none" w:sz="0" w:space="0" w:color="auto"/>
            <w:bottom w:val="none" w:sz="0" w:space="0" w:color="auto"/>
            <w:right w:val="none" w:sz="0" w:space="0" w:color="auto"/>
          </w:divBdr>
          <w:divsChild>
            <w:div w:id="894201036">
              <w:marLeft w:val="0"/>
              <w:marRight w:val="0"/>
              <w:marTop w:val="0"/>
              <w:marBottom w:val="0"/>
              <w:divBdr>
                <w:top w:val="none" w:sz="0" w:space="0" w:color="auto"/>
                <w:left w:val="none" w:sz="0" w:space="0" w:color="auto"/>
                <w:bottom w:val="none" w:sz="0" w:space="0" w:color="auto"/>
                <w:right w:val="none" w:sz="0" w:space="0" w:color="auto"/>
              </w:divBdr>
            </w:div>
            <w:div w:id="17991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6190">
      <w:bodyDiv w:val="1"/>
      <w:marLeft w:val="0"/>
      <w:marRight w:val="0"/>
      <w:marTop w:val="0"/>
      <w:marBottom w:val="0"/>
      <w:divBdr>
        <w:top w:val="none" w:sz="0" w:space="0" w:color="auto"/>
        <w:left w:val="none" w:sz="0" w:space="0" w:color="auto"/>
        <w:bottom w:val="none" w:sz="0" w:space="0" w:color="auto"/>
        <w:right w:val="none" w:sz="0" w:space="0" w:color="auto"/>
      </w:divBdr>
    </w:div>
    <w:div w:id="21019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armserv@health.tas.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qld.gov.au/__data/assets/pdf_file/0028/1108936/ds-electronic-prescription-management-system.pdf" TargetMode="External"/><Relationship Id="rId17" Type="http://schemas.openxmlformats.org/officeDocument/2006/relationships/hyperlink" Target="mailto:eNRMC@health.gov.au" TargetMode="Externa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nsw.gov.au/pharmaceutical/Pages/what-is-new.aspx" TargetMode="External"/><Relationship Id="rId5" Type="http://schemas.openxmlformats.org/officeDocument/2006/relationships/webSettings" Target="webSettings.xml"/><Relationship Id="rId15" Type="http://schemas.openxmlformats.org/officeDocument/2006/relationships/hyperlink" Target="mailto:eNRMC@health.gov.au" TargetMode="External"/><Relationship Id="rId10" Type="http://schemas.openxmlformats.org/officeDocument/2006/relationships/hyperlink" Target="mailto:PSS@act.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berraScript@act.gov.au" TargetMode="External"/><Relationship Id="rId14" Type="http://schemas.openxmlformats.org/officeDocument/2006/relationships/hyperlink" Target="mailto:MPRB.Policy@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BC25-99FD-431F-A2ED-CAE5B187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 and Aged Care</dc:creator>
  <cp:keywords>Aged care; Medicines</cp:keywords>
  <dc:description/>
  <cp:lastModifiedBy>ARNOLD, Max</cp:lastModifiedBy>
  <cp:revision>4</cp:revision>
  <dcterms:created xsi:type="dcterms:W3CDTF">2022-07-19T02:05:00Z</dcterms:created>
  <dcterms:modified xsi:type="dcterms:W3CDTF">2022-07-19T04:30:00Z</dcterms:modified>
</cp:coreProperties>
</file>