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86F2" w14:textId="77777777" w:rsidR="00280050" w:rsidRPr="006F01F5" w:rsidRDefault="00280050" w:rsidP="00224669">
      <w:pPr>
        <w:spacing w:after="120"/>
      </w:pPr>
    </w:p>
    <w:p w14:paraId="1569C3BD" w14:textId="77777777" w:rsidR="009C40A1" w:rsidRPr="006F01F5" w:rsidRDefault="009C40A1" w:rsidP="00224669">
      <w:pPr>
        <w:spacing w:after="120"/>
      </w:pPr>
    </w:p>
    <w:p w14:paraId="1586EAA0" w14:textId="77777777" w:rsidR="009C40A1" w:rsidRPr="006F01F5" w:rsidRDefault="009C40A1" w:rsidP="00224669">
      <w:pPr>
        <w:spacing w:after="120"/>
      </w:pPr>
    </w:p>
    <w:p w14:paraId="73E3C21B" w14:textId="77777777" w:rsidR="009C40A1" w:rsidRPr="006F01F5" w:rsidRDefault="009C40A1" w:rsidP="00224669">
      <w:pPr>
        <w:spacing w:after="120"/>
      </w:pPr>
    </w:p>
    <w:p w14:paraId="039A78AD" w14:textId="77777777" w:rsidR="009C40A1" w:rsidRPr="006F01F5" w:rsidRDefault="00E65759" w:rsidP="0037123A">
      <w:pPr>
        <w:pStyle w:val="Heading1"/>
        <w:spacing w:before="600" w:after="120"/>
        <w:rPr>
          <w:sz w:val="88"/>
          <w:szCs w:val="88"/>
          <w:lang w:val="fr-FR"/>
        </w:rPr>
      </w:pPr>
      <w:r w:rsidRPr="006F01F5">
        <w:rPr>
          <w:sz w:val="88"/>
          <w:szCs w:val="88"/>
          <w:lang w:val="fr-CA"/>
        </w:rPr>
        <w:t>Effets à long terme du COVID-19</w:t>
      </w:r>
    </w:p>
    <w:p w14:paraId="0A96E66E" w14:textId="359EAA84" w:rsidR="00D97964" w:rsidRPr="006F01F5" w:rsidRDefault="00D97964" w:rsidP="0037123A">
      <w:pPr>
        <w:spacing w:before="240" w:after="160"/>
        <w:rPr>
          <w:lang w:val="fr-CA"/>
        </w:rPr>
      </w:pPr>
      <w:r w:rsidRPr="006F01F5">
        <w:rPr>
          <w:lang w:val="fr-CA"/>
        </w:rPr>
        <w:t>27</w:t>
      </w:r>
      <w:r w:rsidR="00412972" w:rsidRPr="006F01F5">
        <w:rPr>
          <w:lang w:val="fr-CA"/>
        </w:rPr>
        <w:t> </w:t>
      </w:r>
      <w:r w:rsidRPr="006F01F5">
        <w:rPr>
          <w:lang w:val="fr-CA"/>
        </w:rPr>
        <w:t>juin 2022</w:t>
      </w:r>
    </w:p>
    <w:p w14:paraId="681A1947" w14:textId="4EB82CAE" w:rsidR="0037123A" w:rsidRPr="006F01F5" w:rsidRDefault="00E65759" w:rsidP="0037123A">
      <w:pPr>
        <w:spacing w:before="240" w:after="160"/>
        <w:rPr>
          <w:lang w:val="fr-CA"/>
        </w:rPr>
      </w:pPr>
      <w:r w:rsidRPr="006F01F5">
        <w:rPr>
          <w:lang w:val="fr-CA"/>
        </w:rPr>
        <w:t xml:space="preserve">La plupart des personnes qui contractent le COVID-19 présentent des symptômes pendant une courte période, puis se rétablissent en quelques semaines. Le temps nécessaire pour se rétablir du COVID-19 diffère d’une personne à l’autre. </w:t>
      </w:r>
      <w:r w:rsidRPr="006F01F5">
        <w:rPr>
          <w:lang w:val="fr-FR"/>
        </w:rPr>
        <w:t xml:space="preserve">Cela dépend de la façon dont le COVID-19 vous a </w:t>
      </w:r>
      <w:r w:rsidRPr="006F01F5">
        <w:rPr>
          <w:lang w:val="fr-CA"/>
        </w:rPr>
        <w:t xml:space="preserve">affecté. Cela peut également dépendre d’autres problèmes de santé pré-existants. </w:t>
      </w:r>
    </w:p>
    <w:p w14:paraId="1D623B90" w14:textId="77777777" w:rsidR="001B6D76" w:rsidRPr="006F01F5" w:rsidRDefault="00E65759" w:rsidP="00224669">
      <w:pPr>
        <w:spacing w:before="240" w:after="160"/>
        <w:rPr>
          <w:color w:val="2B2B2B"/>
          <w:shd w:val="clear" w:color="auto" w:fill="FFFFFF"/>
          <w:lang w:val="fr-FR"/>
        </w:rPr>
      </w:pPr>
      <w:r w:rsidRPr="006F01F5">
        <w:rPr>
          <w:color w:val="2B2B2B"/>
          <w:shd w:val="clear" w:color="auto" w:fill="FFFFFF"/>
          <w:lang w:val="fr-CA"/>
        </w:rPr>
        <w:t>Certaines personnes continuent à présenter des problèmes de santé à long terme après avoir contracté le COVID-19. Parfois, les personnes qui ont contracté le COVID-19 continuent à ressentir des symptômes pendant plusieurs mois après la maladie initiale. C’est ce qu’on appelle le « COVID long ». Le COVID long peut perdurer plusieurs semaines ou plusieurs mois, même lorsque la personne n’est plus porteuse du virus.</w:t>
      </w:r>
    </w:p>
    <w:p w14:paraId="77B8DDF2" w14:textId="05CF3483" w:rsidR="00D97964" w:rsidRPr="006F01F5" w:rsidRDefault="00D97964" w:rsidP="006F01F5">
      <w:pPr>
        <w:rPr>
          <w:lang w:val="fr-CA"/>
        </w:rPr>
      </w:pPr>
      <w:r w:rsidRPr="006F01F5">
        <w:rPr>
          <w:lang w:val="fr-CA"/>
        </w:rPr>
        <w:t>Le COVID long est plus fréquent chez les personnes qui ont contracté une infection sévère au COVID-19. Cependant, même les personnes qui ont eu une infection légère au COVID-19 et qui n</w:t>
      </w:r>
      <w:r w:rsidR="00412972" w:rsidRPr="006F01F5">
        <w:rPr>
          <w:lang w:val="fr-CA"/>
        </w:rPr>
        <w:t>’</w:t>
      </w:r>
      <w:r w:rsidRPr="006F01F5">
        <w:rPr>
          <w:lang w:val="fr-CA"/>
        </w:rPr>
        <w:t>ont pas eu besoin d</w:t>
      </w:r>
      <w:r w:rsidR="00412972" w:rsidRPr="006F01F5">
        <w:rPr>
          <w:lang w:val="fr-CA"/>
        </w:rPr>
        <w:t>’</w:t>
      </w:r>
      <w:r w:rsidRPr="006F01F5">
        <w:rPr>
          <w:lang w:val="fr-CA"/>
        </w:rPr>
        <w:t>aller à l</w:t>
      </w:r>
      <w:r w:rsidR="00412972" w:rsidRPr="006F01F5">
        <w:rPr>
          <w:lang w:val="fr-CA"/>
        </w:rPr>
        <w:t>’</w:t>
      </w:r>
      <w:r w:rsidRPr="006F01F5">
        <w:rPr>
          <w:lang w:val="fr-CA"/>
        </w:rPr>
        <w:t>hôpital peuvent développer un COVID long.</w:t>
      </w:r>
    </w:p>
    <w:p w14:paraId="2EBD7CAC" w14:textId="4894297D" w:rsidR="009C40A1" w:rsidRPr="006F01F5" w:rsidRDefault="00E65759" w:rsidP="00224669">
      <w:pPr>
        <w:pStyle w:val="Heading2"/>
        <w:spacing w:before="240" w:after="160"/>
        <w:rPr>
          <w:rFonts w:ascii="Arial" w:hAnsi="Arial" w:cs="Arial"/>
          <w:color w:val="3665AE"/>
          <w:sz w:val="26"/>
          <w:lang w:val="fr-FR"/>
        </w:rPr>
      </w:pPr>
      <w:r w:rsidRPr="006F01F5">
        <w:rPr>
          <w:rFonts w:ascii="Arial" w:hAnsi="Arial" w:cs="Arial"/>
          <w:color w:val="3665AE"/>
          <w:sz w:val="26"/>
          <w:lang w:val="fr-CA"/>
        </w:rPr>
        <w:t>Symptômes du COVID long</w:t>
      </w:r>
    </w:p>
    <w:p w14:paraId="02BBABC6" w14:textId="79D5B2DD" w:rsidR="00D97964" w:rsidRPr="006F01F5" w:rsidRDefault="00D97964" w:rsidP="00D97964">
      <w:pPr>
        <w:pStyle w:val="Heading2"/>
        <w:spacing w:before="240" w:after="160"/>
        <w:rPr>
          <w:rFonts w:ascii="Arial" w:eastAsiaTheme="minorEastAsia" w:hAnsi="Arial" w:cs="Arial"/>
          <w:b w:val="0"/>
          <w:color w:val="auto"/>
          <w:sz w:val="22"/>
          <w:szCs w:val="22"/>
          <w:lang w:val="fr-CA"/>
        </w:rPr>
      </w:pPr>
      <w:r w:rsidRPr="006F01F5">
        <w:rPr>
          <w:rFonts w:ascii="Arial" w:eastAsiaTheme="minorEastAsia" w:hAnsi="Arial" w:cs="Arial"/>
          <w:b w:val="0"/>
          <w:color w:val="auto"/>
          <w:sz w:val="22"/>
          <w:szCs w:val="22"/>
          <w:lang w:val="fr-CA"/>
        </w:rPr>
        <w:t>Le COVID long peut provoquer un large éventail de symptômes et n</w:t>
      </w:r>
      <w:r w:rsidR="00412972" w:rsidRPr="006F01F5">
        <w:rPr>
          <w:rFonts w:ascii="Arial" w:eastAsiaTheme="minorEastAsia" w:hAnsi="Arial" w:cs="Arial"/>
          <w:b w:val="0"/>
          <w:color w:val="auto"/>
          <w:sz w:val="22"/>
          <w:szCs w:val="22"/>
          <w:lang w:val="fr-CA"/>
        </w:rPr>
        <w:t>’</w:t>
      </w:r>
      <w:r w:rsidRPr="006F01F5">
        <w:rPr>
          <w:rFonts w:ascii="Arial" w:eastAsiaTheme="minorEastAsia" w:hAnsi="Arial" w:cs="Arial"/>
          <w:b w:val="0"/>
          <w:color w:val="auto"/>
          <w:sz w:val="22"/>
          <w:szCs w:val="22"/>
          <w:lang w:val="fr-CA"/>
        </w:rPr>
        <w:t>affecte pas tous les individus de la même manière. Les symptômes peuvent continuer après l</w:t>
      </w:r>
      <w:r w:rsidR="00412972" w:rsidRPr="006F01F5">
        <w:rPr>
          <w:rFonts w:ascii="Arial" w:eastAsiaTheme="minorEastAsia" w:hAnsi="Arial" w:cs="Arial"/>
          <w:b w:val="0"/>
          <w:color w:val="auto"/>
          <w:sz w:val="22"/>
          <w:szCs w:val="22"/>
          <w:lang w:val="fr-CA"/>
        </w:rPr>
        <w:t>’</w:t>
      </w:r>
      <w:r w:rsidRPr="006F01F5">
        <w:rPr>
          <w:rFonts w:ascii="Arial" w:eastAsiaTheme="minorEastAsia" w:hAnsi="Arial" w:cs="Arial"/>
          <w:b w:val="0"/>
          <w:color w:val="auto"/>
          <w:sz w:val="22"/>
          <w:szCs w:val="22"/>
          <w:lang w:val="fr-CA"/>
        </w:rPr>
        <w:t>infection, ou peuvent revenir après qu</w:t>
      </w:r>
      <w:r w:rsidR="00412972" w:rsidRPr="006F01F5">
        <w:rPr>
          <w:rFonts w:ascii="Arial" w:eastAsiaTheme="minorEastAsia" w:hAnsi="Arial" w:cs="Arial"/>
          <w:b w:val="0"/>
          <w:color w:val="auto"/>
          <w:sz w:val="22"/>
          <w:szCs w:val="22"/>
          <w:lang w:val="fr-CA"/>
        </w:rPr>
        <w:t>’</w:t>
      </w:r>
      <w:r w:rsidRPr="006F01F5">
        <w:rPr>
          <w:rFonts w:ascii="Arial" w:eastAsiaTheme="minorEastAsia" w:hAnsi="Arial" w:cs="Arial"/>
          <w:b w:val="0"/>
          <w:color w:val="auto"/>
          <w:sz w:val="22"/>
          <w:szCs w:val="22"/>
          <w:lang w:val="fr-CA"/>
        </w:rPr>
        <w:t>une personne se soit remise du COVID-19.</w:t>
      </w:r>
    </w:p>
    <w:p w14:paraId="6F89E0CF" w14:textId="2804D8B4" w:rsidR="00D97964" w:rsidRPr="006F01F5" w:rsidRDefault="00D97964" w:rsidP="00D97964">
      <w:pPr>
        <w:spacing w:before="240" w:after="160"/>
        <w:rPr>
          <w:lang w:val="fr-FR"/>
        </w:rPr>
      </w:pPr>
      <w:r w:rsidRPr="006F01F5">
        <w:rPr>
          <w:lang w:val="fr-CA"/>
        </w:rPr>
        <w:t>Les symptômes et affections les plus fréquemment signalés sont les suivants</w:t>
      </w:r>
      <w:r w:rsidR="00412972" w:rsidRPr="006F01F5">
        <w:rPr>
          <w:lang w:val="fr-CA"/>
        </w:rPr>
        <w:t> </w:t>
      </w:r>
      <w:r w:rsidRPr="006F01F5">
        <w:rPr>
          <w:lang w:val="fr-CA"/>
        </w:rPr>
        <w:t>:</w:t>
      </w:r>
    </w:p>
    <w:p w14:paraId="4A5435F4" w14:textId="77777777" w:rsidR="005B639E" w:rsidRPr="006F01F5" w:rsidRDefault="00E65759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gramStart"/>
      <w:r w:rsidRPr="006F01F5">
        <w:rPr>
          <w:lang w:val="fr-CA"/>
        </w:rPr>
        <w:t>fatigue</w:t>
      </w:r>
      <w:proofErr w:type="gramEnd"/>
    </w:p>
    <w:p w14:paraId="1BA69C7F" w14:textId="77777777" w:rsidR="009C40A1" w:rsidRPr="006F01F5" w:rsidRDefault="00E65759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gramStart"/>
      <w:r w:rsidRPr="006F01F5">
        <w:rPr>
          <w:lang w:val="fr-CA"/>
        </w:rPr>
        <w:t>difficulté</w:t>
      </w:r>
      <w:proofErr w:type="gramEnd"/>
      <w:r w:rsidRPr="006F01F5">
        <w:rPr>
          <w:lang w:val="fr-CA"/>
        </w:rPr>
        <w:t xml:space="preserve"> à respirer</w:t>
      </w:r>
    </w:p>
    <w:p w14:paraId="61CE7938" w14:textId="77777777" w:rsidR="009C40A1" w:rsidRPr="006F01F5" w:rsidRDefault="00E65759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gramStart"/>
      <w:r w:rsidRPr="006F01F5">
        <w:rPr>
          <w:lang w:val="fr-CA"/>
        </w:rPr>
        <w:t>toux</w:t>
      </w:r>
      <w:proofErr w:type="gramEnd"/>
      <w:r w:rsidRPr="006F01F5">
        <w:rPr>
          <w:lang w:val="fr-CA"/>
        </w:rPr>
        <w:t xml:space="preserve"> persistante</w:t>
      </w:r>
    </w:p>
    <w:p w14:paraId="490D4551" w14:textId="77777777" w:rsidR="009C40A1" w:rsidRPr="006F01F5" w:rsidRDefault="00E65759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gramStart"/>
      <w:r w:rsidRPr="006F01F5">
        <w:rPr>
          <w:lang w:val="fr-CA"/>
        </w:rPr>
        <w:t>douleur</w:t>
      </w:r>
      <w:proofErr w:type="gramEnd"/>
      <w:r w:rsidRPr="006F01F5">
        <w:rPr>
          <w:lang w:val="fr-CA"/>
        </w:rPr>
        <w:t xml:space="preserve"> à la poitrine</w:t>
      </w:r>
    </w:p>
    <w:p w14:paraId="1D290474" w14:textId="77777777" w:rsidR="009C40A1" w:rsidRPr="006F01F5" w:rsidRDefault="00E65759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gramStart"/>
      <w:r w:rsidRPr="006F01F5">
        <w:rPr>
          <w:lang w:val="fr-CA"/>
        </w:rPr>
        <w:t>douleur</w:t>
      </w:r>
      <w:proofErr w:type="gramEnd"/>
      <w:r w:rsidRPr="006F01F5">
        <w:rPr>
          <w:lang w:val="fr-CA"/>
        </w:rPr>
        <w:t xml:space="preserve"> aux articulations</w:t>
      </w:r>
    </w:p>
    <w:p w14:paraId="499C8951" w14:textId="77777777" w:rsidR="009C40A1" w:rsidRPr="006F01F5" w:rsidRDefault="00E65759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fr-FR"/>
        </w:rPr>
      </w:pPr>
      <w:proofErr w:type="gramStart"/>
      <w:r w:rsidRPr="006F01F5">
        <w:rPr>
          <w:lang w:val="fr-CA"/>
        </w:rPr>
        <w:t>manque</w:t>
      </w:r>
      <w:proofErr w:type="gramEnd"/>
      <w:r w:rsidRPr="006F01F5">
        <w:rPr>
          <w:lang w:val="fr-CA"/>
        </w:rPr>
        <w:t xml:space="preserve"> d’énergie pour faire de l’exercice</w:t>
      </w:r>
    </w:p>
    <w:p w14:paraId="154CC497" w14:textId="77777777" w:rsidR="009C40A1" w:rsidRPr="006F01F5" w:rsidRDefault="00E65759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gramStart"/>
      <w:r w:rsidRPr="006F01F5">
        <w:rPr>
          <w:lang w:val="fr-CA"/>
        </w:rPr>
        <w:t>fièvre</w:t>
      </w:r>
      <w:proofErr w:type="gramEnd"/>
    </w:p>
    <w:p w14:paraId="3D1E985E" w14:textId="77777777" w:rsidR="009C40A1" w:rsidRPr="006F01F5" w:rsidRDefault="00E65759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gramStart"/>
      <w:r w:rsidRPr="006F01F5">
        <w:rPr>
          <w:lang w:val="fr-CA"/>
        </w:rPr>
        <w:t>maux</w:t>
      </w:r>
      <w:proofErr w:type="gramEnd"/>
      <w:r w:rsidRPr="006F01F5">
        <w:rPr>
          <w:lang w:val="fr-CA"/>
        </w:rPr>
        <w:t xml:space="preserve"> de tête</w:t>
      </w:r>
    </w:p>
    <w:p w14:paraId="59C81AE0" w14:textId="77777777" w:rsidR="009C40A1" w:rsidRPr="006F01F5" w:rsidRDefault="00E65759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fr-FR"/>
        </w:rPr>
      </w:pPr>
      <w:proofErr w:type="gramStart"/>
      <w:r w:rsidRPr="006F01F5">
        <w:rPr>
          <w:lang w:val="fr-CA"/>
        </w:rPr>
        <w:t>problèmes</w:t>
      </w:r>
      <w:proofErr w:type="gramEnd"/>
      <w:r w:rsidRPr="006F01F5">
        <w:rPr>
          <w:lang w:val="fr-CA"/>
        </w:rPr>
        <w:t xml:space="preserve"> de mémoire et difficultés à penser clairement « cerveau embrumé »</w:t>
      </w:r>
    </w:p>
    <w:p w14:paraId="6CBBDD36" w14:textId="77777777" w:rsidR="009C40A1" w:rsidRPr="006F01F5" w:rsidRDefault="00E65759" w:rsidP="006F01F5">
      <w:pPr>
        <w:pStyle w:val="ListParagraph"/>
        <w:numPr>
          <w:ilvl w:val="0"/>
          <w:numId w:val="2"/>
        </w:numPr>
        <w:spacing w:before="240" w:after="360" w:line="259" w:lineRule="auto"/>
      </w:pPr>
      <w:proofErr w:type="gramStart"/>
      <w:r w:rsidRPr="006F01F5">
        <w:rPr>
          <w:lang w:val="fr-CA"/>
        </w:rPr>
        <w:t>dépression</w:t>
      </w:r>
      <w:proofErr w:type="gramEnd"/>
      <w:r w:rsidRPr="006F01F5">
        <w:rPr>
          <w:lang w:val="fr-CA"/>
        </w:rPr>
        <w:t xml:space="preserve"> ou anxiété.</w:t>
      </w:r>
    </w:p>
    <w:p w14:paraId="1A112A7F" w14:textId="77777777" w:rsidR="00D97964" w:rsidRPr="006F01F5" w:rsidRDefault="00D97964" w:rsidP="00D97964">
      <w:pPr>
        <w:spacing w:before="240" w:after="160"/>
        <w:rPr>
          <w:rFonts w:eastAsiaTheme="majorEastAsia"/>
          <w:b/>
          <w:color w:val="2F5496" w:themeColor="accent1" w:themeShade="BF"/>
          <w:sz w:val="28"/>
          <w:szCs w:val="26"/>
        </w:rPr>
      </w:pPr>
      <w:proofErr w:type="spellStart"/>
      <w:r w:rsidRPr="006F01F5">
        <w:rPr>
          <w:rFonts w:eastAsiaTheme="majorEastAsia"/>
          <w:b/>
          <w:color w:val="2F5496" w:themeColor="accent1" w:themeShade="BF"/>
          <w:sz w:val="28"/>
          <w:szCs w:val="26"/>
        </w:rPr>
        <w:lastRenderedPageBreak/>
        <w:t>Prévenir</w:t>
      </w:r>
      <w:proofErr w:type="spellEnd"/>
      <w:r w:rsidRPr="006F01F5">
        <w:rPr>
          <w:rFonts w:eastAsiaTheme="majorEastAsia"/>
          <w:b/>
          <w:color w:val="2F5496" w:themeColor="accent1" w:themeShade="BF"/>
          <w:sz w:val="28"/>
          <w:szCs w:val="26"/>
        </w:rPr>
        <w:t xml:space="preserve"> le COVID long</w:t>
      </w:r>
    </w:p>
    <w:p w14:paraId="7737D5F6" w14:textId="6634E7A8" w:rsidR="00D97964" w:rsidRPr="006F01F5" w:rsidRDefault="00D97964" w:rsidP="00D97964">
      <w:pPr>
        <w:spacing w:before="240" w:after="160"/>
        <w:rPr>
          <w:lang w:val="fr-FR"/>
        </w:rPr>
      </w:pPr>
      <w:r w:rsidRPr="006F01F5">
        <w:rPr>
          <w:lang w:val="fr-FR"/>
        </w:rPr>
        <w:t>La meilleure façon de prévenir le COVID long est de se protéger contre l</w:t>
      </w:r>
      <w:r w:rsidR="00412972" w:rsidRPr="006F01F5">
        <w:rPr>
          <w:lang w:val="fr-FR"/>
        </w:rPr>
        <w:t>’</w:t>
      </w:r>
      <w:r w:rsidRPr="006F01F5">
        <w:rPr>
          <w:lang w:val="fr-FR"/>
        </w:rPr>
        <w:t>infection par le virus du COVID-19.</w:t>
      </w:r>
    </w:p>
    <w:p w14:paraId="34183CB3" w14:textId="77777777" w:rsidR="00D97964" w:rsidRPr="006F01F5" w:rsidRDefault="00D97964" w:rsidP="00D97964">
      <w:pPr>
        <w:spacing w:before="240" w:after="160"/>
        <w:rPr>
          <w:lang w:val="fr-FR"/>
        </w:rPr>
      </w:pPr>
      <w:r w:rsidRPr="006F01F5">
        <w:rPr>
          <w:lang w:val="fr-FR"/>
        </w:rPr>
        <w:t xml:space="preserve">La vaccination est le meilleur moyen de réduire les risques du COVID-19. </w:t>
      </w:r>
    </w:p>
    <w:p w14:paraId="18BE0D8E" w14:textId="1085BEEB" w:rsidR="00D97964" w:rsidRPr="006F01F5" w:rsidRDefault="00D97964" w:rsidP="00D97964">
      <w:pPr>
        <w:spacing w:before="240" w:after="160"/>
        <w:rPr>
          <w:lang w:val="fr-FR"/>
        </w:rPr>
      </w:pPr>
      <w:r w:rsidRPr="006F01F5">
        <w:rPr>
          <w:lang w:val="fr-FR"/>
        </w:rPr>
        <w:t xml:space="preserve">Les recherches indiquent que les personnes vaccinées contre le COVID-19 sont moins susceptibles de présenter des symptômes de COVID long que les personnes non vaccinées. </w:t>
      </w:r>
    </w:p>
    <w:p w14:paraId="42A4BD41" w14:textId="77777777" w:rsidR="00C11BD9" w:rsidRPr="006F01F5" w:rsidRDefault="00E65759" w:rsidP="00224669">
      <w:pPr>
        <w:spacing w:before="240" w:after="160"/>
        <w:rPr>
          <w:b/>
          <w:bCs/>
          <w:color w:val="3665AE"/>
          <w:sz w:val="28"/>
          <w:szCs w:val="28"/>
          <w:lang w:val="fr-FR"/>
        </w:rPr>
      </w:pPr>
      <w:r w:rsidRPr="006F01F5">
        <w:rPr>
          <w:b/>
          <w:bCs/>
          <w:color w:val="3665AE"/>
          <w:sz w:val="28"/>
          <w:szCs w:val="28"/>
          <w:lang w:val="fr-CA"/>
        </w:rPr>
        <w:t>Pour plus d’informations</w:t>
      </w:r>
    </w:p>
    <w:p w14:paraId="49472D40" w14:textId="77777777" w:rsidR="00D97964" w:rsidRPr="006F01F5" w:rsidRDefault="00D97964" w:rsidP="00224669">
      <w:pPr>
        <w:keepNext/>
        <w:keepLines/>
        <w:spacing w:before="240" w:after="160"/>
        <w:outlineLvl w:val="1"/>
        <w:rPr>
          <w:lang w:val="fr-CA"/>
        </w:rPr>
      </w:pPr>
      <w:r w:rsidRPr="006F01F5">
        <w:rPr>
          <w:lang w:val="fr-CA"/>
        </w:rPr>
        <w:t>Si vous avez été testé positif au COVID-19 il y a plus de quelques semaines et que vous ne vous sentez toujours pas rétabli, parlez-en à votre médecin.</w:t>
      </w:r>
    </w:p>
    <w:p w14:paraId="44FD2F38" w14:textId="63E486E1" w:rsidR="00C11BD9" w:rsidRPr="006F01F5" w:rsidRDefault="00D97964" w:rsidP="00224669">
      <w:pPr>
        <w:keepNext/>
        <w:keepLines/>
        <w:spacing w:before="240" w:after="160"/>
        <w:outlineLvl w:val="1"/>
        <w:rPr>
          <w:lang w:val="fr-FR"/>
        </w:rPr>
      </w:pPr>
      <w:r w:rsidRPr="006F01F5">
        <w:rPr>
          <w:lang w:val="fr-CA"/>
        </w:rPr>
        <w:t xml:space="preserve">Pour plus d’informations, </w:t>
      </w:r>
      <w:r w:rsidR="00412972" w:rsidRPr="006F01F5">
        <w:rPr>
          <w:lang w:val="fr-CA"/>
        </w:rPr>
        <w:t>consultez</w:t>
      </w:r>
      <w:r w:rsidR="00E65759" w:rsidRPr="006F01F5">
        <w:rPr>
          <w:lang w:val="fr-CA"/>
        </w:rPr>
        <w:t xml:space="preserve"> le site </w:t>
      </w:r>
      <w:hyperlink r:id="rId11" w:history="1">
        <w:r w:rsidR="00E65759" w:rsidRPr="006F01F5">
          <w:rPr>
            <w:rStyle w:val="Hyperlink"/>
            <w:lang w:val="fr-CA"/>
          </w:rPr>
          <w:t>health.gov.au/covid19-vaccines-languages</w:t>
        </w:r>
      </w:hyperlink>
      <w:r w:rsidR="00E65759" w:rsidRPr="006F01F5">
        <w:rPr>
          <w:lang w:val="fr-CA"/>
        </w:rPr>
        <w:t xml:space="preserve"> ou appelez la </w:t>
      </w:r>
      <w:r w:rsidRPr="006F01F5">
        <w:rPr>
          <w:lang w:val="fr-FR"/>
        </w:rPr>
        <w:t xml:space="preserve">National Coronavirus </w:t>
      </w:r>
      <w:proofErr w:type="spellStart"/>
      <w:r w:rsidRPr="006F01F5">
        <w:rPr>
          <w:lang w:val="fr-FR"/>
        </w:rPr>
        <w:t>Helpline</w:t>
      </w:r>
      <w:proofErr w:type="spellEnd"/>
      <w:r w:rsidRPr="006F01F5">
        <w:rPr>
          <w:lang w:val="fr-FR"/>
        </w:rPr>
        <w:t xml:space="preserve"> </w:t>
      </w:r>
      <w:r w:rsidR="00E65759" w:rsidRPr="006F01F5">
        <w:rPr>
          <w:lang w:val="fr-CA"/>
        </w:rPr>
        <w:t xml:space="preserve">au 1800 020 080. Pour les services d’interprétation, </w:t>
      </w:r>
      <w:r w:rsidRPr="006F01F5">
        <w:rPr>
          <w:lang w:val="fr-CA"/>
        </w:rPr>
        <w:t>sélectionnez l’option</w:t>
      </w:r>
      <w:r w:rsidR="00412972" w:rsidRPr="006F01F5">
        <w:rPr>
          <w:lang w:val="fr-CA"/>
        </w:rPr>
        <w:t> </w:t>
      </w:r>
      <w:r w:rsidRPr="006F01F5">
        <w:rPr>
          <w:lang w:val="fr-CA"/>
        </w:rPr>
        <w:t>8 (service gratuit)</w:t>
      </w:r>
      <w:r w:rsidR="009937B8" w:rsidRPr="006F01F5">
        <w:rPr>
          <w:lang w:val="fr-CA"/>
        </w:rPr>
        <w:t>.</w:t>
      </w:r>
    </w:p>
    <w:sectPr w:rsidR="00C11BD9" w:rsidRPr="006F01F5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5BEE" w14:textId="77777777" w:rsidR="001B1443" w:rsidRDefault="001B1443">
      <w:pPr>
        <w:spacing w:after="0"/>
      </w:pPr>
      <w:r>
        <w:separator/>
      </w:r>
    </w:p>
  </w:endnote>
  <w:endnote w:type="continuationSeparator" w:id="0">
    <w:p w14:paraId="31F88ECD" w14:textId="77777777" w:rsidR="001B1443" w:rsidRDefault="001B14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F799" w14:textId="77777777" w:rsidR="006F01F5" w:rsidRDefault="006F0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F2AF6" w14:textId="77777777" w:rsidR="006F01F5" w:rsidRDefault="006F01F5" w:rsidP="006F01F5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3F7DEC2B" w14:textId="1C140503" w:rsidR="00C11BD9" w:rsidRPr="006F01F5" w:rsidRDefault="006F01F5" w:rsidP="006F01F5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French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08E8" w14:textId="0706D8C4" w:rsidR="003F5D5B" w:rsidRPr="006F01F5" w:rsidRDefault="006F01F5" w:rsidP="006F01F5">
    <w:pPr>
      <w:pStyle w:val="Footer"/>
      <w:rPr>
        <w:noProof/>
      </w:rPr>
    </w:pPr>
    <w:r w:rsidRPr="00DA1A65">
      <w:t xml:space="preserve">Long-term effects of COVID-19 - 02072022 - </w:t>
    </w:r>
    <w:r>
      <w:t>French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E3A3" w14:textId="77777777" w:rsidR="001B1443" w:rsidRDefault="001B1443">
      <w:pPr>
        <w:spacing w:after="0"/>
      </w:pPr>
      <w:r>
        <w:separator/>
      </w:r>
    </w:p>
  </w:footnote>
  <w:footnote w:type="continuationSeparator" w:id="0">
    <w:p w14:paraId="0297D601" w14:textId="77777777" w:rsidR="001B1443" w:rsidRDefault="001B14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8669" w14:textId="77777777" w:rsidR="006F01F5" w:rsidRDefault="006F0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C884" w14:textId="77777777" w:rsidR="009C40A1" w:rsidRDefault="00E6575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D355F14" wp14:editId="038D72B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39663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4386" w14:textId="77777777" w:rsidR="00C11BD9" w:rsidRDefault="00E65759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475F299" wp14:editId="1BE8D2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4DBA4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86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DEE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8E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85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34A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84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89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B2C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12255A"/>
    <w:rsid w:val="00166312"/>
    <w:rsid w:val="00167783"/>
    <w:rsid w:val="00180F46"/>
    <w:rsid w:val="001B1443"/>
    <w:rsid w:val="001B6D76"/>
    <w:rsid w:val="00205E16"/>
    <w:rsid w:val="00224669"/>
    <w:rsid w:val="002329C8"/>
    <w:rsid w:val="00280050"/>
    <w:rsid w:val="002D6652"/>
    <w:rsid w:val="002E72CF"/>
    <w:rsid w:val="0037123A"/>
    <w:rsid w:val="00381F58"/>
    <w:rsid w:val="00393511"/>
    <w:rsid w:val="003D4114"/>
    <w:rsid w:val="003F0220"/>
    <w:rsid w:val="003F5D5B"/>
    <w:rsid w:val="00412972"/>
    <w:rsid w:val="004D1BCB"/>
    <w:rsid w:val="0051071A"/>
    <w:rsid w:val="005463B6"/>
    <w:rsid w:val="005A62A3"/>
    <w:rsid w:val="005B639E"/>
    <w:rsid w:val="0063058D"/>
    <w:rsid w:val="00635083"/>
    <w:rsid w:val="00664872"/>
    <w:rsid w:val="006813AB"/>
    <w:rsid w:val="00694734"/>
    <w:rsid w:val="00694C92"/>
    <w:rsid w:val="006A5A6F"/>
    <w:rsid w:val="006C50F4"/>
    <w:rsid w:val="006D156A"/>
    <w:rsid w:val="006D36FC"/>
    <w:rsid w:val="006F01F5"/>
    <w:rsid w:val="00700825"/>
    <w:rsid w:val="007D07EE"/>
    <w:rsid w:val="00814B3E"/>
    <w:rsid w:val="00863F8C"/>
    <w:rsid w:val="008D17D1"/>
    <w:rsid w:val="009077F4"/>
    <w:rsid w:val="00955F97"/>
    <w:rsid w:val="009621A2"/>
    <w:rsid w:val="009924E6"/>
    <w:rsid w:val="009937B8"/>
    <w:rsid w:val="009B6FF3"/>
    <w:rsid w:val="009C40A1"/>
    <w:rsid w:val="00A2182F"/>
    <w:rsid w:val="00A701A4"/>
    <w:rsid w:val="00A958F8"/>
    <w:rsid w:val="00AD4EB9"/>
    <w:rsid w:val="00AE328F"/>
    <w:rsid w:val="00BC1E64"/>
    <w:rsid w:val="00C11BD9"/>
    <w:rsid w:val="00CF2DFB"/>
    <w:rsid w:val="00D17F8A"/>
    <w:rsid w:val="00D818FA"/>
    <w:rsid w:val="00D97964"/>
    <w:rsid w:val="00DE7894"/>
    <w:rsid w:val="00E65759"/>
    <w:rsid w:val="00EB613F"/>
    <w:rsid w:val="00EC11FE"/>
    <w:rsid w:val="00ED1F3A"/>
    <w:rsid w:val="00F07FD8"/>
    <w:rsid w:val="00F14D6C"/>
    <w:rsid w:val="00F743C2"/>
    <w:rsid w:val="00F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0B7BCD"/>
  <w15:docId w15:val="{14827CBF-A873-4B7F-9063-6736F053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Bulleted Para,Bullets,CV text,Dot pt,F5 List Paragraph,FooterText,L,List Paragraph1,List Paragraph11,List Paragraph111,List Paragraph2,Medium Grid 1 - Accent 21,NFP GP Bulleted List,Numbered Paragraph,Recommendation,Table 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Bulleted Para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32506B-41AC-824E-B688-3589253B7B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078A29-9C5A-460F-A6D9-43DC8BDD27CD}"/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2142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French</vt:lpstr>
    </vt:vector>
  </TitlesOfParts>
  <Manager/>
  <Company/>
  <LinksUpToDate>false</LinksUpToDate>
  <CharactersWithSpaces>2497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French</dc:title>
  <dc:subject/>
  <dc:creator>Australian Government</dc:creator>
  <cp:keywords/>
  <dc:description/>
  <cp:lastModifiedBy>Microsoft Office User</cp:lastModifiedBy>
  <cp:revision>2</cp:revision>
  <dcterms:created xsi:type="dcterms:W3CDTF">2022-06-29T03:31:00Z</dcterms:created>
  <dcterms:modified xsi:type="dcterms:W3CDTF">2022-06-29T03:31:00Z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