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57AA" w14:textId="77777777" w:rsidR="00280050" w:rsidRPr="00D0778F" w:rsidRDefault="00000000" w:rsidP="00224669">
      <w:pPr>
        <w:spacing w:after="120"/>
      </w:pPr>
    </w:p>
    <w:p w14:paraId="61840C7E" w14:textId="77777777" w:rsidR="009C40A1" w:rsidRPr="00D0778F" w:rsidRDefault="009C40A1" w:rsidP="00224669">
      <w:pPr>
        <w:spacing w:after="120"/>
      </w:pPr>
    </w:p>
    <w:p w14:paraId="21E021A8" w14:textId="77777777" w:rsidR="009C40A1" w:rsidRPr="00D0778F" w:rsidRDefault="009C40A1" w:rsidP="00224669">
      <w:pPr>
        <w:spacing w:after="120"/>
      </w:pPr>
    </w:p>
    <w:p w14:paraId="2E77E261" w14:textId="77777777" w:rsidR="009C40A1" w:rsidRPr="00D0778F" w:rsidRDefault="009C40A1" w:rsidP="00224669">
      <w:pPr>
        <w:spacing w:after="120"/>
      </w:pPr>
    </w:p>
    <w:p w14:paraId="48346D7E" w14:textId="0F1E80FC" w:rsidR="009C40A1" w:rsidRPr="00D0778F" w:rsidRDefault="00113A03" w:rsidP="00224669">
      <w:pPr>
        <w:pStyle w:val="Heading1"/>
        <w:spacing w:after="120"/>
        <w:rPr>
          <w:sz w:val="80"/>
          <w:szCs w:val="80"/>
        </w:rPr>
      </w:pPr>
      <w:r w:rsidRPr="00D0778F">
        <w:rPr>
          <w:sz w:val="80"/>
          <w:szCs w:val="80"/>
        </w:rPr>
        <w:t>Długotrwałe skutki COVID-19</w:t>
      </w:r>
    </w:p>
    <w:p w14:paraId="4B34EFCC" w14:textId="0F8758B1" w:rsidR="00311051" w:rsidRPr="00D0778F" w:rsidRDefault="00311051" w:rsidP="003008DB">
      <w:pPr>
        <w:spacing w:before="240" w:after="160"/>
      </w:pPr>
      <w:r w:rsidRPr="00D0778F">
        <w:t>27 czerwiec 2022 r.</w:t>
      </w:r>
    </w:p>
    <w:p w14:paraId="1E5954D7" w14:textId="3C97A7EA" w:rsidR="006D36FC" w:rsidRPr="00D0778F" w:rsidRDefault="00113A03" w:rsidP="003008DB">
      <w:pPr>
        <w:spacing w:before="240" w:after="160"/>
      </w:pPr>
      <w:r w:rsidRPr="00D0778F">
        <w:t xml:space="preserve">Większość </w:t>
      </w:r>
      <w:r w:rsidR="002B7160" w:rsidRPr="00D0778F">
        <w:t xml:space="preserve">osób </w:t>
      </w:r>
      <w:r w:rsidRPr="00D0778F">
        <w:t xml:space="preserve">chorujących na COVID-19 wykazuje objawy przez krótki czas i wraca do zdrowia w ciągu kilku tygodni. Czas potrzebny do wyzdrowienia z COVID-19 jest różny u różnych osób. Zależy on od tego, jak ciężko chorowałeś na COVID-19. Jeśli cierpisz na inne choroby, może to też mieć wpływ na czas ozdrowienia. </w:t>
      </w:r>
    </w:p>
    <w:p w14:paraId="64187C51" w14:textId="44DB2CCE" w:rsidR="001B6D76" w:rsidRPr="00D0778F" w:rsidRDefault="00113A03" w:rsidP="003008DB">
      <w:pPr>
        <w:spacing w:before="120" w:after="160"/>
        <w:rPr>
          <w:color w:val="2B2B2B"/>
          <w:shd w:val="clear" w:color="000000" w:fill="auto"/>
        </w:rPr>
      </w:pPr>
      <w:r w:rsidRPr="00D0778F">
        <w:rPr>
          <w:color w:val="2B2B2B"/>
        </w:rPr>
        <w:t xml:space="preserve">Pewne osoby odczuwają długotrwałe </w:t>
      </w:r>
      <w:r w:rsidR="002B7160" w:rsidRPr="00D0778F">
        <w:rPr>
          <w:color w:val="2B2B2B"/>
        </w:rPr>
        <w:t>powikłania</w:t>
      </w:r>
      <w:r w:rsidRPr="00D0778F">
        <w:rPr>
          <w:color w:val="2B2B2B"/>
        </w:rPr>
        <w:t xml:space="preserve"> po zachorowaniu na COVID-19. Niektórzy po przechorowaniu na COVID-19 nie wracają do zdrowia przez wiele miesięcy. Jest to tzw. </w:t>
      </w:r>
      <w:r w:rsidRPr="00D0778F">
        <w:rPr>
          <w:color w:val="2B2B2B"/>
          <w:cs/>
        </w:rPr>
        <w:t>„</w:t>
      </w:r>
      <w:r w:rsidRPr="00D0778F">
        <w:rPr>
          <w:color w:val="2B2B2B"/>
        </w:rPr>
        <w:t>długi COVID</w:t>
      </w:r>
      <w:r w:rsidR="0035396E" w:rsidRPr="00D0778F">
        <w:rPr>
          <w:color w:val="2B2B2B"/>
        </w:rPr>
        <w:t>-19</w:t>
      </w:r>
      <w:r w:rsidRPr="00D0778F">
        <w:rPr>
          <w:color w:val="2B2B2B"/>
        </w:rPr>
        <w:t>". Długi COVID</w:t>
      </w:r>
      <w:r w:rsidR="0035396E" w:rsidRPr="00D0778F">
        <w:rPr>
          <w:color w:val="2B2B2B"/>
        </w:rPr>
        <w:t>-19</w:t>
      </w:r>
      <w:r w:rsidRPr="00D0778F">
        <w:rPr>
          <w:color w:val="2B2B2B"/>
        </w:rPr>
        <w:t xml:space="preserve"> może utrzymywać się przez tygodnie</w:t>
      </w:r>
      <w:r w:rsidR="0035396E" w:rsidRPr="00D0778F">
        <w:rPr>
          <w:color w:val="2B2B2B"/>
        </w:rPr>
        <w:t xml:space="preserve"> i</w:t>
      </w:r>
      <w:r w:rsidRPr="00D0778F">
        <w:rPr>
          <w:color w:val="2B2B2B"/>
        </w:rPr>
        <w:t xml:space="preserve"> miesiące, nawet jeśli osoba nie ma już w sobie wirusa.</w:t>
      </w:r>
    </w:p>
    <w:p w14:paraId="1A6622D1" w14:textId="2C45F2DF" w:rsidR="009C40A1" w:rsidRPr="00D0778F" w:rsidRDefault="00311051" w:rsidP="003008DB">
      <w:pPr>
        <w:spacing w:before="120" w:after="160"/>
      </w:pPr>
      <w:r w:rsidRPr="00D0778F">
        <w:t>Długi COVID jest bardziej prawdopodobny u osób, które miały ciężką postać COVID-19. Jednak, n</w:t>
      </w:r>
      <w:r w:rsidR="00113A03" w:rsidRPr="00D0778F">
        <w:t xml:space="preserve">awet po łagodnym przechorowaniu, bez potrzeby hospitalizacji, można </w:t>
      </w:r>
      <w:r w:rsidR="0011082B" w:rsidRPr="00D0778F">
        <w:t xml:space="preserve">nadal </w:t>
      </w:r>
      <w:r w:rsidR="00113A03" w:rsidRPr="00D0778F">
        <w:t>doświadczyć długiego COVID-19.</w:t>
      </w:r>
    </w:p>
    <w:p w14:paraId="5B527B46" w14:textId="12832E7B" w:rsidR="009C40A1" w:rsidRPr="00D0778F" w:rsidRDefault="00113A03" w:rsidP="00224669">
      <w:pPr>
        <w:pStyle w:val="Heading2"/>
        <w:spacing w:before="240" w:after="160"/>
        <w:rPr>
          <w:rFonts w:ascii="Arial" w:hAnsi="Arial" w:cs="Arial"/>
          <w:color w:val="3665AE"/>
          <w:szCs w:val="28"/>
        </w:rPr>
      </w:pPr>
      <w:r w:rsidRPr="00D0778F">
        <w:rPr>
          <w:rFonts w:ascii="Arial" w:hAnsi="Arial" w:cs="Arial"/>
          <w:color w:val="3665AE"/>
          <w:szCs w:val="28"/>
        </w:rPr>
        <w:t>Objawy długiego</w:t>
      </w:r>
      <w:r w:rsidR="008525CC" w:rsidRPr="00D0778F">
        <w:rPr>
          <w:rFonts w:ascii="Arial" w:hAnsi="Arial" w:cs="Arial"/>
          <w:color w:val="3665AE"/>
          <w:szCs w:val="28"/>
        </w:rPr>
        <w:t xml:space="preserve"> </w:t>
      </w:r>
      <w:r w:rsidRPr="00D0778F">
        <w:rPr>
          <w:rFonts w:ascii="Arial" w:hAnsi="Arial" w:cs="Arial"/>
          <w:color w:val="3665AE"/>
          <w:szCs w:val="28"/>
        </w:rPr>
        <w:t>COVID-19</w:t>
      </w:r>
    </w:p>
    <w:p w14:paraId="080FE6A0" w14:textId="7D2E1466" w:rsidR="0011082B" w:rsidRPr="00D0778F" w:rsidRDefault="0011082B" w:rsidP="0011082B">
      <w:pPr>
        <w:rPr>
          <w:rFonts w:eastAsia="Times New Roman"/>
        </w:rPr>
      </w:pPr>
      <w:r w:rsidRPr="00D0778F">
        <w:rPr>
          <w:rFonts w:eastAsia="Times New Roman"/>
        </w:rPr>
        <w:t xml:space="preserve">Długi COVID może powodować szeroki zakres objawów i może nie wpływać na wszystkich w ten sam sposób. Objawy mogą utrzymywać się po infekcji lub mogą powrócić po wyzdrowieniu z COVID-19. </w:t>
      </w:r>
    </w:p>
    <w:p w14:paraId="2966346A" w14:textId="4A5165C7" w:rsidR="0011082B" w:rsidRPr="00D0778F" w:rsidRDefault="0011082B" w:rsidP="0011082B">
      <w:pPr>
        <w:rPr>
          <w:rFonts w:eastAsia="Times New Roman"/>
        </w:rPr>
      </w:pPr>
      <w:r w:rsidRPr="00D0778F">
        <w:rPr>
          <w:rFonts w:eastAsia="Times New Roman"/>
        </w:rPr>
        <w:t>Do najczęściej zgłaszanych objawów i stanów należą:</w:t>
      </w:r>
    </w:p>
    <w:p w14:paraId="491B5F12" w14:textId="77777777" w:rsidR="005B639E" w:rsidRPr="00D0778F" w:rsidRDefault="00113A03" w:rsidP="003008DB">
      <w:pPr>
        <w:pStyle w:val="ListParagraph"/>
        <w:numPr>
          <w:ilvl w:val="0"/>
          <w:numId w:val="2"/>
        </w:numPr>
        <w:spacing w:before="120" w:after="160" w:line="259" w:lineRule="auto"/>
        <w:ind w:left="714" w:hanging="357"/>
      </w:pPr>
      <w:r w:rsidRPr="00D0778F">
        <w:t>uczucie znużenia</w:t>
      </w:r>
    </w:p>
    <w:p w14:paraId="3A1B1C0B" w14:textId="77777777" w:rsidR="009C40A1" w:rsidRPr="00D0778F" w:rsidRDefault="00113A03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D0778F">
        <w:t>trudności z oddychaniem</w:t>
      </w:r>
    </w:p>
    <w:p w14:paraId="3D0F980E" w14:textId="77777777" w:rsidR="009C40A1" w:rsidRPr="00D0778F" w:rsidRDefault="00113A03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D0778F">
        <w:t>utrzymujący się kaszel</w:t>
      </w:r>
    </w:p>
    <w:p w14:paraId="1A49248F" w14:textId="77777777" w:rsidR="009C40A1" w:rsidRPr="00D0778F" w:rsidRDefault="00113A03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D0778F">
        <w:t>bóle w klatce piersiowej</w:t>
      </w:r>
    </w:p>
    <w:p w14:paraId="030C42C4" w14:textId="77777777" w:rsidR="009C40A1" w:rsidRPr="00D0778F" w:rsidRDefault="00113A03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D0778F">
        <w:t>bóle stawów</w:t>
      </w:r>
    </w:p>
    <w:p w14:paraId="086A1141" w14:textId="77777777" w:rsidR="009C40A1" w:rsidRPr="00D0778F" w:rsidRDefault="00113A03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D0778F">
        <w:t>brak energii do wykonywania ćwiczeń fizycznych</w:t>
      </w:r>
    </w:p>
    <w:p w14:paraId="682498FE" w14:textId="77777777" w:rsidR="009C40A1" w:rsidRPr="00D0778F" w:rsidRDefault="00113A03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D0778F">
        <w:t>gorączka</w:t>
      </w:r>
    </w:p>
    <w:p w14:paraId="5F0E49D0" w14:textId="77777777" w:rsidR="009C40A1" w:rsidRPr="00D0778F" w:rsidRDefault="00113A03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D0778F">
        <w:t>bóle głowy</w:t>
      </w:r>
    </w:p>
    <w:p w14:paraId="4232A3A7" w14:textId="77777777" w:rsidR="009C40A1" w:rsidRPr="00D0778F" w:rsidRDefault="00113A03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r w:rsidRPr="00D0778F">
        <w:t>problemy z pamięcią i zdolnością jasnego myślenia (</w:t>
      </w:r>
      <w:r w:rsidRPr="00D0778F">
        <w:rPr>
          <w:cs/>
        </w:rPr>
        <w:t>„</w:t>
      </w:r>
      <w:r w:rsidRPr="00D0778F">
        <w:t>mgła mózgowa")</w:t>
      </w:r>
    </w:p>
    <w:p w14:paraId="2BBD1782" w14:textId="32533DA5" w:rsidR="009C40A1" w:rsidRPr="00D0778F" w:rsidRDefault="00113A03" w:rsidP="00D0778F">
      <w:pPr>
        <w:pStyle w:val="ListParagraph"/>
        <w:numPr>
          <w:ilvl w:val="0"/>
          <w:numId w:val="2"/>
        </w:numPr>
        <w:spacing w:before="240" w:after="0" w:line="259" w:lineRule="auto"/>
      </w:pPr>
      <w:r w:rsidRPr="00D0778F">
        <w:t>depresja lub stany lękowe.</w:t>
      </w:r>
    </w:p>
    <w:p w14:paraId="3E70B464" w14:textId="04C524D1" w:rsidR="00037FEB" w:rsidRPr="00D0778F" w:rsidRDefault="00037FEB" w:rsidP="00037FEB">
      <w:pPr>
        <w:pStyle w:val="ListParagraph"/>
        <w:numPr>
          <w:ilvl w:val="0"/>
          <w:numId w:val="0"/>
        </w:numPr>
        <w:spacing w:before="240" w:after="160" w:line="259" w:lineRule="auto"/>
        <w:ind w:left="720" w:hanging="360"/>
      </w:pPr>
    </w:p>
    <w:p w14:paraId="75F1CB14" w14:textId="77777777" w:rsidR="00D0778F" w:rsidRDefault="00D0778F" w:rsidP="00D0778F">
      <w:pPr>
        <w:pStyle w:val="ListParagraph"/>
        <w:numPr>
          <w:ilvl w:val="0"/>
          <w:numId w:val="0"/>
        </w:numPr>
        <w:spacing w:before="240" w:after="160" w:line="259" w:lineRule="auto"/>
        <w:ind w:left="4536" w:hanging="4536"/>
        <w:rPr>
          <w:b/>
          <w:color w:val="3665AE"/>
          <w:sz w:val="26"/>
        </w:rPr>
      </w:pPr>
    </w:p>
    <w:p w14:paraId="5EB15F1B" w14:textId="77777777" w:rsidR="00D0778F" w:rsidRDefault="00D0778F" w:rsidP="00D0778F">
      <w:pPr>
        <w:pStyle w:val="ListParagraph"/>
        <w:numPr>
          <w:ilvl w:val="0"/>
          <w:numId w:val="0"/>
        </w:numPr>
        <w:spacing w:before="240" w:after="160" w:line="259" w:lineRule="auto"/>
        <w:ind w:left="4536" w:hanging="4536"/>
        <w:rPr>
          <w:b/>
          <w:color w:val="3665AE"/>
          <w:sz w:val="26"/>
        </w:rPr>
      </w:pPr>
    </w:p>
    <w:p w14:paraId="1A221A27" w14:textId="5808A511" w:rsidR="00037FEB" w:rsidRPr="00D0778F" w:rsidRDefault="00037FEB" w:rsidP="00D0778F">
      <w:pPr>
        <w:pStyle w:val="ListParagraph"/>
        <w:numPr>
          <w:ilvl w:val="0"/>
          <w:numId w:val="0"/>
        </w:numPr>
        <w:spacing w:before="240" w:after="160" w:line="259" w:lineRule="auto"/>
        <w:ind w:left="4536" w:hanging="4536"/>
        <w:rPr>
          <w:b/>
          <w:sz w:val="28"/>
          <w:szCs w:val="28"/>
        </w:rPr>
      </w:pPr>
      <w:r w:rsidRPr="00D0778F">
        <w:rPr>
          <w:b/>
          <w:color w:val="3665AE"/>
          <w:sz w:val="28"/>
          <w:szCs w:val="28"/>
        </w:rPr>
        <w:lastRenderedPageBreak/>
        <w:t>Zapobieganie długiemu COVID-19</w:t>
      </w:r>
    </w:p>
    <w:p w14:paraId="67A6F41B" w14:textId="7487E4D7" w:rsidR="0049447D" w:rsidRPr="00D0778F" w:rsidRDefault="0049447D" w:rsidP="003008DB">
      <w:pPr>
        <w:spacing w:before="120" w:after="160"/>
      </w:pPr>
      <w:r w:rsidRPr="00D0778F">
        <w:t>Najlepszym sposobem zapobiegania dług</w:t>
      </w:r>
      <w:r w:rsidR="008525CC" w:rsidRPr="00D0778F">
        <w:t>iemu</w:t>
      </w:r>
      <w:r w:rsidRPr="00D0778F">
        <w:t xml:space="preserve"> COVID jest zabezpieczenie się przed zakażeniem wirusem COVID-19</w:t>
      </w:r>
      <w:r w:rsidR="00D25971" w:rsidRPr="00D0778F">
        <w:t>.</w:t>
      </w:r>
    </w:p>
    <w:p w14:paraId="69F6865C" w14:textId="1BBF6012" w:rsidR="008525CC" w:rsidRPr="00D0778F" w:rsidRDefault="00113A03" w:rsidP="008525CC">
      <w:pPr>
        <w:spacing w:before="120" w:after="160"/>
      </w:pPr>
      <w:r w:rsidRPr="00D0778F">
        <w:t>Szczepienia są najlepszą metodą zredukowania czynników ryzyka związanych z COVID-19.</w:t>
      </w:r>
    </w:p>
    <w:p w14:paraId="6A2C8BAD" w14:textId="1C630FD5" w:rsidR="00682220" w:rsidRPr="00D0778F" w:rsidRDefault="008525CC" w:rsidP="003008DB">
      <w:pPr>
        <w:spacing w:before="120" w:after="160"/>
      </w:pPr>
      <w:r w:rsidRPr="00D0778F">
        <w:t>Badania sugerują, że osoby zaszczepione przeciw COVID-19 rzadziej zgłaszają objawy długiego COVID niż osoby nieszczepione.</w:t>
      </w:r>
    </w:p>
    <w:p w14:paraId="4B69CDD5" w14:textId="1666BE75" w:rsidR="00C11BD9" w:rsidRPr="00D0778F" w:rsidRDefault="008525CC">
      <w:pPr>
        <w:spacing w:before="240" w:after="160"/>
        <w:rPr>
          <w:b/>
          <w:bCs/>
          <w:color w:val="3665AE"/>
          <w:sz w:val="28"/>
          <w:szCs w:val="28"/>
        </w:rPr>
      </w:pPr>
      <w:r w:rsidRPr="00D0778F">
        <w:rPr>
          <w:b/>
          <w:color w:val="3665AE"/>
          <w:sz w:val="28"/>
          <w:szCs w:val="28"/>
        </w:rPr>
        <w:t>Po d</w:t>
      </w:r>
      <w:r w:rsidR="00113A03" w:rsidRPr="00D0778F">
        <w:rPr>
          <w:b/>
          <w:color w:val="3665AE"/>
          <w:sz w:val="28"/>
          <w:szCs w:val="28"/>
        </w:rPr>
        <w:t>alsze informacje</w:t>
      </w:r>
    </w:p>
    <w:p w14:paraId="555EA340" w14:textId="585CA17A" w:rsidR="002B7160" w:rsidRPr="00D0778F" w:rsidRDefault="002B7160" w:rsidP="002B7160">
      <w:pPr>
        <w:spacing w:after="0"/>
        <w:rPr>
          <w:rFonts w:eastAsia="Times New Roman"/>
          <w:sz w:val="24"/>
          <w:szCs w:val="24"/>
          <w:lang w:eastAsia="en-US"/>
        </w:rPr>
      </w:pPr>
      <w:r w:rsidRPr="00D0778F">
        <w:rPr>
          <w:rStyle w:val="q4iawc"/>
        </w:rPr>
        <w:t xml:space="preserve">Porozmawiaj z </w:t>
      </w:r>
      <w:proofErr w:type="gramStart"/>
      <w:r w:rsidRPr="00D0778F">
        <w:rPr>
          <w:rStyle w:val="q4iawc"/>
        </w:rPr>
        <w:t>lekarzem</w:t>
      </w:r>
      <w:proofErr w:type="gramEnd"/>
      <w:r w:rsidRPr="00D0778F">
        <w:rPr>
          <w:rStyle w:val="q4iawc"/>
        </w:rPr>
        <w:t xml:space="preserve"> jeśli miałeś pozytywny wynik testu na obecność COVID-19 ponad kilka tygodni temu, a nadal źle się czujesz.</w:t>
      </w:r>
    </w:p>
    <w:p w14:paraId="350A305B" w14:textId="7CD5A521" w:rsidR="00C11BD9" w:rsidRPr="00D0778F" w:rsidRDefault="002B7160" w:rsidP="00D0778F">
      <w:pPr>
        <w:keepNext/>
        <w:keepLines/>
        <w:spacing w:before="240" w:after="160"/>
        <w:outlineLvl w:val="1"/>
      </w:pPr>
      <w:r w:rsidRPr="00D0778F">
        <w:t xml:space="preserve">Po więcej informacji </w:t>
      </w:r>
      <w:r w:rsidR="00113A03" w:rsidRPr="00D0778F">
        <w:t xml:space="preserve">odwiedź </w:t>
      </w:r>
      <w:r w:rsidRPr="00D0778F">
        <w:t xml:space="preserve">stronę </w:t>
      </w:r>
      <w:hyperlink r:id="rId11" w:history="1">
        <w:r w:rsidR="00113A03" w:rsidRPr="00D0778F">
          <w:rPr>
            <w:rStyle w:val="Hyperlink"/>
          </w:rPr>
          <w:t>health.gov.au/covid19-vaccines-languages</w:t>
        </w:r>
      </w:hyperlink>
      <w:r w:rsidR="003008DB" w:rsidRPr="00D0778F">
        <w:t xml:space="preserve"> l</w:t>
      </w:r>
      <w:r w:rsidR="00113A03" w:rsidRPr="00D0778F">
        <w:t xml:space="preserve">ub skontaktuj się z ogólnokrajową </w:t>
      </w:r>
      <w:r w:rsidRPr="00D0778F">
        <w:t>info</w:t>
      </w:r>
      <w:r w:rsidR="00113A03" w:rsidRPr="00D0778F">
        <w:t xml:space="preserve">linią ds. koronawirusa (National Coronavirus Helpline) pod numerem 1800 020 080. </w:t>
      </w:r>
      <w:r w:rsidRPr="00D0778F">
        <w:t>Wybierz opcję 8 p</w:t>
      </w:r>
      <w:r w:rsidR="00113A03" w:rsidRPr="00D0778F">
        <w:t xml:space="preserve">o </w:t>
      </w:r>
      <w:r w:rsidRPr="00D0778F">
        <w:t xml:space="preserve">bezpłatne </w:t>
      </w:r>
      <w:r w:rsidR="00113A03" w:rsidRPr="00D0778F">
        <w:t>usługi tłumacza</w:t>
      </w:r>
      <w:r w:rsidRPr="00D0778F">
        <w:t>.</w:t>
      </w:r>
      <w:r w:rsidR="00113A03" w:rsidRPr="00D0778F">
        <w:t xml:space="preserve"> </w:t>
      </w:r>
    </w:p>
    <w:sectPr w:rsidR="00C11BD9" w:rsidRPr="00D0778F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D5BAC" w14:textId="77777777" w:rsidR="00406E73" w:rsidRDefault="00406E73" w:rsidP="009C40A1">
      <w:pPr>
        <w:spacing w:after="0"/>
      </w:pPr>
      <w:r>
        <w:separator/>
      </w:r>
    </w:p>
  </w:endnote>
  <w:endnote w:type="continuationSeparator" w:id="0">
    <w:p w14:paraId="6ACB14F8" w14:textId="77777777" w:rsidR="00406E73" w:rsidRDefault="00406E73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8081" w14:textId="77777777" w:rsidR="00D0778F" w:rsidRDefault="00D077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EA459" w14:textId="6A714639" w:rsidR="00D0778F" w:rsidRDefault="00D0778F" w:rsidP="00D0778F">
    <w:pPr>
      <w:pStyle w:val="Footer"/>
      <w:rPr>
        <w:noProof/>
      </w:rPr>
    </w:pPr>
    <w:r>
      <w:rPr>
        <w:b/>
        <w:color w:val="0070C0"/>
      </w:rPr>
      <w:t>health.gov.au/covid19-vaccines-languages</w:t>
    </w:r>
    <w:r>
      <w:rPr>
        <w:color w:val="0070C0"/>
      </w:rPr>
      <w:t xml:space="preserve"> 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noProof/>
      </w:rPr>
      <w:fldChar w:fldCharType="end"/>
    </w:r>
  </w:p>
  <w:p w14:paraId="59001CA4" w14:textId="795333F6" w:rsidR="00C11BD9" w:rsidRPr="00D0778F" w:rsidRDefault="00D0778F" w:rsidP="00D0778F">
    <w:pPr>
      <w:pStyle w:val="Footer"/>
      <w:rPr>
        <w:noProof/>
      </w:rPr>
    </w:pPr>
    <w:proofErr w:type="spellStart"/>
    <w:r w:rsidRPr="00DA1A65">
      <w:t>Long</w:t>
    </w:r>
    <w:proofErr w:type="spellEnd"/>
    <w:r w:rsidRPr="00DA1A65">
      <w:t xml:space="preserve">-term </w:t>
    </w:r>
    <w:proofErr w:type="spellStart"/>
    <w:r w:rsidRPr="00DA1A65">
      <w:t>effects</w:t>
    </w:r>
    <w:proofErr w:type="spellEnd"/>
    <w:r w:rsidRPr="00DA1A65">
      <w:t xml:space="preserve"> of COVID-19 - 02072022 - </w:t>
    </w:r>
    <w:proofErr w:type="spellStart"/>
    <w:r>
      <w:t>Polish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F2FD" w14:textId="37A1F986" w:rsidR="003F5D5B" w:rsidRPr="00D0778F" w:rsidRDefault="00D0778F" w:rsidP="00D0778F">
    <w:pPr>
      <w:pStyle w:val="Footer"/>
      <w:rPr>
        <w:noProof/>
      </w:rPr>
    </w:pPr>
    <w:proofErr w:type="spellStart"/>
    <w:r w:rsidRPr="00DA1A65">
      <w:t>Long</w:t>
    </w:r>
    <w:proofErr w:type="spellEnd"/>
    <w:r w:rsidRPr="00DA1A65">
      <w:t xml:space="preserve">-term </w:t>
    </w:r>
    <w:proofErr w:type="spellStart"/>
    <w:r w:rsidRPr="00DA1A65">
      <w:t>effects</w:t>
    </w:r>
    <w:proofErr w:type="spellEnd"/>
    <w:r w:rsidRPr="00DA1A65">
      <w:t xml:space="preserve"> of COVID-19 - 02072022 - </w:t>
    </w:r>
    <w:proofErr w:type="spellStart"/>
    <w:r>
      <w:t>Polish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C603" w14:textId="77777777" w:rsidR="00406E73" w:rsidRDefault="00406E73" w:rsidP="009C40A1">
      <w:pPr>
        <w:spacing w:after="0"/>
      </w:pPr>
      <w:r>
        <w:separator/>
      </w:r>
    </w:p>
  </w:footnote>
  <w:footnote w:type="continuationSeparator" w:id="0">
    <w:p w14:paraId="22A34501" w14:textId="77777777" w:rsidR="00406E73" w:rsidRDefault="00406E73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CAD9A" w14:textId="77777777" w:rsidR="00D0778F" w:rsidRDefault="00D077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75C0" w14:textId="77777777" w:rsidR="009C40A1" w:rsidRDefault="00D0778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632089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6980" cy="10727690"/>
          <wp:effectExtent l="0" t="0" r="0" b="0"/>
          <wp:wrapNone/>
          <wp:docPr id="2" name="Picture 3" descr="&quot; &quot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&quot; &quot;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6980" cy="10727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AE2AA" w14:textId="77777777" w:rsidR="00C11BD9" w:rsidRDefault="00D0778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AE3D9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440" cy="10720070"/>
          <wp:effectExtent l="0" t="0" r="0" b="0"/>
          <wp:wrapNone/>
          <wp:docPr id="1" name="Picture 4" descr="Australian Government Department of health Covid Vaccination backgroun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ustralian Government Department of health Covid Vaccination backgroun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4440" cy="10720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613CA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B884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C8B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76F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2DE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3AFE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C53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9ADE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60C7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7389174">
    <w:abstractNumId w:val="1"/>
  </w:num>
  <w:num w:numId="2" w16cid:durableId="57817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279D9"/>
    <w:rsid w:val="00037FEB"/>
    <w:rsid w:val="000C70EC"/>
    <w:rsid w:val="0011082B"/>
    <w:rsid w:val="00113A03"/>
    <w:rsid w:val="002730F4"/>
    <w:rsid w:val="002B7160"/>
    <w:rsid w:val="003008DB"/>
    <w:rsid w:val="00311051"/>
    <w:rsid w:val="0035396E"/>
    <w:rsid w:val="00406E73"/>
    <w:rsid w:val="0049447D"/>
    <w:rsid w:val="005C54F4"/>
    <w:rsid w:val="00682220"/>
    <w:rsid w:val="006B7F62"/>
    <w:rsid w:val="00707D2B"/>
    <w:rsid w:val="007B2B9E"/>
    <w:rsid w:val="008525CC"/>
    <w:rsid w:val="00971365"/>
    <w:rsid w:val="009C40A1"/>
    <w:rsid w:val="00B90672"/>
    <w:rsid w:val="00C838FA"/>
    <w:rsid w:val="00D0778F"/>
    <w:rsid w:val="00D25971"/>
    <w:rsid w:val="00FF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046F6"/>
  <w15:chartTrackingRefBased/>
  <w15:docId w15:val="{A2A70A3F-FFB4-4057-B044-61DB6A31F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/>
    </w:pPr>
    <w:rPr>
      <w:rFonts w:ascii="Arial" w:eastAsia="DengXian" w:hAnsi="Arial" w:cs="Arial"/>
      <w:sz w:val="22"/>
      <w:szCs w:val="22"/>
      <w:lang w:val="pl-PL" w:eastAsia="pl-PL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/>
      <w:outlineLvl w:val="0"/>
    </w:pPr>
    <w:rPr>
      <w:rFonts w:ascii="Arial" w:eastAsia="DengXian Light" w:hAnsi="Arial" w:cs="Arial"/>
      <w:b/>
      <w:bCs/>
      <w:color w:val="3665AE"/>
      <w:sz w:val="72"/>
      <w:szCs w:val="72"/>
      <w:lang w:val="pl-PL" w:eastAsia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="Calibri Light" w:eastAsia="DengXian Light" w:hAnsi="Calibri Light" w:cs="Times New Roman"/>
      <w:b/>
      <w:color w:val="2F5496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link w:val="Heading1"/>
    <w:uiPriority w:val="9"/>
    <w:rsid w:val="009C40A1"/>
    <w:rPr>
      <w:rFonts w:ascii="Arial" w:eastAsia="DengXian Light" w:hAnsi="Arial" w:cs="Arial"/>
      <w:b/>
      <w:bCs/>
      <w:color w:val="3665AE"/>
      <w:sz w:val="72"/>
      <w:szCs w:val="72"/>
      <w:lang w:val="pl-PL" w:eastAsia="pl-PL"/>
    </w:rPr>
  </w:style>
  <w:style w:type="character" w:customStyle="1" w:styleId="Heading2Char">
    <w:name w:val="Heading 2 Char"/>
    <w:link w:val="Heading2"/>
    <w:uiPriority w:val="9"/>
    <w:rsid w:val="009C40A1"/>
    <w:rPr>
      <w:rFonts w:ascii="Calibri Light" w:eastAsia="DengXian Light" w:hAnsi="Calibri Light" w:cs="Times New Roman"/>
      <w:b/>
      <w:color w:val="2F5496"/>
      <w:sz w:val="28"/>
      <w:szCs w:val="26"/>
      <w:lang w:val="pl-PL" w:eastAsia="pl-PL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link w:val="ListParagraph"/>
    <w:uiPriority w:val="34"/>
    <w:qFormat/>
    <w:locked/>
    <w:rsid w:val="009C40A1"/>
    <w:rPr>
      <w:rFonts w:ascii="Arial" w:eastAsia="DengXian" w:hAnsi="Arial" w:cs="Arial"/>
      <w:sz w:val="22"/>
      <w:szCs w:val="22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36FC"/>
    <w:rPr>
      <w:rFonts w:ascii="Segoe UI" w:eastAsia="DengXian" w:hAnsi="Segoe UI" w:cs="Segoe UI"/>
      <w:sz w:val="18"/>
      <w:szCs w:val="18"/>
      <w:lang w:val="pl-PL" w:eastAsia="pl-PL"/>
    </w:rPr>
  </w:style>
  <w:style w:type="character" w:styleId="Hyperlink">
    <w:name w:val="Hyperlink"/>
    <w:uiPriority w:val="99"/>
    <w:unhideWhenUsed/>
    <w:qFormat/>
    <w:rsid w:val="00C11BD9"/>
    <w:rPr>
      <w:color w:val="0563C1"/>
      <w:u w:val="single"/>
      <w:lang w:val="pl-PL" w:eastAsia="pl-PL"/>
    </w:rPr>
  </w:style>
  <w:style w:type="character" w:styleId="CommentReference">
    <w:name w:val="annotation reference"/>
    <w:uiPriority w:val="99"/>
    <w:semiHidden/>
    <w:unhideWhenUsed/>
    <w:rsid w:val="00D17F8A"/>
    <w:rPr>
      <w:sz w:val="16"/>
      <w:szCs w:val="16"/>
      <w:lang w:val="pl-PL" w:eastAsia="pl-P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17F8A"/>
    <w:rPr>
      <w:rFonts w:ascii="Arial" w:eastAsia="DengXian" w:hAnsi="Arial" w:cs="Arial"/>
      <w:sz w:val="20"/>
      <w:szCs w:val="20"/>
      <w:lang w:val="pl-PL"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17F8A"/>
    <w:rPr>
      <w:rFonts w:ascii="Arial" w:eastAsia="DengXian" w:hAnsi="Arial" w:cs="Arial"/>
      <w:b/>
      <w:bCs/>
      <w:sz w:val="20"/>
      <w:szCs w:val="20"/>
      <w:lang w:val="pl-PL" w:eastAsia="pl-PL"/>
    </w:rPr>
  </w:style>
  <w:style w:type="character" w:styleId="UnresolvedMention">
    <w:name w:val="Unresolved Mention"/>
    <w:uiPriority w:val="99"/>
    <w:semiHidden/>
    <w:unhideWhenUsed/>
    <w:rsid w:val="00D17F8A"/>
    <w:rPr>
      <w:color w:val="605E5C"/>
      <w:lang w:val="pl-PL" w:eastAsia="pl-PL"/>
    </w:rPr>
  </w:style>
  <w:style w:type="paragraph" w:styleId="Revision">
    <w:name w:val="Revision"/>
    <w:hidden/>
    <w:uiPriority w:val="99"/>
    <w:semiHidden/>
    <w:rsid w:val="00393511"/>
    <w:rPr>
      <w:rFonts w:ascii="Arial" w:eastAsia="DengXian" w:hAnsi="Arial" w:cs="Arial"/>
      <w:sz w:val="22"/>
      <w:szCs w:val="22"/>
      <w:lang w:val="pl-PL" w:eastAsia="pl-PL"/>
    </w:rPr>
  </w:style>
  <w:style w:type="character" w:customStyle="1" w:styleId="q4iawc">
    <w:name w:val="q4iawc"/>
    <w:rsid w:val="002B7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0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0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40DE5624-B367-B04A-AC81-1EB65B624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5B7BF2-7802-4040-BF26-A314F7E6B9A2}"/>
</file>

<file path=customXml/itemProps3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1897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COVID-19 - 02072022 - Polish</vt:lpstr>
    </vt:vector>
  </TitlesOfParts>
  <Manager/>
  <Company/>
  <LinksUpToDate>false</LinksUpToDate>
  <CharactersWithSpaces>2172</CharactersWithSpaces>
  <SharedDoc>false</SharedDoc>
  <HyperlinkBase/>
  <HLinks>
    <vt:vector size="12" baseType="variant">
      <vt:variant>
        <vt:i4>3276923</vt:i4>
      </vt:variant>
      <vt:variant>
        <vt:i4>0</vt:i4>
      </vt:variant>
      <vt:variant>
        <vt:i4>0</vt:i4>
      </vt:variant>
      <vt:variant>
        <vt:i4>5</vt:i4>
      </vt:variant>
      <vt:variant>
        <vt:lpwstr>http://www.health.gov.au/covid19-vaccines-languages</vt:lpwstr>
      </vt:variant>
      <vt:variant>
        <vt:lpwstr/>
      </vt:variant>
      <vt:variant>
        <vt:i4>3276923</vt:i4>
      </vt:variant>
      <vt:variant>
        <vt:i4>3</vt:i4>
      </vt:variant>
      <vt:variant>
        <vt:i4>0</vt:i4>
      </vt:variant>
      <vt:variant>
        <vt:i4>5</vt:i4>
      </vt:variant>
      <vt:variant>
        <vt:lpwstr>http://www.health.gov.au/covid19-vaccines-languages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Polish</dc:title>
  <dc:subject/>
  <dc:creator>Australian Government</dc:creator>
  <cp:keywords/>
  <dc:description/>
  <cp:lastModifiedBy>Microsoft Office User</cp:lastModifiedBy>
  <cp:revision>2</cp:revision>
  <cp:lastPrinted>2021-08-27T04:15:00Z</cp:lastPrinted>
  <dcterms:created xsi:type="dcterms:W3CDTF">2022-06-30T04:13:00Z</dcterms:created>
  <dcterms:modified xsi:type="dcterms:W3CDTF">2022-06-30T04:13:00Z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