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244A571" w14:textId="57701442" w:rsidR="000300A6" w:rsidRPr="002B0080" w:rsidRDefault="00DF48BB" w:rsidP="00DF48BB">
      <w:pPr>
        <w:pStyle w:val="BodyTextBEFOREINDENT"/>
      </w:pPr>
      <w:r>
        <w:rPr>
          <w:noProof/>
          <w:lang w:eastAsia="en-GB"/>
        </w:rPr>
        <mc:AlternateContent>
          <mc:Choice Requires="wps">
            <w:drawing>
              <wp:anchor distT="0" distB="0" distL="114300" distR="114300" simplePos="0" relativeHeight="251663360" behindDoc="0" locked="0" layoutInCell="1" allowOverlap="1" wp14:anchorId="3AC81D0D" wp14:editId="6734CC88">
                <wp:simplePos x="0" y="0"/>
                <wp:positionH relativeFrom="margin">
                  <wp:posOffset>1379</wp:posOffset>
                </wp:positionH>
                <wp:positionV relativeFrom="margin">
                  <wp:posOffset>-188595</wp:posOffset>
                </wp:positionV>
                <wp:extent cx="6260400" cy="676800"/>
                <wp:effectExtent l="0" t="0" r="7620" b="9525"/>
                <wp:wrapSquare wrapText="bothSides"/>
                <wp:docPr id="3" name="Text Box 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txBox="1"/>
                      <wps:spPr>
                        <a:xfrm>
                          <a:off x="0" y="0"/>
                          <a:ext cx="6260400" cy="67680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23A12F84" w14:textId="67481776" w:rsidR="00DF48BB" w:rsidRPr="006E6C91" w:rsidRDefault="007F3FEF" w:rsidP="00DF48BB">
                            <w:pPr>
                              <w:pStyle w:val="FactsheetHeading"/>
                              <w:spacing w:after="0"/>
                              <w:rPr>
                                <w:sz w:val="28"/>
                                <w:szCs w:val="28"/>
                              </w:rPr>
                            </w:pPr>
                            <w:r>
                              <w:rPr>
                                <w:sz w:val="28"/>
                                <w:szCs w:val="28"/>
                              </w:rPr>
                              <w:t>C</w:t>
                            </w:r>
                            <w:r w:rsidR="00DF48BB" w:rsidRPr="006E6C91">
                              <w:rPr>
                                <w:sz w:val="28"/>
                                <w:szCs w:val="28"/>
                              </w:rPr>
                              <w:t>all to action: health sector to lead in healthier food and drink choices for visitors and staff</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AC81D0D" id="_x0000_t202" coordsize="21600,21600" o:spt="202" path="m,l,21600r21600,l21600,xe">
                <v:stroke joinstyle="miter"/>
                <v:path gradientshapeok="t" o:connecttype="rect"/>
              </v:shapetype>
              <v:shape id="Text Box 3" o:spid="_x0000_s1026" type="#_x0000_t202" alt="&quot;&quot;" style="position:absolute;margin-left:.1pt;margin-top:-14.85pt;width:492.95pt;height:53.3pt;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" filled="f" stroked="f">
                <v:textbox inset="0,0,0,0">
                  <w:txbxContent>
                    <w:p w14:paraId="23A12F84" w14:textId="67481776" w:rsidR="00DF48BB" w:rsidRPr="006E6C91" w:rsidRDefault="007F3FEF" w:rsidP="00DF48BB">
                      <w:pPr>
                        <w:pStyle w:val="FactsheetHeading"/>
                        <w:spacing w:after="0"/>
                        <w:rPr>
                          <w:sz w:val="28"/>
                          <w:szCs w:val="28"/>
                        </w:rPr>
                      </w:pPr>
                      <w:r>
                        <w:rPr>
                          <w:sz w:val="28"/>
                          <w:szCs w:val="28"/>
                        </w:rPr>
                        <w:t>C</w:t>
                      </w:r>
                      <w:r w:rsidR="00DF48BB" w:rsidRPr="006E6C91">
                        <w:rPr>
                          <w:sz w:val="28"/>
                          <w:szCs w:val="28"/>
                        </w:rPr>
                        <w:t>all to action: health sector to lead in healthier food and drink choices for visitors and staff</w:t>
                      </w:r>
                    </w:p>
                  </w:txbxContent>
                </v:textbox>
                <w10:wrap type="square" anchorx="margin" anchory="margin"/>
              </v:shape>
            </w:pict>
          </mc:Fallback>
        </mc:AlternateContent>
      </w:r>
      <w:r w:rsidRPr="002B0080">
        <w:t xml:space="preserve">Australian communities look to the health sector to play an exemplary role in promoting health and wellbeing.  </w:t>
      </w:r>
      <w:r>
        <w:t xml:space="preserve">Prevention of </w:t>
      </w:r>
      <w:r w:rsidRPr="002B0080">
        <w:t xml:space="preserve">chronic disease and obesity </w:t>
      </w:r>
      <w:r w:rsidR="00517B46">
        <w:t xml:space="preserve">is </w:t>
      </w:r>
      <w:r w:rsidR="00517B46" w:rsidRPr="002B0080">
        <w:t xml:space="preserve">core business </w:t>
      </w:r>
      <w:r w:rsidR="00517B46">
        <w:t>for</w:t>
      </w:r>
      <w:r w:rsidR="00517B46" w:rsidRPr="002B0080">
        <w:t xml:space="preserve"> healthcare services</w:t>
      </w:r>
      <w:r w:rsidR="00517B46">
        <w:t xml:space="preserve"> and</w:t>
      </w:r>
      <w:r>
        <w:t xml:space="preserve"> </w:t>
      </w:r>
      <w:r w:rsidRPr="002B0080">
        <w:t xml:space="preserve">central to </w:t>
      </w:r>
      <w:r>
        <w:t>i</w:t>
      </w:r>
      <w:r w:rsidRPr="002B0080">
        <w:t xml:space="preserve">mproving </w:t>
      </w:r>
      <w:r>
        <w:t xml:space="preserve">the </w:t>
      </w:r>
      <w:r w:rsidRPr="002B0080">
        <w:t xml:space="preserve">health and wellbeing </w:t>
      </w:r>
      <w:r>
        <w:t xml:space="preserve">of the </w:t>
      </w:r>
      <w:r w:rsidR="00517B46">
        <w:t>population</w:t>
      </w:r>
      <w:r w:rsidRPr="002B0080">
        <w:t xml:space="preserve">.  With a national workforce of </w:t>
      </w:r>
      <w:r>
        <w:t xml:space="preserve">more than 360 000 </w:t>
      </w:r>
      <w:r w:rsidRPr="002B0080">
        <w:t>people</w:t>
      </w:r>
      <w:r w:rsidR="000300A6">
        <w:rPr>
          <w:rStyle w:val="EndnoteReference"/>
        </w:rPr>
        <w:endnoteReference w:id="1"/>
      </w:r>
      <w:r w:rsidR="000300A6">
        <w:t xml:space="preserve"> and </w:t>
      </w:r>
      <w:r w:rsidR="000300A6" w:rsidRPr="002B0080">
        <w:t>an authoritative and credible voice in t</w:t>
      </w:r>
      <w:r w:rsidR="000300A6">
        <w:t>he community, this sector has a</w:t>
      </w:r>
      <w:r w:rsidR="000300A6" w:rsidRPr="002B0080">
        <w:t xml:space="preserve"> </w:t>
      </w:r>
      <w:r w:rsidR="000300A6">
        <w:t>significant opportunity</w:t>
      </w:r>
      <w:r w:rsidR="000300A6" w:rsidRPr="002B0080">
        <w:t xml:space="preserve"> to lead the way in the promotion of healthy eating and the creation of enabling environment</w:t>
      </w:r>
      <w:r w:rsidR="000300A6">
        <w:t>s</w:t>
      </w:r>
      <w:r w:rsidR="000300A6" w:rsidRPr="002B0080">
        <w:t xml:space="preserve"> to support healthy food and drink choices</w:t>
      </w:r>
      <w:r w:rsidR="000300A6">
        <w:t>.</w:t>
      </w:r>
      <w:r w:rsidR="000300A6" w:rsidRPr="002B0080">
        <w:t xml:space="preserve"> </w:t>
      </w:r>
      <w:r w:rsidR="000300A6">
        <w:t>Through broad partnerships between G</w:t>
      </w:r>
      <w:r w:rsidR="000300A6" w:rsidRPr="002B0080">
        <w:t>overnments</w:t>
      </w:r>
      <w:r w:rsidR="000300A6">
        <w:t>,</w:t>
      </w:r>
      <w:r w:rsidR="000300A6" w:rsidRPr="002B0080">
        <w:t xml:space="preserve"> health</w:t>
      </w:r>
      <w:r w:rsidR="000300A6">
        <w:t>care</w:t>
      </w:r>
      <w:r w:rsidR="000300A6" w:rsidRPr="002B0080">
        <w:t xml:space="preserve"> services</w:t>
      </w:r>
      <w:r w:rsidR="000300A6">
        <w:t xml:space="preserve">, </w:t>
      </w:r>
      <w:r w:rsidR="000300A6" w:rsidRPr="002B0080">
        <w:t>their food and drink providers</w:t>
      </w:r>
      <w:r w:rsidR="000300A6">
        <w:t xml:space="preserve"> and the community more broadly,</w:t>
      </w:r>
      <w:r w:rsidR="000300A6" w:rsidRPr="002B0080">
        <w:t xml:space="preserve"> </w:t>
      </w:r>
      <w:r w:rsidR="000300A6">
        <w:t xml:space="preserve">a standard </w:t>
      </w:r>
      <w:r w:rsidR="000300A6" w:rsidRPr="002B0080">
        <w:t xml:space="preserve">can </w:t>
      </w:r>
      <w:r w:rsidR="000300A6">
        <w:t xml:space="preserve">be </w:t>
      </w:r>
      <w:r w:rsidR="000300A6" w:rsidRPr="002B0080">
        <w:t xml:space="preserve">set </w:t>
      </w:r>
      <w:r w:rsidR="000300A6">
        <w:t>that</w:t>
      </w:r>
      <w:r w:rsidR="000300A6" w:rsidRPr="002B0080">
        <w:t xml:space="preserve"> enabl</w:t>
      </w:r>
      <w:r w:rsidR="000300A6">
        <w:t>es</w:t>
      </w:r>
      <w:r w:rsidR="000300A6" w:rsidRPr="002B0080">
        <w:t xml:space="preserve"> healthy eating for </w:t>
      </w:r>
      <w:r w:rsidR="000300A6">
        <w:t xml:space="preserve">all </w:t>
      </w:r>
      <w:r w:rsidR="000300A6" w:rsidRPr="002B0080">
        <w:t>Australians</w:t>
      </w:r>
      <w:r w:rsidR="000300A6">
        <w:t xml:space="preserve">. </w:t>
      </w:r>
      <w:r w:rsidR="000300A6" w:rsidRPr="002B0080">
        <w:t xml:space="preserve">Australian Health Ministers </w:t>
      </w:r>
      <w:r w:rsidR="000300A6">
        <w:t>call</w:t>
      </w:r>
      <w:r w:rsidR="000300A6" w:rsidRPr="002B0080">
        <w:t xml:space="preserve"> </w:t>
      </w:r>
      <w:r w:rsidR="000300A6">
        <w:t xml:space="preserve">on the public healthcare sector to lead </w:t>
      </w:r>
      <w:r w:rsidR="000300A6" w:rsidRPr="002B0080">
        <w:t>a strong co</w:t>
      </w:r>
      <w:r w:rsidR="000300A6">
        <w:t xml:space="preserve">llective effort </w:t>
      </w:r>
      <w:r w:rsidR="000300A6" w:rsidRPr="002B0080">
        <w:t>to make healthy food and drinks the easy choice.</w:t>
      </w:r>
    </w:p>
    <w:p w14:paraId="2E8BCCC6" w14:textId="77777777" w:rsidR="000300A6" w:rsidRPr="00280996" w:rsidRDefault="000300A6" w:rsidP="00DF48BB">
      <w:pPr>
        <w:pStyle w:val="Heading2"/>
        <w:spacing w:before="0"/>
      </w:pPr>
      <w:r w:rsidRPr="00280996">
        <w:t>Intent</w:t>
      </w:r>
    </w:p>
    <w:p w14:paraId="443B90E9" w14:textId="77777777" w:rsidR="000300A6" w:rsidRPr="002B0080" w:rsidRDefault="000300A6" w:rsidP="00DF48BB">
      <w:pPr>
        <w:pStyle w:val="BodyTextBEFOREINDENT"/>
      </w:pPr>
      <w:r w:rsidRPr="002B0080">
        <w:t xml:space="preserve">This </w:t>
      </w:r>
      <w:r>
        <w:t xml:space="preserve">Call to Action is made to </w:t>
      </w:r>
      <w:r w:rsidRPr="002B0080">
        <w:t>reinforce the public health</w:t>
      </w:r>
      <w:r>
        <w:t>care sector’s</w:t>
      </w:r>
      <w:r w:rsidRPr="002B0080">
        <w:t xml:space="preserve"> leadership role </w:t>
      </w:r>
      <w:r>
        <w:t>in</w:t>
      </w:r>
      <w:r w:rsidRPr="002B0080">
        <w:t xml:space="preserve"> </w:t>
      </w:r>
      <w:r>
        <w:t>creating</w:t>
      </w:r>
      <w:r w:rsidDel="00647934">
        <w:t xml:space="preserve"> </w:t>
      </w:r>
      <w:r>
        <w:t xml:space="preserve">and maintaining </w:t>
      </w:r>
      <w:r w:rsidRPr="00390078">
        <w:t>s</w:t>
      </w:r>
      <w:r w:rsidRPr="002B0080">
        <w:t>upport</w:t>
      </w:r>
      <w:r>
        <w:t>ive</w:t>
      </w:r>
      <w:r w:rsidRPr="002B0080">
        <w:t xml:space="preserve"> </w:t>
      </w:r>
      <w:r w:rsidRPr="00390078">
        <w:t xml:space="preserve">environments </w:t>
      </w:r>
      <w:r>
        <w:t xml:space="preserve">which </w:t>
      </w:r>
      <w:r w:rsidRPr="002B0080">
        <w:t xml:space="preserve">encourage </w:t>
      </w:r>
      <w:r>
        <w:t xml:space="preserve">Australians to continue to make </w:t>
      </w:r>
      <w:r w:rsidRPr="002B0080">
        <w:t>healthy food and drink</w:t>
      </w:r>
      <w:r>
        <w:t xml:space="preserve"> choice</w:t>
      </w:r>
      <w:r w:rsidRPr="002B0080">
        <w:t xml:space="preserve">s. </w:t>
      </w:r>
      <w:r w:rsidRPr="00390078">
        <w:t xml:space="preserve">The </w:t>
      </w:r>
      <w:r>
        <w:t xml:space="preserve">Call to Action </w:t>
      </w:r>
      <w:r w:rsidRPr="00390078">
        <w:t xml:space="preserve">does not </w:t>
      </w:r>
      <w:r>
        <w:t>extend</w:t>
      </w:r>
      <w:r w:rsidRPr="00390078">
        <w:t xml:space="preserve"> to inpatient menus, residential and aged care meals and food and drinks brought from home by staff, patients and visitors for personal consumption.</w:t>
      </w:r>
    </w:p>
    <w:p w14:paraId="3C331156" w14:textId="77777777" w:rsidR="000300A6" w:rsidRPr="00E14FEC" w:rsidRDefault="000300A6" w:rsidP="00DF48BB">
      <w:pPr>
        <w:pStyle w:val="Heading2"/>
        <w:spacing w:before="0"/>
      </w:pPr>
      <w:r>
        <w:t xml:space="preserve">Leading through partnership </w:t>
      </w:r>
    </w:p>
    <w:p w14:paraId="0E2CF027" w14:textId="73699CF9" w:rsidR="000300A6" w:rsidRPr="00DF784E" w:rsidRDefault="000300A6" w:rsidP="00DF48BB">
      <w:pPr>
        <w:pStyle w:val="BodyTextBEFOREINDENT"/>
      </w:pPr>
      <w:r>
        <w:t>H</w:t>
      </w:r>
      <w:r w:rsidRPr="002B0080">
        <w:t>ealth is everyone’s business</w:t>
      </w:r>
      <w:r>
        <w:t>;</w:t>
      </w:r>
      <w:r w:rsidRPr="002B0080">
        <w:t xml:space="preserve"> </w:t>
      </w:r>
      <w:r>
        <w:t>achieving environments where</w:t>
      </w:r>
      <w:r w:rsidRPr="002B0080">
        <w:t xml:space="preserve"> health</w:t>
      </w:r>
      <w:r>
        <w:t>y</w:t>
      </w:r>
      <w:r w:rsidRPr="002B0080">
        <w:t xml:space="preserve"> food and drink </w:t>
      </w:r>
      <w:r>
        <w:t>choices</w:t>
      </w:r>
      <w:r w:rsidRPr="002B0080">
        <w:t xml:space="preserve"> </w:t>
      </w:r>
      <w:r>
        <w:t xml:space="preserve">are mainstream not marginal will require leadership which takes a </w:t>
      </w:r>
      <w:r w:rsidRPr="002B0080">
        <w:t>community-wide approach.  Governments, food industry, business, media, community groups, sport</w:t>
      </w:r>
      <w:r>
        <w:t xml:space="preserve"> and recreation facilities</w:t>
      </w:r>
      <w:r w:rsidRPr="002B0080">
        <w:t xml:space="preserve"> and Australians have a shared </w:t>
      </w:r>
      <w:r>
        <w:t xml:space="preserve">interest and </w:t>
      </w:r>
      <w:r w:rsidRPr="002B0080">
        <w:t xml:space="preserve">responsibility </w:t>
      </w:r>
      <w:r>
        <w:t>to</w:t>
      </w:r>
      <w:r w:rsidRPr="002B0080">
        <w:t xml:space="preserve"> support communities to </w:t>
      </w:r>
      <w:r>
        <w:t>achieve this fundamental change</w:t>
      </w:r>
      <w:r w:rsidRPr="002B0080">
        <w:t xml:space="preserve">. </w:t>
      </w:r>
      <w:r w:rsidR="009E5491">
        <w:t>T</w:t>
      </w:r>
      <w:r>
        <w:t>his change will be realised when</w:t>
      </w:r>
      <w:r w:rsidRPr="002B0080">
        <w:t xml:space="preserve"> the promotion and availability of </w:t>
      </w:r>
      <w:r w:rsidRPr="00390078">
        <w:t>healthy food and drinks</w:t>
      </w:r>
      <w:r w:rsidRPr="002B0080">
        <w:t xml:space="preserve"> </w:t>
      </w:r>
      <w:r>
        <w:t>for</w:t>
      </w:r>
      <w:r w:rsidRPr="002B0080">
        <w:t xml:space="preserve"> </w:t>
      </w:r>
      <w:r>
        <w:t xml:space="preserve">both </w:t>
      </w:r>
      <w:r w:rsidRPr="002B0080">
        <w:t xml:space="preserve">visitors and the health workforce </w:t>
      </w:r>
      <w:r>
        <w:t>increases significantly throughout healthcare</w:t>
      </w:r>
      <w:r w:rsidRPr="002B0080">
        <w:t xml:space="preserve"> facilities.</w:t>
      </w:r>
      <w:r>
        <w:t xml:space="preserve"> Australian Health Ministers commend to healthcare services </w:t>
      </w:r>
      <w:r w:rsidRPr="002B0080">
        <w:t xml:space="preserve">the </w:t>
      </w:r>
      <w:r>
        <w:t xml:space="preserve">standards set out in </w:t>
      </w:r>
      <w:r w:rsidRPr="00DF784E">
        <w:rPr>
          <w:i/>
        </w:rPr>
        <w:t>Goals, Principles and Minimum National Nutrition Standards for</w:t>
      </w:r>
      <w:r>
        <w:rPr>
          <w:i/>
        </w:rPr>
        <w:t xml:space="preserve"> Healthier Food and Drink Choices</w:t>
      </w:r>
      <w:r w:rsidRPr="00DF784E">
        <w:rPr>
          <w:i/>
        </w:rPr>
        <w:t xml:space="preserve"> in </w:t>
      </w:r>
      <w:r w:rsidRPr="00390078">
        <w:rPr>
          <w:i/>
        </w:rPr>
        <w:t xml:space="preserve">Public Sector </w:t>
      </w:r>
      <w:r>
        <w:rPr>
          <w:i/>
        </w:rPr>
        <w:t>Health</w:t>
      </w:r>
      <w:r w:rsidRPr="00390078">
        <w:rPr>
          <w:i/>
        </w:rPr>
        <w:t xml:space="preserve">care </w:t>
      </w:r>
      <w:r>
        <w:rPr>
          <w:i/>
        </w:rPr>
        <w:t>Setting</w:t>
      </w:r>
      <w:r w:rsidRPr="00390078">
        <w:rPr>
          <w:i/>
        </w:rPr>
        <w:t>s</w:t>
      </w:r>
      <w:r>
        <w:t xml:space="preserve"> in rising to better meet the challenge and </w:t>
      </w:r>
      <w:r w:rsidRPr="002B0080">
        <w:t>responsibility</w:t>
      </w:r>
      <w:r>
        <w:t xml:space="preserve"> in achieving this change</w:t>
      </w:r>
      <w:r w:rsidRPr="002B0080">
        <w:t>.</w:t>
      </w:r>
      <w:r w:rsidRPr="00DF784E">
        <w:t xml:space="preserve"> </w:t>
      </w:r>
    </w:p>
    <w:p w14:paraId="6D05CED3" w14:textId="4E52AF43" w:rsidR="000300A6" w:rsidRDefault="000300A6" w:rsidP="00DF48BB">
      <w:pPr>
        <w:pStyle w:val="Heading2"/>
        <w:spacing w:before="0"/>
      </w:pPr>
      <w:r>
        <w:br w:type="column"/>
        <w:t xml:space="preserve">The benefits of leading change </w:t>
      </w:r>
    </w:p>
    <w:p w14:paraId="12DC5982" w14:textId="77777777" w:rsidR="000300A6" w:rsidRPr="00982BB1" w:rsidRDefault="000300A6" w:rsidP="00DF48BB">
      <w:pPr>
        <w:pStyle w:val="BodyTextBEFOREINDENT"/>
      </w:pPr>
      <w:r w:rsidRPr="002B0080">
        <w:t xml:space="preserve">Healthcare sector leadership in supporting healthier food and drink choices aligns with the </w:t>
      </w:r>
      <w:hyperlink r:id="rId8" w:history="1">
        <w:r w:rsidRPr="002B0080">
          <w:t>National Strategic Framework for Chronic Conditions</w:t>
        </w:r>
      </w:hyperlink>
      <w:r>
        <w:rPr>
          <w:rStyle w:val="EndnoteReference"/>
        </w:rPr>
        <w:endnoteReference w:id="2"/>
      </w:r>
      <w:r>
        <w:t xml:space="preserve"> and t</w:t>
      </w:r>
      <w:r w:rsidRPr="00982BB1">
        <w:t xml:space="preserve">he </w:t>
      </w:r>
      <w:hyperlink r:id="rId9" w:history="1">
        <w:r w:rsidRPr="002B0080">
          <w:t>WHO Global Action Plan for the prevention and control of non-communicable diseases 2013-20</w:t>
        </w:r>
      </w:hyperlink>
      <w:r>
        <w:t>20</w:t>
      </w:r>
      <w:r>
        <w:rPr>
          <w:rStyle w:val="EndnoteReference"/>
        </w:rPr>
        <w:endnoteReference w:id="3"/>
      </w:r>
      <w:r>
        <w:t xml:space="preserve">, the latter of which </w:t>
      </w:r>
      <w:r w:rsidRPr="00982BB1">
        <w:t xml:space="preserve">calls on governments to take strong policy action, and </w:t>
      </w:r>
      <w:r>
        <w:t xml:space="preserve">recommends promoting the availability of </w:t>
      </w:r>
      <w:r w:rsidRPr="00982BB1">
        <w:t xml:space="preserve"> healthy food in all public institutions</w:t>
      </w:r>
      <w:r>
        <w:t xml:space="preserve">. </w:t>
      </w:r>
    </w:p>
    <w:p w14:paraId="2A629696" w14:textId="77777777" w:rsidR="000300A6" w:rsidRPr="002B0080" w:rsidRDefault="000300A6" w:rsidP="00DF48BB">
      <w:pPr>
        <w:pStyle w:val="BodyTextBEFOREINDENT"/>
        <w:rPr>
          <w:szCs w:val="20"/>
        </w:rPr>
      </w:pPr>
      <w:r w:rsidRPr="00BF2599">
        <w:t>Government actions can reinforce consumer and business trends towards healthier living.</w:t>
      </w:r>
      <w:r w:rsidRPr="002B0080">
        <w:t xml:space="preserve"> </w:t>
      </w:r>
      <w:r>
        <w:t>Reviews in some healthcare services demonstrate that consumers in these settings are increasingly demanding healthier food and drink options. Evidence also shows that healthy changes are not adversely impacting sales of food businesses.</w:t>
      </w:r>
      <w:r>
        <w:rPr>
          <w:rStyle w:val="EndnoteReference"/>
        </w:rPr>
        <w:endnoteReference w:id="4"/>
      </w:r>
      <w:r>
        <w:t xml:space="preserve"> </w:t>
      </w:r>
    </w:p>
    <w:p w14:paraId="2337C179" w14:textId="77777777" w:rsidR="000300A6" w:rsidRPr="00805F04" w:rsidRDefault="000300A6" w:rsidP="00DF48BB">
      <w:pPr>
        <w:pStyle w:val="Heading2"/>
        <w:spacing w:before="0"/>
      </w:pPr>
      <w:r>
        <w:t>The cost of inaction</w:t>
      </w:r>
    </w:p>
    <w:p w14:paraId="5F654BBF" w14:textId="3CFD233E" w:rsidR="00DF48BB" w:rsidRDefault="000300A6" w:rsidP="00DF48BB">
      <w:pPr>
        <w:pStyle w:val="BodyTextBEFOREINDENT"/>
      </w:pPr>
      <w:r>
        <w:t xml:space="preserve">The impetus for dietary change is in the substantial and rising cost of chronic disease to the community, much of which is preventable. </w:t>
      </w:r>
      <w:r w:rsidRPr="00805F04">
        <w:t>The widespread availability of unhealthy food and drinks in health care settings conflicts with health care objectives and sets a p</w:t>
      </w:r>
      <w:r>
        <w:t>oor example for the community. Unhealthy food and drink choices are significant contributors to the rise in chronic disease. Treating chronic disease within the Australian health system is estimated to cost 27 billion dollars a year, or 36% of all health spending</w:t>
      </w:r>
      <w:r>
        <w:rPr>
          <w:rStyle w:val="EndnoteReference"/>
        </w:rPr>
        <w:endnoteReference w:id="5"/>
      </w:r>
      <w:r>
        <w:t>.</w:t>
      </w:r>
      <w:r w:rsidR="00DF48BB">
        <w:t xml:space="preserve"> Leading change which progressively redeems even a portion of these costs will unlock substantial benefits for Australian communities.</w:t>
      </w:r>
    </w:p>
    <w:p w14:paraId="528B521F" w14:textId="77777777" w:rsidR="00DF48BB" w:rsidRDefault="00DF48BB" w:rsidP="00DF48BB">
      <w:pPr>
        <w:pStyle w:val="BodyTextBEFOREINDENT"/>
      </w:pPr>
    </w:p>
    <w:p w14:paraId="64300539" w14:textId="77777777" w:rsidR="00DF48BB" w:rsidRDefault="00DF48BB" w:rsidP="00DF48BB">
      <w:pPr>
        <w:pStyle w:val="BodyTextBEFOREINDENT"/>
      </w:pPr>
    </w:p>
    <w:p w14:paraId="61199971" w14:textId="77777777" w:rsidR="00FF1760" w:rsidRPr="00FF1760" w:rsidRDefault="00FF1760" w:rsidP="00FF1760">
      <w:pPr>
        <w:pStyle w:val="BodyTextBEFOREINDENT"/>
        <w:spacing w:after="0"/>
        <w:rPr>
          <w:b/>
        </w:rPr>
      </w:pPr>
      <w:r w:rsidRPr="00FF1760">
        <w:rPr>
          <w:b/>
        </w:rPr>
        <w:t>Hon Roger Cook MLA</w:t>
      </w:r>
    </w:p>
    <w:p w14:paraId="1B7E9562" w14:textId="78E76BA5" w:rsidR="00DF48BB" w:rsidRPr="00FF1760" w:rsidRDefault="00DF48BB" w:rsidP="00FF1760">
      <w:pPr>
        <w:pStyle w:val="BodyTextBEFOREINDENT"/>
        <w:spacing w:after="0"/>
        <w:rPr>
          <w:b/>
        </w:rPr>
      </w:pPr>
      <w:r w:rsidRPr="00FF1760">
        <w:rPr>
          <w:b/>
        </w:rPr>
        <w:t>Chair, COAG Health Council</w:t>
      </w:r>
    </w:p>
    <w:p w14:paraId="55E95B64" w14:textId="5894B125" w:rsidR="000300A6" w:rsidRDefault="000300A6" w:rsidP="00BA4C4E">
      <w:pPr>
        <w:pStyle w:val="Heading2"/>
      </w:pPr>
      <w:r>
        <w:br w:type="column"/>
      </w:r>
      <w:r w:rsidR="00BA4C4E">
        <w:lastRenderedPageBreak/>
        <w:t>References</w:t>
      </w:r>
    </w:p>
    <w:p w14:paraId="3738F5D9" w14:textId="77777777" w:rsidR="000300A6" w:rsidRDefault="000300A6" w:rsidP="00DF48BB">
      <w:pPr>
        <w:pStyle w:val="BodyTextBEFOREINDENT"/>
      </w:pPr>
    </w:p>
    <w:sectPr w:rsidR="000300A6" w:rsidSect="00161C90">
      <w:headerReference w:type="even" r:id="rId10"/>
      <w:headerReference w:type="default" r:id="rId11"/>
      <w:footerReference w:type="even" r:id="rId12"/>
      <w:footerReference w:type="default" r:id="rId13"/>
      <w:pgSz w:w="11900" w:h="16840"/>
      <w:pgMar w:top="3402" w:right="1361" w:bottom="1701" w:left="567" w:header="720" w:footer="720" w:gutter="0"/>
      <w:cols w:num="2"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4F201EC" w14:textId="77777777" w:rsidR="004416B7" w:rsidRDefault="004416B7" w:rsidP="004B65D3">
      <w:pPr>
        <w:spacing w:after="0"/>
      </w:pPr>
      <w:r>
        <w:separator/>
      </w:r>
    </w:p>
  </w:endnote>
  <w:endnote w:type="continuationSeparator" w:id="0">
    <w:p w14:paraId="40BB8FA0" w14:textId="77777777" w:rsidR="004416B7" w:rsidRDefault="004416B7" w:rsidP="004B65D3">
      <w:pPr>
        <w:spacing w:after="0"/>
      </w:pPr>
      <w:r>
        <w:continuationSeparator/>
      </w:r>
    </w:p>
  </w:endnote>
  <w:endnote w:id="1">
    <w:p w14:paraId="26138C5D" w14:textId="77777777" w:rsidR="000300A6" w:rsidRPr="00DF48BB" w:rsidRDefault="000300A6" w:rsidP="00DF48BB">
      <w:pPr>
        <w:pStyle w:val="EndnoteText"/>
        <w:rPr>
          <w:rFonts w:ascii="Arial" w:hAnsi="Arial" w:cs="Arial"/>
          <w:sz w:val="14"/>
          <w:szCs w:val="14"/>
        </w:rPr>
      </w:pPr>
      <w:r w:rsidRPr="00DF48BB">
        <w:rPr>
          <w:rStyle w:val="EndnoteReference"/>
          <w:rFonts w:ascii="Arial" w:hAnsi="Arial" w:cs="Arial"/>
          <w:sz w:val="14"/>
          <w:szCs w:val="14"/>
        </w:rPr>
        <w:endnoteRef/>
      </w:r>
      <w:r w:rsidRPr="00DF48BB">
        <w:rPr>
          <w:rFonts w:ascii="Arial" w:hAnsi="Arial" w:cs="Arial"/>
          <w:sz w:val="14"/>
          <w:szCs w:val="14"/>
        </w:rPr>
        <w:t xml:space="preserve"> Nationally, about 360,000 FTE staff were employed in providing public hospital services in 2015–16. (Australian Institute of Health and Welfare website </w:t>
      </w:r>
      <w:hyperlink r:id="rId1" w:history="1">
        <w:r w:rsidRPr="00FF1760">
          <w:rPr>
            <w:rStyle w:val="Hyperlink"/>
            <w:rFonts w:ascii="Arial" w:hAnsi="Arial" w:cs="Arial"/>
            <w:color w:val="000000" w:themeColor="text1"/>
            <w:sz w:val="14"/>
            <w:szCs w:val="14"/>
          </w:rPr>
          <w:t>https://www.aihw.gov.au/getmedia/d37a56cb-dc6b-4b28-a52f-8e00f606ce67/21035.pdf.aspx?inline=true</w:t>
        </w:r>
      </w:hyperlink>
      <w:r w:rsidRPr="00DF48BB">
        <w:rPr>
          <w:rFonts w:ascii="Arial" w:hAnsi="Arial" w:cs="Arial"/>
          <w:sz w:val="14"/>
          <w:szCs w:val="14"/>
        </w:rPr>
        <w:t>; accessed 07/11/18). These figures do not include those working in Departments of Health.</w:t>
      </w:r>
    </w:p>
    <w:p w14:paraId="56FC8089" w14:textId="77777777" w:rsidR="000300A6" w:rsidRPr="00DF48BB" w:rsidRDefault="000300A6" w:rsidP="00DF48BB">
      <w:pPr>
        <w:pStyle w:val="EndnoteText"/>
        <w:rPr>
          <w:rFonts w:ascii="Arial" w:hAnsi="Arial" w:cs="Arial"/>
          <w:sz w:val="2"/>
          <w:szCs w:val="2"/>
        </w:rPr>
      </w:pPr>
    </w:p>
  </w:endnote>
  <w:endnote w:id="2">
    <w:p w14:paraId="2FDBDCD1" w14:textId="77777777" w:rsidR="000300A6" w:rsidRPr="00DF48BB" w:rsidRDefault="000300A6" w:rsidP="00DF48BB">
      <w:pPr>
        <w:pStyle w:val="EndnoteText"/>
        <w:rPr>
          <w:rFonts w:ascii="Arial" w:hAnsi="Arial" w:cs="Arial"/>
          <w:sz w:val="14"/>
          <w:szCs w:val="14"/>
        </w:rPr>
      </w:pPr>
      <w:r w:rsidRPr="00DF48BB">
        <w:rPr>
          <w:rStyle w:val="EndnoteReference"/>
          <w:rFonts w:ascii="Arial" w:hAnsi="Arial" w:cs="Arial"/>
          <w:sz w:val="14"/>
          <w:szCs w:val="14"/>
        </w:rPr>
        <w:endnoteRef/>
      </w:r>
      <w:r w:rsidRPr="00DF48BB">
        <w:rPr>
          <w:rFonts w:ascii="Arial" w:hAnsi="Arial" w:cs="Arial"/>
          <w:sz w:val="14"/>
          <w:szCs w:val="14"/>
        </w:rPr>
        <w:t xml:space="preserve"> Australian Health Ministers’ Advisory Council, 2017, National Strategic Framework for Chronic Conditions. Australian Government. Canberra. Available at: </w:t>
      </w:r>
      <w:hyperlink r:id="rId2" w:history="1">
        <w:r w:rsidRPr="00FF1760">
          <w:rPr>
            <w:rStyle w:val="Hyperlink"/>
            <w:rFonts w:ascii="Arial" w:hAnsi="Arial" w:cs="Arial"/>
            <w:color w:val="000000" w:themeColor="text1"/>
            <w:sz w:val="14"/>
            <w:szCs w:val="14"/>
          </w:rPr>
          <w:t>http://www.health.gov.au/internet/main/publishing.nsf/content/nsfcc</w:t>
        </w:r>
      </w:hyperlink>
      <w:r w:rsidRPr="00FF1760">
        <w:rPr>
          <w:rFonts w:ascii="Arial" w:hAnsi="Arial" w:cs="Arial"/>
          <w:color w:val="000000" w:themeColor="text1"/>
          <w:sz w:val="14"/>
          <w:szCs w:val="14"/>
        </w:rPr>
        <w:t xml:space="preserve"> , </w:t>
      </w:r>
      <w:r w:rsidRPr="00DF48BB">
        <w:rPr>
          <w:rFonts w:ascii="Arial" w:hAnsi="Arial" w:cs="Arial"/>
          <w:sz w:val="14"/>
          <w:szCs w:val="14"/>
        </w:rPr>
        <w:t>accessed on 24 July 2018.</w:t>
      </w:r>
    </w:p>
    <w:p w14:paraId="20B2F79F" w14:textId="77777777" w:rsidR="000300A6" w:rsidRPr="00DF48BB" w:rsidRDefault="000300A6" w:rsidP="00DF48BB">
      <w:pPr>
        <w:pStyle w:val="EndnoteText"/>
        <w:rPr>
          <w:rFonts w:ascii="Arial" w:hAnsi="Arial" w:cs="Arial"/>
          <w:sz w:val="14"/>
          <w:szCs w:val="14"/>
        </w:rPr>
      </w:pPr>
    </w:p>
  </w:endnote>
  <w:endnote w:id="3">
    <w:p w14:paraId="0CD2635C" w14:textId="77777777" w:rsidR="000300A6" w:rsidRPr="00DF48BB" w:rsidRDefault="000300A6" w:rsidP="00DF48BB">
      <w:pPr>
        <w:pStyle w:val="EndnoteText"/>
        <w:rPr>
          <w:rFonts w:ascii="Arial" w:hAnsi="Arial" w:cs="Arial"/>
          <w:sz w:val="14"/>
          <w:szCs w:val="14"/>
        </w:rPr>
      </w:pPr>
      <w:r w:rsidRPr="00DF48BB">
        <w:rPr>
          <w:rStyle w:val="EndnoteReference"/>
          <w:rFonts w:ascii="Arial" w:hAnsi="Arial" w:cs="Arial"/>
          <w:sz w:val="14"/>
          <w:szCs w:val="14"/>
        </w:rPr>
        <w:endnoteRef/>
      </w:r>
      <w:r w:rsidRPr="00DF48BB">
        <w:rPr>
          <w:rFonts w:ascii="Arial" w:hAnsi="Arial" w:cs="Arial"/>
          <w:sz w:val="14"/>
          <w:szCs w:val="14"/>
        </w:rPr>
        <w:t xml:space="preserve"> WHO, 2013. Global action plan for the prevention and control of non-communicable diseases 2013-2020. Available at: </w:t>
      </w:r>
      <w:hyperlink r:id="rId3" w:history="1">
        <w:r w:rsidRPr="00FF1760">
          <w:rPr>
            <w:rStyle w:val="Hyperlink"/>
            <w:rFonts w:ascii="Arial" w:hAnsi="Arial" w:cs="Arial"/>
            <w:color w:val="000000" w:themeColor="text1"/>
            <w:sz w:val="14"/>
            <w:szCs w:val="14"/>
          </w:rPr>
          <w:t>http://apps.who.int/iris/bitstream/10665/94384/1/9789241506236_eng.pdf?ua=1</w:t>
        </w:r>
      </w:hyperlink>
      <w:r w:rsidRPr="00FF1760">
        <w:rPr>
          <w:rFonts w:ascii="Arial" w:hAnsi="Arial" w:cs="Arial"/>
          <w:color w:val="000000" w:themeColor="text1"/>
          <w:sz w:val="14"/>
          <w:szCs w:val="14"/>
        </w:rPr>
        <w:t>, a</w:t>
      </w:r>
      <w:r w:rsidRPr="00DF48BB">
        <w:rPr>
          <w:rFonts w:ascii="Arial" w:hAnsi="Arial" w:cs="Arial"/>
          <w:sz w:val="14"/>
          <w:szCs w:val="14"/>
        </w:rPr>
        <w:t>ccessed on 24 July 2018.</w:t>
      </w:r>
    </w:p>
    <w:p w14:paraId="7E3A76AB" w14:textId="77777777" w:rsidR="000300A6" w:rsidRPr="00DF48BB" w:rsidRDefault="000300A6" w:rsidP="00DF48BB">
      <w:pPr>
        <w:pStyle w:val="EndnoteText"/>
        <w:rPr>
          <w:rFonts w:ascii="Arial" w:hAnsi="Arial" w:cs="Arial"/>
          <w:sz w:val="2"/>
          <w:szCs w:val="2"/>
        </w:rPr>
      </w:pPr>
    </w:p>
  </w:endnote>
  <w:endnote w:id="4">
    <w:p w14:paraId="23E76B72" w14:textId="57CE82F6" w:rsidR="000300A6" w:rsidRDefault="000300A6" w:rsidP="00DF48BB">
      <w:pPr>
        <w:pStyle w:val="EndnoteText"/>
        <w:rPr>
          <w:rFonts w:ascii="Arial" w:hAnsi="Arial" w:cs="Arial"/>
          <w:sz w:val="14"/>
          <w:szCs w:val="14"/>
        </w:rPr>
      </w:pPr>
      <w:r w:rsidRPr="00DF48BB">
        <w:rPr>
          <w:rStyle w:val="EndnoteReference"/>
          <w:rFonts w:ascii="Arial" w:hAnsi="Arial" w:cs="Arial"/>
          <w:sz w:val="14"/>
          <w:szCs w:val="14"/>
        </w:rPr>
        <w:endnoteRef/>
      </w:r>
      <w:r w:rsidRPr="00DF48BB">
        <w:rPr>
          <w:rFonts w:ascii="Arial" w:hAnsi="Arial" w:cs="Arial"/>
          <w:sz w:val="14"/>
          <w:szCs w:val="14"/>
        </w:rPr>
        <w:t xml:space="preserve"> </w:t>
      </w:r>
      <w:proofErr w:type="spellStart"/>
      <w:r w:rsidRPr="00DF48BB">
        <w:rPr>
          <w:rFonts w:ascii="Arial" w:hAnsi="Arial" w:cs="Arial"/>
          <w:sz w:val="14"/>
          <w:szCs w:val="14"/>
        </w:rPr>
        <w:t>Huse</w:t>
      </w:r>
      <w:proofErr w:type="spellEnd"/>
      <w:r w:rsidRPr="00DF48BB">
        <w:rPr>
          <w:rFonts w:ascii="Arial" w:hAnsi="Arial" w:cs="Arial"/>
          <w:sz w:val="14"/>
          <w:szCs w:val="14"/>
        </w:rPr>
        <w:t xml:space="preserve"> O, Blake MR, Brooks R, </w:t>
      </w:r>
      <w:proofErr w:type="spellStart"/>
      <w:r w:rsidRPr="00DF48BB">
        <w:rPr>
          <w:rFonts w:ascii="Arial" w:hAnsi="Arial" w:cs="Arial"/>
          <w:sz w:val="14"/>
          <w:szCs w:val="14"/>
        </w:rPr>
        <w:t>Corben</w:t>
      </w:r>
      <w:proofErr w:type="spellEnd"/>
      <w:r w:rsidRPr="00DF48BB">
        <w:rPr>
          <w:rFonts w:ascii="Arial" w:hAnsi="Arial" w:cs="Arial"/>
          <w:sz w:val="14"/>
          <w:szCs w:val="14"/>
        </w:rPr>
        <w:t xml:space="preserve"> K and </w:t>
      </w:r>
      <w:proofErr w:type="spellStart"/>
      <w:r w:rsidRPr="00DF48BB">
        <w:rPr>
          <w:rFonts w:ascii="Arial" w:hAnsi="Arial" w:cs="Arial"/>
          <w:sz w:val="14"/>
          <w:szCs w:val="14"/>
        </w:rPr>
        <w:t>Peeters</w:t>
      </w:r>
      <w:proofErr w:type="spellEnd"/>
      <w:r w:rsidRPr="00DF48BB">
        <w:rPr>
          <w:rFonts w:ascii="Arial" w:hAnsi="Arial" w:cs="Arial"/>
          <w:sz w:val="14"/>
          <w:szCs w:val="14"/>
        </w:rPr>
        <w:t xml:space="preserve"> A. The effect on drink sales of removal of unhealthy drinks from display in a self-service café. Public health nutrition 2016; vol. 19, no. 17, pp. 3142-3145, </w:t>
      </w:r>
      <w:proofErr w:type="spellStart"/>
      <w:r w:rsidRPr="00DF48BB">
        <w:rPr>
          <w:rFonts w:ascii="Arial" w:hAnsi="Arial" w:cs="Arial"/>
          <w:sz w:val="14"/>
          <w:szCs w:val="14"/>
        </w:rPr>
        <w:t>doi</w:t>
      </w:r>
      <w:proofErr w:type="spellEnd"/>
      <w:r w:rsidRPr="00DF48BB">
        <w:rPr>
          <w:rFonts w:ascii="Arial" w:hAnsi="Arial" w:cs="Arial"/>
          <w:sz w:val="14"/>
          <w:szCs w:val="14"/>
        </w:rPr>
        <w:t>: 10.1017/S1368980016002482</w:t>
      </w:r>
    </w:p>
    <w:p w14:paraId="2882F70D" w14:textId="77777777" w:rsidR="000300A6" w:rsidRPr="00DF48BB" w:rsidRDefault="000300A6" w:rsidP="00DF48BB">
      <w:pPr>
        <w:pStyle w:val="EndnoteText"/>
        <w:rPr>
          <w:sz w:val="2"/>
          <w:szCs w:val="2"/>
        </w:rPr>
      </w:pPr>
    </w:p>
  </w:endnote>
  <w:endnote w:id="5">
    <w:p w14:paraId="0011A87E" w14:textId="77777777" w:rsidR="000300A6" w:rsidRPr="00DF48BB" w:rsidRDefault="000300A6" w:rsidP="00DF48BB">
      <w:pPr>
        <w:pStyle w:val="EndnoteText"/>
        <w:rPr>
          <w:rFonts w:ascii="Arial" w:hAnsi="Arial" w:cs="Arial"/>
          <w:sz w:val="14"/>
          <w:szCs w:val="14"/>
        </w:rPr>
      </w:pPr>
      <w:r w:rsidRPr="00DF48BB">
        <w:rPr>
          <w:rStyle w:val="EndnoteReference"/>
          <w:rFonts w:ascii="Arial" w:hAnsi="Arial" w:cs="Arial"/>
          <w:sz w:val="14"/>
          <w:szCs w:val="14"/>
        </w:rPr>
        <w:endnoteRef/>
      </w:r>
      <w:r w:rsidRPr="00DF48BB">
        <w:rPr>
          <w:rFonts w:ascii="Arial" w:hAnsi="Arial" w:cs="Arial"/>
          <w:sz w:val="14"/>
          <w:szCs w:val="14"/>
        </w:rPr>
        <w:t xml:space="preserve"> AIHW 2017. Hospital Resources 2015-16. Australian Hospital Statistics. Cat. no. HSE 190. Canberra: AIHW.</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8439E7" w14:textId="3621FE7C" w:rsidR="00B96433" w:rsidRDefault="0047754A">
    <w:pPr>
      <w:pStyle w:val="Footer"/>
    </w:pPr>
    <w:r>
      <w:rPr>
        <w:noProof/>
      </w:rPr>
      <w:drawing>
        <wp:anchor distT="0" distB="0" distL="114300" distR="114300" simplePos="0" relativeHeight="251667456" behindDoc="1" locked="0" layoutInCell="1" allowOverlap="1" wp14:anchorId="512CB197" wp14:editId="5FAC7C82">
          <wp:simplePos x="0" y="0"/>
          <wp:positionH relativeFrom="column">
            <wp:align>center</wp:align>
          </wp:positionH>
          <wp:positionV relativeFrom="paragraph">
            <wp:posOffset>-17780</wp:posOffset>
          </wp:positionV>
          <wp:extent cx="1386000" cy="475200"/>
          <wp:effectExtent l="0" t="0" r="0" b="0"/>
          <wp:wrapNone/>
          <wp:docPr id="17" name="Picture 1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a:extLst>
                      <a:ext uri="{C183D7F6-B498-43B3-948B-1728B52AA6E4}">
                        <adec:decorative xmlns:adec="http://schemas.microsoft.com/office/drawing/2017/decorative" val="1"/>
                      </a:ext>
                    </a:extLst>
                  </pic:cNvPr>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1386000" cy="475200"/>
                  </a:xfrm>
                  <a:prstGeom prst="rect">
                    <a:avLst/>
                  </a:prstGeom>
                </pic:spPr>
              </pic:pic>
            </a:graphicData>
          </a:graphic>
          <wp14:sizeRelH relativeFrom="margin">
            <wp14:pctWidth>0</wp14:pctWidth>
          </wp14:sizeRelH>
          <wp14:sizeRelV relativeFrom="margin">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9D405D" w14:textId="506FD59F" w:rsidR="00B96433" w:rsidRDefault="001C4E05">
    <w:pPr>
      <w:pStyle w:val="Footer"/>
    </w:pPr>
    <w:r>
      <w:rPr>
        <w:noProof/>
      </w:rPr>
      <w:drawing>
        <wp:anchor distT="0" distB="0" distL="114300" distR="114300" simplePos="0" relativeHeight="251665408" behindDoc="1" locked="0" layoutInCell="1" allowOverlap="1" wp14:anchorId="4C60B7D9" wp14:editId="77317BA9">
          <wp:simplePos x="0" y="0"/>
          <wp:positionH relativeFrom="column">
            <wp:align>center</wp:align>
          </wp:positionH>
          <wp:positionV relativeFrom="paragraph">
            <wp:posOffset>-17780</wp:posOffset>
          </wp:positionV>
          <wp:extent cx="1386000" cy="475200"/>
          <wp:effectExtent l="0" t="0" r="0" b="0"/>
          <wp:wrapNone/>
          <wp:docPr id="18" name="Picture 1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a:extLst>
                      <a:ext uri="{C183D7F6-B498-43B3-948B-1728B52AA6E4}">
                        <adec:decorative xmlns:adec="http://schemas.microsoft.com/office/drawing/2017/decorative" val="1"/>
                      </a:ext>
                    </a:extLst>
                  </pic:cNvPr>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1386000" cy="47520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F3E28C7" w14:textId="77777777" w:rsidR="004416B7" w:rsidRDefault="004416B7" w:rsidP="004B65D3">
      <w:pPr>
        <w:spacing w:after="0"/>
      </w:pPr>
      <w:r>
        <w:separator/>
      </w:r>
    </w:p>
  </w:footnote>
  <w:footnote w:type="continuationSeparator" w:id="0">
    <w:p w14:paraId="20C3814C" w14:textId="77777777" w:rsidR="004416B7" w:rsidRDefault="004416B7" w:rsidP="004B65D3">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1DD399" w14:textId="0949D2A3" w:rsidR="00CA7B01" w:rsidRDefault="00E52DAB">
    <w:pPr>
      <w:pStyle w:val="Header"/>
    </w:pPr>
    <w:r>
      <w:rPr>
        <w:noProof/>
      </w:rPr>
      <w:drawing>
        <wp:anchor distT="0" distB="0" distL="114300" distR="114300" simplePos="0" relativeHeight="251661312" behindDoc="1" locked="0" layoutInCell="1" allowOverlap="1" wp14:anchorId="70225A0E" wp14:editId="6F977C2F">
          <wp:simplePos x="0" y="0"/>
          <wp:positionH relativeFrom="page">
            <wp:align>left</wp:align>
          </wp:positionH>
          <wp:positionV relativeFrom="page">
            <wp:align>top</wp:align>
          </wp:positionV>
          <wp:extent cx="7605720" cy="10750320"/>
          <wp:effectExtent l="0" t="0" r="1905" b="0"/>
          <wp:wrapNone/>
          <wp:docPr id="15" name="Picture 1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605720" cy="10750320"/>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D2AAA4" w14:textId="3E606E0A" w:rsidR="004B65D3" w:rsidRDefault="00DF48BB" w:rsidP="00DF48BB">
    <w:pPr>
      <w:pStyle w:val="Header"/>
      <w:spacing w:after="0"/>
    </w:pPr>
    <w:r>
      <w:rPr>
        <w:noProof/>
      </w:rPr>
      <w:drawing>
        <wp:anchor distT="0" distB="0" distL="114300" distR="114300" simplePos="0" relativeHeight="251660288" behindDoc="1" locked="0" layoutInCell="1" allowOverlap="1" wp14:anchorId="306192FF" wp14:editId="2183FDCE">
          <wp:simplePos x="0" y="0"/>
          <wp:positionH relativeFrom="page">
            <wp:posOffset>0</wp:posOffset>
          </wp:positionH>
          <wp:positionV relativeFrom="page">
            <wp:posOffset>6350</wp:posOffset>
          </wp:positionV>
          <wp:extent cx="7605720" cy="10750320"/>
          <wp:effectExtent l="0" t="0" r="0" b="0"/>
          <wp:wrapNone/>
          <wp:docPr id="16" name="Picture 1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605720" cy="1075032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E0E2C29"/>
    <w:multiLevelType w:val="hybridMultilevel"/>
    <w:tmpl w:val="80E0B840"/>
    <w:lvl w:ilvl="0" w:tplc="E8627936">
      <w:start w:val="1"/>
      <w:numFmt w:val="bullet"/>
      <w:pStyle w:val="IndentsLevel2"/>
      <w:lvlText w:val=""/>
      <w:lvlJc w:val="left"/>
      <w:pPr>
        <w:ind w:left="454" w:hanging="227"/>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E7F781C"/>
    <w:multiLevelType w:val="hybridMultilevel"/>
    <w:tmpl w:val="E4A63388"/>
    <w:lvl w:ilvl="0" w:tplc="72C43B56">
      <w:start w:val="1"/>
      <w:numFmt w:val="bullet"/>
      <w:pStyle w:val="IndentsLevel1"/>
      <w:lvlText w:val=""/>
      <w:lvlJc w:val="left"/>
      <w:pPr>
        <w:ind w:left="227" w:hanging="227"/>
      </w:pPr>
      <w:rPr>
        <w:rFonts w:ascii="Symbol" w:hAnsi="Symbol" w:hint="default"/>
        <w:color w:val="0082BA"/>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4E95024C"/>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15:restartNumberingAfterBreak="0">
    <w:nsid w:val="58416D1C"/>
    <w:multiLevelType w:val="hybridMultilevel"/>
    <w:tmpl w:val="26C6EB86"/>
    <w:lvl w:ilvl="0" w:tplc="E22A7020">
      <w:start w:val="1"/>
      <w:numFmt w:val="bullet"/>
      <w:lvlText w:val=""/>
      <w:lvlJc w:val="left"/>
      <w:pPr>
        <w:tabs>
          <w:tab w:val="num" w:pos="284"/>
        </w:tabs>
        <w:ind w:left="284" w:hanging="284"/>
      </w:pPr>
      <w:rPr>
        <w:rFonts w:ascii="Symbol" w:hAnsi="Symbol" w:hint="default"/>
        <w:color w:val="005CA9"/>
        <w:sz w:val="28"/>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mirrorMargins/>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evenAndOddHeaders/>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B65D3"/>
    <w:rsid w:val="0000522A"/>
    <w:rsid w:val="000300A6"/>
    <w:rsid w:val="0003012D"/>
    <w:rsid w:val="000B75DE"/>
    <w:rsid w:val="0013081E"/>
    <w:rsid w:val="00161C90"/>
    <w:rsid w:val="001C4E05"/>
    <w:rsid w:val="00217689"/>
    <w:rsid w:val="002C5579"/>
    <w:rsid w:val="003132F8"/>
    <w:rsid w:val="003961F6"/>
    <w:rsid w:val="003A63BD"/>
    <w:rsid w:val="003B134A"/>
    <w:rsid w:val="004258DA"/>
    <w:rsid w:val="004416B7"/>
    <w:rsid w:val="0047754A"/>
    <w:rsid w:val="004B467A"/>
    <w:rsid w:val="004B65D3"/>
    <w:rsid w:val="004C03E2"/>
    <w:rsid w:val="004C3AE5"/>
    <w:rsid w:val="004D1F4B"/>
    <w:rsid w:val="004E07B8"/>
    <w:rsid w:val="00507F59"/>
    <w:rsid w:val="0051783E"/>
    <w:rsid w:val="00517B46"/>
    <w:rsid w:val="005844B4"/>
    <w:rsid w:val="005C0B76"/>
    <w:rsid w:val="006435B0"/>
    <w:rsid w:val="006E6C91"/>
    <w:rsid w:val="00772E73"/>
    <w:rsid w:val="007A7137"/>
    <w:rsid w:val="007F3FEF"/>
    <w:rsid w:val="009E5491"/>
    <w:rsid w:val="00A15640"/>
    <w:rsid w:val="00A419F4"/>
    <w:rsid w:val="00A94093"/>
    <w:rsid w:val="00AF63AE"/>
    <w:rsid w:val="00B84867"/>
    <w:rsid w:val="00B96433"/>
    <w:rsid w:val="00BA4C4E"/>
    <w:rsid w:val="00BB5929"/>
    <w:rsid w:val="00C1281D"/>
    <w:rsid w:val="00CA7B01"/>
    <w:rsid w:val="00D867A8"/>
    <w:rsid w:val="00DF48BB"/>
    <w:rsid w:val="00E20E69"/>
    <w:rsid w:val="00E44100"/>
    <w:rsid w:val="00E52DAB"/>
    <w:rsid w:val="00ED5541"/>
    <w:rsid w:val="00FE395F"/>
    <w:rsid w:val="00FF176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7124549A"/>
  <w15:chartTrackingRefBased/>
  <w15:docId w15:val="{E4D7E453-F2EE-E746-BC1A-43CBCBADD4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72E73"/>
    <w:pPr>
      <w:spacing w:after="226"/>
    </w:pPr>
    <w:rPr>
      <w:rFonts w:ascii="Arial" w:eastAsiaTheme="minorEastAsia" w:hAnsi="Arial"/>
      <w:sz w:val="18"/>
    </w:rPr>
  </w:style>
  <w:style w:type="paragraph" w:styleId="Heading1">
    <w:name w:val="heading 1"/>
    <w:next w:val="Normal"/>
    <w:link w:val="Heading1Char"/>
    <w:uiPriority w:val="9"/>
    <w:qFormat/>
    <w:rsid w:val="00CA7B01"/>
    <w:pPr>
      <w:spacing w:before="400" w:after="112"/>
      <w:outlineLvl w:val="0"/>
    </w:pPr>
    <w:rPr>
      <w:rFonts w:ascii="Arial" w:hAnsi="Arial" w:cs="Arial"/>
      <w:b/>
      <w:bCs/>
      <w:color w:val="0082BA"/>
      <w:sz w:val="28"/>
      <w:szCs w:val="21"/>
      <w:lang w:val="en-GB" w:eastAsia="en-GB"/>
    </w:rPr>
  </w:style>
  <w:style w:type="paragraph" w:styleId="Heading2">
    <w:name w:val="heading 2"/>
    <w:next w:val="Normal"/>
    <w:link w:val="Heading2Char"/>
    <w:uiPriority w:val="9"/>
    <w:unhideWhenUsed/>
    <w:qFormat/>
    <w:rsid w:val="00CA7B01"/>
    <w:pPr>
      <w:spacing w:before="400" w:after="112" w:line="240" w:lineRule="atLeast"/>
      <w:outlineLvl w:val="1"/>
    </w:pPr>
    <w:rPr>
      <w:rFonts w:ascii="Arial" w:hAnsi="Arial" w:cs="Arial"/>
      <w:b/>
      <w:bCs/>
      <w:color w:val="0082BA"/>
      <w:szCs w:val="21"/>
      <w:lang w:val="en-GB" w:eastAsia="en-GB"/>
    </w:rPr>
  </w:style>
  <w:style w:type="paragraph" w:styleId="Heading3">
    <w:name w:val="heading 3"/>
    <w:basedOn w:val="Heading4"/>
    <w:next w:val="Normal"/>
    <w:link w:val="Heading3Char"/>
    <w:uiPriority w:val="9"/>
    <w:unhideWhenUsed/>
    <w:qFormat/>
    <w:rsid w:val="004D1F4B"/>
    <w:pPr>
      <w:outlineLvl w:val="2"/>
    </w:pPr>
    <w:rPr>
      <w:color w:val="2181B2"/>
    </w:rPr>
  </w:style>
  <w:style w:type="paragraph" w:styleId="Heading4">
    <w:name w:val="heading 4"/>
    <w:basedOn w:val="Normal"/>
    <w:next w:val="Normal"/>
    <w:link w:val="Heading4Char"/>
    <w:uiPriority w:val="9"/>
    <w:unhideWhenUsed/>
    <w:qFormat/>
    <w:rsid w:val="004B65D3"/>
    <w:pPr>
      <w:spacing w:after="44"/>
      <w:outlineLvl w:val="3"/>
    </w:pPr>
    <w:rPr>
      <w:rFonts w:eastAsiaTheme="minorHAnsi" w:cs="Arial"/>
      <w:i/>
      <w:iCs/>
      <w:color w:val="555A6B"/>
      <w:szCs w:val="20"/>
      <w:lang w:val="en-GB" w:eastAsia="en-GB"/>
    </w:rPr>
  </w:style>
  <w:style w:type="paragraph" w:styleId="Heading5">
    <w:name w:val="heading 5"/>
    <w:basedOn w:val="Normal"/>
    <w:next w:val="Normal"/>
    <w:link w:val="Heading5Char"/>
    <w:uiPriority w:val="9"/>
    <w:unhideWhenUsed/>
    <w:qFormat/>
    <w:rsid w:val="005C0B76"/>
    <w:pPr>
      <w:keepNext/>
      <w:keepLines/>
      <w:spacing w:before="40" w:after="0"/>
      <w:outlineLvl w:val="4"/>
    </w:pPr>
    <w:rPr>
      <w:rFonts w:asciiTheme="majorHAnsi" w:eastAsiaTheme="majorEastAsia" w:hAnsiTheme="majorHAnsi" w:cstheme="majorBidi"/>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B65D3"/>
    <w:pPr>
      <w:tabs>
        <w:tab w:val="center" w:pos="4680"/>
        <w:tab w:val="right" w:pos="9360"/>
      </w:tabs>
    </w:pPr>
  </w:style>
  <w:style w:type="character" w:customStyle="1" w:styleId="HeaderChar">
    <w:name w:val="Header Char"/>
    <w:basedOn w:val="DefaultParagraphFont"/>
    <w:link w:val="Header"/>
    <w:uiPriority w:val="99"/>
    <w:rsid w:val="004B65D3"/>
  </w:style>
  <w:style w:type="paragraph" w:styleId="Footer">
    <w:name w:val="footer"/>
    <w:basedOn w:val="Normal"/>
    <w:link w:val="FooterChar"/>
    <w:uiPriority w:val="99"/>
    <w:unhideWhenUsed/>
    <w:rsid w:val="004B65D3"/>
    <w:pPr>
      <w:tabs>
        <w:tab w:val="center" w:pos="4680"/>
        <w:tab w:val="right" w:pos="9360"/>
      </w:tabs>
    </w:pPr>
  </w:style>
  <w:style w:type="character" w:customStyle="1" w:styleId="FooterChar">
    <w:name w:val="Footer Char"/>
    <w:basedOn w:val="DefaultParagraphFont"/>
    <w:link w:val="Footer"/>
    <w:uiPriority w:val="99"/>
    <w:rsid w:val="004B65D3"/>
  </w:style>
  <w:style w:type="paragraph" w:customStyle="1" w:styleId="Intro">
    <w:name w:val="Intro"/>
    <w:basedOn w:val="Normal"/>
    <w:qFormat/>
    <w:rsid w:val="00E44100"/>
    <w:pPr>
      <w:spacing w:line="225" w:lineRule="atLeast"/>
    </w:pPr>
    <w:rPr>
      <w:rFonts w:eastAsiaTheme="minorHAnsi" w:cs="Arial"/>
      <w:color w:val="000000" w:themeColor="text1"/>
      <w:sz w:val="24"/>
      <w:szCs w:val="20"/>
      <w:lang w:val="en-GB" w:eastAsia="en-GB"/>
    </w:rPr>
  </w:style>
  <w:style w:type="paragraph" w:customStyle="1" w:styleId="FactsheetHeading">
    <w:name w:val="Factsheet Heading"/>
    <w:qFormat/>
    <w:rsid w:val="0003012D"/>
    <w:pPr>
      <w:spacing w:after="260"/>
    </w:pPr>
    <w:rPr>
      <w:rFonts w:ascii="Arial" w:hAnsi="Arial" w:cs="Arial"/>
      <w:b/>
      <w:bCs/>
      <w:color w:val="FFAE33"/>
      <w:sz w:val="36"/>
      <w:lang w:val="en-GB" w:eastAsia="en-GB"/>
    </w:rPr>
  </w:style>
  <w:style w:type="character" w:customStyle="1" w:styleId="Heading1Char">
    <w:name w:val="Heading 1 Char"/>
    <w:basedOn w:val="DefaultParagraphFont"/>
    <w:link w:val="Heading1"/>
    <w:uiPriority w:val="9"/>
    <w:rsid w:val="00CA7B01"/>
    <w:rPr>
      <w:rFonts w:ascii="Arial" w:hAnsi="Arial" w:cs="Arial"/>
      <w:b/>
      <w:bCs/>
      <w:color w:val="0082BA"/>
      <w:sz w:val="28"/>
      <w:szCs w:val="21"/>
      <w:lang w:val="en-GB" w:eastAsia="en-GB"/>
    </w:rPr>
  </w:style>
  <w:style w:type="character" w:customStyle="1" w:styleId="Heading2Char">
    <w:name w:val="Heading 2 Char"/>
    <w:basedOn w:val="DefaultParagraphFont"/>
    <w:link w:val="Heading2"/>
    <w:uiPriority w:val="9"/>
    <w:rsid w:val="00CA7B01"/>
    <w:rPr>
      <w:rFonts w:ascii="Arial" w:hAnsi="Arial" w:cs="Arial"/>
      <w:b/>
      <w:bCs/>
      <w:color w:val="0082BA"/>
      <w:szCs w:val="21"/>
      <w:lang w:val="en-GB" w:eastAsia="en-GB"/>
    </w:rPr>
  </w:style>
  <w:style w:type="character" w:customStyle="1" w:styleId="Heading4Char">
    <w:name w:val="Heading 4 Char"/>
    <w:basedOn w:val="DefaultParagraphFont"/>
    <w:link w:val="Heading4"/>
    <w:uiPriority w:val="9"/>
    <w:rsid w:val="004B65D3"/>
    <w:rPr>
      <w:rFonts w:ascii="Arial" w:hAnsi="Arial" w:cs="Arial"/>
      <w:i/>
      <w:iCs/>
      <w:color w:val="555A6B"/>
      <w:sz w:val="20"/>
      <w:szCs w:val="20"/>
      <w:lang w:val="en-GB" w:eastAsia="en-GB"/>
    </w:rPr>
  </w:style>
  <w:style w:type="paragraph" w:customStyle="1" w:styleId="BodyTextBEFOREINDENT">
    <w:name w:val="Body Text BEFORE INDENT"/>
    <w:basedOn w:val="Normal"/>
    <w:qFormat/>
    <w:rsid w:val="004B65D3"/>
    <w:pPr>
      <w:spacing w:after="112"/>
    </w:pPr>
    <w:rPr>
      <w:rFonts w:eastAsiaTheme="minorHAnsi"/>
      <w:lang w:val="en-GB"/>
    </w:rPr>
  </w:style>
  <w:style w:type="paragraph" w:customStyle="1" w:styleId="IndentsLevel1">
    <w:name w:val="Indents Level 1"/>
    <w:basedOn w:val="Normal"/>
    <w:rsid w:val="00CA7B01"/>
    <w:pPr>
      <w:numPr>
        <w:numId w:val="1"/>
      </w:numPr>
      <w:spacing w:after="128" w:line="188" w:lineRule="atLeast"/>
    </w:pPr>
    <w:rPr>
      <w:rFonts w:eastAsiaTheme="minorHAnsi" w:cs="Arial"/>
      <w:szCs w:val="15"/>
      <w:lang w:val="en-GB" w:eastAsia="en-GB"/>
    </w:rPr>
  </w:style>
  <w:style w:type="paragraph" w:customStyle="1" w:styleId="IndentsLevel2">
    <w:name w:val="Indents Level 2"/>
    <w:basedOn w:val="Normal"/>
    <w:rsid w:val="004B65D3"/>
    <w:pPr>
      <w:numPr>
        <w:numId w:val="2"/>
      </w:numPr>
      <w:spacing w:after="170" w:line="188" w:lineRule="atLeast"/>
    </w:pPr>
    <w:rPr>
      <w:rFonts w:eastAsiaTheme="minorHAnsi" w:cs="Arial"/>
      <w:szCs w:val="15"/>
      <w:lang w:val="en-GB" w:eastAsia="en-GB"/>
    </w:rPr>
  </w:style>
  <w:style w:type="character" w:customStyle="1" w:styleId="Heading3Char">
    <w:name w:val="Heading 3 Char"/>
    <w:basedOn w:val="DefaultParagraphFont"/>
    <w:link w:val="Heading3"/>
    <w:uiPriority w:val="9"/>
    <w:rsid w:val="004D1F4B"/>
    <w:rPr>
      <w:rFonts w:ascii="Arial" w:hAnsi="Arial" w:cs="Arial"/>
      <w:i/>
      <w:iCs/>
      <w:color w:val="2181B2"/>
      <w:sz w:val="20"/>
      <w:szCs w:val="20"/>
      <w:lang w:val="en-GB" w:eastAsia="en-GB"/>
    </w:rPr>
  </w:style>
  <w:style w:type="character" w:customStyle="1" w:styleId="Heading5Char">
    <w:name w:val="Heading 5 Char"/>
    <w:basedOn w:val="DefaultParagraphFont"/>
    <w:link w:val="Heading5"/>
    <w:uiPriority w:val="9"/>
    <w:rsid w:val="005C0B76"/>
    <w:rPr>
      <w:rFonts w:asciiTheme="majorHAnsi" w:eastAsiaTheme="majorEastAsia" w:hAnsiTheme="majorHAnsi" w:cstheme="majorBidi"/>
      <w:color w:val="2F5496" w:themeColor="accent1" w:themeShade="BF"/>
    </w:rPr>
  </w:style>
  <w:style w:type="paragraph" w:styleId="FootnoteText">
    <w:name w:val="footnote text"/>
    <w:basedOn w:val="Normal"/>
    <w:link w:val="FootnoteTextChar"/>
    <w:uiPriority w:val="99"/>
    <w:semiHidden/>
    <w:unhideWhenUsed/>
    <w:rsid w:val="00DF48BB"/>
    <w:pPr>
      <w:spacing w:after="0"/>
    </w:pPr>
    <w:rPr>
      <w:rFonts w:ascii="Times" w:eastAsia="Times New Roman" w:hAnsi="Times" w:cs="Times New Roman"/>
      <w:sz w:val="20"/>
      <w:szCs w:val="20"/>
      <w:lang w:val="en-AU" w:eastAsia="zh-TW"/>
    </w:rPr>
  </w:style>
  <w:style w:type="character" w:customStyle="1" w:styleId="FootnoteTextChar">
    <w:name w:val="Footnote Text Char"/>
    <w:basedOn w:val="DefaultParagraphFont"/>
    <w:link w:val="FootnoteText"/>
    <w:uiPriority w:val="99"/>
    <w:semiHidden/>
    <w:rsid w:val="00DF48BB"/>
    <w:rPr>
      <w:rFonts w:ascii="Times" w:eastAsia="Times New Roman" w:hAnsi="Times" w:cs="Times New Roman"/>
      <w:sz w:val="20"/>
      <w:szCs w:val="20"/>
      <w:lang w:val="en-AU" w:eastAsia="zh-TW"/>
    </w:rPr>
  </w:style>
  <w:style w:type="paragraph" w:styleId="EndnoteText">
    <w:name w:val="endnote text"/>
    <w:basedOn w:val="Normal"/>
    <w:link w:val="EndnoteTextChar"/>
    <w:uiPriority w:val="99"/>
    <w:unhideWhenUsed/>
    <w:rsid w:val="00DF48BB"/>
    <w:pPr>
      <w:spacing w:after="0"/>
    </w:pPr>
    <w:rPr>
      <w:rFonts w:ascii="Times New Roman" w:eastAsia="Times New Roman" w:hAnsi="Times New Roman" w:cs="Times New Roman"/>
      <w:sz w:val="20"/>
      <w:szCs w:val="20"/>
      <w:lang w:val="en-AU"/>
    </w:rPr>
  </w:style>
  <w:style w:type="character" w:customStyle="1" w:styleId="EndnoteTextChar">
    <w:name w:val="Endnote Text Char"/>
    <w:basedOn w:val="DefaultParagraphFont"/>
    <w:link w:val="EndnoteText"/>
    <w:uiPriority w:val="99"/>
    <w:rsid w:val="00DF48BB"/>
    <w:rPr>
      <w:rFonts w:ascii="Times New Roman" w:eastAsia="Times New Roman" w:hAnsi="Times New Roman" w:cs="Times New Roman"/>
      <w:sz w:val="20"/>
      <w:szCs w:val="20"/>
      <w:lang w:val="en-AU"/>
    </w:rPr>
  </w:style>
  <w:style w:type="character" w:styleId="FootnoteReference">
    <w:name w:val="footnote reference"/>
    <w:basedOn w:val="DefaultParagraphFont"/>
    <w:uiPriority w:val="99"/>
    <w:semiHidden/>
    <w:unhideWhenUsed/>
    <w:rsid w:val="00DF48BB"/>
    <w:rPr>
      <w:vertAlign w:val="superscript"/>
    </w:rPr>
  </w:style>
  <w:style w:type="character" w:styleId="Hyperlink">
    <w:name w:val="Hyperlink"/>
    <w:basedOn w:val="DefaultParagraphFont"/>
    <w:uiPriority w:val="99"/>
    <w:unhideWhenUsed/>
    <w:rsid w:val="00DF48BB"/>
    <w:rPr>
      <w:color w:val="0563C1" w:themeColor="hyperlink"/>
      <w:u w:val="single"/>
    </w:rPr>
  </w:style>
  <w:style w:type="paragraph" w:styleId="BalloonText">
    <w:name w:val="Balloon Text"/>
    <w:basedOn w:val="Normal"/>
    <w:link w:val="BalloonTextChar"/>
    <w:uiPriority w:val="99"/>
    <w:semiHidden/>
    <w:unhideWhenUsed/>
    <w:rsid w:val="00C1281D"/>
    <w:pPr>
      <w:spacing w:after="0"/>
    </w:pPr>
    <w:rPr>
      <w:rFonts w:ascii="Segoe UI" w:hAnsi="Segoe UI" w:cs="Segoe UI"/>
      <w:szCs w:val="18"/>
    </w:rPr>
  </w:style>
  <w:style w:type="character" w:customStyle="1" w:styleId="BalloonTextChar">
    <w:name w:val="Balloon Text Char"/>
    <w:basedOn w:val="DefaultParagraphFont"/>
    <w:link w:val="BalloonText"/>
    <w:uiPriority w:val="99"/>
    <w:semiHidden/>
    <w:rsid w:val="00C1281D"/>
    <w:rPr>
      <w:rFonts w:ascii="Segoe UI" w:eastAsiaTheme="minorEastAsia" w:hAnsi="Segoe UI" w:cs="Segoe UI"/>
      <w:sz w:val="18"/>
      <w:szCs w:val="18"/>
    </w:rPr>
  </w:style>
  <w:style w:type="character" w:styleId="EndnoteReference">
    <w:name w:val="endnote reference"/>
    <w:basedOn w:val="DefaultParagraphFont"/>
    <w:uiPriority w:val="99"/>
    <w:semiHidden/>
    <w:unhideWhenUsed/>
    <w:rsid w:val="000300A6"/>
    <w:rPr>
      <w:vertAlign w:val="superscript"/>
    </w:rPr>
  </w:style>
  <w:style w:type="character" w:styleId="FollowedHyperlink">
    <w:name w:val="FollowedHyperlink"/>
    <w:basedOn w:val="DefaultParagraphFont"/>
    <w:uiPriority w:val="99"/>
    <w:semiHidden/>
    <w:unhideWhenUsed/>
    <w:rsid w:val="00FF1760"/>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urldefense.proofpoint.com/v2/url?u=http-3A__www.health.gov.au_internet_main_publishing.nsf_Content_nsfcc&amp;d=DwMFAg&amp;c=JnBkUqWXzx2bz-3a05d47Q&amp;r=gJnYGIMkp1ICLduhE3lAco2_nyRYalEQY8eZNSbSxbk&amp;m=zGhASKsCCpbnmisGUNXuOv4qBqZqy5Ct3fBXEAWX2FU&amp;s=MM12ZUlyrX_MQeqiKkV1IVnMjeb6elECZKfKetDpUO0&amp;e="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urldefense.proofpoint.com/v2/url?u=http-3A__apps.who.int_iris_bitstream_handle_10665_94384_9789241506236-5Feng.pdf-3Bjsessionid-3DFA44D49044088111109E3A2AF522FCD4-3Fsequence-3D1&amp;d=DwMF-g&amp;c=JnBkUqWXzx2bz-3a05d47Q&amp;r=gJnYGIMkp1ICLduhE3lAco2_nyRYalEQY8eZNSbSxbk&amp;m=zv_L78fjQ9gC91QnMozwRy1p1lRPOVO81UNS74BejJM&amp;s=4gyiZwHZF4XCosu9y_8X2H6e-pW-rZfJ67xmt8S5Zbc&amp;e=" TargetMode="External"/><Relationship Id="rId14" Type="http://schemas.openxmlformats.org/officeDocument/2006/relationships/fontTable" Target="fontTable.xml"/></Relationships>
</file>

<file path=word/_rels/endnotes.xml.rels><?xml version="1.0" encoding="UTF-8" standalone="yes"?>
<Relationships xmlns="http://schemas.openxmlformats.org/package/2006/relationships"><Relationship Id="rId3" Type="http://schemas.openxmlformats.org/officeDocument/2006/relationships/hyperlink" Target="http://apps.who.int/iris/bitstream/10665/94384/1/9789241506236_eng.pdf?ua=1" TargetMode="External"/><Relationship Id="rId2" Type="http://schemas.openxmlformats.org/officeDocument/2006/relationships/hyperlink" Target="http://www.health.gov.au/internet/main/publishing.nsf/content/nsfcc" TargetMode="External"/><Relationship Id="rId1" Type="http://schemas.openxmlformats.org/officeDocument/2006/relationships/hyperlink" Target="https://www.aihw.gov.au/getmedia/d37a56cb-dc6b-4b28-a52f-8e00f606ce67/21035.pdf.aspx?inline=true"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3.jpg"/></Relationships>
</file>

<file path=word/_rels/footer2.xml.rels><?xml version="1.0" encoding="UTF-8" standalone="yes"?>
<Relationships xmlns="http://schemas.openxmlformats.org/package/2006/relationships"><Relationship Id="rId1" Type="http://schemas.openxmlformats.org/officeDocument/2006/relationships/image" Target="media/image3.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CC55C2C-3609-4E1F-8719-2D308F3DBF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2</Pages>
  <Words>661</Words>
  <Characters>3773</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Promoting and supporting healthy food and drink choices in hospital and healthcare facilities</dc:title>
  <dc:subject/>
  <dc:creator>COAG Health council</dc:creator>
  <cp:keywords/>
  <dc:description/>
  <cp:lastModifiedBy>ARNOLD, Max</cp:lastModifiedBy>
  <cp:revision>3</cp:revision>
  <cp:lastPrinted>2018-12-05T23:55:00Z</cp:lastPrinted>
  <dcterms:created xsi:type="dcterms:W3CDTF">2022-07-11T03:50:00Z</dcterms:created>
  <dcterms:modified xsi:type="dcterms:W3CDTF">2022-07-27T22:44:00Z</dcterms:modified>
</cp:coreProperties>
</file>