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3"/>
      </w:tblGrid>
      <w:tr w:rsidR="00800DEB" w14:paraId="6FC47006" w14:textId="77777777" w:rsidTr="00800DEB">
        <w:tc>
          <w:tcPr>
            <w:tcW w:w="2547" w:type="dxa"/>
          </w:tcPr>
          <w:p w14:paraId="2BECA995" w14:textId="77777777" w:rsidR="00800DEB" w:rsidRDefault="00800DEB" w:rsidP="00800DEB">
            <w:r>
              <w:rPr>
                <w:noProof/>
              </w:rPr>
              <w:drawing>
                <wp:inline distT="0" distB="0" distL="0" distR="0" wp14:anchorId="240CBB15" wp14:editId="1771DB24">
                  <wp:extent cx="1171575" cy="1714500"/>
                  <wp:effectExtent l="0" t="0" r="9525" b="0"/>
                  <wp:docPr id="2" name="Picture 2" descr="Communicable Diseases Net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unicable Diseases Network Australia logo"/>
                          <pic:cNvPicPr/>
                        </pic:nvPicPr>
                        <pic:blipFill>
                          <a:blip r:embed="rId11">
                            <a:extLst>
                              <a:ext uri="{28A0092B-C50C-407E-A947-70E740481C1C}">
                                <a14:useLocalDpi xmlns:a14="http://schemas.microsoft.com/office/drawing/2010/main" val="0"/>
                              </a:ext>
                            </a:extLst>
                          </a:blip>
                          <a:stretch>
                            <a:fillRect/>
                          </a:stretch>
                        </pic:blipFill>
                        <pic:spPr>
                          <a:xfrm>
                            <a:off x="0" y="0"/>
                            <a:ext cx="1171575" cy="1714500"/>
                          </a:xfrm>
                          <a:prstGeom prst="rect">
                            <a:avLst/>
                          </a:prstGeom>
                        </pic:spPr>
                      </pic:pic>
                    </a:graphicData>
                  </a:graphic>
                </wp:inline>
              </w:drawing>
            </w:r>
          </w:p>
        </w:tc>
        <w:tc>
          <w:tcPr>
            <w:tcW w:w="6513" w:type="dxa"/>
          </w:tcPr>
          <w:p w14:paraId="31328914" w14:textId="092A2EB7" w:rsidR="00800DEB" w:rsidRDefault="002F63C1" w:rsidP="00800DEB">
            <w:pPr>
              <w:pStyle w:val="Title"/>
            </w:pPr>
            <w:r w:rsidRPr="002F63C1">
              <w:t>Viral haemorrhagic fever (not elsewhere classified)</w:t>
            </w:r>
          </w:p>
          <w:p w14:paraId="7AC196D5" w14:textId="77777777" w:rsidR="00800DEB" w:rsidRDefault="00800DEB" w:rsidP="00800DEB">
            <w:pPr>
              <w:pStyle w:val="Subtitle"/>
            </w:pPr>
            <w:r w:rsidRPr="00800DEB">
              <w:t>Australian national notifiable diseases case definition</w:t>
            </w:r>
          </w:p>
        </w:tc>
      </w:tr>
    </w:tbl>
    <w:p w14:paraId="5E0A7FC1" w14:textId="0C8E7A04" w:rsidR="004516E8" w:rsidRDefault="00800DEB" w:rsidP="009E0B84">
      <w:pPr>
        <w:pStyle w:val="IntroPara"/>
      </w:pPr>
      <w:r w:rsidRPr="00872414">
        <w:t xml:space="preserve">This document contains the </w:t>
      </w:r>
      <w:r>
        <w:t xml:space="preserve">surveillance </w:t>
      </w:r>
      <w:r w:rsidRPr="00872414">
        <w:t xml:space="preserve">case definition for </w:t>
      </w:r>
      <w:r w:rsidR="001B5929">
        <w:t>v</w:t>
      </w:r>
      <w:r w:rsidR="002F63C1" w:rsidRPr="002F63C1">
        <w:t>iral haemorrhagic fever (not elsewhere classified)</w:t>
      </w:r>
      <w:r w:rsidR="002F63C1">
        <w:t xml:space="preserve">, </w:t>
      </w:r>
      <w:r w:rsidRPr="00872414">
        <w:t xml:space="preserve">which is nationally notifiable within Australia. </w:t>
      </w:r>
      <w:r w:rsidR="004516E8">
        <w:t>State and territory health departments use this definition to decide whether to notify the Australian Government Department of Health</w:t>
      </w:r>
      <w:r w:rsidR="00B14926">
        <w:t xml:space="preserve"> and Aged Care</w:t>
      </w:r>
      <w:r w:rsidR="004516E8">
        <w:t xml:space="preserve"> of a case.</w:t>
      </w:r>
    </w:p>
    <w:tbl>
      <w:tblPr>
        <w:tblStyle w:val="DepartmentofHealthtable"/>
        <w:tblW w:w="5000" w:type="pct"/>
        <w:tblLook w:val="04A0" w:firstRow="1" w:lastRow="0" w:firstColumn="1" w:lastColumn="0" w:noHBand="0" w:noVBand="1"/>
        <w:tblDescription w:val="version control table for the cholera case definition"/>
      </w:tblPr>
      <w:tblGrid>
        <w:gridCol w:w="1024"/>
        <w:gridCol w:w="4745"/>
        <w:gridCol w:w="1396"/>
        <w:gridCol w:w="1905"/>
      </w:tblGrid>
      <w:tr w:rsidR="00800DEB" w:rsidRPr="00872414" w14:paraId="6A332659" w14:textId="77777777" w:rsidTr="006505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3D3E667" w14:textId="77777777" w:rsidR="00800DEB" w:rsidRPr="00872414" w:rsidRDefault="00800DEB" w:rsidP="00650561">
            <w:pPr>
              <w:pStyle w:val="TableHeader"/>
              <w:rPr>
                <w:color w:val="FFFFFF" w:themeColor="background1"/>
                <w:lang w:eastAsia="en-AU"/>
              </w:rPr>
            </w:pPr>
            <w:r w:rsidRPr="00872414">
              <w:rPr>
                <w:color w:val="FFFFFF" w:themeColor="background1"/>
                <w:lang w:eastAsia="en-AU"/>
              </w:rPr>
              <w:t>Version</w:t>
            </w:r>
          </w:p>
        </w:tc>
        <w:tc>
          <w:tcPr>
            <w:tcW w:w="0" w:type="auto"/>
            <w:hideMark/>
          </w:tcPr>
          <w:p w14:paraId="033AEEB7" w14:textId="77777777" w:rsidR="00800DEB" w:rsidRPr="00872414" w:rsidRDefault="00800DEB" w:rsidP="00650561">
            <w:pPr>
              <w:pStyle w:val="TableHeader"/>
              <w:cnfStyle w:val="100000000000" w:firstRow="1" w:lastRow="0" w:firstColumn="0" w:lastColumn="0" w:oddVBand="0" w:evenVBand="0" w:oddHBand="0" w:evenHBand="0" w:firstRowFirstColumn="0" w:firstRowLastColumn="0" w:lastRowFirstColumn="0" w:lastRowLastColumn="0"/>
              <w:rPr>
                <w:color w:val="FFFFFF" w:themeColor="background1"/>
                <w:lang w:eastAsia="en-AU"/>
              </w:rPr>
            </w:pPr>
            <w:r w:rsidRPr="00872414">
              <w:rPr>
                <w:color w:val="FFFFFF" w:themeColor="background1"/>
                <w:lang w:eastAsia="en-AU"/>
              </w:rPr>
              <w:t>Status</w:t>
            </w:r>
          </w:p>
        </w:tc>
        <w:tc>
          <w:tcPr>
            <w:tcW w:w="0" w:type="auto"/>
            <w:hideMark/>
          </w:tcPr>
          <w:p w14:paraId="06E4882C" w14:textId="77777777" w:rsidR="00800DEB" w:rsidRPr="00872414" w:rsidRDefault="00800DEB" w:rsidP="00650561">
            <w:pPr>
              <w:pStyle w:val="TableHeader"/>
              <w:cnfStyle w:val="100000000000" w:firstRow="1" w:lastRow="0" w:firstColumn="0" w:lastColumn="0" w:oddVBand="0" w:evenVBand="0" w:oddHBand="0" w:evenHBand="0" w:firstRowFirstColumn="0" w:firstRowLastColumn="0" w:lastRowFirstColumn="0" w:lastRowLastColumn="0"/>
              <w:rPr>
                <w:color w:val="FFFFFF" w:themeColor="background1"/>
                <w:lang w:eastAsia="en-AU"/>
              </w:rPr>
            </w:pPr>
            <w:r w:rsidRPr="00872414">
              <w:rPr>
                <w:color w:val="FFFFFF" w:themeColor="background1"/>
                <w:lang w:eastAsia="en-AU"/>
              </w:rPr>
              <w:t>Last reviewed</w:t>
            </w:r>
          </w:p>
        </w:tc>
        <w:tc>
          <w:tcPr>
            <w:tcW w:w="0" w:type="auto"/>
            <w:hideMark/>
          </w:tcPr>
          <w:p w14:paraId="0848C17A" w14:textId="77777777" w:rsidR="00800DEB" w:rsidRPr="00872414" w:rsidRDefault="00800DEB" w:rsidP="00650561">
            <w:pPr>
              <w:pStyle w:val="TableHeader"/>
              <w:cnfStyle w:val="100000000000" w:firstRow="1" w:lastRow="0" w:firstColumn="0" w:lastColumn="0" w:oddVBand="0" w:evenVBand="0" w:oddHBand="0" w:evenHBand="0" w:firstRowFirstColumn="0" w:firstRowLastColumn="0" w:lastRowFirstColumn="0" w:lastRowLastColumn="0"/>
              <w:rPr>
                <w:color w:val="FFFFFF" w:themeColor="background1"/>
                <w:lang w:eastAsia="en-AU"/>
              </w:rPr>
            </w:pPr>
            <w:r w:rsidRPr="00872414">
              <w:rPr>
                <w:color w:val="FFFFFF" w:themeColor="background1"/>
                <w:lang w:eastAsia="en-AU"/>
              </w:rPr>
              <w:t>Implementation date</w:t>
            </w:r>
          </w:p>
        </w:tc>
      </w:tr>
      <w:tr w:rsidR="00800DEB" w:rsidRPr="00872414" w14:paraId="3331C998" w14:textId="77777777" w:rsidTr="0080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7530864" w14:textId="588EB7D4" w:rsidR="00800DEB" w:rsidRPr="00872414" w:rsidRDefault="002F63C1" w:rsidP="00650561">
            <w:pPr>
              <w:pStyle w:val="TableText"/>
              <w:rPr>
                <w:lang w:eastAsia="en-AU"/>
              </w:rPr>
            </w:pPr>
            <w:r>
              <w:rPr>
                <w:lang w:eastAsia="en-AU"/>
              </w:rPr>
              <w:t>1.2</w:t>
            </w:r>
          </w:p>
        </w:tc>
        <w:tc>
          <w:tcPr>
            <w:tcW w:w="0" w:type="auto"/>
          </w:tcPr>
          <w:p w14:paraId="5775B207" w14:textId="138BE981" w:rsidR="00800DEB" w:rsidRPr="00872414" w:rsidRDefault="002F63C1" w:rsidP="00650561">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2F63C1">
              <w:rPr>
                <w:lang w:eastAsia="en-AU"/>
              </w:rPr>
              <w:t>Include the Victorian Infectious Diseases Reference Laboratory (VIDRL) as an additional laboratory where laboratory definitive evidence can be confirmed.  Include footnote that the first case in Australia in any given outbreak will also be confirmed by CDC or NIV.</w:t>
            </w:r>
            <w:r w:rsidRPr="002F63C1">
              <w:rPr>
                <w:lang w:eastAsia="en-AU"/>
              </w:rPr>
              <w:tab/>
            </w:r>
          </w:p>
        </w:tc>
        <w:tc>
          <w:tcPr>
            <w:tcW w:w="0" w:type="auto"/>
          </w:tcPr>
          <w:p w14:paraId="593B9E3E" w14:textId="76F62642" w:rsidR="00800DEB" w:rsidRPr="00872414" w:rsidRDefault="002F63C1" w:rsidP="00650561">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2F63C1">
              <w:rPr>
                <w:lang w:eastAsia="en-AU"/>
              </w:rPr>
              <w:t>CDWG - 31 October 2014</w:t>
            </w:r>
            <w:r w:rsidRPr="002F63C1">
              <w:rPr>
                <w:lang w:eastAsia="en-AU"/>
              </w:rPr>
              <w:tab/>
            </w:r>
          </w:p>
        </w:tc>
        <w:tc>
          <w:tcPr>
            <w:tcW w:w="0" w:type="auto"/>
          </w:tcPr>
          <w:p w14:paraId="5F329959" w14:textId="7FDE035D" w:rsidR="00800DEB" w:rsidRPr="00872414" w:rsidRDefault="002F63C1" w:rsidP="00650561">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2F63C1">
              <w:rPr>
                <w:lang w:eastAsia="en-AU"/>
              </w:rPr>
              <w:t>6 November 2014</w:t>
            </w:r>
          </w:p>
        </w:tc>
      </w:tr>
      <w:tr w:rsidR="00800DEB" w:rsidRPr="00872414" w14:paraId="2EB53A38" w14:textId="77777777" w:rsidTr="00800D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80F9307" w14:textId="56DE5DD9" w:rsidR="00800DEB" w:rsidRPr="00872414" w:rsidRDefault="002F63C1" w:rsidP="00650561">
            <w:pPr>
              <w:pStyle w:val="TableText"/>
              <w:rPr>
                <w:lang w:eastAsia="en-AU"/>
              </w:rPr>
            </w:pPr>
            <w:r>
              <w:rPr>
                <w:lang w:eastAsia="en-AU"/>
              </w:rPr>
              <w:t>1.1</w:t>
            </w:r>
          </w:p>
        </w:tc>
        <w:tc>
          <w:tcPr>
            <w:tcW w:w="0" w:type="auto"/>
          </w:tcPr>
          <w:p w14:paraId="3DC9EC37" w14:textId="77777777" w:rsidR="002F63C1" w:rsidRDefault="002F63C1" w:rsidP="002F63C1">
            <w:pPr>
              <w:pStyle w:val="TableText"/>
              <w:cnfStyle w:val="000000010000" w:firstRow="0" w:lastRow="0" w:firstColumn="0" w:lastColumn="0" w:oddVBand="0" w:evenVBand="0" w:oddHBand="0" w:evenHBand="1" w:firstRowFirstColumn="0" w:firstRowLastColumn="0" w:lastRowFirstColumn="0" w:lastRowLastColumn="0"/>
              <w:rPr>
                <w:lang w:eastAsia="en-AU"/>
              </w:rPr>
            </w:pPr>
            <w:r w:rsidRPr="002F63C1">
              <w:rPr>
                <w:b/>
                <w:bCs/>
                <w:lang w:eastAsia="en-AU"/>
              </w:rPr>
              <w:t>Laboratory</w:t>
            </w:r>
            <w:r>
              <w:rPr>
                <w:lang w:eastAsia="en-AU"/>
              </w:rPr>
              <w:t xml:space="preserve"> </w:t>
            </w:r>
            <w:r w:rsidRPr="002F63C1">
              <w:rPr>
                <w:b/>
                <w:bCs/>
                <w:lang w:eastAsia="en-AU"/>
              </w:rPr>
              <w:t>definitive</w:t>
            </w:r>
            <w:r>
              <w:rPr>
                <w:lang w:eastAsia="en-AU"/>
              </w:rPr>
              <w:t xml:space="preserve"> </w:t>
            </w:r>
            <w:r w:rsidRPr="002F63C1">
              <w:rPr>
                <w:b/>
                <w:bCs/>
                <w:lang w:eastAsia="en-AU"/>
              </w:rPr>
              <w:t>evidence</w:t>
            </w:r>
          </w:p>
          <w:p w14:paraId="0677D94B" w14:textId="77777777" w:rsidR="002F63C1" w:rsidRDefault="002F63C1" w:rsidP="002F63C1">
            <w:pPr>
              <w:pStyle w:val="TableText"/>
              <w:cnfStyle w:val="000000010000" w:firstRow="0" w:lastRow="0" w:firstColumn="0" w:lastColumn="0" w:oddVBand="0" w:evenVBand="0" w:oddHBand="0" w:evenHBand="1" w:firstRowFirstColumn="0" w:firstRowLastColumn="0" w:lastRowFirstColumn="0" w:lastRowLastColumn="0"/>
              <w:rPr>
                <w:lang w:eastAsia="en-AU"/>
              </w:rPr>
            </w:pPr>
            <w:r>
              <w:rPr>
                <w:lang w:eastAsia="en-AU"/>
              </w:rPr>
              <w:t>Added “or the Special Pathogens Laboratory, National Institute of Virology (NIV), Johannesburg”.</w:t>
            </w:r>
          </w:p>
          <w:p w14:paraId="3ED7C785" w14:textId="77777777" w:rsidR="002F63C1" w:rsidRDefault="002F63C1" w:rsidP="002F63C1">
            <w:pPr>
              <w:pStyle w:val="TableText"/>
              <w:cnfStyle w:val="000000010000" w:firstRow="0" w:lastRow="0" w:firstColumn="0" w:lastColumn="0" w:oddVBand="0" w:evenVBand="0" w:oddHBand="0" w:evenHBand="1" w:firstRowFirstColumn="0" w:firstRowLastColumn="0" w:lastRowFirstColumn="0" w:lastRowLastColumn="0"/>
              <w:rPr>
                <w:lang w:eastAsia="en-AU"/>
              </w:rPr>
            </w:pPr>
            <w:r>
              <w:rPr>
                <w:lang w:eastAsia="en-AU"/>
              </w:rPr>
              <w:t>Removed “viral haemorrhagic fever” virus.</w:t>
            </w:r>
          </w:p>
          <w:p w14:paraId="770E18C6" w14:textId="77777777" w:rsidR="002F63C1" w:rsidRDefault="002F63C1" w:rsidP="002F63C1">
            <w:pPr>
              <w:pStyle w:val="TableText"/>
              <w:cnfStyle w:val="000000010000" w:firstRow="0" w:lastRow="0" w:firstColumn="0" w:lastColumn="0" w:oddVBand="0" w:evenVBand="0" w:oddHBand="0" w:evenHBand="1" w:firstRowFirstColumn="0" w:firstRowLastColumn="0" w:lastRowFirstColumn="0" w:lastRowLastColumn="0"/>
              <w:rPr>
                <w:lang w:eastAsia="en-AU"/>
              </w:rPr>
            </w:pPr>
            <w:r>
              <w:rPr>
                <w:lang w:eastAsia="en-AU"/>
              </w:rPr>
              <w:t>Added “specific” virus.</w:t>
            </w:r>
          </w:p>
          <w:p w14:paraId="72D94D80" w14:textId="77777777" w:rsidR="002F63C1" w:rsidRDefault="002F63C1" w:rsidP="002F63C1">
            <w:pPr>
              <w:pStyle w:val="TableText"/>
              <w:cnfStyle w:val="000000010000" w:firstRow="0" w:lastRow="0" w:firstColumn="0" w:lastColumn="0" w:oddVBand="0" w:evenVBand="0" w:oddHBand="0" w:evenHBand="1" w:firstRowFirstColumn="0" w:firstRowLastColumn="0" w:lastRowFirstColumn="0" w:lastRowLastColumn="0"/>
              <w:rPr>
                <w:lang w:eastAsia="en-AU"/>
              </w:rPr>
            </w:pPr>
            <w:r>
              <w:rPr>
                <w:lang w:eastAsia="en-AU"/>
              </w:rPr>
              <w:t>Added “or” antigen detection assay.</w:t>
            </w:r>
          </w:p>
          <w:p w14:paraId="28883FF9" w14:textId="157F2528" w:rsidR="00800DEB" w:rsidRPr="00872414" w:rsidRDefault="002F63C1" w:rsidP="002F63C1">
            <w:pPr>
              <w:pStyle w:val="TableText"/>
              <w:cnfStyle w:val="000000010000" w:firstRow="0" w:lastRow="0" w:firstColumn="0" w:lastColumn="0" w:oddVBand="0" w:evenVBand="0" w:oddHBand="0" w:evenHBand="1" w:firstRowFirstColumn="0" w:firstRowLastColumn="0" w:lastRowFirstColumn="0" w:lastRowLastColumn="0"/>
              <w:rPr>
                <w:lang w:eastAsia="en-AU"/>
              </w:rPr>
            </w:pPr>
            <w:r>
              <w:rPr>
                <w:lang w:eastAsia="en-AU"/>
              </w:rPr>
              <w:t>Removed “or electron microscopy”</w:t>
            </w:r>
            <w:r>
              <w:rPr>
                <w:lang w:eastAsia="en-AU"/>
              </w:rPr>
              <w:tab/>
            </w:r>
          </w:p>
        </w:tc>
        <w:tc>
          <w:tcPr>
            <w:tcW w:w="0" w:type="auto"/>
          </w:tcPr>
          <w:p w14:paraId="0E0AF16D" w14:textId="1D2E484C" w:rsidR="00800DEB" w:rsidRPr="00872414" w:rsidRDefault="002F63C1" w:rsidP="00650561">
            <w:pPr>
              <w:pStyle w:val="TableText"/>
              <w:cnfStyle w:val="000000010000" w:firstRow="0" w:lastRow="0" w:firstColumn="0" w:lastColumn="0" w:oddVBand="0" w:evenVBand="0" w:oddHBand="0" w:evenHBand="1" w:firstRowFirstColumn="0" w:firstRowLastColumn="0" w:lastRowFirstColumn="0" w:lastRowLastColumn="0"/>
              <w:rPr>
                <w:lang w:eastAsia="en-AU"/>
              </w:rPr>
            </w:pPr>
            <w:r w:rsidRPr="002F63C1">
              <w:rPr>
                <w:lang w:eastAsia="en-AU"/>
              </w:rPr>
              <w:t>CDWG - 12 June 2013</w:t>
            </w:r>
            <w:r w:rsidRPr="002F63C1">
              <w:rPr>
                <w:lang w:eastAsia="en-AU"/>
              </w:rPr>
              <w:tab/>
            </w:r>
          </w:p>
        </w:tc>
        <w:tc>
          <w:tcPr>
            <w:tcW w:w="0" w:type="auto"/>
          </w:tcPr>
          <w:p w14:paraId="54DC9E64" w14:textId="72A4A0A9" w:rsidR="00800DEB" w:rsidRPr="00872414" w:rsidRDefault="002F63C1" w:rsidP="00650561">
            <w:pPr>
              <w:pStyle w:val="TableText"/>
              <w:cnfStyle w:val="000000010000" w:firstRow="0" w:lastRow="0" w:firstColumn="0" w:lastColumn="0" w:oddVBand="0" w:evenVBand="0" w:oddHBand="0" w:evenHBand="1" w:firstRowFirstColumn="0" w:firstRowLastColumn="0" w:lastRowFirstColumn="0" w:lastRowLastColumn="0"/>
              <w:rPr>
                <w:lang w:eastAsia="en-AU"/>
              </w:rPr>
            </w:pPr>
            <w:r w:rsidRPr="002F63C1">
              <w:rPr>
                <w:lang w:eastAsia="en-AU"/>
              </w:rPr>
              <w:t>1 January 2014</w:t>
            </w:r>
          </w:p>
        </w:tc>
      </w:tr>
      <w:tr w:rsidR="002F63C1" w:rsidRPr="00872414" w14:paraId="20A990D5" w14:textId="77777777" w:rsidTr="0080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ABFA074" w14:textId="6C50FA7A" w:rsidR="002F63C1" w:rsidRPr="00872414" w:rsidRDefault="002F63C1" w:rsidP="00650561">
            <w:pPr>
              <w:pStyle w:val="TableText"/>
              <w:rPr>
                <w:lang w:eastAsia="en-AU"/>
              </w:rPr>
            </w:pPr>
            <w:r>
              <w:rPr>
                <w:lang w:eastAsia="en-AU"/>
              </w:rPr>
              <w:t>1.0</w:t>
            </w:r>
          </w:p>
        </w:tc>
        <w:tc>
          <w:tcPr>
            <w:tcW w:w="0" w:type="auto"/>
          </w:tcPr>
          <w:p w14:paraId="447B3EE8" w14:textId="585236B9" w:rsidR="002F63C1" w:rsidRPr="00872414" w:rsidRDefault="002F63C1" w:rsidP="00650561">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2F63C1">
              <w:rPr>
                <w:lang w:eastAsia="en-AU"/>
              </w:rPr>
              <w:t>Initial CDNA case definition</w:t>
            </w:r>
          </w:p>
        </w:tc>
        <w:tc>
          <w:tcPr>
            <w:tcW w:w="0" w:type="auto"/>
          </w:tcPr>
          <w:p w14:paraId="47293009" w14:textId="4BAF10DF" w:rsidR="002F63C1" w:rsidRPr="00872414" w:rsidRDefault="002F63C1" w:rsidP="00650561">
            <w:pPr>
              <w:pStyle w:val="TableText"/>
              <w:cnfStyle w:val="000000100000" w:firstRow="0" w:lastRow="0" w:firstColumn="0" w:lastColumn="0" w:oddVBand="0" w:evenVBand="0" w:oddHBand="1" w:evenHBand="0" w:firstRowFirstColumn="0" w:firstRowLastColumn="0" w:lastRowFirstColumn="0" w:lastRowLastColumn="0"/>
              <w:rPr>
                <w:lang w:eastAsia="en-AU"/>
              </w:rPr>
            </w:pPr>
            <w:r>
              <w:rPr>
                <w:lang w:eastAsia="en-AU"/>
              </w:rPr>
              <w:t>2004</w:t>
            </w:r>
          </w:p>
        </w:tc>
        <w:tc>
          <w:tcPr>
            <w:tcW w:w="0" w:type="auto"/>
          </w:tcPr>
          <w:p w14:paraId="12249660" w14:textId="0E95A152" w:rsidR="002F63C1" w:rsidRPr="00872414" w:rsidRDefault="002F63C1" w:rsidP="00650561">
            <w:pPr>
              <w:pStyle w:val="TableText"/>
              <w:cnfStyle w:val="000000100000" w:firstRow="0" w:lastRow="0" w:firstColumn="0" w:lastColumn="0" w:oddVBand="0" w:evenVBand="0" w:oddHBand="1" w:evenHBand="0" w:firstRowFirstColumn="0" w:firstRowLastColumn="0" w:lastRowFirstColumn="0" w:lastRowLastColumn="0"/>
              <w:rPr>
                <w:lang w:eastAsia="en-AU"/>
              </w:rPr>
            </w:pPr>
            <w:r>
              <w:rPr>
                <w:lang w:eastAsia="en-AU"/>
              </w:rPr>
              <w:t>2004</w:t>
            </w:r>
          </w:p>
        </w:tc>
      </w:tr>
    </w:tbl>
    <w:p w14:paraId="798752A7" w14:textId="77777777" w:rsidR="009E0B84" w:rsidRDefault="009E0B84" w:rsidP="00800DEB"/>
    <w:p w14:paraId="34FEFA66" w14:textId="77777777" w:rsidR="002F63C1" w:rsidRPr="002F63C1" w:rsidRDefault="002F63C1" w:rsidP="002F63C1">
      <w:pPr>
        <w:shd w:val="clear" w:color="auto" w:fill="FFFFFF"/>
        <w:spacing w:before="240" w:after="120"/>
        <w:outlineLvl w:val="1"/>
        <w:rPr>
          <w:rFonts w:ascii="Open Sans" w:hAnsi="Open Sans" w:cs="Open Sans"/>
          <w:sz w:val="36"/>
          <w:szCs w:val="36"/>
          <w:lang w:eastAsia="en-AU"/>
        </w:rPr>
      </w:pPr>
      <w:r w:rsidRPr="002F63C1">
        <w:rPr>
          <w:rFonts w:ascii="Open Sans" w:hAnsi="Open Sans" w:cs="Open Sans"/>
          <w:sz w:val="36"/>
          <w:szCs w:val="36"/>
          <w:lang w:eastAsia="en-AU"/>
        </w:rPr>
        <w:t>Reporting</w:t>
      </w:r>
    </w:p>
    <w:p w14:paraId="34D8EF93" w14:textId="77777777" w:rsidR="002F63C1" w:rsidRPr="002F63C1" w:rsidRDefault="002F63C1" w:rsidP="002F63C1">
      <w:pPr>
        <w:shd w:val="clear" w:color="auto" w:fill="FFFFFF"/>
        <w:spacing w:after="240" w:line="300" w:lineRule="atLeast"/>
        <w:rPr>
          <w:rFonts w:ascii="Helvetica" w:hAnsi="Helvetica" w:cs="Helvetica"/>
          <w:sz w:val="20"/>
          <w:szCs w:val="20"/>
          <w:lang w:eastAsia="en-AU"/>
        </w:rPr>
      </w:pPr>
      <w:r w:rsidRPr="002F63C1">
        <w:rPr>
          <w:rFonts w:ascii="Helvetica" w:hAnsi="Helvetica" w:cs="Helvetica"/>
          <w:sz w:val="20"/>
          <w:szCs w:val="20"/>
          <w:lang w:eastAsia="en-AU"/>
        </w:rPr>
        <w:t>Both </w:t>
      </w:r>
      <w:r w:rsidRPr="002F63C1">
        <w:rPr>
          <w:rFonts w:ascii="Helvetica" w:hAnsi="Helvetica" w:cs="Helvetica"/>
          <w:b/>
          <w:bCs/>
          <w:sz w:val="20"/>
          <w:szCs w:val="20"/>
          <w:lang w:eastAsia="en-AU"/>
        </w:rPr>
        <w:t>conﬁrmed cases</w:t>
      </w:r>
      <w:r w:rsidRPr="002F63C1">
        <w:rPr>
          <w:rFonts w:ascii="Helvetica" w:hAnsi="Helvetica" w:cs="Helvetica"/>
          <w:sz w:val="20"/>
          <w:szCs w:val="20"/>
          <w:lang w:eastAsia="en-AU"/>
        </w:rPr>
        <w:t> and </w:t>
      </w:r>
      <w:r w:rsidRPr="002F63C1">
        <w:rPr>
          <w:rFonts w:ascii="Helvetica" w:hAnsi="Helvetica" w:cs="Helvetica"/>
          <w:b/>
          <w:bCs/>
          <w:sz w:val="20"/>
          <w:szCs w:val="20"/>
          <w:lang w:eastAsia="en-AU"/>
        </w:rPr>
        <w:t>probable cases</w:t>
      </w:r>
      <w:r w:rsidRPr="002F63C1">
        <w:rPr>
          <w:rFonts w:ascii="Helvetica" w:hAnsi="Helvetica" w:cs="Helvetica"/>
          <w:sz w:val="20"/>
          <w:szCs w:val="20"/>
          <w:lang w:eastAsia="en-AU"/>
        </w:rPr>
        <w:t> should be notiﬁed.</w:t>
      </w:r>
    </w:p>
    <w:p w14:paraId="016BB00D" w14:textId="77777777" w:rsidR="002F63C1" w:rsidRPr="002F63C1" w:rsidRDefault="002F63C1" w:rsidP="002F63C1">
      <w:pPr>
        <w:shd w:val="clear" w:color="auto" w:fill="FFFFFF"/>
        <w:spacing w:after="120"/>
        <w:outlineLvl w:val="2"/>
        <w:rPr>
          <w:rFonts w:ascii="Open Sans" w:hAnsi="Open Sans" w:cs="Open Sans"/>
          <w:sz w:val="27"/>
          <w:szCs w:val="27"/>
          <w:lang w:eastAsia="en-AU"/>
        </w:rPr>
      </w:pPr>
      <w:r w:rsidRPr="002F63C1">
        <w:rPr>
          <w:rFonts w:ascii="Open Sans" w:hAnsi="Open Sans" w:cs="Open Sans"/>
          <w:sz w:val="27"/>
          <w:szCs w:val="27"/>
          <w:lang w:eastAsia="en-AU"/>
        </w:rPr>
        <w:t>Conﬁrmed case</w:t>
      </w:r>
    </w:p>
    <w:p w14:paraId="1B4D8771" w14:textId="77777777" w:rsidR="002F63C1" w:rsidRPr="002F63C1" w:rsidRDefault="002F63C1" w:rsidP="002F63C1">
      <w:pPr>
        <w:shd w:val="clear" w:color="auto" w:fill="FFFFFF"/>
        <w:spacing w:after="240" w:line="300" w:lineRule="atLeast"/>
        <w:rPr>
          <w:rFonts w:ascii="Helvetica" w:hAnsi="Helvetica" w:cs="Helvetica"/>
          <w:sz w:val="20"/>
          <w:szCs w:val="20"/>
          <w:lang w:eastAsia="en-AU"/>
        </w:rPr>
      </w:pPr>
      <w:r w:rsidRPr="002F63C1">
        <w:rPr>
          <w:rFonts w:ascii="Helvetica" w:hAnsi="Helvetica" w:cs="Helvetica"/>
          <w:sz w:val="20"/>
          <w:szCs w:val="20"/>
          <w:lang w:eastAsia="en-AU"/>
        </w:rPr>
        <w:t>A conﬁrmed case requires </w:t>
      </w:r>
      <w:r w:rsidRPr="002F63C1">
        <w:rPr>
          <w:rFonts w:ascii="Helvetica" w:hAnsi="Helvetica" w:cs="Helvetica"/>
          <w:b/>
          <w:bCs/>
          <w:sz w:val="20"/>
          <w:szCs w:val="20"/>
          <w:lang w:eastAsia="en-AU"/>
        </w:rPr>
        <w:t>laboratory deﬁnitive evidence</w:t>
      </w:r>
      <w:r w:rsidRPr="002F63C1">
        <w:rPr>
          <w:rFonts w:ascii="Helvetica" w:hAnsi="Helvetica" w:cs="Helvetica"/>
          <w:sz w:val="20"/>
          <w:szCs w:val="20"/>
          <w:lang w:eastAsia="en-AU"/>
        </w:rPr>
        <w:t> only.</w:t>
      </w:r>
    </w:p>
    <w:p w14:paraId="0851ADAE" w14:textId="77777777" w:rsidR="002F63C1" w:rsidRPr="002F63C1" w:rsidRDefault="002F63C1" w:rsidP="002F63C1">
      <w:pPr>
        <w:shd w:val="clear" w:color="auto" w:fill="FFFFFF"/>
        <w:spacing w:after="120"/>
        <w:outlineLvl w:val="3"/>
        <w:rPr>
          <w:rFonts w:ascii="Open Sans" w:hAnsi="Open Sans" w:cs="Open Sans"/>
          <w:sz w:val="24"/>
          <w:lang w:eastAsia="en-AU"/>
        </w:rPr>
      </w:pPr>
      <w:r w:rsidRPr="002F63C1">
        <w:rPr>
          <w:rFonts w:ascii="Open Sans" w:hAnsi="Open Sans" w:cs="Open Sans"/>
          <w:sz w:val="24"/>
          <w:lang w:eastAsia="en-AU"/>
        </w:rPr>
        <w:lastRenderedPageBreak/>
        <w:t>Laboratory deﬁnitive evidence</w:t>
      </w:r>
    </w:p>
    <w:p w14:paraId="4080B0F5" w14:textId="04C55E25" w:rsidR="002F63C1" w:rsidRPr="002F63C1" w:rsidRDefault="002F63C1" w:rsidP="002F63C1">
      <w:pPr>
        <w:shd w:val="clear" w:color="auto" w:fill="FFFFFF"/>
        <w:spacing w:after="240" w:line="300" w:lineRule="atLeast"/>
        <w:rPr>
          <w:rFonts w:ascii="Helvetica" w:hAnsi="Helvetica" w:cs="Helvetica"/>
          <w:sz w:val="20"/>
          <w:szCs w:val="20"/>
          <w:lang w:eastAsia="en-AU"/>
        </w:rPr>
      </w:pPr>
      <w:r w:rsidRPr="002F63C1">
        <w:rPr>
          <w:rFonts w:ascii="Helvetica" w:hAnsi="Helvetica" w:cs="Helvetica"/>
          <w:sz w:val="20"/>
          <w:szCs w:val="20"/>
          <w:lang w:eastAsia="en-AU"/>
        </w:rPr>
        <w:t xml:space="preserve">Laboratory deﬁnitive evidence requires conﬁrmation by the Victorian Infectious Diseases Reference Laboratory (VIDRL), </w:t>
      </w:r>
      <w:proofErr w:type="gramStart"/>
      <w:r w:rsidRPr="002F63C1">
        <w:rPr>
          <w:rFonts w:ascii="Helvetica" w:hAnsi="Helvetica" w:cs="Helvetica"/>
          <w:sz w:val="20"/>
          <w:szCs w:val="20"/>
          <w:lang w:eastAsia="en-AU"/>
        </w:rPr>
        <w:t>Melbourne,*</w:t>
      </w:r>
      <w:proofErr w:type="gramEnd"/>
      <w:r w:rsidRPr="002F63C1">
        <w:rPr>
          <w:rFonts w:ascii="Helvetica" w:hAnsi="Helvetica" w:cs="Helvetica"/>
          <w:sz w:val="20"/>
          <w:szCs w:val="20"/>
          <w:lang w:eastAsia="en-AU"/>
        </w:rPr>
        <w:t> or the Special Pathogens Laboratory, CDC, Atlanta, or the Special Pathogens Laboratory, National Institute of Virology (NIV), Johannesburg</w:t>
      </w:r>
    </w:p>
    <w:p w14:paraId="241186CD" w14:textId="77777777" w:rsidR="002F63C1" w:rsidRPr="002F63C1" w:rsidRDefault="002F63C1" w:rsidP="002F63C1">
      <w:pPr>
        <w:shd w:val="clear" w:color="auto" w:fill="FFFFFF"/>
        <w:spacing w:after="240" w:line="300" w:lineRule="atLeast"/>
        <w:rPr>
          <w:rFonts w:ascii="Helvetica" w:hAnsi="Helvetica" w:cs="Helvetica"/>
          <w:sz w:val="20"/>
          <w:szCs w:val="20"/>
          <w:lang w:eastAsia="en-AU"/>
        </w:rPr>
      </w:pPr>
      <w:r w:rsidRPr="002F63C1">
        <w:rPr>
          <w:rFonts w:ascii="Helvetica" w:hAnsi="Helvetica" w:cs="Helvetica"/>
          <w:sz w:val="20"/>
          <w:szCs w:val="20"/>
          <w:lang w:eastAsia="en-AU"/>
        </w:rPr>
        <w:t>Isolation of a specific virus</w:t>
      </w:r>
    </w:p>
    <w:p w14:paraId="4F6D35E5" w14:textId="77777777" w:rsidR="002F63C1" w:rsidRPr="002F63C1" w:rsidRDefault="002F63C1" w:rsidP="002F63C1">
      <w:pPr>
        <w:shd w:val="clear" w:color="auto" w:fill="FFFFFF"/>
        <w:spacing w:after="240" w:line="300" w:lineRule="atLeast"/>
        <w:rPr>
          <w:rFonts w:ascii="Helvetica" w:hAnsi="Helvetica" w:cs="Helvetica"/>
          <w:sz w:val="20"/>
          <w:szCs w:val="20"/>
          <w:lang w:eastAsia="en-AU"/>
        </w:rPr>
      </w:pPr>
      <w:r w:rsidRPr="002F63C1">
        <w:rPr>
          <w:rFonts w:ascii="Helvetica" w:hAnsi="Helvetica" w:cs="Helvetica"/>
          <w:sz w:val="20"/>
          <w:szCs w:val="20"/>
          <w:lang w:eastAsia="en-AU"/>
        </w:rPr>
        <w:t>OR</w:t>
      </w:r>
    </w:p>
    <w:p w14:paraId="2BB980B6" w14:textId="77777777" w:rsidR="002F63C1" w:rsidRPr="002F63C1" w:rsidRDefault="002F63C1" w:rsidP="002F63C1">
      <w:pPr>
        <w:shd w:val="clear" w:color="auto" w:fill="FFFFFF"/>
        <w:spacing w:after="240" w:line="300" w:lineRule="atLeast"/>
        <w:rPr>
          <w:rFonts w:ascii="Helvetica" w:hAnsi="Helvetica" w:cs="Helvetica"/>
          <w:sz w:val="20"/>
          <w:szCs w:val="20"/>
          <w:lang w:eastAsia="en-AU"/>
        </w:rPr>
      </w:pPr>
      <w:r w:rsidRPr="002F63C1">
        <w:rPr>
          <w:rFonts w:ascii="Helvetica" w:hAnsi="Helvetica" w:cs="Helvetica"/>
          <w:sz w:val="20"/>
          <w:szCs w:val="20"/>
          <w:lang w:eastAsia="en-AU"/>
        </w:rPr>
        <w:t>Detection of speciﬁc virus by nucleic acid testing or antigen detection assay</w:t>
      </w:r>
    </w:p>
    <w:p w14:paraId="068B9CE3" w14:textId="77777777" w:rsidR="002F63C1" w:rsidRPr="002F63C1" w:rsidRDefault="002F63C1" w:rsidP="002F63C1">
      <w:pPr>
        <w:shd w:val="clear" w:color="auto" w:fill="FFFFFF"/>
        <w:spacing w:after="240" w:line="300" w:lineRule="atLeast"/>
        <w:rPr>
          <w:rFonts w:ascii="Helvetica" w:hAnsi="Helvetica" w:cs="Helvetica"/>
          <w:sz w:val="20"/>
          <w:szCs w:val="20"/>
          <w:lang w:eastAsia="en-AU"/>
        </w:rPr>
      </w:pPr>
      <w:r w:rsidRPr="002F63C1">
        <w:rPr>
          <w:rFonts w:ascii="Helvetica" w:hAnsi="Helvetica" w:cs="Helvetica"/>
          <w:sz w:val="20"/>
          <w:szCs w:val="20"/>
          <w:lang w:eastAsia="en-AU"/>
        </w:rPr>
        <w:t>OR</w:t>
      </w:r>
    </w:p>
    <w:p w14:paraId="350E70FB" w14:textId="77777777" w:rsidR="002F63C1" w:rsidRPr="002F63C1" w:rsidRDefault="002F63C1" w:rsidP="002F63C1">
      <w:pPr>
        <w:shd w:val="clear" w:color="auto" w:fill="FFFFFF"/>
        <w:spacing w:after="240" w:line="300" w:lineRule="atLeast"/>
        <w:rPr>
          <w:rFonts w:ascii="Helvetica" w:hAnsi="Helvetica" w:cs="Helvetica"/>
          <w:sz w:val="20"/>
          <w:szCs w:val="20"/>
          <w:lang w:eastAsia="en-AU"/>
        </w:rPr>
      </w:pPr>
      <w:r w:rsidRPr="002F63C1">
        <w:rPr>
          <w:rFonts w:ascii="Helvetica" w:hAnsi="Helvetica" w:cs="Helvetica"/>
          <w:sz w:val="20"/>
          <w:szCs w:val="20"/>
          <w:lang w:eastAsia="en-AU"/>
        </w:rPr>
        <w:t>IgG seroconversion or a significant increase in antibody level or a fourfold or greater rise in titre to specific virus.</w:t>
      </w:r>
    </w:p>
    <w:p w14:paraId="06110FB9" w14:textId="77777777" w:rsidR="002F63C1" w:rsidRPr="002F63C1" w:rsidRDefault="002F63C1" w:rsidP="002F63C1">
      <w:pPr>
        <w:shd w:val="clear" w:color="auto" w:fill="FFFFFF"/>
        <w:spacing w:after="120"/>
        <w:outlineLvl w:val="2"/>
        <w:rPr>
          <w:rFonts w:ascii="Open Sans" w:hAnsi="Open Sans" w:cs="Open Sans"/>
          <w:sz w:val="27"/>
          <w:szCs w:val="27"/>
          <w:lang w:eastAsia="en-AU"/>
        </w:rPr>
      </w:pPr>
      <w:r w:rsidRPr="002F63C1">
        <w:rPr>
          <w:rFonts w:ascii="Open Sans" w:hAnsi="Open Sans" w:cs="Open Sans"/>
          <w:sz w:val="27"/>
          <w:szCs w:val="27"/>
          <w:lang w:eastAsia="en-AU"/>
        </w:rPr>
        <w:t>Probable case</w:t>
      </w:r>
    </w:p>
    <w:p w14:paraId="5794EB12" w14:textId="77777777" w:rsidR="002F63C1" w:rsidRPr="002F63C1" w:rsidRDefault="002F63C1" w:rsidP="002F63C1">
      <w:pPr>
        <w:shd w:val="clear" w:color="auto" w:fill="FFFFFF"/>
        <w:spacing w:after="240" w:line="300" w:lineRule="atLeast"/>
        <w:rPr>
          <w:rFonts w:ascii="Helvetica" w:hAnsi="Helvetica" w:cs="Helvetica"/>
          <w:sz w:val="20"/>
          <w:szCs w:val="20"/>
          <w:lang w:eastAsia="en-AU"/>
        </w:rPr>
      </w:pPr>
      <w:r w:rsidRPr="002F63C1">
        <w:rPr>
          <w:rFonts w:ascii="Helvetica" w:hAnsi="Helvetica" w:cs="Helvetica"/>
          <w:sz w:val="20"/>
          <w:szCs w:val="20"/>
          <w:lang w:eastAsia="en-AU"/>
        </w:rPr>
        <w:t>A probable case requires </w:t>
      </w:r>
      <w:r w:rsidRPr="002F63C1">
        <w:rPr>
          <w:rFonts w:ascii="Helvetica" w:hAnsi="Helvetica" w:cs="Helvetica"/>
          <w:b/>
          <w:bCs/>
          <w:sz w:val="20"/>
          <w:szCs w:val="20"/>
          <w:lang w:eastAsia="en-AU"/>
        </w:rPr>
        <w:t>laboratory suggestive evidence</w:t>
      </w:r>
      <w:r w:rsidRPr="002F63C1">
        <w:rPr>
          <w:rFonts w:ascii="Helvetica" w:hAnsi="Helvetica" w:cs="Helvetica"/>
          <w:sz w:val="20"/>
          <w:szCs w:val="20"/>
          <w:lang w:eastAsia="en-AU"/>
        </w:rPr>
        <w:t> AND </w:t>
      </w:r>
      <w:r w:rsidRPr="002F63C1">
        <w:rPr>
          <w:rFonts w:ascii="Helvetica" w:hAnsi="Helvetica" w:cs="Helvetica"/>
          <w:b/>
          <w:bCs/>
          <w:sz w:val="20"/>
          <w:szCs w:val="20"/>
          <w:lang w:eastAsia="en-AU"/>
        </w:rPr>
        <w:t>clinical evidence</w:t>
      </w:r>
      <w:r w:rsidRPr="002F63C1">
        <w:rPr>
          <w:rFonts w:ascii="Helvetica" w:hAnsi="Helvetica" w:cs="Helvetica"/>
          <w:sz w:val="20"/>
          <w:szCs w:val="20"/>
          <w:lang w:eastAsia="en-AU"/>
        </w:rPr>
        <w:t> AND </w:t>
      </w:r>
      <w:r w:rsidRPr="002F63C1">
        <w:rPr>
          <w:rFonts w:ascii="Helvetica" w:hAnsi="Helvetica" w:cs="Helvetica"/>
          <w:b/>
          <w:bCs/>
          <w:sz w:val="20"/>
          <w:szCs w:val="20"/>
          <w:lang w:eastAsia="en-AU"/>
        </w:rPr>
        <w:t>epidemiological evidence</w:t>
      </w:r>
      <w:r w:rsidRPr="002F63C1">
        <w:rPr>
          <w:rFonts w:ascii="Helvetica" w:hAnsi="Helvetica" w:cs="Helvetica"/>
          <w:sz w:val="20"/>
          <w:szCs w:val="20"/>
          <w:lang w:eastAsia="en-AU"/>
        </w:rPr>
        <w:t>.</w:t>
      </w:r>
    </w:p>
    <w:p w14:paraId="070AFA98" w14:textId="77777777" w:rsidR="002F63C1" w:rsidRPr="002F63C1" w:rsidRDefault="002F63C1" w:rsidP="002F63C1">
      <w:pPr>
        <w:shd w:val="clear" w:color="auto" w:fill="FFFFFF"/>
        <w:spacing w:after="120"/>
        <w:outlineLvl w:val="3"/>
        <w:rPr>
          <w:rFonts w:ascii="Open Sans" w:hAnsi="Open Sans" w:cs="Open Sans"/>
          <w:sz w:val="24"/>
          <w:lang w:eastAsia="en-AU"/>
        </w:rPr>
      </w:pPr>
      <w:r w:rsidRPr="002F63C1">
        <w:rPr>
          <w:rFonts w:ascii="Open Sans" w:hAnsi="Open Sans" w:cs="Open Sans"/>
          <w:sz w:val="24"/>
          <w:lang w:eastAsia="en-AU"/>
        </w:rPr>
        <w:t>Laboratory suggestive evidence</w:t>
      </w:r>
    </w:p>
    <w:p w14:paraId="4B3C3FA8" w14:textId="77777777" w:rsidR="002F63C1" w:rsidRPr="002F63C1" w:rsidRDefault="002F63C1" w:rsidP="002F63C1">
      <w:pPr>
        <w:shd w:val="clear" w:color="auto" w:fill="FFFFFF"/>
        <w:spacing w:after="240" w:line="300" w:lineRule="atLeast"/>
        <w:rPr>
          <w:rFonts w:ascii="Helvetica" w:hAnsi="Helvetica" w:cs="Helvetica"/>
          <w:sz w:val="20"/>
          <w:szCs w:val="20"/>
          <w:lang w:eastAsia="en-AU"/>
        </w:rPr>
      </w:pPr>
      <w:r w:rsidRPr="002F63C1">
        <w:rPr>
          <w:rFonts w:ascii="Helvetica" w:hAnsi="Helvetica" w:cs="Helvetica"/>
          <w:sz w:val="20"/>
          <w:szCs w:val="20"/>
          <w:lang w:eastAsia="en-AU"/>
        </w:rPr>
        <w:t>Isolation of virus pending confirmation by VIDRL, Melbourne, or CDC, Atlanta or NIV, Johannesburg</w:t>
      </w:r>
    </w:p>
    <w:p w14:paraId="6162F0D6" w14:textId="77777777" w:rsidR="002F63C1" w:rsidRPr="002F63C1" w:rsidRDefault="002F63C1" w:rsidP="002F63C1">
      <w:pPr>
        <w:shd w:val="clear" w:color="auto" w:fill="FFFFFF"/>
        <w:spacing w:after="240" w:line="300" w:lineRule="atLeast"/>
        <w:rPr>
          <w:rFonts w:ascii="Helvetica" w:hAnsi="Helvetica" w:cs="Helvetica"/>
          <w:sz w:val="20"/>
          <w:szCs w:val="20"/>
          <w:lang w:eastAsia="en-AU"/>
        </w:rPr>
      </w:pPr>
      <w:r w:rsidRPr="002F63C1">
        <w:rPr>
          <w:rFonts w:ascii="Helvetica" w:hAnsi="Helvetica" w:cs="Helvetica"/>
          <w:sz w:val="20"/>
          <w:szCs w:val="20"/>
          <w:lang w:eastAsia="en-AU"/>
        </w:rPr>
        <w:t>OR</w:t>
      </w:r>
    </w:p>
    <w:p w14:paraId="2BBE35A8" w14:textId="77777777" w:rsidR="002F63C1" w:rsidRPr="002F63C1" w:rsidRDefault="002F63C1" w:rsidP="002F63C1">
      <w:pPr>
        <w:shd w:val="clear" w:color="auto" w:fill="FFFFFF"/>
        <w:spacing w:after="240" w:line="300" w:lineRule="atLeast"/>
        <w:rPr>
          <w:rFonts w:ascii="Helvetica" w:hAnsi="Helvetica" w:cs="Helvetica"/>
          <w:sz w:val="20"/>
          <w:szCs w:val="20"/>
          <w:lang w:eastAsia="en-AU"/>
        </w:rPr>
      </w:pPr>
      <w:r w:rsidRPr="002F63C1">
        <w:rPr>
          <w:rFonts w:ascii="Helvetica" w:hAnsi="Helvetica" w:cs="Helvetica"/>
          <w:sz w:val="20"/>
          <w:szCs w:val="20"/>
          <w:lang w:eastAsia="en-AU"/>
        </w:rPr>
        <w:t>Detection of specific virus by nucleic acid testing, pending confirmation by VIDRL, Melbourne, or CDC, Atlanta or NIV, Johannesburg</w:t>
      </w:r>
    </w:p>
    <w:p w14:paraId="3B1D47CC" w14:textId="77777777" w:rsidR="002F63C1" w:rsidRPr="002F63C1" w:rsidRDefault="002F63C1" w:rsidP="002F63C1">
      <w:pPr>
        <w:shd w:val="clear" w:color="auto" w:fill="FFFFFF"/>
        <w:spacing w:after="240" w:line="300" w:lineRule="atLeast"/>
        <w:rPr>
          <w:rFonts w:ascii="Helvetica" w:hAnsi="Helvetica" w:cs="Helvetica"/>
          <w:sz w:val="20"/>
          <w:szCs w:val="20"/>
          <w:lang w:eastAsia="en-AU"/>
        </w:rPr>
      </w:pPr>
      <w:r w:rsidRPr="002F63C1">
        <w:rPr>
          <w:rFonts w:ascii="Helvetica" w:hAnsi="Helvetica" w:cs="Helvetica"/>
          <w:sz w:val="20"/>
          <w:szCs w:val="20"/>
          <w:lang w:eastAsia="en-AU"/>
        </w:rPr>
        <w:t>OR</w:t>
      </w:r>
    </w:p>
    <w:p w14:paraId="6D5827CF" w14:textId="77777777" w:rsidR="002F63C1" w:rsidRPr="002F63C1" w:rsidRDefault="002F63C1" w:rsidP="002F63C1">
      <w:pPr>
        <w:shd w:val="clear" w:color="auto" w:fill="FFFFFF"/>
        <w:spacing w:after="240" w:line="300" w:lineRule="atLeast"/>
        <w:rPr>
          <w:rFonts w:ascii="Helvetica" w:hAnsi="Helvetica" w:cs="Helvetica"/>
          <w:sz w:val="20"/>
          <w:szCs w:val="20"/>
          <w:lang w:eastAsia="en-AU"/>
        </w:rPr>
      </w:pPr>
      <w:r w:rsidRPr="002F63C1">
        <w:rPr>
          <w:rFonts w:ascii="Helvetica" w:hAnsi="Helvetica" w:cs="Helvetica"/>
          <w:sz w:val="20"/>
          <w:szCs w:val="20"/>
          <w:lang w:eastAsia="en-AU"/>
        </w:rPr>
        <w:t>IgG seroconversion or a significant increase in antibody level or a fourfold or greater rise in titre to specific virus pending confirmation by VIDRL, Melbourne, or CDC, Atlanta or NIV, Johannesburg</w:t>
      </w:r>
    </w:p>
    <w:p w14:paraId="69FC3412" w14:textId="77777777" w:rsidR="002F63C1" w:rsidRPr="002F63C1" w:rsidRDefault="002F63C1" w:rsidP="002F63C1">
      <w:pPr>
        <w:shd w:val="clear" w:color="auto" w:fill="FFFFFF"/>
        <w:spacing w:after="240" w:line="300" w:lineRule="atLeast"/>
        <w:rPr>
          <w:rFonts w:ascii="Helvetica" w:hAnsi="Helvetica" w:cs="Helvetica"/>
          <w:sz w:val="20"/>
          <w:szCs w:val="20"/>
          <w:lang w:eastAsia="en-AU"/>
        </w:rPr>
      </w:pPr>
      <w:r w:rsidRPr="002F63C1">
        <w:rPr>
          <w:rFonts w:ascii="Helvetica" w:hAnsi="Helvetica" w:cs="Helvetica"/>
          <w:sz w:val="20"/>
          <w:szCs w:val="20"/>
          <w:lang w:eastAsia="en-AU"/>
        </w:rPr>
        <w:t>OR</w:t>
      </w:r>
    </w:p>
    <w:p w14:paraId="0B668AC2" w14:textId="77777777" w:rsidR="002F63C1" w:rsidRPr="002F63C1" w:rsidRDefault="002F63C1" w:rsidP="002F63C1">
      <w:pPr>
        <w:shd w:val="clear" w:color="auto" w:fill="FFFFFF"/>
        <w:spacing w:after="240" w:line="300" w:lineRule="atLeast"/>
        <w:rPr>
          <w:rFonts w:ascii="Helvetica" w:hAnsi="Helvetica" w:cs="Helvetica"/>
          <w:sz w:val="20"/>
          <w:szCs w:val="20"/>
          <w:lang w:eastAsia="en-AU"/>
        </w:rPr>
      </w:pPr>
      <w:r w:rsidRPr="002F63C1">
        <w:rPr>
          <w:rFonts w:ascii="Helvetica" w:hAnsi="Helvetica" w:cs="Helvetica"/>
          <w:sz w:val="20"/>
          <w:szCs w:val="20"/>
          <w:lang w:eastAsia="en-AU"/>
        </w:rPr>
        <w:t>Detection of IgM to a specific virus.</w:t>
      </w:r>
    </w:p>
    <w:p w14:paraId="77E5DD62" w14:textId="77777777" w:rsidR="002F63C1" w:rsidRPr="002F63C1" w:rsidRDefault="002F63C1" w:rsidP="002F63C1">
      <w:pPr>
        <w:shd w:val="clear" w:color="auto" w:fill="FFFFFF"/>
        <w:spacing w:after="120"/>
        <w:outlineLvl w:val="3"/>
        <w:rPr>
          <w:rFonts w:ascii="Open Sans" w:hAnsi="Open Sans" w:cs="Open Sans"/>
          <w:sz w:val="24"/>
          <w:lang w:eastAsia="en-AU"/>
        </w:rPr>
      </w:pPr>
      <w:r w:rsidRPr="002F63C1">
        <w:rPr>
          <w:rFonts w:ascii="Open Sans" w:hAnsi="Open Sans" w:cs="Open Sans"/>
          <w:sz w:val="24"/>
          <w:lang w:eastAsia="en-AU"/>
        </w:rPr>
        <w:t>Clinical evidence</w:t>
      </w:r>
    </w:p>
    <w:p w14:paraId="486AFF8C" w14:textId="77777777" w:rsidR="002F63C1" w:rsidRPr="002F63C1" w:rsidRDefault="002F63C1" w:rsidP="002F63C1">
      <w:pPr>
        <w:shd w:val="clear" w:color="auto" w:fill="FFFFFF"/>
        <w:spacing w:after="240" w:line="300" w:lineRule="atLeast"/>
        <w:rPr>
          <w:rFonts w:ascii="Helvetica" w:hAnsi="Helvetica" w:cs="Helvetica"/>
          <w:sz w:val="20"/>
          <w:szCs w:val="20"/>
          <w:lang w:eastAsia="en-AU"/>
        </w:rPr>
      </w:pPr>
      <w:r w:rsidRPr="002F63C1">
        <w:rPr>
          <w:rFonts w:ascii="Helvetica" w:hAnsi="Helvetica" w:cs="Helvetica"/>
          <w:sz w:val="20"/>
          <w:szCs w:val="20"/>
          <w:lang w:eastAsia="en-AU"/>
        </w:rPr>
        <w:t xml:space="preserve">A compatible clinical illness as determined by an infectious disease physician. Common presenting complaints are fever myalgia, and prostration, with headache, pharyngitis, conjunctival injection, ﬂushing, gastrointestinal symptoms. This may be complicated by spontaneous bleeding, petechiae, hypotension and perhaps shock, </w:t>
      </w:r>
      <w:proofErr w:type="gramStart"/>
      <w:r w:rsidRPr="002F63C1">
        <w:rPr>
          <w:rFonts w:ascii="Helvetica" w:hAnsi="Helvetica" w:cs="Helvetica"/>
          <w:sz w:val="20"/>
          <w:szCs w:val="20"/>
          <w:lang w:eastAsia="en-AU"/>
        </w:rPr>
        <w:t>oedema</w:t>
      </w:r>
      <w:proofErr w:type="gramEnd"/>
      <w:r w:rsidRPr="002F63C1">
        <w:rPr>
          <w:rFonts w:ascii="Helvetica" w:hAnsi="Helvetica" w:cs="Helvetica"/>
          <w:sz w:val="20"/>
          <w:szCs w:val="20"/>
          <w:lang w:eastAsia="en-AU"/>
        </w:rPr>
        <w:t xml:space="preserve"> and neurologic involvement.</w:t>
      </w:r>
    </w:p>
    <w:p w14:paraId="4BDA7CF1" w14:textId="77777777" w:rsidR="002F63C1" w:rsidRPr="002F63C1" w:rsidRDefault="002F63C1" w:rsidP="002F63C1">
      <w:pPr>
        <w:keepNext/>
        <w:shd w:val="clear" w:color="auto" w:fill="FFFFFF"/>
        <w:spacing w:after="120"/>
        <w:outlineLvl w:val="3"/>
        <w:rPr>
          <w:rFonts w:ascii="Open Sans" w:hAnsi="Open Sans" w:cs="Open Sans"/>
          <w:sz w:val="24"/>
          <w:lang w:eastAsia="en-AU"/>
        </w:rPr>
      </w:pPr>
      <w:r w:rsidRPr="002F63C1">
        <w:rPr>
          <w:rFonts w:ascii="Open Sans" w:hAnsi="Open Sans" w:cs="Open Sans"/>
          <w:sz w:val="24"/>
          <w:lang w:eastAsia="en-AU"/>
        </w:rPr>
        <w:lastRenderedPageBreak/>
        <w:t>Epidemiological evidence</w:t>
      </w:r>
    </w:p>
    <w:p w14:paraId="17F816A6" w14:textId="77777777" w:rsidR="002F63C1" w:rsidRPr="002F63C1" w:rsidRDefault="002F63C1" w:rsidP="002F63C1">
      <w:pPr>
        <w:shd w:val="clear" w:color="auto" w:fill="FFFFFF"/>
        <w:spacing w:after="240" w:line="300" w:lineRule="atLeast"/>
        <w:rPr>
          <w:rFonts w:ascii="Helvetica" w:hAnsi="Helvetica" w:cs="Helvetica"/>
          <w:sz w:val="20"/>
          <w:szCs w:val="20"/>
          <w:lang w:eastAsia="en-AU"/>
        </w:rPr>
      </w:pPr>
      <w:r w:rsidRPr="002F63C1">
        <w:rPr>
          <w:rFonts w:ascii="Helvetica" w:hAnsi="Helvetica" w:cs="Helvetica"/>
          <w:sz w:val="20"/>
          <w:szCs w:val="20"/>
          <w:lang w:eastAsia="en-AU"/>
        </w:rPr>
        <w:t xml:space="preserve">History of travel to an endemic/epidemic area within 9 days (Marburg), 13 days (Crimean Congo) or 21 days (Lassa, Ebola) of illness onset. Filoviruses are endemic in Sub-Saharan Africa, Lassa in Western Africa, Crimean Congo in Africa and the Middle East to West </w:t>
      </w:r>
      <w:proofErr w:type="gramStart"/>
      <w:r w:rsidRPr="002F63C1">
        <w:rPr>
          <w:rFonts w:ascii="Helvetica" w:hAnsi="Helvetica" w:cs="Helvetica"/>
          <w:sz w:val="20"/>
          <w:szCs w:val="20"/>
          <w:lang w:eastAsia="en-AU"/>
        </w:rPr>
        <w:t>China;</w:t>
      </w:r>
      <w:proofErr w:type="gramEnd"/>
    </w:p>
    <w:p w14:paraId="2389A3C4" w14:textId="77777777" w:rsidR="002F63C1" w:rsidRPr="002F63C1" w:rsidRDefault="002F63C1" w:rsidP="002F63C1">
      <w:pPr>
        <w:shd w:val="clear" w:color="auto" w:fill="FFFFFF"/>
        <w:spacing w:after="240" w:line="300" w:lineRule="atLeast"/>
        <w:rPr>
          <w:rFonts w:ascii="Helvetica" w:hAnsi="Helvetica" w:cs="Helvetica"/>
          <w:sz w:val="20"/>
          <w:szCs w:val="20"/>
          <w:lang w:eastAsia="en-AU"/>
        </w:rPr>
      </w:pPr>
      <w:r w:rsidRPr="002F63C1">
        <w:rPr>
          <w:rFonts w:ascii="Helvetica" w:hAnsi="Helvetica" w:cs="Helvetica"/>
          <w:sz w:val="20"/>
          <w:szCs w:val="20"/>
          <w:lang w:eastAsia="en-AU"/>
        </w:rPr>
        <w:t>OR</w:t>
      </w:r>
    </w:p>
    <w:p w14:paraId="725C584A" w14:textId="77777777" w:rsidR="002F63C1" w:rsidRPr="002F63C1" w:rsidRDefault="002F63C1" w:rsidP="002F63C1">
      <w:pPr>
        <w:shd w:val="clear" w:color="auto" w:fill="FFFFFF"/>
        <w:spacing w:after="240" w:line="300" w:lineRule="atLeast"/>
        <w:rPr>
          <w:rFonts w:ascii="Helvetica" w:hAnsi="Helvetica" w:cs="Helvetica"/>
          <w:sz w:val="20"/>
          <w:szCs w:val="20"/>
          <w:lang w:eastAsia="en-AU"/>
        </w:rPr>
      </w:pPr>
      <w:r w:rsidRPr="002F63C1">
        <w:rPr>
          <w:rFonts w:ascii="Helvetica" w:hAnsi="Helvetica" w:cs="Helvetica"/>
          <w:sz w:val="20"/>
          <w:szCs w:val="20"/>
          <w:lang w:eastAsia="en-AU"/>
        </w:rPr>
        <w:t>Contact with a confirmed case,</w:t>
      </w:r>
    </w:p>
    <w:p w14:paraId="5BB3F0AA" w14:textId="77777777" w:rsidR="002F63C1" w:rsidRPr="002F63C1" w:rsidRDefault="002F63C1" w:rsidP="002F63C1">
      <w:pPr>
        <w:shd w:val="clear" w:color="auto" w:fill="FFFFFF"/>
        <w:spacing w:after="240" w:line="300" w:lineRule="atLeast"/>
        <w:rPr>
          <w:rFonts w:ascii="Helvetica" w:hAnsi="Helvetica" w:cs="Helvetica"/>
          <w:sz w:val="20"/>
          <w:szCs w:val="20"/>
          <w:lang w:eastAsia="en-AU"/>
        </w:rPr>
      </w:pPr>
      <w:r w:rsidRPr="002F63C1">
        <w:rPr>
          <w:rFonts w:ascii="Helvetica" w:hAnsi="Helvetica" w:cs="Helvetica"/>
          <w:sz w:val="20"/>
          <w:szCs w:val="20"/>
          <w:lang w:eastAsia="en-AU"/>
        </w:rPr>
        <w:t>OR</w:t>
      </w:r>
    </w:p>
    <w:p w14:paraId="2124853F" w14:textId="77777777" w:rsidR="002F63C1" w:rsidRPr="002F63C1" w:rsidRDefault="002F63C1" w:rsidP="002F63C1">
      <w:pPr>
        <w:shd w:val="clear" w:color="auto" w:fill="FFFFFF"/>
        <w:spacing w:after="240" w:line="300" w:lineRule="atLeast"/>
        <w:rPr>
          <w:rFonts w:ascii="Helvetica" w:hAnsi="Helvetica" w:cs="Helvetica"/>
          <w:sz w:val="20"/>
          <w:szCs w:val="20"/>
          <w:lang w:eastAsia="en-AU"/>
        </w:rPr>
      </w:pPr>
      <w:r w:rsidRPr="002F63C1">
        <w:rPr>
          <w:rFonts w:ascii="Helvetica" w:hAnsi="Helvetica" w:cs="Helvetica"/>
          <w:sz w:val="20"/>
          <w:szCs w:val="20"/>
          <w:lang w:eastAsia="en-AU"/>
        </w:rPr>
        <w:t>Exposure to viral haemorrhagic fever (VHF)-infected blood or tissues.</w:t>
      </w:r>
    </w:p>
    <w:p w14:paraId="11189369" w14:textId="77777777" w:rsidR="002F63C1" w:rsidRPr="002F63C1" w:rsidRDefault="001B5929" w:rsidP="002F63C1">
      <w:pPr>
        <w:spacing w:before="450" w:after="450"/>
        <w:rPr>
          <w:rFonts w:ascii="Times New Roman" w:hAnsi="Times New Roman"/>
          <w:sz w:val="24"/>
          <w:lang w:eastAsia="en-AU"/>
        </w:rPr>
      </w:pPr>
      <w:r>
        <w:rPr>
          <w:rFonts w:ascii="Times New Roman" w:hAnsi="Times New Roman"/>
          <w:sz w:val="24"/>
          <w:lang w:eastAsia="en-AU"/>
        </w:rPr>
        <w:pict w14:anchorId="0DBD5F55">
          <v:rect id="_x0000_i1025" style="width:0;height:1.5pt" o:hralign="center" o:hrstd="t" o:hrnoshade="t" o:hr="t" fillcolor="#222" stroked="f"/>
        </w:pict>
      </w:r>
    </w:p>
    <w:p w14:paraId="76DBEE98" w14:textId="77777777" w:rsidR="002F63C1" w:rsidRPr="002F63C1" w:rsidRDefault="002F63C1" w:rsidP="002F63C1">
      <w:pPr>
        <w:shd w:val="clear" w:color="auto" w:fill="FFFFFF"/>
        <w:spacing w:before="240" w:after="240" w:line="300" w:lineRule="atLeast"/>
        <w:rPr>
          <w:rFonts w:ascii="Helvetica" w:hAnsi="Helvetica" w:cs="Helvetica"/>
          <w:sz w:val="20"/>
          <w:szCs w:val="20"/>
          <w:lang w:eastAsia="en-AU"/>
        </w:rPr>
      </w:pPr>
      <w:bookmarkStart w:id="0" w:name="footnote"/>
      <w:bookmarkEnd w:id="0"/>
      <w:r w:rsidRPr="002F63C1">
        <w:rPr>
          <w:rFonts w:ascii="Helvetica" w:hAnsi="Helvetica" w:cs="Helvetica"/>
          <w:sz w:val="20"/>
          <w:szCs w:val="20"/>
          <w:lang w:eastAsia="en-AU"/>
        </w:rPr>
        <w:t>* The first case in any outbreak in Australia will also be confirmed by CDC, Atlanta or NIV, Johannesburg.</w:t>
      </w:r>
    </w:p>
    <w:p w14:paraId="1C69DB3F" w14:textId="624BB721" w:rsidR="009E0B84" w:rsidRPr="002F63C1" w:rsidRDefault="009E0B84" w:rsidP="002F63C1">
      <w:pPr>
        <w:pStyle w:val="Paragraphtext"/>
        <w:rPr>
          <w:color w:val="auto"/>
        </w:rPr>
      </w:pPr>
    </w:p>
    <w:sectPr w:rsidR="009E0B84" w:rsidRPr="002F63C1" w:rsidSect="00022629">
      <w:footerReference w:type="default" r:id="rId12"/>
      <w:type w:val="continuous"/>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7786E" w14:textId="77777777" w:rsidR="002F63C1" w:rsidRDefault="002F63C1" w:rsidP="006B56BB">
      <w:r>
        <w:separator/>
      </w:r>
    </w:p>
    <w:p w14:paraId="7363CEC7" w14:textId="77777777" w:rsidR="002F63C1" w:rsidRDefault="002F63C1"/>
  </w:endnote>
  <w:endnote w:type="continuationSeparator" w:id="0">
    <w:p w14:paraId="4CEE5D19" w14:textId="77777777" w:rsidR="002F63C1" w:rsidRDefault="002F63C1" w:rsidP="006B56BB">
      <w:r>
        <w:continuationSeparator/>
      </w:r>
    </w:p>
    <w:p w14:paraId="6F7654A8" w14:textId="77777777" w:rsidR="002F63C1" w:rsidRDefault="002F63C1"/>
  </w:endnote>
  <w:endnote w:type="continuationNotice" w:id="1">
    <w:p w14:paraId="2C77749A" w14:textId="77777777" w:rsidR="002F63C1" w:rsidRDefault="002F63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46970"/>
      <w:docPartObj>
        <w:docPartGallery w:val="Page Numbers (Bottom of Page)"/>
        <w:docPartUnique/>
      </w:docPartObj>
    </w:sdtPr>
    <w:sdtEndPr/>
    <w:sdtContent>
      <w:sdt>
        <w:sdtPr>
          <w:id w:val="-1769616900"/>
          <w:docPartObj>
            <w:docPartGallery w:val="Page Numbers (Top of Page)"/>
            <w:docPartUnique/>
          </w:docPartObj>
        </w:sdtPr>
        <w:sdtEndPr/>
        <w:sdtContent>
          <w:p w14:paraId="6CDDFA53" w14:textId="45EF2933" w:rsidR="00CD407A" w:rsidRDefault="002F63C1" w:rsidP="002F63C1">
            <w:pPr>
              <w:pStyle w:val="Footer"/>
              <w:jc w:val="right"/>
            </w:pPr>
            <w:r w:rsidRPr="002F63C1">
              <w:t xml:space="preserve">Viral haemorrhagic fever (not elsewhere classified) </w:t>
            </w:r>
            <w:r w:rsidR="00076AD6">
              <w:t xml:space="preserve">– </w:t>
            </w:r>
            <w:r w:rsidR="00800DEB">
              <w:t>Surveillance</w:t>
            </w:r>
            <w:r w:rsidR="00076AD6">
              <w:t xml:space="preserve"> case definition </w:t>
            </w:r>
            <w:r w:rsidR="00076AD6">
              <w:tab/>
            </w:r>
            <w:r w:rsidR="00076AD6">
              <w:tab/>
            </w:r>
            <w:r w:rsidR="00CD407A">
              <w:t xml:space="preserve">Page </w:t>
            </w:r>
            <w:r w:rsidR="00CD407A">
              <w:rPr>
                <w:b/>
                <w:bCs/>
                <w:sz w:val="24"/>
              </w:rPr>
              <w:fldChar w:fldCharType="begin"/>
            </w:r>
            <w:r w:rsidR="00CD407A">
              <w:rPr>
                <w:b/>
                <w:bCs/>
              </w:rPr>
              <w:instrText xml:space="preserve"> PAGE </w:instrText>
            </w:r>
            <w:r w:rsidR="00CD407A">
              <w:rPr>
                <w:b/>
                <w:bCs/>
                <w:sz w:val="24"/>
              </w:rPr>
              <w:fldChar w:fldCharType="separate"/>
            </w:r>
            <w:r w:rsidR="00CD407A">
              <w:rPr>
                <w:b/>
                <w:bCs/>
                <w:noProof/>
              </w:rPr>
              <w:t>2</w:t>
            </w:r>
            <w:r w:rsidR="00CD407A">
              <w:rPr>
                <w:b/>
                <w:bCs/>
                <w:sz w:val="24"/>
              </w:rPr>
              <w:fldChar w:fldCharType="end"/>
            </w:r>
            <w:r w:rsidR="00CD407A">
              <w:t xml:space="preserve"> of </w:t>
            </w:r>
            <w:r w:rsidR="00CD407A">
              <w:rPr>
                <w:b/>
                <w:bCs/>
                <w:sz w:val="24"/>
              </w:rPr>
              <w:fldChar w:fldCharType="begin"/>
            </w:r>
            <w:r w:rsidR="00CD407A">
              <w:rPr>
                <w:b/>
                <w:bCs/>
              </w:rPr>
              <w:instrText xml:space="preserve"> NUMPAGES  </w:instrText>
            </w:r>
            <w:r w:rsidR="00CD407A">
              <w:rPr>
                <w:b/>
                <w:bCs/>
                <w:sz w:val="24"/>
              </w:rPr>
              <w:fldChar w:fldCharType="separate"/>
            </w:r>
            <w:r w:rsidR="00CD407A">
              <w:rPr>
                <w:b/>
                <w:bCs/>
                <w:noProof/>
              </w:rPr>
              <w:t>2</w:t>
            </w:r>
            <w:r w:rsidR="00CD407A">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0A4A3" w14:textId="77777777" w:rsidR="002F63C1" w:rsidRDefault="002F63C1" w:rsidP="006B56BB">
      <w:r>
        <w:separator/>
      </w:r>
    </w:p>
    <w:p w14:paraId="7BE8A94C" w14:textId="77777777" w:rsidR="002F63C1" w:rsidRDefault="002F63C1"/>
  </w:footnote>
  <w:footnote w:type="continuationSeparator" w:id="0">
    <w:p w14:paraId="3831399E" w14:textId="77777777" w:rsidR="002F63C1" w:rsidRDefault="002F63C1" w:rsidP="006B56BB">
      <w:r>
        <w:continuationSeparator/>
      </w:r>
    </w:p>
    <w:p w14:paraId="537C2BFA" w14:textId="77777777" w:rsidR="002F63C1" w:rsidRDefault="002F63C1"/>
  </w:footnote>
  <w:footnote w:type="continuationNotice" w:id="1">
    <w:p w14:paraId="43AC1F7F" w14:textId="77777777" w:rsidR="002F63C1" w:rsidRDefault="002F63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4"/>
  </w:num>
  <w:num w:numId="3">
    <w:abstractNumId w:val="16"/>
  </w:num>
  <w:num w:numId="4">
    <w:abstractNumId w:val="8"/>
  </w:num>
  <w:num w:numId="5">
    <w:abstractNumId w:val="8"/>
    <w:lvlOverride w:ilvl="0">
      <w:startOverride w:val="1"/>
    </w:lvlOverride>
  </w:num>
  <w:num w:numId="6">
    <w:abstractNumId w:val="9"/>
  </w:num>
  <w:num w:numId="7">
    <w:abstractNumId w:val="13"/>
  </w:num>
  <w:num w:numId="8">
    <w:abstractNumId w:val="15"/>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7"/>
  </w:num>
  <w:num w:numId="17">
    <w:abstractNumId w:val="10"/>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3C1"/>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6AD6"/>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B5929"/>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E1A1D"/>
    <w:rsid w:val="002E4081"/>
    <w:rsid w:val="002E5B78"/>
    <w:rsid w:val="002F3AE3"/>
    <w:rsid w:val="002F63C1"/>
    <w:rsid w:val="0030464B"/>
    <w:rsid w:val="0030786C"/>
    <w:rsid w:val="003100AE"/>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16E8"/>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D75EA"/>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2CDA"/>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4D09"/>
    <w:rsid w:val="007F2220"/>
    <w:rsid w:val="007F4B3E"/>
    <w:rsid w:val="00800DEB"/>
    <w:rsid w:val="008127AF"/>
    <w:rsid w:val="00812B46"/>
    <w:rsid w:val="00815700"/>
    <w:rsid w:val="008264EB"/>
    <w:rsid w:val="00826B8F"/>
    <w:rsid w:val="00831E8A"/>
    <w:rsid w:val="00835C76"/>
    <w:rsid w:val="008376E2"/>
    <w:rsid w:val="00843049"/>
    <w:rsid w:val="0085209B"/>
    <w:rsid w:val="00856B66"/>
    <w:rsid w:val="008601AC"/>
    <w:rsid w:val="00861A5F"/>
    <w:rsid w:val="0086254B"/>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B57"/>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96B9F"/>
    <w:rsid w:val="009B1570"/>
    <w:rsid w:val="009C6F10"/>
    <w:rsid w:val="009D148F"/>
    <w:rsid w:val="009D3D70"/>
    <w:rsid w:val="009E0B84"/>
    <w:rsid w:val="009E6F7E"/>
    <w:rsid w:val="009E7A57"/>
    <w:rsid w:val="009F4803"/>
    <w:rsid w:val="009F4F6A"/>
    <w:rsid w:val="00A13EB5"/>
    <w:rsid w:val="00A16E36"/>
    <w:rsid w:val="00A24961"/>
    <w:rsid w:val="00A24B10"/>
    <w:rsid w:val="00A277EF"/>
    <w:rsid w:val="00A30E9B"/>
    <w:rsid w:val="00A42AD3"/>
    <w:rsid w:val="00A4512D"/>
    <w:rsid w:val="00A50244"/>
    <w:rsid w:val="00A627D7"/>
    <w:rsid w:val="00A656C7"/>
    <w:rsid w:val="00A705AF"/>
    <w:rsid w:val="00A72454"/>
    <w:rsid w:val="00A77696"/>
    <w:rsid w:val="00A80557"/>
    <w:rsid w:val="00A81D33"/>
    <w:rsid w:val="00A8341C"/>
    <w:rsid w:val="00A930AE"/>
    <w:rsid w:val="00A9567F"/>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310E"/>
    <w:rsid w:val="00B04580"/>
    <w:rsid w:val="00B04B09"/>
    <w:rsid w:val="00B14926"/>
    <w:rsid w:val="00B16A51"/>
    <w:rsid w:val="00B32222"/>
    <w:rsid w:val="00B3618D"/>
    <w:rsid w:val="00B36233"/>
    <w:rsid w:val="00B42851"/>
    <w:rsid w:val="00B45AC7"/>
    <w:rsid w:val="00B5372F"/>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407A"/>
    <w:rsid w:val="00CE03CA"/>
    <w:rsid w:val="00CE22F1"/>
    <w:rsid w:val="00CE50F2"/>
    <w:rsid w:val="00CE60AF"/>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5E9A"/>
    <w:rsid w:val="00EC7744"/>
    <w:rsid w:val="00ED0DAD"/>
    <w:rsid w:val="00ED0F46"/>
    <w:rsid w:val="00ED2373"/>
    <w:rsid w:val="00ED361A"/>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7F2327"/>
  <w15:docId w15:val="{251B1333-AA5C-4EDB-85A2-EAD6370E2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uiPriority="9" w:qFormat="1"/>
    <w:lsdException w:name="heading 4" w:uiPriority="9"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link w:val="Heading2Char"/>
    <w:uiPriority w:val="9"/>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link w:val="Heading3Char"/>
    <w:uiPriority w:val="9"/>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link w:val="Heading4Char"/>
    <w:uiPriority w:val="9"/>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3100AE"/>
    <w:pPr>
      <w:numPr>
        <w:ilvl w:val="1"/>
      </w:numPr>
      <w:spacing w:before="120" w:after="60"/>
    </w:pPr>
    <w:rPr>
      <w:rFonts w:ascii="Arial" w:eastAsiaTheme="majorEastAsia" w:hAnsi="Arial" w:cstheme="majorBidi"/>
      <w:iCs/>
      <w:color w:val="000000" w:themeColor="text1"/>
      <w:spacing w:val="15"/>
      <w:sz w:val="40"/>
      <w:szCs w:val="24"/>
      <w:lang w:eastAsia="en-US"/>
    </w:rPr>
  </w:style>
  <w:style w:type="character" w:customStyle="1" w:styleId="SubtitleChar">
    <w:name w:val="Subtitle Char"/>
    <w:basedOn w:val="DefaultParagraphFont"/>
    <w:link w:val="Subtitle"/>
    <w:rsid w:val="003100AE"/>
    <w:rPr>
      <w:rFonts w:ascii="Arial" w:eastAsiaTheme="majorEastAsia" w:hAnsi="Arial" w:cstheme="majorBidi"/>
      <w:iCs/>
      <w:color w:val="000000" w:themeColor="text1"/>
      <w:spacing w:val="15"/>
      <w:sz w:val="40"/>
      <w:szCs w:val="24"/>
      <w:lang w:eastAsia="en-US"/>
    </w:rPr>
  </w:style>
  <w:style w:type="paragraph" w:styleId="Title">
    <w:name w:val="Title"/>
    <w:basedOn w:val="Normal"/>
    <w:next w:val="Paragraphtext"/>
    <w:link w:val="TitleChar"/>
    <w:qFormat/>
    <w:rsid w:val="00EC5E9A"/>
    <w:pPr>
      <w:spacing w:before="480" w:after="120"/>
      <w:contextualSpacing/>
    </w:pPr>
    <w:rPr>
      <w:rFonts w:eastAsiaTheme="majorEastAsia" w:cstheme="majorBidi"/>
      <w:b/>
      <w:kern w:val="28"/>
      <w:sz w:val="48"/>
      <w:szCs w:val="52"/>
    </w:rPr>
  </w:style>
  <w:style w:type="character" w:customStyle="1" w:styleId="TitleChar">
    <w:name w:val="Title Char"/>
    <w:basedOn w:val="DefaultParagraphFont"/>
    <w:link w:val="Title"/>
    <w:rsid w:val="00EC5E9A"/>
    <w:rPr>
      <w:rFonts w:ascii="Arial" w:eastAsiaTheme="majorEastAsia" w:hAnsi="Arial" w:cstheme="majorBidi"/>
      <w:b/>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C5E9A"/>
    <w:pPr>
      <w:spacing w:after="240" w:line="360" w:lineRule="auto"/>
    </w:pPr>
    <w:rPr>
      <w:b w:val="0"/>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customStyle="1" w:styleId="Heading2Char">
    <w:name w:val="Heading 2 Char"/>
    <w:basedOn w:val="DefaultParagraphFont"/>
    <w:link w:val="Heading2"/>
    <w:uiPriority w:val="9"/>
    <w:rsid w:val="002F63C1"/>
    <w:rPr>
      <w:rFonts w:ascii="Arial" w:hAnsi="Arial" w:cs="Arial"/>
      <w:bCs/>
      <w:iCs/>
      <w:color w:val="358189"/>
      <w:sz w:val="32"/>
      <w:szCs w:val="28"/>
      <w:lang w:eastAsia="en-US"/>
    </w:rPr>
  </w:style>
  <w:style w:type="character" w:customStyle="1" w:styleId="Heading3Char">
    <w:name w:val="Heading 3 Char"/>
    <w:basedOn w:val="DefaultParagraphFont"/>
    <w:link w:val="Heading3"/>
    <w:uiPriority w:val="9"/>
    <w:rsid w:val="002F63C1"/>
    <w:rPr>
      <w:rFonts w:ascii="Arial" w:hAnsi="Arial" w:cs="Arial"/>
      <w:bCs/>
      <w:color w:val="358189"/>
      <w:sz w:val="24"/>
      <w:szCs w:val="26"/>
      <w:lang w:eastAsia="en-US"/>
    </w:rPr>
  </w:style>
  <w:style w:type="character" w:customStyle="1" w:styleId="Heading4Char">
    <w:name w:val="Heading 4 Char"/>
    <w:basedOn w:val="DefaultParagraphFont"/>
    <w:link w:val="Heading4"/>
    <w:uiPriority w:val="9"/>
    <w:rsid w:val="002F63C1"/>
    <w:rPr>
      <w:rFonts w:ascii="Arial" w:hAnsi="Arial"/>
      <w:b/>
      <w:bCs/>
      <w:i/>
      <w:color w:val="414141"/>
      <w:sz w:val="24"/>
      <w:szCs w:val="28"/>
      <w:lang w:eastAsia="en-US"/>
    </w:rPr>
  </w:style>
  <w:style w:type="paragraph" w:styleId="NormalWeb">
    <w:name w:val="Normal (Web)"/>
    <w:basedOn w:val="Normal"/>
    <w:uiPriority w:val="99"/>
    <w:semiHidden/>
    <w:unhideWhenUsed/>
    <w:rsid w:val="002F63C1"/>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65232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ARNOMA\Documents\Surveillance%20Case%20Definitions\CDNA%20surveillance%20case%20definition%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TaxCatchAll xmlns="236487dd-ec90-4f99-8970-1318e5f29791" xsi:nil="true"/>
    <_DCDateModified xmlns="http://schemas.microsoft.com/sharepoint/v3/fields" xsi:nil="true"/>
    <lcf76f155ced4ddcb4097134ff3c332f xmlns="dcf7b372-aaaa-46d8-9da6-ade9aab953df">
      <Terms xmlns="http://schemas.microsoft.com/office/infopath/2007/PartnerControls"/>
    </lcf76f155ced4ddcb4097134ff3c332f>
    <Modified_x0020_by0 xmlns="dcf7b372-aaaa-46d8-9da6-ade9aab953df">
      <UserInfo>
        <DisplayName/>
        <AccountId xsi:nil="true"/>
        <AccountType/>
      </UserInfo>
    </Modified_x0020_by0>
  </documentManagement>
</p:properties>
</file>

<file path=customXml/itemProps1.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3D652909-5503-4FEE-ADFA-6DE4A8432DDB}"/>
</file>

<file path=customXml/itemProps4.xml><?xml version="1.0" encoding="utf-8"?>
<ds:datastoreItem xmlns:ds="http://schemas.openxmlformats.org/officeDocument/2006/customXml" ds:itemID="{D20C6417-ADBB-487B-9091-DC3471F064BF}">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36487dd-ec90-4f99-8970-1318e5f29791"/>
    <ds:schemaRef ds:uri="http://schemas.microsoft.com/office/2006/documentManagement/types"/>
    <ds:schemaRef ds:uri="dcf7b372-aaaa-46d8-9da6-ade9aab953d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CDNA surveillance case definition template.dotx</Template>
  <TotalTime>4</TotalTime>
  <Pages>3</Pages>
  <Words>471</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Surveillance case definition</vt:lpstr>
    </vt:vector>
  </TitlesOfParts>
  <Company>Dept Health And Ageing</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Viral haemorrhagic fever (not elsewhere classified) – Surveillance case definition</dc:title>
  <dc:creator>Communicable Diseases Network Australia</dc:creator>
  <cp:keywords>Communicable diseases</cp:keywords>
  <cp:lastModifiedBy>ARNOLD, Max</cp:lastModifiedBy>
  <cp:revision>3</cp:revision>
  <dcterms:created xsi:type="dcterms:W3CDTF">2022-06-08T03:14:00Z</dcterms:created>
  <dcterms:modified xsi:type="dcterms:W3CDTF">2022-06-08T05:18:00Z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ies>
</file>