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800DEB" w14:paraId="2AA88FCD" w14:textId="77777777" w:rsidTr="00800DEB">
        <w:tc>
          <w:tcPr>
            <w:tcW w:w="2547" w:type="dxa"/>
          </w:tcPr>
          <w:p w14:paraId="4135210D" w14:textId="77777777" w:rsidR="00800DEB" w:rsidRDefault="00800DEB" w:rsidP="00800DEB">
            <w:r>
              <w:rPr>
                <w:noProof/>
              </w:rPr>
              <w:drawing>
                <wp:inline distT="0" distB="0" distL="0" distR="0" wp14:anchorId="06E1DE9A" wp14:editId="22255B84">
                  <wp:extent cx="1171575" cy="1714500"/>
                  <wp:effectExtent l="0" t="0" r="9525" b="0"/>
                  <wp:docPr id="2" name="Picture 2" descr="Communicable Diseases Network Austral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ommunicable Diseases Network Australia logo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3" w:type="dxa"/>
          </w:tcPr>
          <w:p w14:paraId="2E41CD16" w14:textId="57B1A3EC" w:rsidR="00800DEB" w:rsidRDefault="004A3683" w:rsidP="00800DEB">
            <w:pPr>
              <w:pStyle w:val="Title"/>
            </w:pPr>
            <w:r w:rsidRPr="004A3683">
              <w:t>Varicella zoster (unspecified)</w:t>
            </w:r>
          </w:p>
          <w:p w14:paraId="2D6584E8" w14:textId="77777777" w:rsidR="00800DEB" w:rsidRDefault="00800DEB" w:rsidP="00800DEB">
            <w:pPr>
              <w:pStyle w:val="Subtitle"/>
            </w:pPr>
            <w:r w:rsidRPr="00800DEB">
              <w:t>Australian national notifiable diseases case definition</w:t>
            </w:r>
          </w:p>
        </w:tc>
      </w:tr>
    </w:tbl>
    <w:p w14:paraId="1FA164F2" w14:textId="084503F4" w:rsidR="004516E8" w:rsidRDefault="00800DEB" w:rsidP="009E0B84">
      <w:pPr>
        <w:pStyle w:val="IntroPara"/>
      </w:pPr>
      <w:r w:rsidRPr="00872414">
        <w:t xml:space="preserve">This document contains the </w:t>
      </w:r>
      <w:r>
        <w:t xml:space="preserve">surveillance </w:t>
      </w:r>
      <w:r w:rsidRPr="00872414">
        <w:t xml:space="preserve">case definition for </w:t>
      </w:r>
      <w:r w:rsidR="004A3683">
        <w:t>v</w:t>
      </w:r>
      <w:r w:rsidR="004A3683" w:rsidRPr="004A3683">
        <w:t>aricella zoster (unspecified)</w:t>
      </w:r>
      <w:r w:rsidR="004A3683">
        <w:t xml:space="preserve">, </w:t>
      </w:r>
      <w:r w:rsidRPr="00872414">
        <w:t xml:space="preserve">which is nationally notifiable within Australia. </w:t>
      </w:r>
      <w:r w:rsidR="004516E8">
        <w:t>State and territory health departments use this definition to decide whether to notify the Australian Government Department of Health</w:t>
      </w:r>
      <w:r w:rsidR="00B14926">
        <w:t xml:space="preserve"> and Aged Care</w:t>
      </w:r>
      <w:r w:rsidR="004516E8">
        <w:t xml:space="preserve"> of a case.</w:t>
      </w:r>
    </w:p>
    <w:tbl>
      <w:tblPr>
        <w:tblStyle w:val="DepartmentofHealthtable"/>
        <w:tblW w:w="5000" w:type="pct"/>
        <w:tblLook w:val="04A0" w:firstRow="1" w:lastRow="0" w:firstColumn="1" w:lastColumn="0" w:noHBand="0" w:noVBand="1"/>
        <w:tblDescription w:val="version control table for the cholera case definition"/>
      </w:tblPr>
      <w:tblGrid>
        <w:gridCol w:w="1024"/>
        <w:gridCol w:w="4749"/>
        <w:gridCol w:w="1318"/>
        <w:gridCol w:w="1979"/>
      </w:tblGrid>
      <w:tr w:rsidR="00800DEB" w:rsidRPr="00872414" w14:paraId="039A387D" w14:textId="77777777" w:rsidTr="006505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DAA579B" w14:textId="77777777" w:rsidR="00800DEB" w:rsidRPr="00872414" w:rsidRDefault="00800DEB" w:rsidP="00650561">
            <w:pPr>
              <w:pStyle w:val="TableHeader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Version</w:t>
            </w:r>
          </w:p>
        </w:tc>
        <w:tc>
          <w:tcPr>
            <w:tcW w:w="0" w:type="auto"/>
            <w:hideMark/>
          </w:tcPr>
          <w:p w14:paraId="5AEF97EB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Status</w:t>
            </w:r>
          </w:p>
        </w:tc>
        <w:tc>
          <w:tcPr>
            <w:tcW w:w="0" w:type="auto"/>
            <w:hideMark/>
          </w:tcPr>
          <w:p w14:paraId="34A3FE92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Last reviewed</w:t>
            </w:r>
          </w:p>
        </w:tc>
        <w:tc>
          <w:tcPr>
            <w:tcW w:w="0" w:type="auto"/>
            <w:hideMark/>
          </w:tcPr>
          <w:p w14:paraId="1269E59B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Implementation date</w:t>
            </w:r>
          </w:p>
        </w:tc>
      </w:tr>
      <w:tr w:rsidR="00800DEB" w:rsidRPr="00872414" w14:paraId="5847B5FF" w14:textId="77777777" w:rsidTr="00800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75CA55" w14:textId="58320158" w:rsidR="00800DEB" w:rsidRPr="00872414" w:rsidRDefault="004A3683" w:rsidP="00650561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1.3</w:t>
            </w:r>
          </w:p>
        </w:tc>
        <w:tc>
          <w:tcPr>
            <w:tcW w:w="0" w:type="auto"/>
          </w:tcPr>
          <w:p w14:paraId="17DFFE31" w14:textId="23990874" w:rsidR="00800DEB" w:rsidRPr="00872414" w:rsidRDefault="004A3683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4A3683">
              <w:rPr>
                <w:lang w:eastAsia="en-AU"/>
              </w:rPr>
              <w:t>Addition of IgG seroconversion as laboratory definitive evidence</w:t>
            </w:r>
          </w:p>
        </w:tc>
        <w:tc>
          <w:tcPr>
            <w:tcW w:w="0" w:type="auto"/>
          </w:tcPr>
          <w:p w14:paraId="07275314" w14:textId="7B40A79D" w:rsidR="00800DEB" w:rsidRPr="00872414" w:rsidRDefault="004A3683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4A3683">
              <w:rPr>
                <w:lang w:eastAsia="en-AU"/>
              </w:rPr>
              <w:t>2017</w:t>
            </w:r>
          </w:p>
        </w:tc>
        <w:tc>
          <w:tcPr>
            <w:tcW w:w="0" w:type="auto"/>
          </w:tcPr>
          <w:p w14:paraId="0AAADF5D" w14:textId="5FEF3ED5" w:rsidR="00800DEB" w:rsidRPr="00872414" w:rsidRDefault="004A3683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4A3683">
              <w:rPr>
                <w:lang w:eastAsia="en-AU"/>
              </w:rPr>
              <w:t>1 January 2018</w:t>
            </w:r>
          </w:p>
        </w:tc>
      </w:tr>
      <w:tr w:rsidR="00800DEB" w:rsidRPr="00872414" w14:paraId="1E36F776" w14:textId="77777777" w:rsidTr="00800D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21DCEDA" w14:textId="479F13B8" w:rsidR="00800DEB" w:rsidRPr="00872414" w:rsidRDefault="004A3683" w:rsidP="00650561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1.2</w:t>
            </w:r>
          </w:p>
        </w:tc>
        <w:tc>
          <w:tcPr>
            <w:tcW w:w="0" w:type="auto"/>
          </w:tcPr>
          <w:p w14:paraId="6F9B58EB" w14:textId="77777777" w:rsidR="004A3683" w:rsidRDefault="004A3683" w:rsidP="004A3683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Name change</w:t>
            </w:r>
          </w:p>
          <w:p w14:paraId="5C956B84" w14:textId="35AF27C8" w:rsidR="00800DEB" w:rsidRPr="00872414" w:rsidRDefault="004A3683" w:rsidP="004A3683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Removal of wording ‘from a skin or lesion swab’ from relevant criteria to broaden the types of laboratory specimen that can be tested</w:t>
            </w:r>
          </w:p>
        </w:tc>
        <w:tc>
          <w:tcPr>
            <w:tcW w:w="0" w:type="auto"/>
          </w:tcPr>
          <w:p w14:paraId="6B4A9D7D" w14:textId="5E742E47" w:rsidR="00800DEB" w:rsidRPr="00872414" w:rsidRDefault="004A3683" w:rsidP="0065056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 w:rsidRPr="004A3683">
              <w:rPr>
                <w:lang w:eastAsia="en-AU"/>
              </w:rPr>
              <w:t>2016</w:t>
            </w:r>
          </w:p>
        </w:tc>
        <w:tc>
          <w:tcPr>
            <w:tcW w:w="0" w:type="auto"/>
          </w:tcPr>
          <w:p w14:paraId="2888ABE3" w14:textId="438DB16A" w:rsidR="00800DEB" w:rsidRPr="00872414" w:rsidRDefault="004A3683" w:rsidP="0065056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 w:rsidRPr="004A3683">
              <w:rPr>
                <w:lang w:eastAsia="en-AU"/>
              </w:rPr>
              <w:t>1 January 2017</w:t>
            </w:r>
          </w:p>
        </w:tc>
      </w:tr>
      <w:tr w:rsidR="004A3683" w:rsidRPr="00872414" w14:paraId="1993D000" w14:textId="77777777" w:rsidTr="00800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C6A6FF5" w14:textId="38DB16E6" w:rsidR="004A3683" w:rsidRPr="00872414" w:rsidRDefault="004A3683" w:rsidP="00650561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1.1</w:t>
            </w:r>
          </w:p>
        </w:tc>
        <w:tc>
          <w:tcPr>
            <w:tcW w:w="0" w:type="auto"/>
          </w:tcPr>
          <w:p w14:paraId="0A55D875" w14:textId="76795651" w:rsidR="004A3683" w:rsidRPr="00872414" w:rsidRDefault="004A3683" w:rsidP="004A36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4A3683">
              <w:rPr>
                <w:lang w:eastAsia="en-AU"/>
              </w:rPr>
              <w:t>No Change</w:t>
            </w:r>
          </w:p>
        </w:tc>
        <w:tc>
          <w:tcPr>
            <w:tcW w:w="0" w:type="auto"/>
          </w:tcPr>
          <w:p w14:paraId="1A5DBACD" w14:textId="1511E756" w:rsidR="004A3683" w:rsidRPr="00872414" w:rsidRDefault="004A3683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4A3683">
              <w:rPr>
                <w:lang w:eastAsia="en-AU"/>
              </w:rPr>
              <w:t>14 August 2008</w:t>
            </w:r>
          </w:p>
        </w:tc>
        <w:tc>
          <w:tcPr>
            <w:tcW w:w="0" w:type="auto"/>
          </w:tcPr>
          <w:p w14:paraId="18D40A17" w14:textId="3215544C" w:rsidR="004A3683" w:rsidRPr="00872414" w:rsidRDefault="004A3683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4A3683">
              <w:rPr>
                <w:lang w:eastAsia="en-AU"/>
              </w:rPr>
              <w:t>14 August 2008</w:t>
            </w:r>
          </w:p>
        </w:tc>
      </w:tr>
      <w:tr w:rsidR="004A3683" w:rsidRPr="00872414" w14:paraId="4D3CDDFF" w14:textId="77777777" w:rsidTr="00800D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69F59F4" w14:textId="12301410" w:rsidR="004A3683" w:rsidRPr="00872414" w:rsidRDefault="004A3683" w:rsidP="00650561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1.0</w:t>
            </w:r>
          </w:p>
        </w:tc>
        <w:tc>
          <w:tcPr>
            <w:tcW w:w="0" w:type="auto"/>
          </w:tcPr>
          <w:p w14:paraId="3A4ACA32" w14:textId="7E5235CE" w:rsidR="004A3683" w:rsidRPr="00872414" w:rsidRDefault="004A3683" w:rsidP="0065056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 w:rsidRPr="004A3683">
              <w:rPr>
                <w:lang w:eastAsia="en-AU"/>
              </w:rPr>
              <w:t>Initial case definition</w:t>
            </w:r>
          </w:p>
        </w:tc>
        <w:tc>
          <w:tcPr>
            <w:tcW w:w="0" w:type="auto"/>
          </w:tcPr>
          <w:p w14:paraId="623BB0DC" w14:textId="7610C79B" w:rsidR="004A3683" w:rsidRPr="00872414" w:rsidRDefault="004A3683" w:rsidP="0065056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 w:rsidRPr="004A3683">
              <w:rPr>
                <w:lang w:eastAsia="en-AU"/>
              </w:rPr>
              <w:t>2006</w:t>
            </w:r>
          </w:p>
        </w:tc>
        <w:tc>
          <w:tcPr>
            <w:tcW w:w="0" w:type="auto"/>
          </w:tcPr>
          <w:p w14:paraId="26FCD9D1" w14:textId="51911B0E" w:rsidR="004A3683" w:rsidRPr="00872414" w:rsidRDefault="004A3683" w:rsidP="0065056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 w:rsidRPr="004A3683">
              <w:rPr>
                <w:lang w:eastAsia="en-AU"/>
              </w:rPr>
              <w:t>2006</w:t>
            </w:r>
          </w:p>
        </w:tc>
      </w:tr>
    </w:tbl>
    <w:p w14:paraId="3DC03518" w14:textId="77777777" w:rsidR="009E0B84" w:rsidRDefault="009E0B84" w:rsidP="00800DEB"/>
    <w:p w14:paraId="3A033D5A" w14:textId="77777777" w:rsidR="004A3683" w:rsidRPr="004A3683" w:rsidRDefault="004A3683" w:rsidP="004A3683">
      <w:pPr>
        <w:shd w:val="clear" w:color="auto" w:fill="FFFFFF"/>
        <w:spacing w:before="240" w:after="120"/>
        <w:outlineLvl w:val="1"/>
        <w:rPr>
          <w:rFonts w:ascii="Open Sans" w:hAnsi="Open Sans" w:cs="Open Sans"/>
          <w:color w:val="000000"/>
          <w:sz w:val="36"/>
          <w:szCs w:val="36"/>
          <w:lang w:eastAsia="en-AU"/>
        </w:rPr>
      </w:pPr>
      <w:r w:rsidRPr="004A3683">
        <w:rPr>
          <w:rFonts w:ascii="Open Sans" w:hAnsi="Open Sans" w:cs="Open Sans"/>
          <w:color w:val="000000"/>
          <w:sz w:val="36"/>
          <w:szCs w:val="36"/>
          <w:lang w:eastAsia="en-AU"/>
        </w:rPr>
        <w:t>Reporting</w:t>
      </w:r>
    </w:p>
    <w:p w14:paraId="295579C4" w14:textId="77777777" w:rsidR="004A3683" w:rsidRPr="004A3683" w:rsidRDefault="004A3683" w:rsidP="004A3683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4A3683">
        <w:rPr>
          <w:rFonts w:ascii="Helvetica" w:hAnsi="Helvetica" w:cs="Helvetica"/>
          <w:color w:val="222222"/>
          <w:sz w:val="20"/>
          <w:szCs w:val="20"/>
          <w:lang w:eastAsia="en-AU"/>
        </w:rPr>
        <w:t>Only confirmed cases should be notified.</w:t>
      </w:r>
    </w:p>
    <w:p w14:paraId="4F2D2666" w14:textId="77777777" w:rsidR="004A3683" w:rsidRPr="004A3683" w:rsidRDefault="004A3683" w:rsidP="004A3683">
      <w:pPr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4A3683">
        <w:rPr>
          <w:rFonts w:ascii="Open Sans" w:hAnsi="Open Sans" w:cs="Open Sans"/>
          <w:color w:val="000000"/>
          <w:sz w:val="27"/>
          <w:szCs w:val="27"/>
          <w:lang w:eastAsia="en-AU"/>
        </w:rPr>
        <w:t>Confirmed case</w:t>
      </w:r>
    </w:p>
    <w:p w14:paraId="1226FADD" w14:textId="77777777" w:rsidR="004A3683" w:rsidRPr="004A3683" w:rsidRDefault="004A3683" w:rsidP="004A3683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4A3683">
        <w:rPr>
          <w:rFonts w:ascii="Helvetica" w:hAnsi="Helvetica" w:cs="Helvetica"/>
          <w:color w:val="222222"/>
          <w:sz w:val="20"/>
          <w:szCs w:val="20"/>
          <w:lang w:eastAsia="en-AU"/>
        </w:rPr>
        <w:t>A confirmed case requires laboratory definitive evidence, either in the absence of clinical information or where clinical evidence does not meet criteria for varicella-zoster infection (chickenpox) or varicella-zoster infection (shingles).</w:t>
      </w:r>
    </w:p>
    <w:p w14:paraId="7C72A1A9" w14:textId="77777777" w:rsidR="004A3683" w:rsidRPr="004A3683" w:rsidRDefault="004A3683" w:rsidP="004A3683">
      <w:pPr>
        <w:keepNext/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4A3683">
        <w:rPr>
          <w:rFonts w:ascii="Open Sans" w:hAnsi="Open Sans" w:cs="Open Sans"/>
          <w:color w:val="000000"/>
          <w:sz w:val="27"/>
          <w:szCs w:val="27"/>
          <w:lang w:eastAsia="en-AU"/>
        </w:rPr>
        <w:lastRenderedPageBreak/>
        <w:t>Laboratory definitive evidence</w:t>
      </w:r>
    </w:p>
    <w:p w14:paraId="54B0C522" w14:textId="77777777" w:rsidR="004A3683" w:rsidRPr="004A3683" w:rsidRDefault="004A3683" w:rsidP="004A3683">
      <w:pPr>
        <w:keepNext/>
        <w:numPr>
          <w:ilvl w:val="0"/>
          <w:numId w:val="20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4A3683">
        <w:rPr>
          <w:rFonts w:ascii="Helvetica" w:hAnsi="Helvetica" w:cs="Helvetica"/>
          <w:color w:val="222222"/>
          <w:sz w:val="20"/>
          <w:szCs w:val="20"/>
          <w:lang w:eastAsia="en-AU"/>
        </w:rPr>
        <w:t>Isolation of varicella-zoster virus.</w:t>
      </w:r>
    </w:p>
    <w:p w14:paraId="1C878331" w14:textId="77777777" w:rsidR="004A3683" w:rsidRPr="004A3683" w:rsidRDefault="004A3683" w:rsidP="004A3683">
      <w:pPr>
        <w:shd w:val="clear" w:color="auto" w:fill="FFFFFF"/>
        <w:spacing w:before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4A3683">
        <w:rPr>
          <w:rFonts w:ascii="Helvetica" w:hAnsi="Helvetica" w:cs="Helvetica"/>
          <w:color w:val="222222"/>
          <w:sz w:val="20"/>
          <w:szCs w:val="20"/>
          <w:lang w:eastAsia="en-AU"/>
        </w:rPr>
        <w:t>OR</w:t>
      </w:r>
    </w:p>
    <w:p w14:paraId="15C0C07A" w14:textId="77777777" w:rsidR="004A3683" w:rsidRPr="004A3683" w:rsidRDefault="004A3683" w:rsidP="004A3683">
      <w:pPr>
        <w:numPr>
          <w:ilvl w:val="0"/>
          <w:numId w:val="21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4A3683">
        <w:rPr>
          <w:rFonts w:ascii="Helvetica" w:hAnsi="Helvetica" w:cs="Helvetica"/>
          <w:color w:val="222222"/>
          <w:sz w:val="20"/>
          <w:szCs w:val="20"/>
          <w:lang w:eastAsia="en-AU"/>
        </w:rPr>
        <w:t>Detection of varicella-zoster virus by nucleic acid testing.</w:t>
      </w:r>
    </w:p>
    <w:p w14:paraId="1EA4BB59" w14:textId="77777777" w:rsidR="004A3683" w:rsidRPr="004A3683" w:rsidRDefault="004A3683" w:rsidP="004A3683">
      <w:pPr>
        <w:shd w:val="clear" w:color="auto" w:fill="FFFFFF"/>
        <w:spacing w:before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4A3683">
        <w:rPr>
          <w:rFonts w:ascii="Helvetica" w:hAnsi="Helvetica" w:cs="Helvetica"/>
          <w:color w:val="222222"/>
          <w:sz w:val="20"/>
          <w:szCs w:val="20"/>
          <w:lang w:eastAsia="en-AU"/>
        </w:rPr>
        <w:t>OR</w:t>
      </w:r>
    </w:p>
    <w:p w14:paraId="30B4138F" w14:textId="77777777" w:rsidR="004A3683" w:rsidRPr="004A3683" w:rsidRDefault="004A3683" w:rsidP="004A3683">
      <w:pPr>
        <w:numPr>
          <w:ilvl w:val="0"/>
          <w:numId w:val="22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4A3683">
        <w:rPr>
          <w:rFonts w:ascii="Helvetica" w:hAnsi="Helvetica" w:cs="Helvetica"/>
          <w:color w:val="222222"/>
          <w:sz w:val="20"/>
          <w:szCs w:val="20"/>
          <w:lang w:eastAsia="en-AU"/>
        </w:rPr>
        <w:t>Detection of varicella-zoster virus antigen by direct fluorescent antibody testing.</w:t>
      </w:r>
    </w:p>
    <w:p w14:paraId="075F20B5" w14:textId="77777777" w:rsidR="004A3683" w:rsidRPr="004A3683" w:rsidRDefault="004A3683" w:rsidP="004A3683">
      <w:pPr>
        <w:shd w:val="clear" w:color="auto" w:fill="FFFFFF"/>
        <w:spacing w:before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4A3683">
        <w:rPr>
          <w:rFonts w:ascii="Helvetica" w:hAnsi="Helvetica" w:cs="Helvetica"/>
          <w:color w:val="222222"/>
          <w:sz w:val="20"/>
          <w:szCs w:val="20"/>
          <w:lang w:eastAsia="en-AU"/>
        </w:rPr>
        <w:t>OR</w:t>
      </w:r>
    </w:p>
    <w:p w14:paraId="6776655E" w14:textId="77777777" w:rsidR="004A3683" w:rsidRPr="004A3683" w:rsidRDefault="004A3683" w:rsidP="004A3683">
      <w:pPr>
        <w:numPr>
          <w:ilvl w:val="0"/>
          <w:numId w:val="23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4A3683">
        <w:rPr>
          <w:rFonts w:ascii="Helvetica" w:hAnsi="Helvetica" w:cs="Helvetica"/>
          <w:color w:val="222222"/>
          <w:sz w:val="20"/>
          <w:szCs w:val="20"/>
          <w:lang w:eastAsia="en-AU"/>
        </w:rPr>
        <w:t>IgG seroconversion or a signiﬁcant increase in antibody level, such as a fourfold or greater rise in titre to varicella-zoster virus (VZV) EXCEPT if the case has received a VZV-containing vaccine eight days to eight weeks prior to convalescent specimen collection.  (NOTE: paired sera must be tested in parallel).</w:t>
      </w:r>
    </w:p>
    <w:p w14:paraId="512EAE4F" w14:textId="2A16713F" w:rsidR="009E0B84" w:rsidRDefault="009E0B84" w:rsidP="004A3683">
      <w:pPr>
        <w:pStyle w:val="Paragraphtext"/>
      </w:pPr>
    </w:p>
    <w:sectPr w:rsidR="009E0B84" w:rsidSect="00022629">
      <w:footerReference w:type="default" r:id="rId12"/>
      <w:type w:val="continuous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CFDCA8" w14:textId="77777777" w:rsidR="004A3683" w:rsidRDefault="004A3683" w:rsidP="006B56BB">
      <w:r>
        <w:separator/>
      </w:r>
    </w:p>
    <w:p w14:paraId="6651018E" w14:textId="77777777" w:rsidR="004A3683" w:rsidRDefault="004A3683"/>
  </w:endnote>
  <w:endnote w:type="continuationSeparator" w:id="0">
    <w:p w14:paraId="6BFBF388" w14:textId="77777777" w:rsidR="004A3683" w:rsidRDefault="004A3683" w:rsidP="006B56BB">
      <w:r>
        <w:continuationSeparator/>
      </w:r>
    </w:p>
    <w:p w14:paraId="3BBA99B3" w14:textId="77777777" w:rsidR="004A3683" w:rsidRDefault="004A3683"/>
  </w:endnote>
  <w:endnote w:type="continuationNotice" w:id="1">
    <w:p w14:paraId="2985CB1E" w14:textId="77777777" w:rsidR="004A3683" w:rsidRDefault="004A36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2469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3FD732" w14:textId="10180E4D" w:rsidR="00CD407A" w:rsidRDefault="004A3683" w:rsidP="004A3683">
            <w:pPr>
              <w:pStyle w:val="Footer"/>
              <w:jc w:val="right"/>
            </w:pPr>
            <w:r w:rsidRPr="004A3683">
              <w:t>Varicella zoster (unspecified)</w:t>
            </w:r>
            <w:r>
              <w:t xml:space="preserve"> </w:t>
            </w:r>
            <w:r w:rsidR="00076AD6">
              <w:t xml:space="preserve">– </w:t>
            </w:r>
            <w:r w:rsidR="00800DEB">
              <w:t>Surveillance</w:t>
            </w:r>
            <w:r w:rsidR="00076AD6">
              <w:t xml:space="preserve"> case definition </w:t>
            </w:r>
            <w:r w:rsidR="00076AD6">
              <w:tab/>
            </w:r>
            <w:r w:rsidR="00076AD6">
              <w:tab/>
            </w:r>
            <w:r w:rsidR="00CD407A">
              <w:t xml:space="preserve">Page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PAGE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  <w:r w:rsidR="00CD407A">
              <w:t xml:space="preserve"> of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NUMPAGES 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3498D2" w14:textId="77777777" w:rsidR="004A3683" w:rsidRDefault="004A3683" w:rsidP="006B56BB">
      <w:r>
        <w:separator/>
      </w:r>
    </w:p>
    <w:p w14:paraId="12D756CE" w14:textId="77777777" w:rsidR="004A3683" w:rsidRDefault="004A3683"/>
  </w:footnote>
  <w:footnote w:type="continuationSeparator" w:id="0">
    <w:p w14:paraId="634006AE" w14:textId="77777777" w:rsidR="004A3683" w:rsidRDefault="004A3683" w:rsidP="006B56BB">
      <w:r>
        <w:continuationSeparator/>
      </w:r>
    </w:p>
    <w:p w14:paraId="2A4D1B5A" w14:textId="77777777" w:rsidR="004A3683" w:rsidRDefault="004A3683"/>
  </w:footnote>
  <w:footnote w:type="continuationNotice" w:id="1">
    <w:p w14:paraId="22240AA5" w14:textId="77777777" w:rsidR="004A3683" w:rsidRDefault="004A36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FC136F"/>
    <w:multiLevelType w:val="multilevel"/>
    <w:tmpl w:val="7CCAF6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363506"/>
    <w:multiLevelType w:val="hybridMultilevel"/>
    <w:tmpl w:val="C55CFE62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235E2"/>
    <w:multiLevelType w:val="multilevel"/>
    <w:tmpl w:val="B6DCB0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CD50FD"/>
    <w:multiLevelType w:val="hybridMultilevel"/>
    <w:tmpl w:val="B3569960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2D31F5"/>
    <w:multiLevelType w:val="multilevel"/>
    <w:tmpl w:val="958C9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273A36"/>
    <w:multiLevelType w:val="multilevel"/>
    <w:tmpl w:val="CAB06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20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15"/>
  </w:num>
  <w:num w:numId="8">
    <w:abstractNumId w:val="19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21"/>
  </w:num>
  <w:num w:numId="17">
    <w:abstractNumId w:val="11"/>
  </w:num>
  <w:num w:numId="18">
    <w:abstractNumId w:val="12"/>
  </w:num>
  <w:num w:numId="19">
    <w:abstractNumId w:val="14"/>
  </w:num>
  <w:num w:numId="20">
    <w:abstractNumId w:val="17"/>
  </w:num>
  <w:num w:numId="21">
    <w:abstractNumId w:val="18"/>
  </w:num>
  <w:num w:numId="22">
    <w:abstractNumId w:val="13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83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6FF0"/>
    <w:rsid w:val="00050176"/>
    <w:rsid w:val="00050342"/>
    <w:rsid w:val="00067456"/>
    <w:rsid w:val="00071506"/>
    <w:rsid w:val="0007154F"/>
    <w:rsid w:val="00076AD6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734"/>
    <w:rsid w:val="002C0CDD"/>
    <w:rsid w:val="002C38C4"/>
    <w:rsid w:val="002E1A1D"/>
    <w:rsid w:val="002E4081"/>
    <w:rsid w:val="002E5B78"/>
    <w:rsid w:val="002F3AE3"/>
    <w:rsid w:val="0030464B"/>
    <w:rsid w:val="0030786C"/>
    <w:rsid w:val="003100AE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05B3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16E8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3683"/>
    <w:rsid w:val="004A78D9"/>
    <w:rsid w:val="004C6BCF"/>
    <w:rsid w:val="004D58BF"/>
    <w:rsid w:val="004E4335"/>
    <w:rsid w:val="004F13EE"/>
    <w:rsid w:val="004F2022"/>
    <w:rsid w:val="004F7C05"/>
    <w:rsid w:val="00501C94"/>
    <w:rsid w:val="00506432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D75EA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2CDA"/>
    <w:rsid w:val="00713558"/>
    <w:rsid w:val="00720D08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4D09"/>
    <w:rsid w:val="007F2220"/>
    <w:rsid w:val="007F4B3E"/>
    <w:rsid w:val="00800DEB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254B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D6B57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344DE"/>
    <w:rsid w:val="00945E7F"/>
    <w:rsid w:val="009557C1"/>
    <w:rsid w:val="00960D6E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E0B84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2AD3"/>
    <w:rsid w:val="00A4512D"/>
    <w:rsid w:val="00A50244"/>
    <w:rsid w:val="00A627D7"/>
    <w:rsid w:val="00A656C7"/>
    <w:rsid w:val="00A705AF"/>
    <w:rsid w:val="00A72454"/>
    <w:rsid w:val="00A77696"/>
    <w:rsid w:val="00A80557"/>
    <w:rsid w:val="00A81D33"/>
    <w:rsid w:val="00A8341C"/>
    <w:rsid w:val="00A930AE"/>
    <w:rsid w:val="00A9567F"/>
    <w:rsid w:val="00AA1A95"/>
    <w:rsid w:val="00AA260F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310E"/>
    <w:rsid w:val="00B04580"/>
    <w:rsid w:val="00B04B09"/>
    <w:rsid w:val="00B14926"/>
    <w:rsid w:val="00B16A51"/>
    <w:rsid w:val="00B32222"/>
    <w:rsid w:val="00B3618D"/>
    <w:rsid w:val="00B36233"/>
    <w:rsid w:val="00B42851"/>
    <w:rsid w:val="00B45AC7"/>
    <w:rsid w:val="00B5372F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D407A"/>
    <w:rsid w:val="00CE03CA"/>
    <w:rsid w:val="00CE22F1"/>
    <w:rsid w:val="00CE50F2"/>
    <w:rsid w:val="00CE60AF"/>
    <w:rsid w:val="00CE6502"/>
    <w:rsid w:val="00CF7D3C"/>
    <w:rsid w:val="00D01F09"/>
    <w:rsid w:val="00D147EB"/>
    <w:rsid w:val="00D34667"/>
    <w:rsid w:val="00D401E1"/>
    <w:rsid w:val="00D408B4"/>
    <w:rsid w:val="00D524C8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DF7652"/>
    <w:rsid w:val="00E042D8"/>
    <w:rsid w:val="00E07EE7"/>
    <w:rsid w:val="00E1103B"/>
    <w:rsid w:val="00E17B44"/>
    <w:rsid w:val="00E20F27"/>
    <w:rsid w:val="00E22443"/>
    <w:rsid w:val="00E27FEA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5E9A"/>
    <w:rsid w:val="00EC7744"/>
    <w:rsid w:val="00ED0DAD"/>
    <w:rsid w:val="00ED0F46"/>
    <w:rsid w:val="00ED2373"/>
    <w:rsid w:val="00ED361A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2E9C7B"/>
  <w15:docId w15:val="{04B8AA7A-288F-400C-8C8F-6CC2ACB7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F5F4D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376E2"/>
    <w:pPr>
      <w:keepNext/>
      <w:spacing w:before="240" w:after="60"/>
      <w:outlineLvl w:val="0"/>
    </w:pPr>
    <w:rPr>
      <w:rFonts w:cs="Arial"/>
      <w:bCs/>
      <w:color w:val="3F4A75"/>
      <w:kern w:val="28"/>
      <w:sz w:val="36"/>
      <w:szCs w:val="36"/>
    </w:rPr>
  </w:style>
  <w:style w:type="paragraph" w:styleId="Heading2">
    <w:name w:val="heading 2"/>
    <w:next w:val="Paragraphtext"/>
    <w:link w:val="Heading2Char"/>
    <w:uiPriority w:val="9"/>
    <w:qFormat/>
    <w:rsid w:val="008376E2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link w:val="Heading3Char"/>
    <w:uiPriority w:val="9"/>
    <w:qFormat/>
    <w:rsid w:val="00DF7652"/>
    <w:pPr>
      <w:keepNext/>
      <w:spacing w:before="180" w:after="60"/>
      <w:outlineLvl w:val="2"/>
    </w:pPr>
    <w:rPr>
      <w:rFonts w:ascii="Arial" w:hAnsi="Arial" w:cs="Arial"/>
      <w:bCs/>
      <w:color w:val="358189"/>
      <w:sz w:val="24"/>
      <w:szCs w:val="26"/>
      <w:lang w:eastAsia="en-US"/>
    </w:rPr>
  </w:style>
  <w:style w:type="paragraph" w:styleId="Heading4">
    <w:name w:val="heading 4"/>
    <w:basedOn w:val="Normal"/>
    <w:next w:val="Normal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uiPriority w:val="22"/>
    <w:qFormat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3100AE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3100AE"/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EC5E9A"/>
    <w:pPr>
      <w:spacing w:before="480" w:after="120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EC5E9A"/>
    <w:rPr>
      <w:rFonts w:ascii="Arial" w:eastAsiaTheme="majorEastAsia" w:hAnsi="Arial" w:cstheme="majorBidi"/>
      <w:b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48593C"/>
    <w:pPr>
      <w:numPr>
        <w:numId w:val="19"/>
      </w:numPr>
    </w:pPr>
  </w:style>
  <w:style w:type="paragraph" w:styleId="ListBullet">
    <w:name w:val="List Bullet"/>
    <w:basedOn w:val="Normal"/>
    <w:qFormat/>
    <w:rsid w:val="0048593C"/>
    <w:pPr>
      <w:numPr>
        <w:numId w:val="17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pPr>
      <w:spacing w:before="120" w:after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B16A51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Title"/>
    <w:qFormat/>
    <w:rsid w:val="00EC5E9A"/>
    <w:pPr>
      <w:spacing w:after="240" w:line="360" w:lineRule="auto"/>
    </w:pPr>
    <w:rPr>
      <w:b w:val="0"/>
      <w:color w:val="000000" w:themeColor="text1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 w:after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character" w:customStyle="1" w:styleId="Heading2Char">
    <w:name w:val="Heading 2 Char"/>
    <w:basedOn w:val="DefaultParagraphFont"/>
    <w:link w:val="Heading2"/>
    <w:uiPriority w:val="9"/>
    <w:rsid w:val="004A3683"/>
    <w:rPr>
      <w:rFonts w:ascii="Arial" w:hAnsi="Arial" w:cs="Arial"/>
      <w:bCs/>
      <w:iCs/>
      <w:color w:val="358189"/>
      <w:sz w:val="32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A3683"/>
    <w:rPr>
      <w:rFonts w:ascii="Arial" w:hAnsi="Arial" w:cs="Arial"/>
      <w:bCs/>
      <w:color w:val="358189"/>
      <w:sz w:val="24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A3683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923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8004192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47090707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entral.health\dfsuserenv\Users\User_01\ARNOMA\Documents\Surveillance%20Case%20Definitions\CDNA%20surveillance%20case%20defini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17076F0871349BCBE5A6EC7EEC4B3" ma:contentTypeVersion="35" ma:contentTypeDescription="Create a new document." ma:contentTypeScope="" ma:versionID="daa902607d3782abc6b39da5c7377c17">
  <xsd:schema xmlns:xsd="http://www.w3.org/2001/XMLSchema" xmlns:xs="http://www.w3.org/2001/XMLSchema" xmlns:p="http://schemas.microsoft.com/office/2006/metadata/properties" xmlns:ns2="dcf7b372-aaaa-46d8-9da6-ade9aab953df" xmlns:ns3="236487dd-ec90-4f99-8970-1318e5f29791" xmlns:ns4="http://schemas.microsoft.com/sharepoint/v3/fields" targetNamespace="http://schemas.microsoft.com/office/2006/metadata/properties" ma:root="true" ma:fieldsID="6786407172af4bf6979b7e88cf4c144d" ns2:_="" ns3:_="" ns4:_="">
    <xsd:import namespace="dcf7b372-aaaa-46d8-9da6-ade9aab953df"/>
    <xsd:import namespace="236487dd-ec90-4f99-8970-1318e5f2979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Reviewer" minOccurs="0"/>
                <xsd:element ref="ns2:Status" minOccurs="0"/>
                <xsd:element ref="ns2:Subtypes" minOccurs="0"/>
                <xsd:element ref="ns2:URLpattern" minOccurs="0"/>
                <xsd:element ref="ns3:TaxCatchAll" minOccurs="0"/>
                <xsd:element ref="ns2:lcf76f155ced4ddcb4097134ff3c332f" minOccurs="0"/>
                <xsd:element ref="ns2:Modified_x0020_by0" minOccurs="0"/>
                <xsd:element ref="ns4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7b372-aaaa-46d8-9da6-ade9aab95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Reviewer" ma:index="21" nillable="true" ma:displayName="Use case" ma:description="Who is reviewing the content to ensure it is current, accurate and relevant?" ma:format="Dropdown" ma:internalName="Reviewer">
      <xsd:simpleType>
        <xsd:restriction base="dms:Text">
          <xsd:maxLength value="255"/>
        </xsd:restriction>
      </xsd:simpleType>
    </xsd:element>
    <xsd:element name="Status" ma:index="22" nillable="true" ma:displayName="Status" ma:format="Dropdown" ma:internalName="Status">
      <xsd:simpleType>
        <xsd:restriction base="dms:Choice">
          <xsd:enumeration value="Not started"/>
          <xsd:enumeration value="Drafting"/>
          <xsd:enumeration value="Ready for review"/>
          <xsd:enumeration value="Reviewed"/>
          <xsd:enumeration value="Ready for approval"/>
          <xsd:enumeration value="Blocked"/>
          <xsd:enumeration value="Published"/>
          <xsd:enumeration value="Archived"/>
        </xsd:restriction>
      </xsd:simpleType>
    </xsd:element>
    <xsd:element name="Subtypes" ma:index="23" nillable="true" ma:displayName="Subtypes" ma:description="Subtypes available to the template&#10;" ma:format="Dropdown" ma:internalName="Subtypes">
      <xsd:simpleType>
        <xsd:restriction base="dms:Note">
          <xsd:maxLength value="255"/>
        </xsd:restriction>
      </xsd:simpleType>
    </xsd:element>
    <xsd:element name="URLpattern" ma:index="24" nillable="true" ma:displayName="URL pattern" ma:description="The URL pattern to be followed for all objects of this type" ma:format="Dropdown" ma:internalName="URLpattern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dified_x0020_by0" ma:index="28" nillable="true" ma:displayName="Modified by" ma:list="UserInfo" ma:SharePointGroup="0" ma:internalName="Modified_x0020_by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487dd-ec90-4f99-8970-1318e5f29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c229c01-420d-4fb4-94f6-2b9ca1e2fb91}" ma:internalName="TaxCatchAll" ma:showField="CatchAllData" ma:web="236487dd-ec90-4f99-8970-1318e5f2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29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cf7b372-aaaa-46d8-9da6-ade9aab953df" xsi:nil="true"/>
    <URLpattern xmlns="dcf7b372-aaaa-46d8-9da6-ade9aab953df" xsi:nil="true"/>
    <Reviewer xmlns="dcf7b372-aaaa-46d8-9da6-ade9aab953df" xsi:nil="true"/>
    <_Flow_SignoffStatus xmlns="dcf7b372-aaaa-46d8-9da6-ade9aab953df" xsi:nil="true"/>
    <Subtypes xmlns="dcf7b372-aaaa-46d8-9da6-ade9aab953df" xsi:nil="true"/>
    <TaxCatchAll xmlns="236487dd-ec90-4f99-8970-1318e5f29791" xsi:nil="true"/>
    <_DCDateModified xmlns="http://schemas.microsoft.com/sharepoint/v3/fields" xsi:nil="true"/>
    <lcf76f155ced4ddcb4097134ff3c332f xmlns="dcf7b372-aaaa-46d8-9da6-ade9aab953df">
      <Terms xmlns="http://schemas.microsoft.com/office/infopath/2007/PartnerControls"/>
    </lcf76f155ced4ddcb4097134ff3c332f>
    <Modified_x0020_by0 xmlns="dcf7b372-aaaa-46d8-9da6-ade9aab953df">
      <UserInfo>
        <DisplayName/>
        <AccountId xsi:nil="true"/>
        <AccountType/>
      </UserInfo>
    </Modified_x0020_by0>
  </documentManagement>
</p:properties>
</file>

<file path=customXml/itemProps1.xml><?xml version="1.0" encoding="utf-8"?>
<ds:datastoreItem xmlns:ds="http://schemas.openxmlformats.org/officeDocument/2006/customXml" ds:itemID="{22C2330B-A411-4FD1-8CEF-F66C19022EFD}"/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3348D2-979D-4E78-A679-D0D2312302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36487dd-ec90-4f99-8970-1318e5f29791"/>
    <ds:schemaRef ds:uri="http://purl.org/dc/elements/1.1/"/>
    <ds:schemaRef ds:uri="http://schemas.microsoft.com/office/2006/metadata/properties"/>
    <ds:schemaRef ds:uri="dcf7b372-aaaa-46d8-9da6-ade9aab953d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CDNA surveillance case definition template.dotx</Template>
  <TotalTime>2</TotalTime>
  <Pages>2</Pages>
  <Words>235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Surveillance case definition</vt:lpstr>
    </vt:vector>
  </TitlesOfParts>
  <Company>Dept Health And Ageing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Varicella zoster (unspecified) – Surveillance case definition</dc:title>
  <dc:creator>Communicable Diseases Network Australia</dc:creator>
  <cp:keywords>Communicable diseases</cp:keywords>
  <cp:lastModifiedBy>ARNOLD, Max</cp:lastModifiedBy>
  <cp:revision>2</cp:revision>
  <dcterms:created xsi:type="dcterms:W3CDTF">2022-06-08T03:11:00Z</dcterms:created>
  <dcterms:modified xsi:type="dcterms:W3CDTF">2022-06-08T03:13:00Z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0x010100BA217076F0871349BCBE5A6EC7EEC4B3</vt:lpwstr>
  </property>
</Properties>
</file>