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14CE1328" w14:textId="77777777" w:rsidTr="00800DEB">
        <w:tc>
          <w:tcPr>
            <w:tcW w:w="2547" w:type="dxa"/>
          </w:tcPr>
          <w:p w14:paraId="56931B51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6769A9FC" wp14:editId="5BAB224E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648BC78B" w14:textId="3C5040AB" w:rsidR="00800DEB" w:rsidRDefault="00A249C5" w:rsidP="00800DEB">
            <w:pPr>
              <w:pStyle w:val="Title"/>
            </w:pPr>
            <w:r w:rsidRPr="00A249C5">
              <w:t>Syphilis (less than 2 years duration)</w:t>
            </w:r>
          </w:p>
          <w:p w14:paraId="61730685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40C19C27" w14:textId="738592C7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A249C5">
        <w:t>s</w:t>
      </w:r>
      <w:r w:rsidR="00A249C5" w:rsidRPr="00A249C5">
        <w:t>yphilis (less than 2 years duration)</w:t>
      </w:r>
      <w:r w:rsidR="00A249C5">
        <w:t>,</w:t>
      </w:r>
      <w:r w:rsidR="00A249C5" w:rsidRPr="00A249C5">
        <w:t xml:space="preserve">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860"/>
        <w:gridCol w:w="1306"/>
        <w:gridCol w:w="1881"/>
      </w:tblGrid>
      <w:tr w:rsidR="00800DEB" w:rsidRPr="00872414" w14:paraId="5F170DED" w14:textId="77777777" w:rsidTr="00A24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906DF7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65D788DA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18A9F128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4A955CD4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65E48CEA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7E1FEE" w14:textId="50773D64" w:rsidR="00800DEB" w:rsidRPr="00A249C5" w:rsidRDefault="00A249C5" w:rsidP="00A249C5">
            <w:pPr>
              <w:pStyle w:val="TableText"/>
            </w:pPr>
            <w:r w:rsidRPr="00A249C5">
              <w:t>1.2</w:t>
            </w:r>
          </w:p>
        </w:tc>
        <w:tc>
          <w:tcPr>
            <w:tcW w:w="0" w:type="auto"/>
          </w:tcPr>
          <w:p w14:paraId="1BFDB86E" w14:textId="77777777" w:rsidR="00A249C5" w:rsidRDefault="00A249C5" w:rsidP="00A249C5">
            <w:pPr>
              <w:pStyle w:val="NormalWeb"/>
              <w:shd w:val="clear" w:color="auto" w:fill="FFFFFF"/>
              <w:spacing w:before="240" w:beforeAutospacing="0" w:after="240" w:afterAutospacing="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Change name </w:t>
            </w:r>
            <w:proofErr w:type="spellStart"/>
            <w:proofErr w:type="gramStart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from‘</w:t>
            </w:r>
            <w:proofErr w:type="gram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Syphilis</w:t>
            </w:r>
            <w:proofErr w:type="spell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– less than 2 years duration (infectious - primary, secondary and early latent)’ to ‘</w:t>
            </w:r>
            <w:r>
              <w:rPr>
                <w:rStyle w:val="Strong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Infectious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Syphilis – less than two years duration (includes primary, secondary and early latent)’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Include new case definition for </w:t>
            </w:r>
            <w:r>
              <w:rPr>
                <w:rStyle w:val="Strong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infectious syphilis, probable case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.</w:t>
            </w:r>
          </w:p>
          <w:p w14:paraId="6F990928" w14:textId="77777777" w:rsidR="00A249C5" w:rsidRDefault="00A249C5" w:rsidP="00A249C5">
            <w:pPr>
              <w:pStyle w:val="NormalWeb"/>
              <w:shd w:val="clear" w:color="auto" w:fill="FFFFFF"/>
              <w:spacing w:before="0" w:beforeAutospacing="0" w:after="240" w:afterAutospacing="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Reporting</w:t>
            </w:r>
          </w:p>
          <w:p w14:paraId="5D014262" w14:textId="77777777" w:rsidR="00A249C5" w:rsidRDefault="00A249C5" w:rsidP="00A249C5">
            <w:pPr>
              <w:pStyle w:val="NormalWeb"/>
              <w:shd w:val="clear" w:color="auto" w:fill="FFFFFF"/>
              <w:spacing w:before="0" w:beforeAutospacing="0" w:after="240" w:afterAutospacing="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Both confirmed and probable cases should be notified.</w:t>
            </w:r>
          </w:p>
          <w:p w14:paraId="145C9760" w14:textId="77777777" w:rsidR="00A249C5" w:rsidRDefault="00A249C5" w:rsidP="00A249C5">
            <w:pPr>
              <w:pStyle w:val="NormalWeb"/>
              <w:shd w:val="clear" w:color="auto" w:fill="FFFFFF"/>
              <w:spacing w:before="0" w:beforeAutospacing="0" w:after="240" w:afterAutospacing="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Laboratory definitive evidence</w:t>
            </w:r>
          </w:p>
          <w:p w14:paraId="0B9BB758" w14:textId="7AF36488" w:rsidR="00800DEB" w:rsidRPr="00A249C5" w:rsidRDefault="00A249C5" w:rsidP="00A249C5">
            <w:pPr>
              <w:pStyle w:val="NormalWeb"/>
              <w:shd w:val="clear" w:color="auto" w:fill="FFFFFF"/>
              <w:spacing w:before="0" w:beforeAutospacing="0" w:after="240" w:afterAutospacing="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Move details regarding treponemal tests to notes section.</w:t>
            </w:r>
          </w:p>
        </w:tc>
        <w:tc>
          <w:tcPr>
            <w:tcW w:w="0" w:type="auto"/>
          </w:tcPr>
          <w:p w14:paraId="6C962000" w14:textId="77777777" w:rsidR="00A249C5" w:rsidRDefault="00A249C5" w:rsidP="00A249C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D56230" w14:textId="3409873E" w:rsidR="00800DEB" w:rsidRPr="00872414" w:rsidRDefault="00A249C5" w:rsidP="00A249C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49C5">
              <w:t>May 2014</w:t>
            </w:r>
            <w:r w:rsidRPr="00A249C5">
              <w:tab/>
            </w:r>
          </w:p>
        </w:tc>
        <w:tc>
          <w:tcPr>
            <w:tcW w:w="0" w:type="auto"/>
          </w:tcPr>
          <w:p w14:paraId="02518FBC" w14:textId="77777777" w:rsidR="00A249C5" w:rsidRDefault="00A249C5" w:rsidP="00A249C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24C69E" w14:textId="20589B7B" w:rsidR="00800DEB" w:rsidRPr="00872414" w:rsidRDefault="00A249C5" w:rsidP="00A249C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49C5">
              <w:t>1 July 2015</w:t>
            </w:r>
          </w:p>
        </w:tc>
      </w:tr>
      <w:tr w:rsidR="00800DEB" w:rsidRPr="00872414" w14:paraId="02A5E0EB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FECDF8" w14:textId="5604ADCE" w:rsidR="00800DEB" w:rsidRPr="00872414" w:rsidRDefault="00A249C5" w:rsidP="00A249C5">
            <w:pPr>
              <w:pStyle w:val="TableText"/>
            </w:pPr>
            <w:r>
              <w:t>1.1</w:t>
            </w:r>
          </w:p>
        </w:tc>
        <w:tc>
          <w:tcPr>
            <w:tcW w:w="0" w:type="auto"/>
          </w:tcPr>
          <w:p w14:paraId="412816D4" w14:textId="77777777" w:rsidR="00A249C5" w:rsidRDefault="00A249C5" w:rsidP="00A249C5">
            <w:pPr>
              <w:pStyle w:val="NormalWeb"/>
              <w:shd w:val="clear" w:color="auto" w:fill="FFFFFF"/>
              <w:spacing w:before="240" w:beforeAutospacing="0" w:after="240" w:afterAutospacing="0" w:line="3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Lab Definitive evidence: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 Point 1: “… and the latest result is confirmed by either a reactive </w:t>
            </w:r>
            <w:proofErr w:type="spellStart"/>
            <w:proofErr w:type="gramStart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non specific</w:t>
            </w:r>
            <w:proofErr w:type="spellEnd"/>
            <w:proofErr w:type="gram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treponemal test or a different specific treponemal test result.” Added.</w:t>
            </w:r>
          </w:p>
          <w:p w14:paraId="3A00AA91" w14:textId="77777777" w:rsidR="00A249C5" w:rsidRDefault="00A249C5" w:rsidP="00A249C5">
            <w:pPr>
              <w:pStyle w:val="NormalWeb"/>
              <w:shd w:val="clear" w:color="auto" w:fill="FFFFFF"/>
              <w:spacing w:before="0" w:beforeAutospacing="0" w:after="240" w:afterAutospacing="0" w:line="3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lastRenderedPageBreak/>
              <w:t>Lab Suggestive Evidence: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Point 1: “microscopy” added to the “direct fluorescent antibody [microscopy]”</w:t>
            </w:r>
          </w:p>
          <w:p w14:paraId="469C5790" w14:textId="77777777" w:rsidR="00A249C5" w:rsidRDefault="00A249C5" w:rsidP="00A249C5">
            <w:pPr>
              <w:pStyle w:val="NormalWeb"/>
              <w:shd w:val="clear" w:color="auto" w:fill="FFFFFF"/>
              <w:spacing w:before="0" w:beforeAutospacing="0" w:after="240" w:afterAutospacing="0" w:line="3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Significant rework of the remainder of this section including addition of:</w:t>
            </w:r>
          </w:p>
          <w:p w14:paraId="49305838" w14:textId="500F3888" w:rsidR="00800DEB" w:rsidRPr="00A249C5" w:rsidRDefault="00A249C5" w:rsidP="00A249C5">
            <w:pPr>
              <w:pStyle w:val="NormalWeb"/>
              <w:shd w:val="clear" w:color="auto" w:fill="FFFFFF"/>
              <w:spacing w:before="0" w:beforeAutospacing="0" w:after="240" w:afterAutospacing="0" w:line="3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“A reactive specific treponemal test (e.g. IgG enzyme immunoassay, </w:t>
            </w:r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Treponema pallidum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haemagglutination assay, </w:t>
            </w:r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Treponema pallidum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particle agglutination, </w:t>
            </w:r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Treponema pallidum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 immobilisation assay, or fluorescent treponemal antibody absorption), confirmed either by a different specific test or a non-specific treponemal test; OR A reactive non-specific treponemal test (e.g. Venereal Diseases Research Laboratory, Rapid Plasma </w:t>
            </w:r>
            <w:proofErr w:type="spellStart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Reagin</w:t>
            </w:r>
            <w:proofErr w:type="spell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) confirmed by a specific treponemal test (e.g. IgG enzyme immunoassay, </w:t>
            </w:r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Treponema pallidum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haemagglutination assay, </w:t>
            </w:r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Treponema pallidum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particle agglutination, </w:t>
            </w:r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Treponema pallidum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immobilisation assay, or fluorescent treponemal antibody absorption).”</w:t>
            </w:r>
          </w:p>
        </w:tc>
        <w:tc>
          <w:tcPr>
            <w:tcW w:w="0" w:type="auto"/>
          </w:tcPr>
          <w:p w14:paraId="5EB52DDD" w14:textId="5FEEDD9C" w:rsidR="00800DEB" w:rsidRPr="00872414" w:rsidRDefault="00A249C5" w:rsidP="00A249C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49C5">
              <w:lastRenderedPageBreak/>
              <w:t>CDWG O-O-S January 2010</w:t>
            </w:r>
            <w:r w:rsidRPr="00A249C5">
              <w:tab/>
            </w:r>
          </w:p>
        </w:tc>
        <w:tc>
          <w:tcPr>
            <w:tcW w:w="0" w:type="auto"/>
          </w:tcPr>
          <w:p w14:paraId="67AD6919" w14:textId="64363A5C" w:rsidR="00800DEB" w:rsidRPr="00872414" w:rsidRDefault="00A249C5" w:rsidP="00A249C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249C5">
              <w:t>1 January 2011</w:t>
            </w:r>
          </w:p>
        </w:tc>
      </w:tr>
      <w:tr w:rsidR="00A249C5" w:rsidRPr="00872414" w14:paraId="63FD78B6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5C6FD6" w14:textId="7D1629F7" w:rsidR="00A249C5" w:rsidRPr="00872414" w:rsidRDefault="00A249C5" w:rsidP="00A249C5">
            <w:pPr>
              <w:pStyle w:val="TableText"/>
            </w:pPr>
            <w:r>
              <w:t>1.0</w:t>
            </w:r>
          </w:p>
        </w:tc>
        <w:tc>
          <w:tcPr>
            <w:tcW w:w="0" w:type="auto"/>
          </w:tcPr>
          <w:p w14:paraId="773B60BF" w14:textId="6ACCCC4A" w:rsidR="00A249C5" w:rsidRPr="00872414" w:rsidRDefault="00A249C5" w:rsidP="00A249C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hd w:val="clear" w:color="auto" w:fill="FFFFFF"/>
              </w:rPr>
              <w:t>Initial case definition</w:t>
            </w:r>
          </w:p>
        </w:tc>
        <w:tc>
          <w:tcPr>
            <w:tcW w:w="0" w:type="auto"/>
          </w:tcPr>
          <w:p w14:paraId="3BFB70D4" w14:textId="0DD365DE" w:rsidR="00A249C5" w:rsidRPr="00872414" w:rsidRDefault="00A249C5" w:rsidP="00A249C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2004</w:t>
            </w:r>
          </w:p>
        </w:tc>
        <w:tc>
          <w:tcPr>
            <w:tcW w:w="0" w:type="auto"/>
          </w:tcPr>
          <w:p w14:paraId="38244F28" w14:textId="379FAF9F" w:rsidR="00A249C5" w:rsidRPr="00872414" w:rsidRDefault="00A249C5" w:rsidP="00A249C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2004</w:t>
            </w:r>
          </w:p>
        </w:tc>
      </w:tr>
    </w:tbl>
    <w:p w14:paraId="4634085F" w14:textId="77777777" w:rsidR="00A249C5" w:rsidRPr="00A249C5" w:rsidRDefault="00A249C5" w:rsidP="00A249C5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A249C5">
        <w:rPr>
          <w:rFonts w:ascii="Open Sans" w:hAnsi="Open Sans" w:cs="Open Sans"/>
          <w:color w:val="000000"/>
          <w:sz w:val="36"/>
          <w:szCs w:val="36"/>
          <w:lang w:eastAsia="en-AU"/>
        </w:rPr>
        <w:t>Reporting</w:t>
      </w:r>
    </w:p>
    <w:p w14:paraId="55320851" w14:textId="77777777" w:rsidR="00A249C5" w:rsidRPr="00A249C5" w:rsidRDefault="00A249C5" w:rsidP="00A249C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</w:t>
      </w: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A249C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 cases</w:t>
      </w: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 should be notified.</w:t>
      </w:r>
    </w:p>
    <w:p w14:paraId="7B75E32A" w14:textId="77777777" w:rsidR="00A249C5" w:rsidRPr="00A249C5" w:rsidRDefault="00A249C5" w:rsidP="00A249C5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A249C5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7498B6FE" w14:textId="77777777" w:rsidR="00A249C5" w:rsidRPr="00A249C5" w:rsidRDefault="00A249C5" w:rsidP="00A249C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 either:</w:t>
      </w:r>
    </w:p>
    <w:p w14:paraId="21B12E7A" w14:textId="77777777" w:rsidR="00A249C5" w:rsidRPr="00A249C5" w:rsidRDefault="00A249C5" w:rsidP="00A249C5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Laboratory definitive evidence</w:t>
      </w:r>
    </w:p>
    <w:p w14:paraId="2550D012" w14:textId="77777777" w:rsidR="00A249C5" w:rsidRPr="00A249C5" w:rsidRDefault="00A249C5" w:rsidP="00A249C5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284AFC89" w14:textId="77777777" w:rsidR="00A249C5" w:rsidRPr="00A249C5" w:rsidRDefault="00A249C5" w:rsidP="00A249C5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Laboratory suggestive evidence </w:t>
      </w:r>
      <w:r w:rsidRPr="00A249C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AND</w:t>
      </w: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 clinical evidence.</w:t>
      </w:r>
    </w:p>
    <w:p w14:paraId="5FC6DDDF" w14:textId="77777777" w:rsidR="00A249C5" w:rsidRPr="00A249C5" w:rsidRDefault="00A249C5" w:rsidP="00A249C5">
      <w:pPr>
        <w:shd w:val="clear" w:color="auto" w:fill="FFFFFF"/>
        <w:spacing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A249C5">
        <w:rPr>
          <w:rFonts w:ascii="Open Sans" w:hAnsi="Open Sans" w:cs="Open Sans"/>
          <w:color w:val="000000"/>
          <w:sz w:val="24"/>
          <w:lang w:eastAsia="en-AU"/>
        </w:rPr>
        <w:t>Laboratory definitive evidence</w:t>
      </w:r>
    </w:p>
    <w:p w14:paraId="6B3AA680" w14:textId="77777777" w:rsidR="00A249C5" w:rsidRPr="00A249C5" w:rsidRDefault="00A249C5" w:rsidP="00A249C5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Seroconversion in past two years: treponemal specific </w:t>
      </w:r>
      <w:proofErr w:type="spellStart"/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testa</w:t>
      </w:r>
      <w:proofErr w:type="spellEnd"/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reactive when previous treponemal specific test non-reactive within past two years and the latest result is confirmed by either a reactive non-treponemal </w:t>
      </w:r>
      <w:proofErr w:type="spellStart"/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testb</w:t>
      </w:r>
      <w:proofErr w:type="spellEnd"/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or a different reactive treponemal specific test</w:t>
      </w:r>
    </w:p>
    <w:p w14:paraId="44126B52" w14:textId="77777777" w:rsidR="00A249C5" w:rsidRPr="00A249C5" w:rsidRDefault="00A249C5" w:rsidP="00A249C5">
      <w:pPr>
        <w:keepNext/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lastRenderedPageBreak/>
        <w:t>OR</w:t>
      </w:r>
    </w:p>
    <w:p w14:paraId="11ABF525" w14:textId="77777777" w:rsidR="00A249C5" w:rsidRPr="00A249C5" w:rsidRDefault="00A249C5" w:rsidP="00A249C5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A fourfold or greater rise in non-treponemal antibody titre compared with the titre within past two years, and a reactive treponemal specific test</w:t>
      </w:r>
    </w:p>
    <w:p w14:paraId="0CE84371" w14:textId="77777777" w:rsidR="00A249C5" w:rsidRPr="00A249C5" w:rsidRDefault="00A249C5" w:rsidP="00A249C5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suggestive evidence</w:t>
      </w:r>
    </w:p>
    <w:p w14:paraId="457005F7" w14:textId="77777777" w:rsidR="00A249C5" w:rsidRPr="00A249C5" w:rsidRDefault="00A249C5" w:rsidP="00A249C5">
      <w:pPr>
        <w:numPr>
          <w:ilvl w:val="0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Demonstration of </w:t>
      </w:r>
      <w:r w:rsidRPr="00A249C5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Treponema pallidum </w:t>
      </w: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by darkfield microscopy (not oral lesions), direct fluorescent antibody microscopy (direct antigen test), equivalent microscopic methods (</w:t>
      </w:r>
      <w:proofErr w:type="spellStart"/>
      <w:proofErr w:type="gramStart"/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eg</w:t>
      </w:r>
      <w:proofErr w:type="spellEnd"/>
      <w:proofErr w:type="gramEnd"/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silver stains), or DNA methods (</w:t>
      </w:r>
      <w:proofErr w:type="spellStart"/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eg</w:t>
      </w:r>
      <w:proofErr w:type="spellEnd"/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nucleic acid testing)</w:t>
      </w:r>
    </w:p>
    <w:p w14:paraId="75A1AC3E" w14:textId="77777777" w:rsidR="00A249C5" w:rsidRPr="00A249C5" w:rsidRDefault="00A249C5" w:rsidP="00A249C5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5659CCB8" w14:textId="77777777" w:rsidR="00A249C5" w:rsidRPr="00A249C5" w:rsidRDefault="00A249C5" w:rsidP="00A249C5">
      <w:pPr>
        <w:numPr>
          <w:ilvl w:val="0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A reactive treponemal specific test confirmed by either a reactive non-treponemal test or a different reactive treponemal specific test</w:t>
      </w:r>
    </w:p>
    <w:p w14:paraId="4E0F94F8" w14:textId="77777777" w:rsidR="00A249C5" w:rsidRPr="00A249C5" w:rsidRDefault="00A249C5" w:rsidP="00A249C5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229CE759" w14:textId="5924B32F" w:rsidR="00A249C5" w:rsidRPr="00A249C5" w:rsidRDefault="00A249C5" w:rsidP="00A249C5">
      <w:pPr>
        <w:numPr>
          <w:ilvl w:val="0"/>
          <w:numId w:val="22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A reactive non- treponemal test confirmed by a treponemal specific test</w:t>
      </w:r>
      <w:hyperlink r:id="rId12" w:anchor="top" w:history="1"/>
    </w:p>
    <w:p w14:paraId="78640045" w14:textId="77777777" w:rsidR="00A249C5" w:rsidRPr="00A249C5" w:rsidRDefault="00A249C5" w:rsidP="00A249C5">
      <w:pPr>
        <w:shd w:val="clear" w:color="auto" w:fill="FFFFFF"/>
        <w:spacing w:before="240"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A249C5">
        <w:rPr>
          <w:rFonts w:ascii="Open Sans" w:hAnsi="Open Sans" w:cs="Open Sans"/>
          <w:color w:val="000000"/>
          <w:sz w:val="24"/>
          <w:lang w:eastAsia="en-AU"/>
        </w:rPr>
        <w:t>Clinical evidence</w:t>
      </w:r>
    </w:p>
    <w:p w14:paraId="2F6B4716" w14:textId="77777777" w:rsidR="00A249C5" w:rsidRPr="00A249C5" w:rsidRDefault="00A249C5" w:rsidP="00A249C5">
      <w:pPr>
        <w:numPr>
          <w:ilvl w:val="0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Presence of a primary chancre (or ulcer)</w:t>
      </w:r>
    </w:p>
    <w:p w14:paraId="4192DFBF" w14:textId="77777777" w:rsidR="00A249C5" w:rsidRPr="00A249C5" w:rsidRDefault="00A249C5" w:rsidP="00A249C5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3A9E8A8A" w14:textId="77777777" w:rsidR="00A249C5" w:rsidRPr="00A249C5" w:rsidRDefault="00A249C5" w:rsidP="00A249C5">
      <w:pPr>
        <w:numPr>
          <w:ilvl w:val="0"/>
          <w:numId w:val="23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Clinical signs of secondary syphilis.</w:t>
      </w:r>
    </w:p>
    <w:p w14:paraId="6F35960A" w14:textId="77777777" w:rsidR="00A249C5" w:rsidRPr="00A249C5" w:rsidRDefault="00A249C5" w:rsidP="00A249C5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A249C5">
        <w:rPr>
          <w:rFonts w:ascii="Open Sans" w:hAnsi="Open Sans" w:cs="Open Sans"/>
          <w:color w:val="000000"/>
          <w:sz w:val="27"/>
          <w:szCs w:val="27"/>
          <w:lang w:eastAsia="en-AU"/>
        </w:rPr>
        <w:t>Probable case</w:t>
      </w:r>
    </w:p>
    <w:p w14:paraId="75C9E987" w14:textId="77777777" w:rsidR="00A249C5" w:rsidRPr="00A249C5" w:rsidRDefault="00A249C5" w:rsidP="00A249C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A probable case requires that case does not meet the criteria for a confirmed case AND</w:t>
      </w:r>
    </w:p>
    <w:p w14:paraId="5E10CF76" w14:textId="77777777" w:rsidR="00A249C5" w:rsidRPr="00A249C5" w:rsidRDefault="00A249C5" w:rsidP="00A249C5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Either:</w:t>
      </w:r>
    </w:p>
    <w:p w14:paraId="45F3BF9A" w14:textId="77777777" w:rsidR="00A249C5" w:rsidRPr="00A249C5" w:rsidRDefault="00A249C5" w:rsidP="00A249C5">
      <w:pPr>
        <w:numPr>
          <w:ilvl w:val="0"/>
          <w:numId w:val="24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In a person with no known previous reactive serology: no history of adequate treatment of syphilis, or endemic treponemal disease, and</w:t>
      </w:r>
    </w:p>
    <w:p w14:paraId="330A59B4" w14:textId="77777777" w:rsidR="00A249C5" w:rsidRPr="00A249C5" w:rsidRDefault="00A249C5" w:rsidP="00A249C5">
      <w:pPr>
        <w:numPr>
          <w:ilvl w:val="0"/>
          <w:numId w:val="25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Contact with an infectious case </w:t>
      </w:r>
      <w:r w:rsidRPr="00A249C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AND</w:t>
      </w: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 laboratory suggestive evidence.</w:t>
      </w:r>
    </w:p>
    <w:p w14:paraId="2F20114E" w14:textId="77777777" w:rsidR="00A249C5" w:rsidRPr="00A249C5" w:rsidRDefault="00A249C5" w:rsidP="00A249C5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C4498AD" w14:textId="77777777" w:rsidR="00A249C5" w:rsidRPr="00A249C5" w:rsidRDefault="00A249C5" w:rsidP="00A249C5">
      <w:pPr>
        <w:numPr>
          <w:ilvl w:val="0"/>
          <w:numId w:val="25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Laboratory suggestive evidence </w:t>
      </w:r>
      <w:r w:rsidRPr="00A249C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AND </w:t>
      </w: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RPR ≥16.</w:t>
      </w:r>
    </w:p>
    <w:p w14:paraId="6EA21FA7" w14:textId="77777777" w:rsidR="00A249C5" w:rsidRPr="00A249C5" w:rsidRDefault="00A249C5" w:rsidP="00A249C5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5CA53EC8" w14:textId="77777777" w:rsidR="00A249C5" w:rsidRPr="00A249C5" w:rsidRDefault="00A249C5" w:rsidP="00A249C5">
      <w:pPr>
        <w:numPr>
          <w:ilvl w:val="0"/>
          <w:numId w:val="25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Positive syphilis IgM </w:t>
      </w:r>
      <w:r w:rsidRPr="00A249C5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AND </w:t>
      </w: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laboratory suggestive evidence.</w:t>
      </w:r>
    </w:p>
    <w:p w14:paraId="4A6654E6" w14:textId="77777777" w:rsidR="00A249C5" w:rsidRPr="00A249C5" w:rsidRDefault="00A249C5" w:rsidP="00A249C5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52D3D804" w14:textId="77777777" w:rsidR="00A249C5" w:rsidRPr="00A249C5" w:rsidRDefault="00A249C5" w:rsidP="00A249C5">
      <w:pPr>
        <w:numPr>
          <w:ilvl w:val="0"/>
          <w:numId w:val="25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In a person with previous reactive serology: a fourfold or greater rise in non-treponemal antibody titre when the previous serology was done more than two years ago.</w:t>
      </w:r>
    </w:p>
    <w:p w14:paraId="2412F0D7" w14:textId="77777777" w:rsidR="00A249C5" w:rsidRPr="00A249C5" w:rsidRDefault="00A249C5" w:rsidP="00A249C5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05AE245A" w14:textId="77777777" w:rsidR="00A249C5" w:rsidRPr="00A249C5" w:rsidRDefault="00A249C5" w:rsidP="00A249C5">
      <w:pPr>
        <w:numPr>
          <w:ilvl w:val="0"/>
          <w:numId w:val="25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Contact with an infectious case</w:t>
      </w:r>
    </w:p>
    <w:p w14:paraId="04B545AC" w14:textId="77777777" w:rsidR="00A249C5" w:rsidRPr="00A249C5" w:rsidRDefault="00A249C5" w:rsidP="00A249C5">
      <w:pPr>
        <w:shd w:val="clear" w:color="auto" w:fill="FFFFFF"/>
        <w:spacing w:before="240" w:line="300" w:lineRule="atLeast"/>
        <w:ind w:left="720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31CFD53C" w14:textId="548671A1" w:rsidR="00A249C5" w:rsidRPr="00A249C5" w:rsidRDefault="00A249C5" w:rsidP="00A249C5">
      <w:pPr>
        <w:numPr>
          <w:ilvl w:val="0"/>
          <w:numId w:val="25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Positive syphilis IgM</w:t>
      </w:r>
      <w:hyperlink r:id="rId13" w:anchor="top" w:history="1"/>
    </w:p>
    <w:p w14:paraId="0D343485" w14:textId="77777777" w:rsidR="00A249C5" w:rsidRPr="00A249C5" w:rsidRDefault="00A249C5" w:rsidP="00A249C5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A249C5">
        <w:rPr>
          <w:rFonts w:ascii="Open Sans" w:hAnsi="Open Sans" w:cs="Open Sans"/>
          <w:color w:val="000000"/>
          <w:sz w:val="36"/>
          <w:szCs w:val="36"/>
          <w:lang w:eastAsia="en-AU"/>
        </w:rPr>
        <w:lastRenderedPageBreak/>
        <w:t>Notes</w:t>
      </w:r>
    </w:p>
    <w:p w14:paraId="26CF7E00" w14:textId="77777777" w:rsidR="00A249C5" w:rsidRPr="00A249C5" w:rsidRDefault="00A249C5" w:rsidP="00A249C5">
      <w:pPr>
        <w:numPr>
          <w:ilvl w:val="0"/>
          <w:numId w:val="26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Treponemal specific tests </w:t>
      </w:r>
      <w:proofErr w:type="gramStart"/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are:</w:t>
      </w:r>
      <w:proofErr w:type="gramEnd"/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IgG immunoassay, </w:t>
      </w:r>
      <w:r w:rsidRPr="00A249C5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Treponema pallidum</w:t>
      </w: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 haemagglutination assay, </w:t>
      </w:r>
      <w:r w:rsidRPr="00A249C5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Treponema pallidum</w:t>
      </w: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 particle agglutination assay, Fluorescent Treponemal Antibody Absorption, 19S-IgM antibody test, or IgM immunoassay</w:t>
      </w:r>
    </w:p>
    <w:p w14:paraId="7D84B6E7" w14:textId="7D98534E" w:rsidR="009E0B84" w:rsidRPr="00A249C5" w:rsidRDefault="00A249C5" w:rsidP="00A249C5">
      <w:pPr>
        <w:numPr>
          <w:ilvl w:val="0"/>
          <w:numId w:val="26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Non-treponemal tests </w:t>
      </w:r>
      <w:proofErr w:type="gramStart"/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are;</w:t>
      </w:r>
      <w:proofErr w:type="gramEnd"/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Rapid Plasma </w:t>
      </w:r>
      <w:proofErr w:type="spellStart"/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>Reagin</w:t>
      </w:r>
      <w:proofErr w:type="spellEnd"/>
      <w:r w:rsidRPr="00A249C5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(RPR), Venereal Disease Research Laboratory (VDRL)</w:t>
      </w:r>
    </w:p>
    <w:sectPr w:rsidR="009E0B84" w:rsidRPr="00A249C5" w:rsidSect="00022629">
      <w:footerReference w:type="default" r:id="rId14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C898B" w14:textId="77777777" w:rsidR="00A249C5" w:rsidRDefault="00A249C5" w:rsidP="006B56BB">
      <w:r>
        <w:separator/>
      </w:r>
    </w:p>
    <w:p w14:paraId="34455B0F" w14:textId="77777777" w:rsidR="00A249C5" w:rsidRDefault="00A249C5"/>
  </w:endnote>
  <w:endnote w:type="continuationSeparator" w:id="0">
    <w:p w14:paraId="508E94D2" w14:textId="77777777" w:rsidR="00A249C5" w:rsidRDefault="00A249C5" w:rsidP="006B56BB">
      <w:r>
        <w:continuationSeparator/>
      </w:r>
    </w:p>
    <w:p w14:paraId="08F02A96" w14:textId="77777777" w:rsidR="00A249C5" w:rsidRDefault="00A249C5"/>
  </w:endnote>
  <w:endnote w:type="continuationNotice" w:id="1">
    <w:p w14:paraId="5B6235EF" w14:textId="77777777" w:rsidR="00A249C5" w:rsidRDefault="00A24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13D33B" w14:textId="5A6879AC" w:rsidR="00CD407A" w:rsidRDefault="00A249C5" w:rsidP="00A249C5">
            <w:pPr>
              <w:pStyle w:val="Footer"/>
              <w:jc w:val="right"/>
            </w:pPr>
            <w:r w:rsidRPr="00A249C5">
              <w:t>Syphilis (less than 2 years duration)</w:t>
            </w:r>
            <w:r w:rsidRPr="00A249C5"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FEA8B" w14:textId="77777777" w:rsidR="00A249C5" w:rsidRDefault="00A249C5" w:rsidP="006B56BB">
      <w:r>
        <w:separator/>
      </w:r>
    </w:p>
    <w:p w14:paraId="47E5B907" w14:textId="77777777" w:rsidR="00A249C5" w:rsidRDefault="00A249C5"/>
  </w:footnote>
  <w:footnote w:type="continuationSeparator" w:id="0">
    <w:p w14:paraId="126D79B8" w14:textId="77777777" w:rsidR="00A249C5" w:rsidRDefault="00A249C5" w:rsidP="006B56BB">
      <w:r>
        <w:continuationSeparator/>
      </w:r>
    </w:p>
    <w:p w14:paraId="0CE334CE" w14:textId="77777777" w:rsidR="00A249C5" w:rsidRDefault="00A249C5"/>
  </w:footnote>
  <w:footnote w:type="continuationNotice" w:id="1">
    <w:p w14:paraId="1949ADC6" w14:textId="77777777" w:rsidR="00A249C5" w:rsidRDefault="00A249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459E7C2C"/>
    <w:multiLevelType w:val="multilevel"/>
    <w:tmpl w:val="FA74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3054C2"/>
    <w:multiLevelType w:val="multilevel"/>
    <w:tmpl w:val="9AE8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9B2F6F"/>
    <w:multiLevelType w:val="multilevel"/>
    <w:tmpl w:val="F34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794749"/>
    <w:multiLevelType w:val="multilevel"/>
    <w:tmpl w:val="1BD8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E694A"/>
    <w:multiLevelType w:val="multilevel"/>
    <w:tmpl w:val="073622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235EEB"/>
    <w:multiLevelType w:val="multilevel"/>
    <w:tmpl w:val="4DA8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EE44803"/>
    <w:multiLevelType w:val="multilevel"/>
    <w:tmpl w:val="B15A3D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9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3"/>
  </w:num>
  <w:num w:numId="17">
    <w:abstractNumId w:val="10"/>
  </w:num>
  <w:num w:numId="18">
    <w:abstractNumId w:val="11"/>
  </w:num>
  <w:num w:numId="19">
    <w:abstractNumId w:val="12"/>
  </w:num>
  <w:num w:numId="20">
    <w:abstractNumId w:val="15"/>
  </w:num>
  <w:num w:numId="21">
    <w:abstractNumId w:val="22"/>
  </w:num>
  <w:num w:numId="22">
    <w:abstractNumId w:val="17"/>
  </w:num>
  <w:num w:numId="23">
    <w:abstractNumId w:val="18"/>
  </w:num>
  <w:num w:numId="24">
    <w:abstractNumId w:val="21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C5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9C5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AC544"/>
  <w15:docId w15:val="{DD72F593-CA5A-419B-832D-A9B5DBE8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A249C5"/>
    <w:pPr>
      <w:spacing w:before="60" w:after="60"/>
    </w:pPr>
    <w:rPr>
      <w:rFonts w:ascii="Arial" w:hAnsi="Arial"/>
      <w:color w:val="000000" w:themeColor="text1"/>
      <w:szCs w:val="22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NormalWeb">
    <w:name w:val="Normal (Web)"/>
    <w:basedOn w:val="Normal"/>
    <w:uiPriority w:val="99"/>
    <w:unhideWhenUsed/>
    <w:rsid w:val="00A249C5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249C5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249C5"/>
    <w:rPr>
      <w:rFonts w:ascii="Arial" w:hAnsi="Arial" w:cs="Arial"/>
      <w:bCs/>
      <w:color w:val="358189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249C5"/>
    <w:rPr>
      <w:rFonts w:ascii="Arial" w:hAnsi="Arial"/>
      <w:b/>
      <w:bCs/>
      <w:i/>
      <w:color w:val="414141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45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995150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339687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641912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035018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077300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722025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233532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6597237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353305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1.health.gov.au/internet/main/publishing.nsf/Content/cda-surveil-nndss-casedefs-cd_syphl2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1.health.gov.au/internet/main/publishing.nsf/Content/cda-surveil-nndss-casedefs-cd_syphl2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BA4EE3EC-718E-4858-86DD-279D1F81E844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4</TotalTime>
  <Pages>4</Pages>
  <Words>600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Syphilis (less than 2 years duration)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2022-06-08T02:27:00Z</dcterms:created>
  <dcterms:modified xsi:type="dcterms:W3CDTF">2022-06-08T02:31:00Z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