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055CFE" w14:textId="150E5B73" w:rsidR="00BA2732" w:rsidRPr="00120E72" w:rsidRDefault="00120E72" w:rsidP="003D033A">
      <w:pPr>
        <w:pStyle w:val="Title"/>
        <w:rPr>
          <w:u w:val="single"/>
        </w:rPr>
      </w:pPr>
      <w:r w:rsidRPr="00120E72">
        <w:t>SSBA – Guideline 2 – Registered facility reporting requirements</w:t>
      </w:r>
    </w:p>
    <w:p w14:paraId="72CD3AFC" w14:textId="2A99558C" w:rsidR="00B53987" w:rsidRPr="00B53987" w:rsidRDefault="00120E72" w:rsidP="00120E72">
      <w:pPr>
        <w:pStyle w:val="Subtitle"/>
      </w:pPr>
      <w:r>
        <w:t>January 2014</w:t>
      </w:r>
    </w:p>
    <w:p w14:paraId="65487EF3" w14:textId="77777777" w:rsidR="00120E72" w:rsidRPr="00120E72" w:rsidRDefault="00120E72" w:rsidP="00120E72">
      <w:pPr>
        <w:pStyle w:val="Heading1"/>
      </w:pPr>
      <w:r w:rsidRPr="00120E72">
        <w:t>Introduction</w:t>
      </w:r>
    </w:p>
    <w:p w14:paraId="293B1E80" w14:textId="77777777" w:rsidR="00120E72" w:rsidRPr="00120E72" w:rsidRDefault="00120E72" w:rsidP="00120E72">
      <w:r w:rsidRPr="00120E72">
        <w:t>This guideline provides information to registered entities and facilities about the reporting requirements under the Security Sensitive Biological Agents (SSBA) Regulatory Scheme and covers:</w:t>
      </w:r>
    </w:p>
    <w:p w14:paraId="5C0DCF64" w14:textId="77777777" w:rsidR="00120E72" w:rsidRPr="00120E72" w:rsidRDefault="00120E72" w:rsidP="00120E72">
      <w:pPr>
        <w:pStyle w:val="ListParagraph"/>
        <w:numPr>
          <w:ilvl w:val="0"/>
          <w:numId w:val="35"/>
        </w:numPr>
      </w:pPr>
      <w:r w:rsidRPr="00120E72">
        <w:t>the National Register</w:t>
      </w:r>
    </w:p>
    <w:p w14:paraId="18DA26B1" w14:textId="77777777" w:rsidR="00120E72" w:rsidRPr="00120E72" w:rsidRDefault="00120E72" w:rsidP="00120E72">
      <w:pPr>
        <w:pStyle w:val="ListParagraph"/>
        <w:numPr>
          <w:ilvl w:val="0"/>
          <w:numId w:val="35"/>
        </w:numPr>
      </w:pPr>
      <w:r w:rsidRPr="00120E72">
        <w:t>the Data Collection System</w:t>
      </w:r>
    </w:p>
    <w:p w14:paraId="040B1558" w14:textId="77777777" w:rsidR="00120E72" w:rsidRPr="00120E72" w:rsidRDefault="00120E72" w:rsidP="00120E72">
      <w:pPr>
        <w:pStyle w:val="ListParagraph"/>
        <w:numPr>
          <w:ilvl w:val="0"/>
          <w:numId w:val="35"/>
        </w:numPr>
      </w:pPr>
      <w:r w:rsidRPr="00120E72">
        <w:t>the initial registration process</w:t>
      </w:r>
    </w:p>
    <w:p w14:paraId="383E778F" w14:textId="77777777" w:rsidR="00120E72" w:rsidRPr="00120E72" w:rsidRDefault="00120E72" w:rsidP="00120E72">
      <w:pPr>
        <w:pStyle w:val="ListParagraph"/>
        <w:numPr>
          <w:ilvl w:val="0"/>
          <w:numId w:val="35"/>
        </w:numPr>
      </w:pPr>
      <w:r w:rsidRPr="00120E72">
        <w:t>reportable events under the </w:t>
      </w:r>
      <w:r w:rsidRPr="00120E72">
        <w:rPr>
          <w:i/>
          <w:iCs/>
        </w:rPr>
        <w:t>National Health Security Act 2007 </w:t>
      </w:r>
      <w:r w:rsidRPr="00120E72">
        <w:t>(NHS Act) and the </w:t>
      </w:r>
      <w:r w:rsidRPr="00120E72">
        <w:rPr>
          <w:i/>
          <w:iCs/>
        </w:rPr>
        <w:t>National Health Security Regulations 2008 </w:t>
      </w:r>
      <w:r w:rsidRPr="00120E72">
        <w:t>(NHS Regulations)</w:t>
      </w:r>
    </w:p>
    <w:p w14:paraId="4F7D7154" w14:textId="77777777" w:rsidR="00120E72" w:rsidRPr="00120E72" w:rsidRDefault="00120E72" w:rsidP="00120E72">
      <w:pPr>
        <w:pStyle w:val="ListParagraph"/>
        <w:numPr>
          <w:ilvl w:val="0"/>
          <w:numId w:val="35"/>
        </w:numPr>
      </w:pPr>
      <w:r w:rsidRPr="00120E72">
        <w:t>the de-registration process</w:t>
      </w:r>
    </w:p>
    <w:p w14:paraId="1A718F31" w14:textId="77777777" w:rsidR="00120E72" w:rsidRPr="00120E72" w:rsidRDefault="00120E72" w:rsidP="00120E72">
      <w:pPr>
        <w:pStyle w:val="ListParagraph"/>
        <w:numPr>
          <w:ilvl w:val="0"/>
          <w:numId w:val="35"/>
        </w:numPr>
      </w:pPr>
      <w:r w:rsidRPr="00120E72">
        <w:t>reporting suspected SSBAs</w:t>
      </w:r>
    </w:p>
    <w:p w14:paraId="118EFEF4" w14:textId="695F08C8" w:rsidR="00120E72" w:rsidRPr="00120E72" w:rsidRDefault="00120E72" w:rsidP="00120E72">
      <w:pPr>
        <w:pStyle w:val="Heading1"/>
      </w:pPr>
      <w:r w:rsidRPr="00120E72">
        <w:t xml:space="preserve">Mandatory </w:t>
      </w:r>
      <w:r>
        <w:t>r</w:t>
      </w:r>
      <w:r w:rsidRPr="00120E72">
        <w:t>eporting</w:t>
      </w:r>
    </w:p>
    <w:p w14:paraId="35D79A4D" w14:textId="77777777" w:rsidR="00120E72" w:rsidRPr="00120E72" w:rsidRDefault="00120E72" w:rsidP="00120E72">
      <w:r w:rsidRPr="00120E72">
        <w:t>The NHS Act mandates that if an entity or a facility that is not exempt (see </w:t>
      </w:r>
      <w:r w:rsidRPr="00120E72">
        <w:rPr>
          <w:i/>
          <w:iCs/>
        </w:rPr>
        <w:t>Fact sheet 4 – Exemptions</w:t>
      </w:r>
      <w:r w:rsidRPr="00120E72">
        <w:t>) wants to handle SSBAs, it must register with and report certain information to the Department of Health (Health) about the handling of the SSBAs.</w:t>
      </w:r>
    </w:p>
    <w:p w14:paraId="2B4756A3" w14:textId="77777777" w:rsidR="00120E72" w:rsidRPr="00120E72" w:rsidRDefault="00120E72" w:rsidP="00120E72">
      <w:pPr>
        <w:pStyle w:val="Heading1"/>
      </w:pPr>
      <w:r w:rsidRPr="00120E72">
        <w:t>The National Register</w:t>
      </w:r>
    </w:p>
    <w:p w14:paraId="6AD37CCF" w14:textId="77777777" w:rsidR="00120E72" w:rsidRPr="00120E72" w:rsidRDefault="00120E72" w:rsidP="00120E72">
      <w:r w:rsidRPr="00120E72">
        <w:t>The National Register of SSBAs (National Register) is established by the NHS Act and records details of registered entities and facilities handling SSBAs and suspected SSBAs. The information contained in the National Register holds a national security classification and only personnel with the appropriate level of clearance have access to the information to ensure the information is protected.</w:t>
      </w:r>
    </w:p>
    <w:p w14:paraId="4E6809FC" w14:textId="77777777" w:rsidR="00120E72" w:rsidRPr="00120E72" w:rsidRDefault="00120E72" w:rsidP="00120E72">
      <w:pPr>
        <w:pStyle w:val="Heading1"/>
      </w:pPr>
      <w:r w:rsidRPr="00120E72">
        <w:t>The Data Collection System</w:t>
      </w:r>
    </w:p>
    <w:p w14:paraId="0853DAE6" w14:textId="77777777" w:rsidR="00120E72" w:rsidRPr="00120E72" w:rsidRDefault="00120E72" w:rsidP="00120E72">
      <w:r w:rsidRPr="00120E72">
        <w:t xml:space="preserve">The Data Collection System (DCS) is a web-based system that allows entities and facilities to submit information about their SSBA handlings. Once the entity and facility is registered with Health, the Responsible Officer will be provided with a facility user name and password </w:t>
      </w:r>
      <w:r w:rsidRPr="00120E72">
        <w:lastRenderedPageBreak/>
        <w:t>to access the DCS. Health has also developed paper-based forms that can be used as an alternative to the DCS. These paper-based forms are available on the SSBA website (www.health.gov.au/ssba).</w:t>
      </w:r>
    </w:p>
    <w:p w14:paraId="14014E93" w14:textId="1E472A1E" w:rsidR="00120E72" w:rsidRPr="00120E72" w:rsidRDefault="00120E72" w:rsidP="00755F50">
      <w:pPr>
        <w:pStyle w:val="Heading1"/>
      </w:pPr>
      <w:r w:rsidRPr="00120E72">
        <w:t xml:space="preserve">Initial </w:t>
      </w:r>
      <w:r w:rsidR="00755F50">
        <w:t>r</w:t>
      </w:r>
      <w:r w:rsidRPr="00120E72">
        <w:t>egistration</w:t>
      </w:r>
    </w:p>
    <w:p w14:paraId="1130068B" w14:textId="02BD54FA" w:rsidR="00120E72" w:rsidRPr="00120E72" w:rsidRDefault="00120E72" w:rsidP="00755F50">
      <w:r w:rsidRPr="00120E72">
        <w:t>Entities and facilities must submit an </w:t>
      </w:r>
      <w:r w:rsidRPr="00120E72">
        <w:rPr>
          <w:i/>
          <w:iCs/>
        </w:rPr>
        <w:t>Initial Registration</w:t>
      </w:r>
      <w:r w:rsidRPr="00120E72">
        <w:t> report to Health within two business days of commencing to handle an SSBA. This form can be obtained from the SSBA website and can only be submitted to Health in </w:t>
      </w:r>
      <w:r w:rsidRPr="00120E72">
        <w:rPr>
          <w:b/>
          <w:bCs/>
        </w:rPr>
        <w:t>hard copy by registered post</w:t>
      </w:r>
      <w:r w:rsidRPr="00120E72">
        <w:t>. The </w:t>
      </w:r>
      <w:r w:rsidRPr="00120E72">
        <w:rPr>
          <w:i/>
          <w:iCs/>
        </w:rPr>
        <w:t>Initial Registration</w:t>
      </w:r>
      <w:r w:rsidRPr="00120E72">
        <w:t> form </w:t>
      </w:r>
      <w:r w:rsidRPr="00120E72">
        <w:rPr>
          <w:b/>
          <w:bCs/>
        </w:rPr>
        <w:t>cannot</w:t>
      </w:r>
      <w:r w:rsidRPr="00120E72">
        <w:t> be submitted via the DCS.</w:t>
      </w:r>
    </w:p>
    <w:p w14:paraId="7A77AB41" w14:textId="77777777" w:rsidR="00120E72" w:rsidRPr="00120E72" w:rsidRDefault="00120E72" w:rsidP="00755F50">
      <w:r w:rsidRPr="00120E72">
        <w:t>The information required for an entity’s initial registration includes:</w:t>
      </w:r>
    </w:p>
    <w:p w14:paraId="5BF1D59F" w14:textId="77777777" w:rsidR="00120E72" w:rsidRPr="00120E72" w:rsidRDefault="00120E72" w:rsidP="00755F50">
      <w:pPr>
        <w:pStyle w:val="ListParagraph"/>
        <w:numPr>
          <w:ilvl w:val="0"/>
          <w:numId w:val="36"/>
        </w:numPr>
      </w:pPr>
      <w:r w:rsidRPr="00120E72">
        <w:t>entity and facility details (See also </w:t>
      </w:r>
      <w:r w:rsidRPr="00755F50">
        <w:rPr>
          <w:i/>
          <w:iCs/>
        </w:rPr>
        <w:t>Guideline 1 – Entities and Facilities</w:t>
      </w:r>
      <w:r w:rsidRPr="00120E72">
        <w:t>)</w:t>
      </w:r>
    </w:p>
    <w:p w14:paraId="679D1C16" w14:textId="77777777" w:rsidR="00120E72" w:rsidRPr="00120E72" w:rsidRDefault="00120E72" w:rsidP="00755F50">
      <w:pPr>
        <w:pStyle w:val="ListParagraph"/>
        <w:numPr>
          <w:ilvl w:val="0"/>
          <w:numId w:val="36"/>
        </w:numPr>
      </w:pPr>
      <w:r w:rsidRPr="00120E72">
        <w:t>Responsible and Deputy Responsible Officer details</w:t>
      </w:r>
    </w:p>
    <w:p w14:paraId="114B6457" w14:textId="77777777" w:rsidR="00120E72" w:rsidRPr="00120E72" w:rsidRDefault="00120E72" w:rsidP="00755F50">
      <w:pPr>
        <w:pStyle w:val="ListParagraph"/>
        <w:numPr>
          <w:ilvl w:val="0"/>
          <w:numId w:val="36"/>
        </w:numPr>
      </w:pPr>
      <w:r w:rsidRPr="00120E72">
        <w:t>SSBA details, including purpose for handling</w:t>
      </w:r>
    </w:p>
    <w:p w14:paraId="14552A1C" w14:textId="77777777" w:rsidR="00120E72" w:rsidRPr="00120E72" w:rsidRDefault="00120E72" w:rsidP="00755F50">
      <w:pPr>
        <w:pStyle w:val="ListParagraph"/>
        <w:numPr>
          <w:ilvl w:val="0"/>
          <w:numId w:val="36"/>
        </w:numPr>
      </w:pPr>
      <w:r w:rsidRPr="00120E72">
        <w:t>SSBA Standards compliance declaration.</w:t>
      </w:r>
    </w:p>
    <w:p w14:paraId="223D391C" w14:textId="77777777" w:rsidR="00120E72" w:rsidRPr="00120E72" w:rsidRDefault="00120E72" w:rsidP="00755F50">
      <w:r w:rsidRPr="00120E72">
        <w:t>Once the required information is provided to Health and the purpose for handling the SSBA(s) is deemed legitimate, the information provided in the </w:t>
      </w:r>
      <w:r w:rsidRPr="00120E72">
        <w:rPr>
          <w:i/>
          <w:iCs/>
        </w:rPr>
        <w:t>Initial Registration </w:t>
      </w:r>
      <w:r w:rsidRPr="00120E72">
        <w:t>form will be recorded on the National Register.</w:t>
      </w:r>
    </w:p>
    <w:p w14:paraId="21C49ED9" w14:textId="77777777" w:rsidR="00120E72" w:rsidRPr="00120E72" w:rsidRDefault="00120E72" w:rsidP="00755F50">
      <w:r w:rsidRPr="00120E72">
        <w:t>If the purpose for handling the SSBA is deemed to not be legitimate, the entity and facility may be granted a temporary registration. Handling an SSBA for a purpose that is not legitimate may be an offence under the </w:t>
      </w:r>
      <w:r w:rsidRPr="00120E72">
        <w:rPr>
          <w:i/>
          <w:iCs/>
        </w:rPr>
        <w:t>Crimes (Biological Weapons) Act 1976</w:t>
      </w:r>
      <w:r w:rsidRPr="00120E72">
        <w:t>. The Secretary of Health will refer the matter to relevant authorities for investigation. If, after 12 months, no prosecution has been made under the </w:t>
      </w:r>
      <w:r w:rsidRPr="00120E72">
        <w:rPr>
          <w:i/>
          <w:iCs/>
        </w:rPr>
        <w:t>Crimes (Biological Weapons) Act 1976, </w:t>
      </w:r>
      <w:r w:rsidRPr="00120E72">
        <w:t>full registration will be granted. If a conviction is made the temporary registration will be cancelled.</w:t>
      </w:r>
    </w:p>
    <w:p w14:paraId="3E9FB116" w14:textId="451B7F99" w:rsidR="00120E72" w:rsidRPr="00120E72" w:rsidRDefault="00120E72" w:rsidP="00755F50">
      <w:pPr>
        <w:pStyle w:val="Heading1"/>
      </w:pPr>
      <w:r w:rsidRPr="00120E72">
        <w:t xml:space="preserve">Reporting </w:t>
      </w:r>
      <w:r w:rsidR="00755F50">
        <w:t>e</w:t>
      </w:r>
      <w:r w:rsidRPr="00120E72">
        <w:t xml:space="preserve">vents as </w:t>
      </w:r>
      <w:r w:rsidR="00755F50">
        <w:t>t</w:t>
      </w:r>
      <w:r w:rsidRPr="00120E72">
        <w:t xml:space="preserve">hey </w:t>
      </w:r>
      <w:r w:rsidR="00755F50">
        <w:t>o</w:t>
      </w:r>
      <w:r w:rsidRPr="00120E72">
        <w:t>ccur</w:t>
      </w:r>
    </w:p>
    <w:p w14:paraId="0F597C33" w14:textId="77777777" w:rsidR="00120E72" w:rsidRPr="00120E72" w:rsidRDefault="00120E72" w:rsidP="00755F50">
      <w:r w:rsidRPr="00120E72">
        <w:t>The events listed below must be reported to Health </w:t>
      </w:r>
      <w:r w:rsidRPr="00120E72">
        <w:rPr>
          <w:b/>
          <w:bCs/>
        </w:rPr>
        <w:t>as soon as possible and within two business days </w:t>
      </w:r>
      <w:r w:rsidRPr="00120E72">
        <w:t>after the event has occurred. Reports can be submitted via the DCS or on the reporting forms listed after the reportable event below.</w:t>
      </w:r>
    </w:p>
    <w:p w14:paraId="76FE76E2" w14:textId="77777777" w:rsidR="00120E72" w:rsidRPr="00120E72" w:rsidRDefault="00120E72" w:rsidP="00755F50">
      <w:pPr>
        <w:pStyle w:val="ListParagraph"/>
        <w:numPr>
          <w:ilvl w:val="0"/>
          <w:numId w:val="37"/>
        </w:numPr>
      </w:pPr>
      <w:r w:rsidRPr="00120E72">
        <w:t>Starting to handle an SSBA that you are not registered to handle (</w:t>
      </w:r>
      <w:r w:rsidRPr="00755F50">
        <w:rPr>
          <w:i/>
          <w:iCs/>
        </w:rPr>
        <w:t>Start to Handle an New SSBA</w:t>
      </w:r>
      <w:r w:rsidRPr="00120E72">
        <w:t>)</w:t>
      </w:r>
    </w:p>
    <w:p w14:paraId="1B23AB73" w14:textId="77777777" w:rsidR="00120E72" w:rsidRPr="00120E72" w:rsidRDefault="00120E72" w:rsidP="00755F50">
      <w:pPr>
        <w:pStyle w:val="ListParagraph"/>
        <w:numPr>
          <w:ilvl w:val="0"/>
          <w:numId w:val="37"/>
        </w:numPr>
      </w:pPr>
      <w:r w:rsidRPr="00120E72">
        <w:t>Ceasing to handle an SSBA that you are registered to handle (</w:t>
      </w:r>
      <w:r w:rsidRPr="00755F50">
        <w:rPr>
          <w:i/>
          <w:iCs/>
        </w:rPr>
        <w:t>Changes to Purpose for Handling an SSBA</w:t>
      </w:r>
      <w:r w:rsidRPr="00120E72">
        <w:t>)</w:t>
      </w:r>
    </w:p>
    <w:p w14:paraId="42750B42" w14:textId="77777777" w:rsidR="00120E72" w:rsidRPr="00120E72" w:rsidRDefault="00120E72" w:rsidP="00755F50">
      <w:pPr>
        <w:pStyle w:val="ListParagraph"/>
        <w:numPr>
          <w:ilvl w:val="0"/>
          <w:numId w:val="37"/>
        </w:numPr>
      </w:pPr>
      <w:r w:rsidRPr="00120E72">
        <w:t>Handling a registered SSBA after a period of inactivity (</w:t>
      </w:r>
      <w:r w:rsidRPr="00755F50">
        <w:rPr>
          <w:i/>
          <w:iCs/>
        </w:rPr>
        <w:t>Start to Handle an New SSBA</w:t>
      </w:r>
      <w:r w:rsidRPr="00120E72">
        <w:t>)</w:t>
      </w:r>
    </w:p>
    <w:p w14:paraId="1F3DAA76" w14:textId="4DCD5BEA" w:rsidR="00120E72" w:rsidRPr="00120E72" w:rsidRDefault="00120E72" w:rsidP="00755F50">
      <w:pPr>
        <w:pStyle w:val="ListParagraph"/>
        <w:numPr>
          <w:ilvl w:val="0"/>
          <w:numId w:val="37"/>
        </w:numPr>
      </w:pPr>
      <w:r w:rsidRPr="00120E72">
        <w:t>Changing </w:t>
      </w:r>
      <w:r w:rsidR="000C0591">
        <w:rPr>
          <w:rStyle w:val="FootnoteReference"/>
        </w:rPr>
        <w:footnoteReference w:id="2"/>
      </w:r>
      <w:r w:rsidRPr="00120E72">
        <w:t>, ceasing or adding a purpose for handling an SSBA that you are already registered to handle (</w:t>
      </w:r>
      <w:r w:rsidRPr="00755F50">
        <w:rPr>
          <w:i/>
          <w:iCs/>
        </w:rPr>
        <w:t>Changes to Purpose for Handling an SSBA</w:t>
      </w:r>
      <w:r w:rsidRPr="00120E72">
        <w:t>)</w:t>
      </w:r>
    </w:p>
    <w:p w14:paraId="1BC12F49" w14:textId="77777777" w:rsidR="00120E72" w:rsidRPr="00120E72" w:rsidRDefault="00120E72" w:rsidP="00755F50">
      <w:pPr>
        <w:pStyle w:val="ListParagraph"/>
        <w:numPr>
          <w:ilvl w:val="0"/>
          <w:numId w:val="37"/>
        </w:numPr>
      </w:pPr>
      <w:r w:rsidRPr="00120E72">
        <w:lastRenderedPageBreak/>
        <w:t>Transferring an SSBA including reporting an unsuccessful transfer (sending or receiving) (</w:t>
      </w:r>
      <w:r w:rsidRPr="00755F50">
        <w:rPr>
          <w:i/>
          <w:iCs/>
        </w:rPr>
        <w:t>Transfer In</w:t>
      </w:r>
      <w:r w:rsidRPr="00120E72">
        <w:t> or </w:t>
      </w:r>
      <w:r w:rsidRPr="00755F50">
        <w:rPr>
          <w:i/>
          <w:iCs/>
        </w:rPr>
        <w:t>Transfer Out</w:t>
      </w:r>
      <w:r w:rsidRPr="00120E72">
        <w:t>)</w:t>
      </w:r>
    </w:p>
    <w:p w14:paraId="5D3FC2C2" w14:textId="77777777" w:rsidR="00120E72" w:rsidRPr="00120E72" w:rsidRDefault="00120E72" w:rsidP="00755F50">
      <w:pPr>
        <w:pStyle w:val="ListParagraph"/>
        <w:numPr>
          <w:ilvl w:val="0"/>
          <w:numId w:val="37"/>
        </w:numPr>
      </w:pPr>
      <w:r w:rsidRPr="00120E72">
        <w:t>Changing Responsible Officer or Deputy Responsible Officer details (</w:t>
      </w:r>
      <w:r w:rsidRPr="00755F50">
        <w:rPr>
          <w:i/>
          <w:iCs/>
        </w:rPr>
        <w:t>Change of Responsible Officer Details</w:t>
      </w:r>
      <w:r w:rsidRPr="00120E72">
        <w:t>)</w:t>
      </w:r>
    </w:p>
    <w:p w14:paraId="721F7200" w14:textId="77777777" w:rsidR="00120E72" w:rsidRPr="00120E72" w:rsidRDefault="00120E72" w:rsidP="00755F50">
      <w:pPr>
        <w:pStyle w:val="ListParagraph"/>
        <w:numPr>
          <w:ilvl w:val="0"/>
          <w:numId w:val="37"/>
        </w:numPr>
      </w:pPr>
      <w:r w:rsidRPr="00120E72">
        <w:t>The disposal of your entire holdings of an SSBA or if the remaining amount of toxin handled falls below the reportable quantity stated in the List of SSBAs (either via the </w:t>
      </w:r>
      <w:r w:rsidRPr="00755F50">
        <w:rPr>
          <w:i/>
          <w:iCs/>
        </w:rPr>
        <w:t>Destruction</w:t>
      </w:r>
      <w:r w:rsidRPr="00120E72">
        <w:t> or </w:t>
      </w:r>
      <w:r w:rsidRPr="00755F50">
        <w:rPr>
          <w:i/>
          <w:iCs/>
        </w:rPr>
        <w:t>Transfer Out</w:t>
      </w:r>
      <w:r w:rsidRPr="00120E72">
        <w:t> forms depending on the method of disposal).</w:t>
      </w:r>
    </w:p>
    <w:p w14:paraId="3B656EEC" w14:textId="77777777" w:rsidR="00120E72" w:rsidRPr="00120E72" w:rsidRDefault="00120E72" w:rsidP="00755F50">
      <w:pPr>
        <w:pStyle w:val="ListParagraph"/>
        <w:numPr>
          <w:ilvl w:val="0"/>
          <w:numId w:val="37"/>
        </w:numPr>
      </w:pPr>
      <w:r w:rsidRPr="00120E72">
        <w:t>Administrative changes to entity and facility details. (</w:t>
      </w:r>
      <w:r w:rsidRPr="00755F50">
        <w:rPr>
          <w:i/>
          <w:iCs/>
        </w:rPr>
        <w:t>Change of Entity and Facility Details</w:t>
      </w:r>
      <w:r w:rsidRPr="00120E72">
        <w:t>)</w:t>
      </w:r>
    </w:p>
    <w:p w14:paraId="3D5D3691" w14:textId="6D9865D1" w:rsidR="00120E72" w:rsidRPr="00120E72" w:rsidRDefault="00120E72" w:rsidP="00755F50">
      <w:pPr>
        <w:pStyle w:val="Heading1"/>
      </w:pPr>
      <w:r w:rsidRPr="00120E72">
        <w:t xml:space="preserve">Reporting </w:t>
      </w:r>
      <w:r w:rsidR="00755F50">
        <w:t>e</w:t>
      </w:r>
      <w:r w:rsidRPr="00120E72">
        <w:t xml:space="preserve">vents </w:t>
      </w:r>
      <w:r w:rsidR="00755F50">
        <w:t>w</w:t>
      </w:r>
      <w:r w:rsidRPr="00120E72">
        <w:t xml:space="preserve">hen </w:t>
      </w:r>
      <w:r w:rsidR="00755F50">
        <w:t>t</w:t>
      </w:r>
      <w:r w:rsidRPr="00120E72">
        <w:t xml:space="preserve">hey </w:t>
      </w:r>
      <w:r w:rsidR="00755F50">
        <w:t>a</w:t>
      </w:r>
      <w:r w:rsidRPr="00120E72">
        <w:t xml:space="preserve">re </w:t>
      </w:r>
      <w:r w:rsidR="00755F50">
        <w:t>d</w:t>
      </w:r>
      <w:r w:rsidRPr="00120E72">
        <w:t>iscovered</w:t>
      </w:r>
    </w:p>
    <w:p w14:paraId="3C03228E" w14:textId="77777777" w:rsidR="00120E72" w:rsidRPr="00120E72" w:rsidRDefault="00120E72" w:rsidP="00755F50">
      <w:r w:rsidRPr="00120E72">
        <w:t>The events listed below must be reported to Health </w:t>
      </w:r>
      <w:r w:rsidRPr="00120E72">
        <w:rPr>
          <w:b/>
          <w:bCs/>
        </w:rPr>
        <w:t>as soon as possible and within two business days </w:t>
      </w:r>
      <w:r w:rsidRPr="00120E72">
        <w:t>after the discovery of the event:</w:t>
      </w:r>
    </w:p>
    <w:p w14:paraId="5F517F2B" w14:textId="77777777" w:rsidR="00120E72" w:rsidRPr="00120E72" w:rsidRDefault="00120E72" w:rsidP="00755F50">
      <w:pPr>
        <w:pStyle w:val="ListParagraph"/>
        <w:numPr>
          <w:ilvl w:val="0"/>
          <w:numId w:val="38"/>
        </w:numPr>
      </w:pPr>
      <w:r w:rsidRPr="00120E72">
        <w:t>Unauthorised access or an attempt to access an SSBA or sensitive information relating to an SSBA</w:t>
      </w:r>
    </w:p>
    <w:p w14:paraId="54888FCD" w14:textId="77777777" w:rsidR="00120E72" w:rsidRPr="00120E72" w:rsidRDefault="00120E72" w:rsidP="00755F50">
      <w:pPr>
        <w:pStyle w:val="ListParagraph"/>
        <w:numPr>
          <w:ilvl w:val="0"/>
          <w:numId w:val="38"/>
        </w:numPr>
      </w:pPr>
      <w:r w:rsidRPr="00120E72">
        <w:t>Theft or attempted theft of an SSBA</w:t>
      </w:r>
    </w:p>
    <w:p w14:paraId="16019CFE" w14:textId="77777777" w:rsidR="00120E72" w:rsidRPr="00120E72" w:rsidRDefault="00120E72" w:rsidP="00755F50">
      <w:pPr>
        <w:pStyle w:val="ListParagraph"/>
        <w:numPr>
          <w:ilvl w:val="0"/>
          <w:numId w:val="38"/>
        </w:numPr>
      </w:pPr>
      <w:r w:rsidRPr="00120E72">
        <w:t>Accidental release of an SSBA</w:t>
      </w:r>
    </w:p>
    <w:p w14:paraId="56F076DE" w14:textId="77777777" w:rsidR="00120E72" w:rsidRPr="00120E72" w:rsidRDefault="00120E72" w:rsidP="00755F50">
      <w:pPr>
        <w:pStyle w:val="ListParagraph"/>
        <w:numPr>
          <w:ilvl w:val="0"/>
          <w:numId w:val="38"/>
        </w:numPr>
      </w:pPr>
      <w:r w:rsidRPr="00120E72">
        <w:t>Loss of SSBAs either from the facility or during transfer (e.g. the package does not arrive at the final destination)</w:t>
      </w:r>
    </w:p>
    <w:p w14:paraId="620CFE22" w14:textId="77777777" w:rsidR="00120E72" w:rsidRPr="00120E72" w:rsidRDefault="00120E72" w:rsidP="00755F50">
      <w:pPr>
        <w:pStyle w:val="ListParagraph"/>
        <w:numPr>
          <w:ilvl w:val="0"/>
          <w:numId w:val="38"/>
        </w:numPr>
      </w:pPr>
      <w:r w:rsidRPr="00120E72">
        <w:t>A person is affected by an SSBA as a result of the entity’s SSBA handlings.</w:t>
      </w:r>
    </w:p>
    <w:p w14:paraId="277E563D" w14:textId="77777777" w:rsidR="00120E72" w:rsidRPr="00120E72" w:rsidRDefault="00120E72" w:rsidP="00755F50">
      <w:r w:rsidRPr="00120E72">
        <w:t>These events can all be reported to Health, either via the DCS or in hard copy, using the </w:t>
      </w:r>
      <w:r w:rsidRPr="00120E72">
        <w:rPr>
          <w:i/>
          <w:iCs/>
        </w:rPr>
        <w:t>Incident Report</w:t>
      </w:r>
      <w:r w:rsidRPr="00120E72">
        <w:t>.</w:t>
      </w:r>
    </w:p>
    <w:p w14:paraId="34BF2D9D" w14:textId="77777777" w:rsidR="00120E72" w:rsidRPr="00120E72" w:rsidRDefault="00120E72" w:rsidP="00755F50">
      <w:r w:rsidRPr="00120E72">
        <w:t>You are also required by the NHS Act to report loss, theft, attempted theft, unauthorised access or attempted unauthorised access to law enforcement agencies. For more information, see </w:t>
      </w:r>
      <w:r w:rsidRPr="00120E72">
        <w:rPr>
          <w:i/>
          <w:iCs/>
        </w:rPr>
        <w:t>Guideline 5 - Reporting to Law Enforcement or the National Security Hotline</w:t>
      </w:r>
      <w:r w:rsidRPr="00120E72">
        <w:t>.</w:t>
      </w:r>
    </w:p>
    <w:p w14:paraId="2545B681" w14:textId="290C3AA7" w:rsidR="00120E72" w:rsidRPr="00120E72" w:rsidRDefault="00120E72" w:rsidP="00755F50">
      <w:pPr>
        <w:pStyle w:val="Heading1"/>
      </w:pPr>
      <w:r w:rsidRPr="00120E72">
        <w:t xml:space="preserve">Handling SSBAS </w:t>
      </w:r>
      <w:r w:rsidR="00755F50">
        <w:t>t</w:t>
      </w:r>
      <w:r w:rsidRPr="00120E72">
        <w:t>emporarily (</w:t>
      </w:r>
      <w:r w:rsidR="00755F50">
        <w:t>l</w:t>
      </w:r>
      <w:r w:rsidRPr="00120E72">
        <w:t xml:space="preserve">ess </w:t>
      </w:r>
      <w:r w:rsidR="00755F50">
        <w:t>t</w:t>
      </w:r>
      <w:r w:rsidRPr="00120E72">
        <w:t xml:space="preserve">han 7 </w:t>
      </w:r>
      <w:r w:rsidR="00755F50">
        <w:t>w</w:t>
      </w:r>
      <w:r w:rsidRPr="00120E72">
        <w:t xml:space="preserve">orking </w:t>
      </w:r>
      <w:r w:rsidR="00755F50">
        <w:t>d</w:t>
      </w:r>
      <w:r w:rsidRPr="00120E72">
        <w:t>ays)</w:t>
      </w:r>
    </w:p>
    <w:p w14:paraId="7E773DDD" w14:textId="77777777" w:rsidR="00120E72" w:rsidRPr="00120E72" w:rsidRDefault="00120E72" w:rsidP="00755F50">
      <w:r w:rsidRPr="00120E72">
        <w:t>A facility that is temporarily handling a known SSBA it is not registered for must report to Health within two business days that it is handling the SSBA. The facility is permitted seven working days from initial receipt of the SSBA in which to complete the handling of the SSBA before it is required to dispose of the agent through transfer or destruction. At the end of this period, the entity must report the disposal of the SSBA to Health.</w:t>
      </w:r>
    </w:p>
    <w:p w14:paraId="3F8D40AB" w14:textId="77777777" w:rsidR="00120E72" w:rsidRPr="00120E72" w:rsidRDefault="00120E72" w:rsidP="00755F50">
      <w:r w:rsidRPr="00120E72">
        <w:t>If the facility intends to continue handling after this seven day period, it must register to handle the SSBA.</w:t>
      </w:r>
    </w:p>
    <w:p w14:paraId="28F6C3DA" w14:textId="77777777" w:rsidR="00120E72" w:rsidRPr="00120E72" w:rsidRDefault="00120E72" w:rsidP="00755F50">
      <w:r w:rsidRPr="00120E72">
        <w:t>During the handling period, the entity must comply with Part 11 of the SSBA Standards and must report any lost or stolen samples, or unauthorised access to the samples.</w:t>
      </w:r>
    </w:p>
    <w:p w14:paraId="1DC452F8" w14:textId="77777777" w:rsidR="00120E72" w:rsidRPr="00120E72" w:rsidRDefault="00120E72" w:rsidP="00120E72">
      <w:pPr>
        <w:pStyle w:val="Tabletextleft"/>
      </w:pPr>
      <w:r w:rsidRPr="00120E72">
        <w:t>SSBA Standards include requirements that the entity:</w:t>
      </w:r>
    </w:p>
    <w:p w14:paraId="0FAFC698" w14:textId="77777777" w:rsidR="00120E72" w:rsidRPr="00120E72" w:rsidRDefault="00120E72" w:rsidP="00120E72">
      <w:pPr>
        <w:pStyle w:val="Tabletextleft"/>
        <w:numPr>
          <w:ilvl w:val="0"/>
          <w:numId w:val="31"/>
        </w:numPr>
      </w:pPr>
      <w:r w:rsidRPr="00120E72">
        <w:t>limits the access to the SSBA to only persons who have a need to handle the SSBA;</w:t>
      </w:r>
    </w:p>
    <w:p w14:paraId="6562682B" w14:textId="77777777" w:rsidR="00120E72" w:rsidRPr="00120E72" w:rsidRDefault="00120E72" w:rsidP="00120E72">
      <w:pPr>
        <w:pStyle w:val="Tabletextleft"/>
        <w:numPr>
          <w:ilvl w:val="0"/>
          <w:numId w:val="31"/>
        </w:numPr>
      </w:pPr>
      <w:r w:rsidRPr="00120E72">
        <w:lastRenderedPageBreak/>
        <w:t>maintains a record of who has accessed the SSBA including their identity and the date and time of access;</w:t>
      </w:r>
    </w:p>
    <w:p w14:paraId="0B43273F" w14:textId="77777777" w:rsidR="00120E72" w:rsidRPr="00120E72" w:rsidRDefault="00120E72" w:rsidP="00120E72">
      <w:pPr>
        <w:pStyle w:val="Tabletextleft"/>
        <w:numPr>
          <w:ilvl w:val="0"/>
          <w:numId w:val="31"/>
        </w:numPr>
      </w:pPr>
      <w:r w:rsidRPr="00120E72">
        <w:t>stores the SSBA securely – this could include a locked freezer, locked cupboard or locked containers within these devices;</w:t>
      </w:r>
    </w:p>
    <w:p w14:paraId="2A454566" w14:textId="77777777" w:rsidR="00120E72" w:rsidRPr="00120E72" w:rsidRDefault="00120E72" w:rsidP="00120E72">
      <w:pPr>
        <w:pStyle w:val="Tabletextleft"/>
        <w:numPr>
          <w:ilvl w:val="0"/>
          <w:numId w:val="31"/>
        </w:numPr>
      </w:pPr>
      <w:r w:rsidRPr="00120E72">
        <w:t>destroys the SSBA so that no SSBA leaves the entity without being destroyed or inactivated unless being transferred;</w:t>
      </w:r>
    </w:p>
    <w:p w14:paraId="3E8425A8" w14:textId="77777777" w:rsidR="00120E72" w:rsidRPr="00120E72" w:rsidRDefault="00120E72" w:rsidP="00120E72">
      <w:pPr>
        <w:pStyle w:val="Tabletextleft"/>
        <w:numPr>
          <w:ilvl w:val="0"/>
          <w:numId w:val="31"/>
        </w:numPr>
      </w:pPr>
      <w:r w:rsidRPr="00120E72">
        <w:t>validates waste disposal procedures; and</w:t>
      </w:r>
    </w:p>
    <w:p w14:paraId="6EA5826F" w14:textId="77777777" w:rsidR="00120E72" w:rsidRPr="00120E72" w:rsidRDefault="00120E72" w:rsidP="00120E72">
      <w:pPr>
        <w:pStyle w:val="Tabletextleft"/>
        <w:numPr>
          <w:ilvl w:val="0"/>
          <w:numId w:val="31"/>
        </w:numPr>
      </w:pPr>
      <w:r w:rsidRPr="00120E72">
        <w:t>maintains records relating to this handling for 12 months for Tier 1 SSBAs and 6 months for Tier 2 SSBAs.</w:t>
      </w:r>
    </w:p>
    <w:p w14:paraId="6668A09F" w14:textId="1C608FFD" w:rsidR="00120E72" w:rsidRPr="00120E72" w:rsidRDefault="00120E72" w:rsidP="00755F50">
      <w:pPr>
        <w:pStyle w:val="Heading1"/>
      </w:pPr>
      <w:r w:rsidRPr="00120E72">
        <w:t>De-</w:t>
      </w:r>
      <w:r w:rsidR="00755F50">
        <w:t>r</w:t>
      </w:r>
      <w:r w:rsidRPr="00120E72">
        <w:t>egistration</w:t>
      </w:r>
    </w:p>
    <w:p w14:paraId="56E6D76A" w14:textId="77777777" w:rsidR="00120E72" w:rsidRPr="00120E72" w:rsidRDefault="00120E72" w:rsidP="00755F50">
      <w:r w:rsidRPr="00120E72">
        <w:t>An entity or facility can apply to Health to cancel its registration after the entire stock of all SSBAs is disposed of (destroyed or transferred) or if the remaining quantity of toxin falls below the reportable quantity. If this application is granted, the entity or facility no longer needs to comply with the obligations of the SSBA Regulatory Scheme.</w:t>
      </w:r>
    </w:p>
    <w:p w14:paraId="70E2EDAC" w14:textId="77777777" w:rsidR="00120E72" w:rsidRPr="00120E72" w:rsidRDefault="00120E72" w:rsidP="00755F50">
      <w:r w:rsidRPr="00120E72">
        <w:t>If the entity or facility starts to handle SSBAs again or the toxin quantity rises above the reportable quantity level, then the facility must submit a new </w:t>
      </w:r>
      <w:r w:rsidRPr="00120E72">
        <w:rPr>
          <w:i/>
          <w:iCs/>
        </w:rPr>
        <w:t>Initial Registration</w:t>
      </w:r>
      <w:r w:rsidRPr="00120E72">
        <w:t> form.</w:t>
      </w:r>
    </w:p>
    <w:p w14:paraId="4CC4DC77" w14:textId="46F2C0CD" w:rsidR="00120E72" w:rsidRPr="00120E72" w:rsidRDefault="00120E72" w:rsidP="00755F50">
      <w:pPr>
        <w:pStyle w:val="Heading1"/>
      </w:pPr>
      <w:r w:rsidRPr="00120E72">
        <w:t xml:space="preserve">Reporting </w:t>
      </w:r>
      <w:r w:rsidR="00755F50">
        <w:t>s</w:t>
      </w:r>
      <w:r w:rsidRPr="00120E72">
        <w:t>uspected SSBAs</w:t>
      </w:r>
    </w:p>
    <w:p w14:paraId="374A9A2C" w14:textId="77777777" w:rsidR="00120E72" w:rsidRPr="00120E72" w:rsidRDefault="00120E72" w:rsidP="00755F50">
      <w:pPr>
        <w:pStyle w:val="Heading2"/>
      </w:pPr>
      <w:r w:rsidRPr="00120E72">
        <w:t>Reporting if you </w:t>
      </w:r>
      <w:r w:rsidRPr="00120E72">
        <w:rPr>
          <w:u w:val="single"/>
        </w:rPr>
        <w:t>are not</w:t>
      </w:r>
      <w:r w:rsidRPr="00120E72">
        <w:t> registered for the suspected SSBA</w:t>
      </w:r>
    </w:p>
    <w:p w14:paraId="440954C3" w14:textId="77777777" w:rsidR="00120E72" w:rsidRPr="00120E72" w:rsidRDefault="00120E72" w:rsidP="00755F50">
      <w:r w:rsidRPr="00120E72">
        <w:t>If you are registered to handle one or more SSBAs and, on the basis of your facility’s normal testing procedures, you suspect that you are handling an SSBA for which you are </w:t>
      </w:r>
      <w:r w:rsidRPr="00120E72">
        <w:rPr>
          <w:b/>
          <w:bCs/>
        </w:rPr>
        <w:t>not registered, </w:t>
      </w:r>
      <w:r w:rsidRPr="00120E72">
        <w:t>you must arrange for confirmatory testing or destroy the suspected SSBA as soon as possible and within two business days after forming your suspicion.</w:t>
      </w:r>
    </w:p>
    <w:p w14:paraId="3505A152" w14:textId="45628660" w:rsidR="00120E72" w:rsidRPr="00120E72" w:rsidRDefault="00120E72" w:rsidP="00755F50">
      <w:pPr>
        <w:pStyle w:val="Heading3"/>
      </w:pPr>
      <w:r w:rsidRPr="00120E72">
        <w:t>In-house confirmatory testing</w:t>
      </w:r>
    </w:p>
    <w:p w14:paraId="340A9085" w14:textId="77777777" w:rsidR="00120E72" w:rsidRPr="00120E72" w:rsidRDefault="00120E72" w:rsidP="00755F50">
      <w:r w:rsidRPr="00120E72">
        <w:t>If you, as the initial tester, can perform confirmatory testing you must</w:t>
      </w:r>
    </w:p>
    <w:p w14:paraId="14570DF8" w14:textId="77777777" w:rsidR="00120E72" w:rsidRPr="00120E72" w:rsidRDefault="00120E72" w:rsidP="00755F50">
      <w:pPr>
        <w:pStyle w:val="ListParagraph"/>
        <w:numPr>
          <w:ilvl w:val="0"/>
          <w:numId w:val="39"/>
        </w:numPr>
      </w:pPr>
      <w:r w:rsidRPr="00120E72">
        <w:t>report all outcomes (positive or negative) of the confirmatory test to Health;</w:t>
      </w:r>
    </w:p>
    <w:p w14:paraId="6ABF99CA" w14:textId="77777777" w:rsidR="00120E72" w:rsidRPr="00120E72" w:rsidRDefault="00120E72" w:rsidP="00755F50">
      <w:pPr>
        <w:pStyle w:val="ListParagraph"/>
        <w:numPr>
          <w:ilvl w:val="0"/>
          <w:numId w:val="39"/>
        </w:numPr>
      </w:pPr>
      <w:r w:rsidRPr="00120E72">
        <w:t>if you intend to handle the SSBA, you must register to handle the SSBA and comply with the regulatory obligations for confirmed SSBAs within two business days of becoming aware of the result if </w:t>
      </w:r>
      <w:r w:rsidRPr="00755F50">
        <w:rPr>
          <w:b/>
          <w:bCs/>
        </w:rPr>
        <w:t>the SSBA is confirmed</w:t>
      </w:r>
      <w:r w:rsidRPr="00120E72">
        <w:t>; OR</w:t>
      </w:r>
    </w:p>
    <w:p w14:paraId="537BCB26" w14:textId="77777777" w:rsidR="00120E72" w:rsidRPr="00120E72" w:rsidRDefault="00120E72" w:rsidP="00755F50">
      <w:pPr>
        <w:pStyle w:val="ListParagraph"/>
        <w:numPr>
          <w:ilvl w:val="0"/>
          <w:numId w:val="39"/>
        </w:numPr>
      </w:pPr>
      <w:r w:rsidRPr="00120E72">
        <w:t>dispose of the SSBA and report that this has occurred within two business days of becoming aware of the result </w:t>
      </w:r>
      <w:r w:rsidRPr="00755F50">
        <w:rPr>
          <w:b/>
          <w:bCs/>
        </w:rPr>
        <w:t>if the SSBA is confirmed.</w:t>
      </w:r>
    </w:p>
    <w:p w14:paraId="4F2D58CE" w14:textId="16C6BBF2" w:rsidR="00120E72" w:rsidRPr="00120E72" w:rsidRDefault="00120E72" w:rsidP="00755F50">
      <w:pPr>
        <w:pStyle w:val="Heading3"/>
      </w:pPr>
      <w:r w:rsidRPr="00120E72">
        <w:t>Transfer of the suspected SSBA to another facility for confirmatory testing</w:t>
      </w:r>
    </w:p>
    <w:p w14:paraId="19B4B52C" w14:textId="77777777" w:rsidR="00120E72" w:rsidRPr="00120E72" w:rsidRDefault="00120E72" w:rsidP="00755F50">
      <w:r w:rsidRPr="00120E72">
        <w:t>If you send the suspected SSBA to another facility for confirmatory testing you must:</w:t>
      </w:r>
    </w:p>
    <w:p w14:paraId="449726C3" w14:textId="77777777" w:rsidR="00120E72" w:rsidRPr="00120E72" w:rsidRDefault="00120E72" w:rsidP="00755F50">
      <w:pPr>
        <w:pStyle w:val="ListParagraph"/>
        <w:numPr>
          <w:ilvl w:val="0"/>
          <w:numId w:val="40"/>
        </w:numPr>
      </w:pPr>
      <w:r w:rsidRPr="00120E72">
        <w:t>report the transfer to Health as soon as possible, but no later than two business days after the transfer;</w:t>
      </w:r>
    </w:p>
    <w:p w14:paraId="75B6CF25" w14:textId="77777777" w:rsidR="00120E72" w:rsidRPr="00120E72" w:rsidRDefault="00120E72" w:rsidP="00755F50">
      <w:pPr>
        <w:pStyle w:val="ListParagraph"/>
        <w:numPr>
          <w:ilvl w:val="0"/>
          <w:numId w:val="40"/>
        </w:numPr>
      </w:pPr>
      <w:r w:rsidRPr="00120E72">
        <w:t>report all outcomes (positive or negative) of the confirmatory test to Health;</w:t>
      </w:r>
    </w:p>
    <w:p w14:paraId="0135A326" w14:textId="77777777" w:rsidR="00120E72" w:rsidRPr="00120E72" w:rsidRDefault="00120E72" w:rsidP="00755F50">
      <w:pPr>
        <w:pStyle w:val="ListParagraph"/>
        <w:numPr>
          <w:ilvl w:val="0"/>
          <w:numId w:val="40"/>
        </w:numPr>
      </w:pPr>
      <w:r w:rsidRPr="00120E72">
        <w:lastRenderedPageBreak/>
        <w:t>if you intend to handle the SSBA, you must register to handle the SSBA and comply with the regulatory obligations for confirmed SSBAs within two business days of becoming aware of the result if </w:t>
      </w:r>
      <w:r w:rsidRPr="00755F50">
        <w:rPr>
          <w:b/>
          <w:bCs/>
        </w:rPr>
        <w:t>the SSBA is confirmed</w:t>
      </w:r>
      <w:r w:rsidRPr="00120E72">
        <w:t>; OR</w:t>
      </w:r>
    </w:p>
    <w:p w14:paraId="01C0A114" w14:textId="77777777" w:rsidR="00120E72" w:rsidRPr="00120E72" w:rsidRDefault="00120E72" w:rsidP="00755F50">
      <w:pPr>
        <w:pStyle w:val="ListParagraph"/>
        <w:numPr>
          <w:ilvl w:val="0"/>
          <w:numId w:val="40"/>
        </w:numPr>
      </w:pPr>
      <w:r w:rsidRPr="00120E72">
        <w:t>dispose of the SSBA and report that this has occurred within two business days of becoming aware of the result </w:t>
      </w:r>
      <w:r w:rsidRPr="00755F50">
        <w:rPr>
          <w:b/>
          <w:bCs/>
        </w:rPr>
        <w:t>if the SSBA is confirmed.</w:t>
      </w:r>
    </w:p>
    <w:p w14:paraId="55F03F8D" w14:textId="77777777" w:rsidR="00120E72" w:rsidRPr="00120E72" w:rsidRDefault="00120E72" w:rsidP="00755F50">
      <w:r w:rsidRPr="00120E72">
        <w:t>If you choose to destroy the sample and not carry out confirmatory testing you must do so within two business days of receiving the sample. You must also report to Health as soon as possible, but no later than two business days after the destruction of the suspected SSBA.</w:t>
      </w:r>
    </w:p>
    <w:p w14:paraId="7CC2EDE7" w14:textId="77777777" w:rsidR="00120E72" w:rsidRPr="00120E72" w:rsidRDefault="00120E72" w:rsidP="00755F50">
      <w:r w:rsidRPr="00120E72">
        <w:t>If you are required to retain the sample for longer than two business days for example, under the National Pathology Accreditation Advisory Council (NPAAC) guideline on </w:t>
      </w:r>
      <w:r w:rsidRPr="00120E72">
        <w:rPr>
          <w:i/>
          <w:iCs/>
        </w:rPr>
        <w:t>Requirements for the Retention of Laboratory Records and Diagnostic Material </w:t>
      </w:r>
      <w:r w:rsidRPr="00120E72">
        <w:t>you can request a longer time period for retention prior to disposal of the SSBA. If this request is granted, you will then have two business days after the subsequent disposal to report to Health. You do not need to apply for an extension to handle while you are waiting on the outcome of a confirmatory test.</w:t>
      </w:r>
    </w:p>
    <w:p w14:paraId="5D2DBB2A" w14:textId="77777777" w:rsidR="00120E72" w:rsidRPr="00120E72" w:rsidRDefault="00120E72" w:rsidP="00755F50">
      <w:pPr>
        <w:pStyle w:val="Heading2"/>
      </w:pPr>
      <w:r w:rsidRPr="00120E72">
        <w:t>Reporting if you </w:t>
      </w:r>
      <w:r w:rsidRPr="00120E72">
        <w:rPr>
          <w:u w:val="single"/>
        </w:rPr>
        <w:t>are</w:t>
      </w:r>
      <w:r w:rsidRPr="00120E72">
        <w:t> registered for the suspected SSBA</w:t>
      </w:r>
    </w:p>
    <w:p w14:paraId="3E722B06" w14:textId="77777777" w:rsidR="00120E72" w:rsidRPr="00120E72" w:rsidRDefault="00120E72" w:rsidP="00755F50">
      <w:r w:rsidRPr="00120E72">
        <w:t>If you are registered to handle one or more SSBAs and, on the basis of your facility’s normal testing procedures, you suspect that you are handling an SSBA for which you are already registered, there are no additional regulatory and reporting obligations.</w:t>
      </w:r>
    </w:p>
    <w:p w14:paraId="3CE96D2E" w14:textId="77777777" w:rsidR="00120E72" w:rsidRPr="00120E72" w:rsidRDefault="00120E72" w:rsidP="00755F50">
      <w:r w:rsidRPr="00120E72">
        <w:t>If you are a confirmatory testing facility that is already registered for handling the SSBA received there is no requirement for you to report the receipt of a suspected SSBA.</w:t>
      </w:r>
    </w:p>
    <w:p w14:paraId="620E5C0B" w14:textId="13BA8859" w:rsidR="00120E72" w:rsidRPr="00120E72" w:rsidRDefault="00120E72" w:rsidP="00755F50">
      <w:pPr>
        <w:pStyle w:val="Heading1"/>
      </w:pPr>
      <w:r w:rsidRPr="00120E72">
        <w:t xml:space="preserve">Reporting </w:t>
      </w:r>
      <w:r w:rsidR="00755F50">
        <w:t>p</w:t>
      </w:r>
      <w:r w:rsidRPr="00120E72">
        <w:t xml:space="preserve">rocess </w:t>
      </w:r>
      <w:r w:rsidR="00755F50">
        <w:t>f</w:t>
      </w:r>
      <w:r w:rsidRPr="00120E72">
        <w:t>lowcharts</w:t>
      </w:r>
    </w:p>
    <w:p w14:paraId="5BEE0622" w14:textId="77777777" w:rsidR="00120E72" w:rsidRPr="00120E72" w:rsidRDefault="00120E72" w:rsidP="00120E72">
      <w:pPr>
        <w:pStyle w:val="Tabletextleft"/>
      </w:pPr>
      <w:r w:rsidRPr="00120E72">
        <w:t>The following flowcharts may assist entities to understand the reporting requirements and which forms to use.</w:t>
      </w:r>
    </w:p>
    <w:p w14:paraId="556E3505" w14:textId="036F42C6" w:rsidR="00120E72" w:rsidRPr="00120E72" w:rsidRDefault="000C0591" w:rsidP="00120E72">
      <w:pPr>
        <w:pStyle w:val="Tabletextleft"/>
        <w:numPr>
          <w:ilvl w:val="0"/>
          <w:numId w:val="34"/>
        </w:numPr>
      </w:pPr>
      <w:hyperlink w:anchor="_Flowchart_1_–" w:history="1">
        <w:r w:rsidR="00120E72" w:rsidRPr="00120E72">
          <w:rPr>
            <w:rStyle w:val="Hyperlink"/>
          </w:rPr>
          <w:t>Receiving an S</w:t>
        </w:r>
        <w:r w:rsidR="00120E72" w:rsidRPr="00120E72">
          <w:rPr>
            <w:rStyle w:val="Hyperlink"/>
          </w:rPr>
          <w:t>S</w:t>
        </w:r>
        <w:r w:rsidR="00120E72" w:rsidRPr="00120E72">
          <w:rPr>
            <w:rStyle w:val="Hyperlink"/>
          </w:rPr>
          <w:t>BA</w:t>
        </w:r>
      </w:hyperlink>
    </w:p>
    <w:p w14:paraId="7FF4E584" w14:textId="1587FE59" w:rsidR="00120E72" w:rsidRPr="00120E72" w:rsidRDefault="000C0591" w:rsidP="00120E72">
      <w:pPr>
        <w:pStyle w:val="Tabletextleft"/>
        <w:numPr>
          <w:ilvl w:val="0"/>
          <w:numId w:val="34"/>
        </w:numPr>
      </w:pPr>
      <w:hyperlink w:anchor="_Flowchart_2_–" w:history="1">
        <w:r w:rsidR="00120E72" w:rsidRPr="00120E72">
          <w:rPr>
            <w:rStyle w:val="Hyperlink"/>
          </w:rPr>
          <w:t>Change of purpose for handling an SSBA</w:t>
        </w:r>
      </w:hyperlink>
    </w:p>
    <w:p w14:paraId="7115FDF3" w14:textId="4C3CE273" w:rsidR="00120E72" w:rsidRPr="00120E72" w:rsidRDefault="000C0591" w:rsidP="00120E72">
      <w:pPr>
        <w:pStyle w:val="Tabletextleft"/>
        <w:numPr>
          <w:ilvl w:val="0"/>
          <w:numId w:val="34"/>
        </w:numPr>
      </w:pPr>
      <w:hyperlink w:anchor="_Flowchart_3_–" w:history="1">
        <w:r w:rsidR="00120E72" w:rsidRPr="00120E72">
          <w:rPr>
            <w:rStyle w:val="Hyperlink"/>
          </w:rPr>
          <w:t>Reporting administrative changes, including change of Responsible Officer or entity/facility details</w:t>
        </w:r>
      </w:hyperlink>
    </w:p>
    <w:p w14:paraId="73BC3D00" w14:textId="29718212" w:rsidR="00120E72" w:rsidRPr="00120E72" w:rsidRDefault="000C0591" w:rsidP="00120E72">
      <w:pPr>
        <w:pStyle w:val="Tabletextleft"/>
        <w:numPr>
          <w:ilvl w:val="0"/>
          <w:numId w:val="34"/>
        </w:numPr>
      </w:pPr>
      <w:hyperlink w:anchor="_Flowchart_4_–" w:history="1">
        <w:r w:rsidR="00120E72" w:rsidRPr="00120E72">
          <w:rPr>
            <w:rStyle w:val="Hyperlink"/>
          </w:rPr>
          <w:t>Disposal of an SSBA</w:t>
        </w:r>
      </w:hyperlink>
    </w:p>
    <w:p w14:paraId="177D0E3B" w14:textId="200D87EE" w:rsidR="00120E72" w:rsidRPr="00120E72" w:rsidRDefault="000C0591" w:rsidP="00120E72">
      <w:pPr>
        <w:pStyle w:val="Tabletextleft"/>
        <w:numPr>
          <w:ilvl w:val="0"/>
          <w:numId w:val="34"/>
        </w:numPr>
      </w:pPr>
      <w:hyperlink w:anchor="_Flowchart_5_–" w:history="1">
        <w:r w:rsidR="00120E72" w:rsidRPr="00120E72">
          <w:rPr>
            <w:rStyle w:val="Hyperlink"/>
          </w:rPr>
          <w:t xml:space="preserve">Incident </w:t>
        </w:r>
        <w:r w:rsidRPr="000C0591">
          <w:rPr>
            <w:rStyle w:val="Hyperlink"/>
          </w:rPr>
          <w:t>r</w:t>
        </w:r>
        <w:r w:rsidR="00120E72" w:rsidRPr="00120E72">
          <w:rPr>
            <w:rStyle w:val="Hyperlink"/>
          </w:rPr>
          <w:t>eporting</w:t>
        </w:r>
      </w:hyperlink>
    </w:p>
    <w:p w14:paraId="3397B032" w14:textId="4497563A" w:rsidR="00120E72" w:rsidRPr="00120E72" w:rsidRDefault="000C0591" w:rsidP="00120E72">
      <w:pPr>
        <w:pStyle w:val="Tabletextleft"/>
        <w:numPr>
          <w:ilvl w:val="0"/>
          <w:numId w:val="34"/>
        </w:numPr>
      </w:pPr>
      <w:hyperlink w:anchor="_Flowchart_6_–" w:history="1">
        <w:r w:rsidR="00120E72" w:rsidRPr="00120E72">
          <w:rPr>
            <w:rStyle w:val="Hyperlink"/>
          </w:rPr>
          <w:t>Suspected SSBAs</w:t>
        </w:r>
      </w:hyperlink>
    </w:p>
    <w:p w14:paraId="5D4F41EF" w14:textId="1E60BBCB" w:rsidR="00120E72" w:rsidRPr="00120E72" w:rsidRDefault="000C0591" w:rsidP="00120E72">
      <w:pPr>
        <w:pStyle w:val="Tabletextleft"/>
        <w:numPr>
          <w:ilvl w:val="0"/>
          <w:numId w:val="34"/>
        </w:numPr>
      </w:pPr>
      <w:hyperlink w:anchor="_Flowchart_7_–" w:history="1">
        <w:r w:rsidR="00120E72" w:rsidRPr="00120E72">
          <w:rPr>
            <w:rStyle w:val="Hyperlink"/>
          </w:rPr>
          <w:t xml:space="preserve">Temporary </w:t>
        </w:r>
        <w:r w:rsidRPr="000C0591">
          <w:rPr>
            <w:rStyle w:val="Hyperlink"/>
          </w:rPr>
          <w:t>h</w:t>
        </w:r>
        <w:r w:rsidR="00120E72" w:rsidRPr="00120E72">
          <w:rPr>
            <w:rStyle w:val="Hyperlink"/>
          </w:rPr>
          <w:t>andling</w:t>
        </w:r>
      </w:hyperlink>
    </w:p>
    <w:p w14:paraId="41F80E74" w14:textId="169FDA44" w:rsidR="00120E72" w:rsidRPr="00120E72" w:rsidRDefault="00120E72" w:rsidP="00755F50">
      <w:pPr>
        <w:pStyle w:val="Heading2"/>
      </w:pPr>
      <w:bookmarkStart w:id="0" w:name="receiving"/>
      <w:bookmarkStart w:id="1" w:name="_Flowchart_1_–"/>
      <w:bookmarkEnd w:id="0"/>
      <w:bookmarkEnd w:id="1"/>
      <w:r w:rsidRPr="00120E72">
        <w:lastRenderedPageBreak/>
        <w:t xml:space="preserve">Flowchart 1 </w:t>
      </w:r>
      <w:r w:rsidR="00755F50">
        <w:t>–</w:t>
      </w:r>
      <w:r w:rsidRPr="00120E72">
        <w:t xml:space="preserve"> Receiving an SSBA</w:t>
      </w:r>
    </w:p>
    <w:p w14:paraId="644F5D97" w14:textId="1542FCDF" w:rsidR="00120E72" w:rsidRPr="00120E72" w:rsidRDefault="00120E72" w:rsidP="00120E72">
      <w:pPr>
        <w:pStyle w:val="Tabletextleft"/>
      </w:pPr>
      <w:r w:rsidRPr="00120E72">
        <w:drawing>
          <wp:inline distT="0" distB="0" distL="0" distR="0" wp14:anchorId="439CB6AC" wp14:editId="401BD924">
            <wp:extent cx="5759450" cy="3328035"/>
            <wp:effectExtent l="0" t="0" r="0" b="5715"/>
            <wp:docPr id="9" name="Picture 9" descr="Flow chart 1 – Registered Facility Receiving an SSBA&#10;&#10;Have you received an SSBA from another entity or facility?&#10;&#10;If yes – Are you registered to handle this SSBA?&#10;&#10;If yes – you must report the transfer in of the SSBA within two business days of receipt.&#10;&#10;If no – you must either apply to register for this SSBA or dispose of the SSBA within two business days of receipt. &#10;&#10;If you are registered to handle the SSBA – are you handling the SSBA for the same purpose as the one you registered for?&#10;&#10;If no – you must report the change of purpose within two business days of the receipt of the SSBA. – See also Flow Chart 2.&#10;&#10;All reports should be submitted to the SSBA Regulatory Scheme either through the electronic submission system – the Data Collection System, or by registered post on the forms available for download at www.health.gov.au/ss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Flow chart 1 – Registered Facility Receiving an SSBA&#10;&#10;Have you received an SSBA from another entity or facility?&#10;&#10;If yes – Are you registered to handle this SSBA?&#10;&#10;If yes – you must report the transfer in of the SSBA within two business days of receipt.&#10;&#10;If no – you must either apply to register for this SSBA or dispose of the SSBA within two business days of receipt. &#10;&#10;If you are registered to handle the SSBA – are you handling the SSBA for the same purpose as the one you registered for?&#10;&#10;If no – you must report the change of purpose within two business days of the receipt of the SSBA. – See also Flow Chart 2.&#10;&#10;All reports should be submitted to the SSBA Regulatory Scheme either through the electronic submission system – the Data Collection System, or by registered post on the forms available for download at www.health.gov.au/ssb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3328035"/>
                    </a:xfrm>
                    <a:prstGeom prst="rect">
                      <a:avLst/>
                    </a:prstGeom>
                    <a:noFill/>
                    <a:ln>
                      <a:noFill/>
                    </a:ln>
                  </pic:spPr>
                </pic:pic>
              </a:graphicData>
            </a:graphic>
          </wp:inline>
        </w:drawing>
      </w:r>
    </w:p>
    <w:p w14:paraId="53C667CF" w14:textId="24AE5207" w:rsidR="00120E72" w:rsidRPr="00120E72" w:rsidRDefault="00120E72" w:rsidP="00755F50">
      <w:pPr>
        <w:pStyle w:val="Heading2"/>
      </w:pPr>
      <w:bookmarkStart w:id="2" w:name="change"/>
      <w:bookmarkStart w:id="3" w:name="_Flowchart_2_–"/>
      <w:bookmarkEnd w:id="2"/>
      <w:bookmarkEnd w:id="3"/>
      <w:r w:rsidRPr="00120E72">
        <w:lastRenderedPageBreak/>
        <w:t xml:space="preserve">Flowchart 2 </w:t>
      </w:r>
      <w:r w:rsidR="0021715C">
        <w:t>–</w:t>
      </w:r>
      <w:r w:rsidRPr="00120E72">
        <w:t xml:space="preserve"> Change of purpose for handling an SSBA</w:t>
      </w:r>
    </w:p>
    <w:p w14:paraId="7D8956FF" w14:textId="6C1874D0" w:rsidR="00120E72" w:rsidRPr="00120E72" w:rsidRDefault="00120E72" w:rsidP="00120E72">
      <w:pPr>
        <w:pStyle w:val="Tabletextleft"/>
      </w:pPr>
      <w:r w:rsidRPr="00120E72">
        <w:drawing>
          <wp:inline distT="0" distB="0" distL="0" distR="0" wp14:anchorId="6E18AB84" wp14:editId="15BADD4B">
            <wp:extent cx="5759450" cy="4518025"/>
            <wp:effectExtent l="0" t="0" r="0" b="0"/>
            <wp:docPr id="8" name="Picture 8" descr="Flow Chart 2 – Registered Facility Change of Purpose for Handing an SSBA&#10;&#10;Are you changing, ceasing or adding a purpose for handling the SSBA?&#10;&#10;If yes – you must report the change, cessation or addition of a purpose within two business days of the change occurring.  &#10;&#10;All reports should be submitted to the SSBA Regulatory Scheme either through the electronic submission system – the Data Collection System, or by registered post on the forms available for download at www.health.gov.au/ss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Flow Chart 2 – Registered Facility Change of Purpose for Handing an SSBA&#10;&#10;Are you changing, ceasing or adding a purpose for handling the SSBA?&#10;&#10;If yes – you must report the change, cessation or addition of a purpose within two business days of the change occurring.  &#10;&#10;All reports should be submitted to the SSBA Regulatory Scheme either through the electronic submission system – the Data Collection System, or by registered post on the forms available for download at www.health.gov.au/ssb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4518025"/>
                    </a:xfrm>
                    <a:prstGeom prst="rect">
                      <a:avLst/>
                    </a:prstGeom>
                    <a:noFill/>
                    <a:ln>
                      <a:noFill/>
                    </a:ln>
                  </pic:spPr>
                </pic:pic>
              </a:graphicData>
            </a:graphic>
          </wp:inline>
        </w:drawing>
      </w:r>
      <w:r w:rsidR="0021715C" w:rsidRPr="00120E72">
        <w:t xml:space="preserve"> </w:t>
      </w:r>
    </w:p>
    <w:p w14:paraId="18DB7CEF" w14:textId="6B6D2870" w:rsidR="00120E72" w:rsidRPr="00120E72" w:rsidRDefault="00120E72" w:rsidP="0021715C">
      <w:pPr>
        <w:pStyle w:val="Heading2"/>
      </w:pPr>
      <w:bookmarkStart w:id="4" w:name="reporting"/>
      <w:bookmarkStart w:id="5" w:name="_Flowchart_3_–"/>
      <w:bookmarkEnd w:id="4"/>
      <w:bookmarkEnd w:id="5"/>
      <w:r w:rsidRPr="00120E72">
        <w:lastRenderedPageBreak/>
        <w:t xml:space="preserve">Flowchart 3 </w:t>
      </w:r>
      <w:r w:rsidR="0021715C">
        <w:t>–</w:t>
      </w:r>
      <w:r w:rsidRPr="00120E72">
        <w:t xml:space="preserve"> Reporting administrative changes, including change of Responsible Officer or entity/facility details</w:t>
      </w:r>
    </w:p>
    <w:p w14:paraId="37549FE3" w14:textId="6B856DC4" w:rsidR="00120E72" w:rsidRPr="00120E72" w:rsidRDefault="00120E72" w:rsidP="00120E72">
      <w:pPr>
        <w:pStyle w:val="Tabletextleft"/>
      </w:pPr>
      <w:r w:rsidRPr="00120E72">
        <w:drawing>
          <wp:inline distT="0" distB="0" distL="0" distR="0" wp14:anchorId="4378C849" wp14:editId="164E9118">
            <wp:extent cx="5759450" cy="2885440"/>
            <wp:effectExtent l="0" t="0" r="0" b="0"/>
            <wp:docPr id="7" name="Picture 7" descr="Flow chart 3 – Registered Facility reporting administrative changes, including changes of Responsible Officers or entity or facility details.&#10;&#10;Are you changing the entity’s administrative details?&#10;If yes – you must report the change within two business days of the change occurring.&#10;&#10;Are you changing the details of the Responsible Officer or Deputy Responsible Officer? &#10;If yes – you must report the change within two business days of the change occurring.&#10;&#10;Are you changing the facility’s administrative details?&#10;If yes – are you changing the facility’s postal or contact details?&#10;If yes – you must report the change within two business days of the change occurring.&#10;&#10;Are you changing the physical location of the facility?&#10;If yes – you must submit a new Initial Registration form as the physical location has altered.  Please contact the Department of Health for more information.&#10;&#10;All reports should be submitted to the SSBA Regulatory Scheme either through the electronic submission system – the Data Collection System, or by registered post on the forms available for download at www.health.gov.au/ss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low chart 3 – Registered Facility reporting administrative changes, including changes of Responsible Officers or entity or facility details.&#10;&#10;Are you changing the entity’s administrative details?&#10;If yes – you must report the change within two business days of the change occurring.&#10;&#10;Are you changing the details of the Responsible Officer or Deputy Responsible Officer? &#10;If yes – you must report the change within two business days of the change occurring.&#10;&#10;Are you changing the facility’s administrative details?&#10;If yes – are you changing the facility’s postal or contact details?&#10;If yes – you must report the change within two business days of the change occurring.&#10;&#10;Are you changing the physical location of the facility?&#10;If yes – you must submit a new Initial Registration form as the physical location has altered.  Please contact the Department of Health for more information.&#10;&#10;All reports should be submitted to the SSBA Regulatory Scheme either through the electronic submission system – the Data Collection System, or by registered post on the forms available for download at www.health.gov.au/ssb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2885440"/>
                    </a:xfrm>
                    <a:prstGeom prst="rect">
                      <a:avLst/>
                    </a:prstGeom>
                    <a:noFill/>
                    <a:ln>
                      <a:noFill/>
                    </a:ln>
                  </pic:spPr>
                </pic:pic>
              </a:graphicData>
            </a:graphic>
          </wp:inline>
        </w:drawing>
      </w:r>
      <w:r w:rsidR="001C5F18" w:rsidRPr="00120E72">
        <w:t xml:space="preserve"> </w:t>
      </w:r>
    </w:p>
    <w:p w14:paraId="448690BF" w14:textId="13F98A0E" w:rsidR="00120E72" w:rsidRPr="00120E72" w:rsidRDefault="00120E72" w:rsidP="001C5F18">
      <w:pPr>
        <w:pStyle w:val="Heading2"/>
      </w:pPr>
      <w:bookmarkStart w:id="6" w:name="disposal"/>
      <w:bookmarkStart w:id="7" w:name="_Flowchart_4_–"/>
      <w:bookmarkEnd w:id="6"/>
      <w:bookmarkEnd w:id="7"/>
      <w:r w:rsidRPr="00120E72">
        <w:t xml:space="preserve">Flowchart 4 </w:t>
      </w:r>
      <w:r w:rsidR="001C5F18">
        <w:t>–</w:t>
      </w:r>
      <w:r w:rsidRPr="00120E72">
        <w:t xml:space="preserve"> Disposal of an SSBA</w:t>
      </w:r>
    </w:p>
    <w:p w14:paraId="796BBB96" w14:textId="66F39E26" w:rsidR="00120E72" w:rsidRPr="00120E72" w:rsidRDefault="00120E72" w:rsidP="00120E72">
      <w:pPr>
        <w:pStyle w:val="Tabletextleft"/>
      </w:pPr>
      <w:r w:rsidRPr="00120E72">
        <w:drawing>
          <wp:inline distT="0" distB="0" distL="0" distR="0" wp14:anchorId="0BA87090" wp14:editId="5A07273C">
            <wp:extent cx="5759450" cy="3973830"/>
            <wp:effectExtent l="0" t="0" r="0" b="7620"/>
            <wp:docPr id="6" name="Picture 6" descr="Flow Chart 4 – Registered Facility Disposal of an SSBA&#10;&#10;Do you intend to dispose of an SSBA (note – disposal means the complete transfer or destruction of all of your holdings of the SSBA)?&#10;&#10;Do you intend to dispose by transfer of the SSBA or destruction (note – you may dispose of your entire holdings using either or both of these methods)&#10;&#10;If disposal is by transfer of the agent to another facility – you must report the transfer out of the material within two business days.  You must also report if the transfer was successful or unsuccessful. Unsuccessful transfers must also be reported to the local police – see also SSBA Guideline 5 – Reporting to Law Enforcement.&#10;&#10;If disposal was by destruction of the SSBA – you must report the destruction within two business days of the SSBA being destroyed.&#10;&#10;Once you have disposed of the SSBA, do you intend to maintain your registration for the facility?&#10;&#10;If no – you must apply to the SSBA Regulatory Scheme for deregistration.&#10;&#10;All reports should be submitted to the SSBA Regulatory Scheme either through the electronic submission system – the Data Collection System, or by registered post on the forms available for download at www.health.gov.au/ss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Flow Chart 4 – Registered Facility Disposal of an SSBA&#10;&#10;Do you intend to dispose of an SSBA (note – disposal means the complete transfer or destruction of all of your holdings of the SSBA)?&#10;&#10;Do you intend to dispose by transfer of the SSBA or destruction (note – you may dispose of your entire holdings using either or both of these methods)&#10;&#10;If disposal is by transfer of the agent to another facility – you must report the transfer out of the material within two business days.  You must also report if the transfer was successful or unsuccessful. Unsuccessful transfers must also be reported to the local police – see also SSBA Guideline 5 – Reporting to Law Enforcement.&#10;&#10;If disposal was by destruction of the SSBA – you must report the destruction within two business days of the SSBA being destroyed.&#10;&#10;Once you have disposed of the SSBA, do you intend to maintain your registration for the facility?&#10;&#10;If no – you must apply to the SSBA Regulatory Scheme for deregistration.&#10;&#10;All reports should be submitted to the SSBA Regulatory Scheme either through the electronic submission system – the Data Collection System, or by registered post on the forms available for download at www.health.gov.au/ssb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3973830"/>
                    </a:xfrm>
                    <a:prstGeom prst="rect">
                      <a:avLst/>
                    </a:prstGeom>
                    <a:noFill/>
                    <a:ln>
                      <a:noFill/>
                    </a:ln>
                  </pic:spPr>
                </pic:pic>
              </a:graphicData>
            </a:graphic>
          </wp:inline>
        </w:drawing>
      </w:r>
    </w:p>
    <w:p w14:paraId="35085F48" w14:textId="67F5CA04" w:rsidR="00120E72" w:rsidRPr="00120E72" w:rsidRDefault="00120E72" w:rsidP="001C5F18">
      <w:pPr>
        <w:pStyle w:val="Heading2"/>
      </w:pPr>
      <w:bookmarkStart w:id="8" w:name="incident"/>
      <w:bookmarkStart w:id="9" w:name="_Flowchart_5_–"/>
      <w:bookmarkEnd w:id="8"/>
      <w:bookmarkEnd w:id="9"/>
      <w:r w:rsidRPr="00120E72">
        <w:lastRenderedPageBreak/>
        <w:t xml:space="preserve">Flowchart 5 </w:t>
      </w:r>
      <w:r w:rsidR="001C5F18">
        <w:t>–</w:t>
      </w:r>
      <w:r w:rsidRPr="00120E72">
        <w:t xml:space="preserve"> Incident </w:t>
      </w:r>
      <w:r w:rsidR="001C5F18">
        <w:t>r</w:t>
      </w:r>
      <w:r w:rsidRPr="00120E72">
        <w:t>eporting</w:t>
      </w:r>
    </w:p>
    <w:p w14:paraId="1D3C1551" w14:textId="3BE9F2A0" w:rsidR="00120E72" w:rsidRPr="00120E72" w:rsidRDefault="00120E72" w:rsidP="00120E72">
      <w:pPr>
        <w:pStyle w:val="Tabletextleft"/>
      </w:pPr>
      <w:r w:rsidRPr="00120E72">
        <w:drawing>
          <wp:inline distT="0" distB="0" distL="0" distR="0" wp14:anchorId="57F30832" wp14:editId="320B8E48">
            <wp:extent cx="5759450" cy="2861310"/>
            <wp:effectExtent l="0" t="0" r="0" b="0"/>
            <wp:docPr id="5" name="Picture 5" descr="Flow Chart 5 – Registered Facility Incident Reporting&#10;&#10;Has any of the following occurred? &#10;• Loss of an SSBA&#10;• Theft or attempted theft of an SSBA&#10;• Unauthorised or attempted unauthorised access to an SSBA or to sensitive information about an SSBA?&#10;• Accidental release of an SSBA &#10;• An infection with an SSBA acquired through handling&#10;&#10;If there was loss, theft/attempted theft, unauthorised access or attempted unauthorised access, you must report this to both the SSBA Regulatory Scheme and local law enforcement within two business days of discovering the event occurred.&#10;&#10;If there was an accidental release or infection acquired through handling, you must report this to the SSBA Regulatory Scheme only within two business days of discovering the event occurred.&#10;&#10;All reports should be submitted to the SSBA Regulatory Scheme either through the electronic submission system – the Data Collection System, or by registered post on the forms available for download at www.health.gov.au/ss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Flow Chart 5 – Registered Facility Incident Reporting&#10;&#10;Has any of the following occurred? &#10;• Loss of an SSBA&#10;• Theft or attempted theft of an SSBA&#10;• Unauthorised or attempted unauthorised access to an SSBA or to sensitive information about an SSBA?&#10;• Accidental release of an SSBA &#10;• An infection with an SSBA acquired through handling&#10;&#10;If there was loss, theft/attempted theft, unauthorised access or attempted unauthorised access, you must report this to both the SSBA Regulatory Scheme and local law enforcement within two business days of discovering the event occurred.&#10;&#10;If there was an accidental release or infection acquired through handling, you must report this to the SSBA Regulatory Scheme only within two business days of discovering the event occurred.&#10;&#10;All reports should be submitted to the SSBA Regulatory Scheme either through the electronic submission system – the Data Collection System, or by registered post on the forms available for download at www.health.gov.au/ssb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2861310"/>
                    </a:xfrm>
                    <a:prstGeom prst="rect">
                      <a:avLst/>
                    </a:prstGeom>
                    <a:noFill/>
                    <a:ln>
                      <a:noFill/>
                    </a:ln>
                  </pic:spPr>
                </pic:pic>
              </a:graphicData>
            </a:graphic>
          </wp:inline>
        </w:drawing>
      </w:r>
      <w:r w:rsidR="001C5F18" w:rsidRPr="00120E72">
        <w:t xml:space="preserve"> </w:t>
      </w:r>
    </w:p>
    <w:p w14:paraId="250A74D5" w14:textId="4B995A03" w:rsidR="00120E72" w:rsidRPr="00120E72" w:rsidRDefault="00120E72" w:rsidP="001C5F18">
      <w:pPr>
        <w:pStyle w:val="Heading2"/>
      </w:pPr>
      <w:bookmarkStart w:id="10" w:name="suspected"/>
      <w:bookmarkStart w:id="11" w:name="_Flowchart_6_–"/>
      <w:bookmarkEnd w:id="10"/>
      <w:bookmarkEnd w:id="11"/>
      <w:r w:rsidRPr="00120E72">
        <w:t xml:space="preserve">Flowchart 6 </w:t>
      </w:r>
      <w:r w:rsidR="001C5F18">
        <w:t>–</w:t>
      </w:r>
      <w:r w:rsidRPr="00120E72">
        <w:t xml:space="preserve"> Suspected SSBAs</w:t>
      </w:r>
    </w:p>
    <w:p w14:paraId="1D30CFE5" w14:textId="39524A13" w:rsidR="00120E72" w:rsidRPr="00120E72" w:rsidRDefault="00120E72" w:rsidP="00120E72">
      <w:pPr>
        <w:pStyle w:val="Tabletextleft"/>
      </w:pPr>
      <w:r w:rsidRPr="00120E72">
        <w:drawing>
          <wp:inline distT="0" distB="0" distL="0" distR="0" wp14:anchorId="218E55BC" wp14:editId="17E9BAFA">
            <wp:extent cx="5759450" cy="3954780"/>
            <wp:effectExtent l="0" t="0" r="0" b="7620"/>
            <wp:docPr id="4" name="Picture 4" descr="Flow chart 6 –  Registered facility suspected SSBA reporting&#10;&#10;Have you received a suspected SSBA?&#10;Are you registered for this SSBA?&#10;If the answer is yes – you do not have to report to the SSBA Regulatory Scheme.&#10;If the answer is no – you must either arrange for confirmatory testing or dispose of the suspected SSBA.&#10;&#10;&#10;Did you send the suspected SSBA to another facility for confirmatory testing?&#10;If the answer is yes – you must report transfer of the SSBA within two business days of sending the sample for testing.&#10;&#10;When you receive the outcome of the confirmatory test, you must report this outcome, either positive or negative, within two business days of receiving the results.&#10;&#10;Did you undertake confirmatory testing in house?&#10;You must report the outcome, either positive or negative, within two business days of receiving the results.&#10;&#10;Did you dispose of the SSBA either before or after confirmatory testing?&#10;You must report the disposal (by either transfer or destruction) of the SSBA within two business days of the disposal.&#10;&#10;Do you intend to keep handling the SSBA?&#10;If the answer is yes – you must send Start to handle a new SSBA form within two business days of receipt of a positive confirmatory test result.&#10;If the answer is no – you must dispose of the SSBA within two business days of receiving a positive confirmatory test result.&#10;&#10;All reports should be submitted to the SSBA Regulatory Scheme either through the electronic submission system – the Data Collection System, or by registered post on the forms available for download at www.health.gov.au/ss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low chart 6 –  Registered facility suspected SSBA reporting&#10;&#10;Have you received a suspected SSBA?&#10;Are you registered for this SSBA?&#10;If the answer is yes – you do not have to report to the SSBA Regulatory Scheme.&#10;If the answer is no – you must either arrange for confirmatory testing or dispose of the suspected SSBA.&#10;&#10;&#10;Did you send the suspected SSBA to another facility for confirmatory testing?&#10;If the answer is yes – you must report transfer of the SSBA within two business days of sending the sample for testing.&#10;&#10;When you receive the outcome of the confirmatory test, you must report this outcome, either positive or negative, within two business days of receiving the results.&#10;&#10;Did you undertake confirmatory testing in house?&#10;You must report the outcome, either positive or negative, within two business days of receiving the results.&#10;&#10;Did you dispose of the SSBA either before or after confirmatory testing?&#10;You must report the disposal (by either transfer or destruction) of the SSBA within two business days of the disposal.&#10;&#10;Do you intend to keep handling the SSBA?&#10;If the answer is yes – you must send Start to handle a new SSBA form within two business days of receipt of a positive confirmatory test result.&#10;If the answer is no – you must dispose of the SSBA within two business days of receiving a positive confirmatory test result.&#10;&#10;All reports should be submitted to the SSBA Regulatory Scheme either through the electronic submission system – the Data Collection System, or by registered post on the forms available for download at www.health.gov.au/ssb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9450" cy="3954780"/>
                    </a:xfrm>
                    <a:prstGeom prst="rect">
                      <a:avLst/>
                    </a:prstGeom>
                    <a:noFill/>
                    <a:ln>
                      <a:noFill/>
                    </a:ln>
                  </pic:spPr>
                </pic:pic>
              </a:graphicData>
            </a:graphic>
          </wp:inline>
        </w:drawing>
      </w:r>
      <w:r w:rsidR="001C5F18" w:rsidRPr="00120E72">
        <w:t xml:space="preserve"> </w:t>
      </w:r>
    </w:p>
    <w:p w14:paraId="74A446BA" w14:textId="41F2D6D7" w:rsidR="00120E72" w:rsidRPr="00120E72" w:rsidRDefault="00120E72" w:rsidP="001C5F18">
      <w:pPr>
        <w:pStyle w:val="Heading2"/>
      </w:pPr>
      <w:bookmarkStart w:id="12" w:name="temporary"/>
      <w:bookmarkStart w:id="13" w:name="_Flowchart_7_–"/>
      <w:bookmarkEnd w:id="12"/>
      <w:bookmarkEnd w:id="13"/>
      <w:r w:rsidRPr="00120E72">
        <w:lastRenderedPageBreak/>
        <w:t xml:space="preserve">Flowchart 7 </w:t>
      </w:r>
      <w:r>
        <w:t>–</w:t>
      </w:r>
      <w:r w:rsidRPr="00120E72">
        <w:t xml:space="preserve"> Temporary </w:t>
      </w:r>
      <w:r w:rsidR="001C5F18">
        <w:t>h</w:t>
      </w:r>
      <w:r w:rsidRPr="00120E72">
        <w:t>andling</w:t>
      </w:r>
    </w:p>
    <w:p w14:paraId="6ECE9E6E" w14:textId="3B1BDE26" w:rsidR="009040E9" w:rsidRPr="009040E9" w:rsidRDefault="00120E72" w:rsidP="00120E72">
      <w:pPr>
        <w:pStyle w:val="Tabletextleft"/>
      </w:pPr>
      <w:r w:rsidRPr="00120E72">
        <w:drawing>
          <wp:inline distT="0" distB="0" distL="0" distR="0" wp14:anchorId="6C7BD287" wp14:editId="2910D8F2">
            <wp:extent cx="5759450" cy="3575685"/>
            <wp:effectExtent l="0" t="0" r="0" b="5715"/>
            <wp:docPr id="1" name="Picture 1" descr="Flow chart 7 –Registered Facility - Temporary Handing &#10;&#10;Have you received a biological agent that has been confirmed as an SSBA prior to your facility receiving the sample?&#10;If yes – are you registered for this SSBA?&#10;If yes – you must report the transfer in of the SSBA within two business days of receiving the SSBA.&#10;If no - Do you intend to handle this SSBA for 7 working days or less? &#10;If yes – you must submit a Temporary Handling report within two business days of receiving the sample.&#10;After 7 working days you must then dispose of the SSBA either by destruction or transfer to another facility.  You must report the disposal.&#10;&#10;Do you intend to handle this SSBA for more than 7 working days?&#10;If yes - you must send a Start to Handle a new SSBA form within two business days of receipt of the SSBA.&#10;&#10;All reports should be submitted to the SSBA Regulatory Scheme either through the electronic submission system – the Data Collection System, or by registered post on the forms available for download at www.health.gov.au/ss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w chart 7 –Registered Facility - Temporary Handing &#10;&#10;Have you received a biological agent that has been confirmed as an SSBA prior to your facility receiving the sample?&#10;If yes – are you registered for this SSBA?&#10;If yes – you must report the transfer in of the SSBA within two business days of receiving the SSBA.&#10;If no - Do you intend to handle this SSBA for 7 working days or less? &#10;If yes – you must submit a Temporary Handling report within two business days of receiving the sample.&#10;After 7 working days you must then dispose of the SSBA either by destruction or transfer to another facility.  You must report the disposal.&#10;&#10;Do you intend to handle this SSBA for more than 7 working days?&#10;If yes - you must send a Start to Handle a new SSBA form within two business days of receipt of the SSBA.&#10;&#10;All reports should be submitted to the SSBA Regulatory Scheme either through the electronic submission system – the Data Collection System, or by registered post on the forms available for download at www.health.gov.au/ssba."/>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9450" cy="3575685"/>
                    </a:xfrm>
                    <a:prstGeom prst="rect">
                      <a:avLst/>
                    </a:prstGeom>
                    <a:noFill/>
                    <a:ln>
                      <a:noFill/>
                    </a:ln>
                  </pic:spPr>
                </pic:pic>
              </a:graphicData>
            </a:graphic>
          </wp:inline>
        </w:drawing>
      </w:r>
    </w:p>
    <w:sectPr w:rsidR="009040E9" w:rsidRPr="009040E9" w:rsidSect="00B53987">
      <w:headerReference w:type="default" r:id="rId18"/>
      <w:footerReference w:type="default" r:id="rId19"/>
      <w:headerReference w:type="first" r:id="rId20"/>
      <w:footerReference w:type="first" r:id="rId21"/>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80EB26" w14:textId="77777777" w:rsidR="00120E72" w:rsidRDefault="00120E72" w:rsidP="006B56BB">
      <w:r>
        <w:separator/>
      </w:r>
    </w:p>
    <w:p w14:paraId="2BC9E819" w14:textId="77777777" w:rsidR="00120E72" w:rsidRDefault="00120E72"/>
  </w:endnote>
  <w:endnote w:type="continuationSeparator" w:id="0">
    <w:p w14:paraId="6E5A8924" w14:textId="77777777" w:rsidR="00120E72" w:rsidRDefault="00120E72" w:rsidP="006B56BB">
      <w:r>
        <w:continuationSeparator/>
      </w:r>
    </w:p>
    <w:p w14:paraId="224C1201" w14:textId="77777777" w:rsidR="00120E72" w:rsidRDefault="00120E72"/>
  </w:endnote>
  <w:endnote w:type="continuationNotice" w:id="1">
    <w:p w14:paraId="6175C2B3" w14:textId="77777777" w:rsidR="00120E72" w:rsidRDefault="00120E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3AC142" w14:textId="011B2C4E" w:rsidR="00B53987" w:rsidRDefault="00120E72" w:rsidP="00B53987">
    <w:pPr>
      <w:pStyle w:val="Footer"/>
    </w:pPr>
    <w:r w:rsidRPr="00120E72">
      <w:t>SSBA – Guideline 2 – Registered facility reporting requirements</w:t>
    </w:r>
    <w:sdt>
      <w:sdtPr>
        <w:id w:val="-183903453"/>
        <w:docPartObj>
          <w:docPartGallery w:val="Page Numbers (Bottom of Page)"/>
          <w:docPartUnique/>
        </w:docPartObj>
      </w:sdtPr>
      <w:sdtEnd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1</w:t>
        </w:r>
        <w:r w:rsidR="00B53987" w:rsidRPr="003D033A">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252474" w14:textId="1A76BBD6" w:rsidR="00B53987" w:rsidRDefault="005F2423" w:rsidP="00B53987">
    <w:pPr>
      <w:pStyle w:val="Footer"/>
    </w:pPr>
    <w:r>
      <w:rPr>
        <w:noProof/>
      </w:rPr>
      <mc:AlternateContent>
        <mc:Choice Requires="wps">
          <w:drawing>
            <wp:anchor distT="0" distB="0" distL="114300" distR="114300" simplePos="0" relativeHeight="251659264" behindDoc="1" locked="0" layoutInCell="1" allowOverlap="1" wp14:anchorId="3EC933B0" wp14:editId="47D0C19A">
              <wp:simplePos x="0" y="0"/>
              <wp:positionH relativeFrom="page">
                <wp:align>center</wp:align>
              </wp:positionH>
              <wp:positionV relativeFrom="page">
                <wp:align>bottom</wp:align>
              </wp:positionV>
              <wp:extent cx="7560000" cy="324000"/>
              <wp:effectExtent l="0" t="0" r="0" b="6350"/>
              <wp:wrapNone/>
              <wp:docPr id="2" name="Rectangle 2"/>
              <wp:cNvGraphicFramePr/>
              <a:graphic xmlns:a="http://schemas.openxmlformats.org/drawingml/2006/main">
                <a:graphicData uri="http://schemas.microsoft.com/office/word/2010/wordprocessingShape">
                  <wps:wsp>
                    <wps:cNvSpPr/>
                    <wps:spPr>
                      <a:xfrm>
                        <a:off x="0" y="0"/>
                        <a:ext cx="7560000" cy="324000"/>
                      </a:xfrm>
                      <a:prstGeom prst="rect">
                        <a:avLst/>
                      </a:prstGeom>
                      <a:solidFill>
                        <a:srgbClr val="4F268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23AD99" id="Rectangle 2" o:spid="_x0000_s1026" style="position:absolute;margin-left:0;margin-top:0;width:595.3pt;height:25.5pt;z-index:-251657216;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" fillcolor="#4f2683" stroked="f" strokeweight="2pt">
              <w10:wrap anchorx="page" anchory="page"/>
            </v:rect>
          </w:pict>
        </mc:Fallback>
      </mc:AlternateContent>
    </w:r>
    <w:r w:rsidR="00120E72" w:rsidRPr="00120E72">
      <w:t>SSBA – Guideline 2 – Registered facility reporting requirements</w:t>
    </w:r>
    <w:sdt>
      <w:sdtPr>
        <w:id w:val="-178737789"/>
        <w:docPartObj>
          <w:docPartGallery w:val="Page Numbers (Bottom of Page)"/>
          <w:docPartUnique/>
        </w:docPartObj>
      </w:sdtPr>
      <w:sdtEnd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A0DBB9" w14:textId="77777777" w:rsidR="00120E72" w:rsidRDefault="00120E72" w:rsidP="006B56BB">
      <w:r>
        <w:separator/>
      </w:r>
    </w:p>
    <w:p w14:paraId="411A0220" w14:textId="77777777" w:rsidR="00120E72" w:rsidRDefault="00120E72"/>
  </w:footnote>
  <w:footnote w:type="continuationSeparator" w:id="0">
    <w:p w14:paraId="6043EEDF" w14:textId="77777777" w:rsidR="00120E72" w:rsidRDefault="00120E72" w:rsidP="006B56BB">
      <w:r>
        <w:continuationSeparator/>
      </w:r>
    </w:p>
    <w:p w14:paraId="292FCF75" w14:textId="77777777" w:rsidR="00120E72" w:rsidRDefault="00120E72"/>
  </w:footnote>
  <w:footnote w:type="continuationNotice" w:id="1">
    <w:p w14:paraId="098AF3F9" w14:textId="77777777" w:rsidR="00120E72" w:rsidRDefault="00120E72"/>
  </w:footnote>
  <w:footnote w:id="2">
    <w:p w14:paraId="5A4C0216" w14:textId="79801B24" w:rsidR="000C0591" w:rsidRDefault="000C0591">
      <w:pPr>
        <w:pStyle w:val="FootnoteText"/>
      </w:pPr>
      <w:r>
        <w:rPr>
          <w:rStyle w:val="FootnoteReference"/>
        </w:rPr>
        <w:footnoteRef/>
      </w:r>
      <w:r>
        <w:t xml:space="preserve"> </w:t>
      </w:r>
      <w:r w:rsidRPr="00120E72">
        <w:rPr>
          <w:sz w:val="21"/>
        </w:rPr>
        <w:t>If the purpose for handling the SSBA is listed as research, any major changes to the research proposal must be reported to Health.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28BA24" w14:textId="77777777" w:rsidR="008E0C77" w:rsidRDefault="008E0C77" w:rsidP="008E0C77">
    <w:pPr>
      <w:pStyle w:val="Headertext"/>
      <w:spacing w:after="18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96C488" w14:textId="77777777" w:rsidR="00B53987" w:rsidRDefault="00C03916">
    <w:pPr>
      <w:pStyle w:val="Header"/>
    </w:pPr>
    <w:r>
      <w:rPr>
        <w:noProof/>
      </w:rPr>
      <w:drawing>
        <wp:anchor distT="0" distB="0" distL="114300" distR="114300" simplePos="0" relativeHeight="251660288" behindDoc="0" locked="0" layoutInCell="1" allowOverlap="1" wp14:anchorId="73EE620B" wp14:editId="1B3441B3">
          <wp:simplePos x="0" y="0"/>
          <wp:positionH relativeFrom="page">
            <wp:align>center</wp:align>
          </wp:positionH>
          <wp:positionV relativeFrom="page">
            <wp:align>top</wp:align>
          </wp:positionV>
          <wp:extent cx="7560000" cy="2058352"/>
          <wp:effectExtent l="0" t="0" r="0" b="0"/>
          <wp:wrapSquare wrapText="bothSides"/>
          <wp:docPr id="3" name="Picture 3" descr="Australian Government Department of Health - Security Sensitive Biolog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Health - Security Sensitive Biological"/>
                  <pic:cNvPicPr/>
                </pic:nvPicPr>
                <pic:blipFill>
                  <a:blip r:embed="rId1">
                    <a:extLst>
                      <a:ext uri="{28A0092B-C50C-407E-A947-70E740481C1C}">
                        <a14:useLocalDpi xmlns:a14="http://schemas.microsoft.com/office/drawing/2010/main" val="0"/>
                      </a:ext>
                    </a:extLst>
                  </a:blip>
                  <a:stretch>
                    <a:fillRect/>
                  </a:stretch>
                </pic:blipFill>
                <pic:spPr>
                  <a:xfrm>
                    <a:off x="0" y="0"/>
                    <a:ext cx="7560000" cy="205835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A867752"/>
    <w:multiLevelType w:val="hybridMultilevel"/>
    <w:tmpl w:val="BF0851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11B60BE"/>
    <w:multiLevelType w:val="multilevel"/>
    <w:tmpl w:val="3F40C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5936E88"/>
    <w:multiLevelType w:val="multilevel"/>
    <w:tmpl w:val="420AD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AA47C6"/>
    <w:multiLevelType w:val="multilevel"/>
    <w:tmpl w:val="90DAA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9C92C11"/>
    <w:multiLevelType w:val="hybridMultilevel"/>
    <w:tmpl w:val="A5A647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8007F2"/>
    <w:multiLevelType w:val="multilevel"/>
    <w:tmpl w:val="FD100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3E922CF5"/>
    <w:multiLevelType w:val="multilevel"/>
    <w:tmpl w:val="DE44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224122D"/>
    <w:multiLevelType w:val="hybridMultilevel"/>
    <w:tmpl w:val="19A2CD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2" w15:restartNumberingAfterBreak="0">
    <w:nsid w:val="4AFA1795"/>
    <w:multiLevelType w:val="hybridMultilevel"/>
    <w:tmpl w:val="B9928D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B5D786C"/>
    <w:multiLevelType w:val="hybridMultilevel"/>
    <w:tmpl w:val="4224DD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3AD4E43"/>
    <w:multiLevelType w:val="multilevel"/>
    <w:tmpl w:val="458A5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5490956"/>
    <w:multiLevelType w:val="multilevel"/>
    <w:tmpl w:val="A766A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742999"/>
    <w:multiLevelType w:val="multilevel"/>
    <w:tmpl w:val="1EC85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FC93149"/>
    <w:multiLevelType w:val="hybridMultilevel"/>
    <w:tmpl w:val="DD8600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7"/>
  </w:num>
  <w:num w:numId="2">
    <w:abstractNumId w:val="25"/>
  </w:num>
  <w:num w:numId="3">
    <w:abstractNumId w:val="30"/>
  </w:num>
  <w:num w:numId="4">
    <w:abstractNumId w:val="8"/>
  </w:num>
  <w:num w:numId="5">
    <w:abstractNumId w:val="8"/>
    <w:lvlOverride w:ilvl="0">
      <w:startOverride w:val="1"/>
    </w:lvlOverride>
  </w:num>
  <w:num w:numId="6">
    <w:abstractNumId w:val="9"/>
  </w:num>
  <w:num w:numId="7">
    <w:abstractNumId w:val="21"/>
  </w:num>
  <w:num w:numId="8">
    <w:abstractNumId w:val="29"/>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32"/>
  </w:num>
  <w:num w:numId="17">
    <w:abstractNumId w:val="12"/>
  </w:num>
  <w:num w:numId="18">
    <w:abstractNumId w:val="15"/>
  </w:num>
  <w:num w:numId="19">
    <w:abstractNumId w:val="18"/>
  </w:num>
  <w:num w:numId="20">
    <w:abstractNumId w:val="12"/>
  </w:num>
  <w:num w:numId="21">
    <w:abstractNumId w:val="18"/>
  </w:num>
  <w:num w:numId="22">
    <w:abstractNumId w:val="32"/>
  </w:num>
  <w:num w:numId="23">
    <w:abstractNumId w:val="25"/>
  </w:num>
  <w:num w:numId="24">
    <w:abstractNumId w:val="30"/>
  </w:num>
  <w:num w:numId="25">
    <w:abstractNumId w:val="8"/>
  </w:num>
  <w:num w:numId="26">
    <w:abstractNumId w:val="24"/>
  </w:num>
  <w:num w:numId="27">
    <w:abstractNumId w:val="19"/>
  </w:num>
  <w:num w:numId="28">
    <w:abstractNumId w:val="13"/>
  </w:num>
  <w:num w:numId="29">
    <w:abstractNumId w:val="28"/>
  </w:num>
  <w:num w:numId="30">
    <w:abstractNumId w:val="11"/>
  </w:num>
  <w:num w:numId="31">
    <w:abstractNumId w:val="14"/>
  </w:num>
  <w:num w:numId="32">
    <w:abstractNumId w:val="27"/>
  </w:num>
  <w:num w:numId="33">
    <w:abstractNumId w:val="17"/>
  </w:num>
  <w:num w:numId="34">
    <w:abstractNumId w:val="26"/>
  </w:num>
  <w:num w:numId="35">
    <w:abstractNumId w:val="23"/>
  </w:num>
  <w:num w:numId="36">
    <w:abstractNumId w:val="16"/>
  </w:num>
  <w:num w:numId="37">
    <w:abstractNumId w:val="22"/>
  </w:num>
  <w:num w:numId="38">
    <w:abstractNumId w:val="10"/>
  </w:num>
  <w:num w:numId="39">
    <w:abstractNumId w:val="31"/>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1"/>
  <w:proofState w:spelling="clean"/>
  <w:attachedTemplate r:id="rId1"/>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E72"/>
    <w:rsid w:val="00003743"/>
    <w:rsid w:val="000047B4"/>
    <w:rsid w:val="00005712"/>
    <w:rsid w:val="00007FD8"/>
    <w:rsid w:val="000117F8"/>
    <w:rsid w:val="0001460F"/>
    <w:rsid w:val="00022629"/>
    <w:rsid w:val="00026139"/>
    <w:rsid w:val="00027601"/>
    <w:rsid w:val="00033321"/>
    <w:rsid w:val="000338E5"/>
    <w:rsid w:val="00033ECC"/>
    <w:rsid w:val="0003422F"/>
    <w:rsid w:val="00046D3A"/>
    <w:rsid w:val="00046FF0"/>
    <w:rsid w:val="00050176"/>
    <w:rsid w:val="00050342"/>
    <w:rsid w:val="00054353"/>
    <w:rsid w:val="00067456"/>
    <w:rsid w:val="00071506"/>
    <w:rsid w:val="0007154F"/>
    <w:rsid w:val="00081AB1"/>
    <w:rsid w:val="00090316"/>
    <w:rsid w:val="00093981"/>
    <w:rsid w:val="000B067A"/>
    <w:rsid w:val="000B1540"/>
    <w:rsid w:val="000B1E53"/>
    <w:rsid w:val="000B33FD"/>
    <w:rsid w:val="000B4ABA"/>
    <w:rsid w:val="000C0591"/>
    <w:rsid w:val="000C4B16"/>
    <w:rsid w:val="000C50C3"/>
    <w:rsid w:val="000C5E14"/>
    <w:rsid w:val="000D21F6"/>
    <w:rsid w:val="000D4500"/>
    <w:rsid w:val="000D7AEA"/>
    <w:rsid w:val="000E2C66"/>
    <w:rsid w:val="000F123C"/>
    <w:rsid w:val="000F2FED"/>
    <w:rsid w:val="0010616D"/>
    <w:rsid w:val="00110478"/>
    <w:rsid w:val="0011711B"/>
    <w:rsid w:val="00117F8A"/>
    <w:rsid w:val="00120E72"/>
    <w:rsid w:val="00121B9B"/>
    <w:rsid w:val="00122ADC"/>
    <w:rsid w:val="00130F59"/>
    <w:rsid w:val="00133EC0"/>
    <w:rsid w:val="00141CE5"/>
    <w:rsid w:val="00144908"/>
    <w:rsid w:val="00156D96"/>
    <w:rsid w:val="001571C7"/>
    <w:rsid w:val="00161094"/>
    <w:rsid w:val="0017665C"/>
    <w:rsid w:val="00177AD2"/>
    <w:rsid w:val="001815A8"/>
    <w:rsid w:val="001840FA"/>
    <w:rsid w:val="00190079"/>
    <w:rsid w:val="0019622E"/>
    <w:rsid w:val="001966A7"/>
    <w:rsid w:val="001A4627"/>
    <w:rsid w:val="001A4979"/>
    <w:rsid w:val="001B15D3"/>
    <w:rsid w:val="001B3443"/>
    <w:rsid w:val="001C0326"/>
    <w:rsid w:val="001C192F"/>
    <w:rsid w:val="001C3C42"/>
    <w:rsid w:val="001C5F18"/>
    <w:rsid w:val="001D7869"/>
    <w:rsid w:val="002026CD"/>
    <w:rsid w:val="002033FC"/>
    <w:rsid w:val="002044BB"/>
    <w:rsid w:val="00210B09"/>
    <w:rsid w:val="00210C9E"/>
    <w:rsid w:val="00211840"/>
    <w:rsid w:val="0021715C"/>
    <w:rsid w:val="00220E5F"/>
    <w:rsid w:val="002212B5"/>
    <w:rsid w:val="00226668"/>
    <w:rsid w:val="00233809"/>
    <w:rsid w:val="00240046"/>
    <w:rsid w:val="0024797F"/>
    <w:rsid w:val="0025119E"/>
    <w:rsid w:val="00251269"/>
    <w:rsid w:val="002535C0"/>
    <w:rsid w:val="002579FE"/>
    <w:rsid w:val="0026311C"/>
    <w:rsid w:val="0026668C"/>
    <w:rsid w:val="00266AC1"/>
    <w:rsid w:val="0027178C"/>
    <w:rsid w:val="002719FA"/>
    <w:rsid w:val="00272668"/>
    <w:rsid w:val="0027330B"/>
    <w:rsid w:val="002803AD"/>
    <w:rsid w:val="00282052"/>
    <w:rsid w:val="002831A3"/>
    <w:rsid w:val="0028519E"/>
    <w:rsid w:val="002856A5"/>
    <w:rsid w:val="002872ED"/>
    <w:rsid w:val="002905C2"/>
    <w:rsid w:val="00295AF2"/>
    <w:rsid w:val="00295C91"/>
    <w:rsid w:val="00297151"/>
    <w:rsid w:val="002B20E6"/>
    <w:rsid w:val="002B42A3"/>
    <w:rsid w:val="002C0009"/>
    <w:rsid w:val="002C0CDD"/>
    <w:rsid w:val="002C38C4"/>
    <w:rsid w:val="002E1A1D"/>
    <w:rsid w:val="002E4081"/>
    <w:rsid w:val="002E5B78"/>
    <w:rsid w:val="002F3AE3"/>
    <w:rsid w:val="0030464B"/>
    <w:rsid w:val="0030786C"/>
    <w:rsid w:val="003233DE"/>
    <w:rsid w:val="0032466B"/>
    <w:rsid w:val="003330EB"/>
    <w:rsid w:val="003415FD"/>
    <w:rsid w:val="003429F0"/>
    <w:rsid w:val="00345A82"/>
    <w:rsid w:val="0035097A"/>
    <w:rsid w:val="003540A4"/>
    <w:rsid w:val="00357BCC"/>
    <w:rsid w:val="00360E4E"/>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850"/>
    <w:rsid w:val="003D535A"/>
    <w:rsid w:val="003E377F"/>
    <w:rsid w:val="003E5265"/>
    <w:rsid w:val="003F0955"/>
    <w:rsid w:val="003F5F4D"/>
    <w:rsid w:val="003F646F"/>
    <w:rsid w:val="00400F00"/>
    <w:rsid w:val="00404F8B"/>
    <w:rsid w:val="00405256"/>
    <w:rsid w:val="00410031"/>
    <w:rsid w:val="00415C81"/>
    <w:rsid w:val="00432378"/>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929A9"/>
    <w:rsid w:val="004A78D9"/>
    <w:rsid w:val="004B36C5"/>
    <w:rsid w:val="004C6BCF"/>
    <w:rsid w:val="004D58BF"/>
    <w:rsid w:val="004E4335"/>
    <w:rsid w:val="004F13EE"/>
    <w:rsid w:val="004F2022"/>
    <w:rsid w:val="004F7C05"/>
    <w:rsid w:val="00501C94"/>
    <w:rsid w:val="00506432"/>
    <w:rsid w:val="00506E82"/>
    <w:rsid w:val="0052051D"/>
    <w:rsid w:val="00545EE6"/>
    <w:rsid w:val="005550E7"/>
    <w:rsid w:val="005564FB"/>
    <w:rsid w:val="005572C7"/>
    <w:rsid w:val="005650ED"/>
    <w:rsid w:val="00575754"/>
    <w:rsid w:val="00581FBA"/>
    <w:rsid w:val="00591E20"/>
    <w:rsid w:val="00595408"/>
    <w:rsid w:val="00595E84"/>
    <w:rsid w:val="005A0C59"/>
    <w:rsid w:val="005A48EB"/>
    <w:rsid w:val="005A6CFB"/>
    <w:rsid w:val="005C5AEB"/>
    <w:rsid w:val="005E0A3F"/>
    <w:rsid w:val="005E6883"/>
    <w:rsid w:val="005E772F"/>
    <w:rsid w:val="005F2423"/>
    <w:rsid w:val="005F4ECA"/>
    <w:rsid w:val="006041BE"/>
    <w:rsid w:val="006043C7"/>
    <w:rsid w:val="00624B52"/>
    <w:rsid w:val="00630794"/>
    <w:rsid w:val="00631DF4"/>
    <w:rsid w:val="00634175"/>
    <w:rsid w:val="006408AC"/>
    <w:rsid w:val="00644C38"/>
    <w:rsid w:val="006511B6"/>
    <w:rsid w:val="00657FF8"/>
    <w:rsid w:val="00670D99"/>
    <w:rsid w:val="00670E2B"/>
    <w:rsid w:val="006734BB"/>
    <w:rsid w:val="0067697A"/>
    <w:rsid w:val="006821EB"/>
    <w:rsid w:val="006B2286"/>
    <w:rsid w:val="006B56BB"/>
    <w:rsid w:val="006C77A8"/>
    <w:rsid w:val="006D4098"/>
    <w:rsid w:val="006D7681"/>
    <w:rsid w:val="006D7B2E"/>
    <w:rsid w:val="006E02EA"/>
    <w:rsid w:val="006E0968"/>
    <w:rsid w:val="006E2AF6"/>
    <w:rsid w:val="00701275"/>
    <w:rsid w:val="00707F56"/>
    <w:rsid w:val="00713558"/>
    <w:rsid w:val="00720D08"/>
    <w:rsid w:val="007263B9"/>
    <w:rsid w:val="007334F8"/>
    <w:rsid w:val="007339CD"/>
    <w:rsid w:val="007359D8"/>
    <w:rsid w:val="007362D4"/>
    <w:rsid w:val="00755F50"/>
    <w:rsid w:val="0076672A"/>
    <w:rsid w:val="00775E45"/>
    <w:rsid w:val="00776E74"/>
    <w:rsid w:val="00780612"/>
    <w:rsid w:val="00785169"/>
    <w:rsid w:val="007954AB"/>
    <w:rsid w:val="007A14C5"/>
    <w:rsid w:val="007A4A10"/>
    <w:rsid w:val="007B1760"/>
    <w:rsid w:val="007C1FDC"/>
    <w:rsid w:val="007C6D9C"/>
    <w:rsid w:val="007C7DDB"/>
    <w:rsid w:val="007D2CC7"/>
    <w:rsid w:val="007D673D"/>
    <w:rsid w:val="007E0FB8"/>
    <w:rsid w:val="007E4D09"/>
    <w:rsid w:val="007F2220"/>
    <w:rsid w:val="007F4B3E"/>
    <w:rsid w:val="008127AF"/>
    <w:rsid w:val="00812B46"/>
    <w:rsid w:val="00815700"/>
    <w:rsid w:val="008264EB"/>
    <w:rsid w:val="00826B8F"/>
    <w:rsid w:val="00831E8A"/>
    <w:rsid w:val="00835C76"/>
    <w:rsid w:val="008376E2"/>
    <w:rsid w:val="00843049"/>
    <w:rsid w:val="0085209B"/>
    <w:rsid w:val="00856B66"/>
    <w:rsid w:val="008601AC"/>
    <w:rsid w:val="00861A5F"/>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24E9"/>
    <w:rsid w:val="008D0533"/>
    <w:rsid w:val="008D42CB"/>
    <w:rsid w:val="008D48C9"/>
    <w:rsid w:val="008D6381"/>
    <w:rsid w:val="008E0C77"/>
    <w:rsid w:val="008E625F"/>
    <w:rsid w:val="008F264D"/>
    <w:rsid w:val="009040E9"/>
    <w:rsid w:val="009074E1"/>
    <w:rsid w:val="009112F7"/>
    <w:rsid w:val="009122AF"/>
    <w:rsid w:val="00912D54"/>
    <w:rsid w:val="0091389F"/>
    <w:rsid w:val="009208F7"/>
    <w:rsid w:val="00921649"/>
    <w:rsid w:val="00922517"/>
    <w:rsid w:val="00922722"/>
    <w:rsid w:val="009261E6"/>
    <w:rsid w:val="009268E1"/>
    <w:rsid w:val="009344AE"/>
    <w:rsid w:val="009344DE"/>
    <w:rsid w:val="00945E7F"/>
    <w:rsid w:val="009557C1"/>
    <w:rsid w:val="00960D6E"/>
    <w:rsid w:val="00974B59"/>
    <w:rsid w:val="0098340B"/>
    <w:rsid w:val="00986830"/>
    <w:rsid w:val="009924C3"/>
    <w:rsid w:val="00993102"/>
    <w:rsid w:val="009B1570"/>
    <w:rsid w:val="009C6F10"/>
    <w:rsid w:val="009D148F"/>
    <w:rsid w:val="009D3D70"/>
    <w:rsid w:val="009E6F7E"/>
    <w:rsid w:val="009E7A57"/>
    <w:rsid w:val="009F4803"/>
    <w:rsid w:val="009F4F6A"/>
    <w:rsid w:val="00A13EB5"/>
    <w:rsid w:val="00A16E36"/>
    <w:rsid w:val="00A24961"/>
    <w:rsid w:val="00A24B10"/>
    <w:rsid w:val="00A277EF"/>
    <w:rsid w:val="00A30E9B"/>
    <w:rsid w:val="00A4512D"/>
    <w:rsid w:val="00A50244"/>
    <w:rsid w:val="00A627D7"/>
    <w:rsid w:val="00A656C7"/>
    <w:rsid w:val="00A705AF"/>
    <w:rsid w:val="00A719F6"/>
    <w:rsid w:val="00A72454"/>
    <w:rsid w:val="00A77696"/>
    <w:rsid w:val="00A80557"/>
    <w:rsid w:val="00A81D33"/>
    <w:rsid w:val="00A8341C"/>
    <w:rsid w:val="00A930AE"/>
    <w:rsid w:val="00AA1A95"/>
    <w:rsid w:val="00AA260F"/>
    <w:rsid w:val="00AB1EE7"/>
    <w:rsid w:val="00AB4B37"/>
    <w:rsid w:val="00AB5762"/>
    <w:rsid w:val="00AC2679"/>
    <w:rsid w:val="00AC4BE4"/>
    <w:rsid w:val="00AD05E6"/>
    <w:rsid w:val="00AD0D3F"/>
    <w:rsid w:val="00AE1D7D"/>
    <w:rsid w:val="00AE2A8B"/>
    <w:rsid w:val="00AE3F64"/>
    <w:rsid w:val="00AF7386"/>
    <w:rsid w:val="00AF7934"/>
    <w:rsid w:val="00B00B81"/>
    <w:rsid w:val="00B04580"/>
    <w:rsid w:val="00B04B09"/>
    <w:rsid w:val="00B16A51"/>
    <w:rsid w:val="00B32222"/>
    <w:rsid w:val="00B3618D"/>
    <w:rsid w:val="00B36233"/>
    <w:rsid w:val="00B42851"/>
    <w:rsid w:val="00B45AC7"/>
    <w:rsid w:val="00B5372F"/>
    <w:rsid w:val="00B53987"/>
    <w:rsid w:val="00B61129"/>
    <w:rsid w:val="00B67E7F"/>
    <w:rsid w:val="00B839B2"/>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7FB2"/>
    <w:rsid w:val="00C00930"/>
    <w:rsid w:val="00C03916"/>
    <w:rsid w:val="00C060AD"/>
    <w:rsid w:val="00C113BF"/>
    <w:rsid w:val="00C2176E"/>
    <w:rsid w:val="00C23430"/>
    <w:rsid w:val="00C27D67"/>
    <w:rsid w:val="00C4631F"/>
    <w:rsid w:val="00C47CDE"/>
    <w:rsid w:val="00C50E16"/>
    <w:rsid w:val="00C55258"/>
    <w:rsid w:val="00C82EEB"/>
    <w:rsid w:val="00C971DC"/>
    <w:rsid w:val="00CA16B7"/>
    <w:rsid w:val="00CA62AE"/>
    <w:rsid w:val="00CB5B1A"/>
    <w:rsid w:val="00CC220B"/>
    <w:rsid w:val="00CC5C43"/>
    <w:rsid w:val="00CD02AE"/>
    <w:rsid w:val="00CD2A4F"/>
    <w:rsid w:val="00CE03CA"/>
    <w:rsid w:val="00CE22F1"/>
    <w:rsid w:val="00CE50F2"/>
    <w:rsid w:val="00CE6502"/>
    <w:rsid w:val="00CF7D3C"/>
    <w:rsid w:val="00D01F09"/>
    <w:rsid w:val="00D147EB"/>
    <w:rsid w:val="00D34667"/>
    <w:rsid w:val="00D401E1"/>
    <w:rsid w:val="00D408B4"/>
    <w:rsid w:val="00D524C8"/>
    <w:rsid w:val="00D70E24"/>
    <w:rsid w:val="00D72B61"/>
    <w:rsid w:val="00DA3D1D"/>
    <w:rsid w:val="00DB6286"/>
    <w:rsid w:val="00DB645F"/>
    <w:rsid w:val="00DB76E9"/>
    <w:rsid w:val="00DC0A67"/>
    <w:rsid w:val="00DC1D5E"/>
    <w:rsid w:val="00DC5220"/>
    <w:rsid w:val="00DD2061"/>
    <w:rsid w:val="00DD7DAB"/>
    <w:rsid w:val="00DE3355"/>
    <w:rsid w:val="00DF0C60"/>
    <w:rsid w:val="00DF486F"/>
    <w:rsid w:val="00DF5B5B"/>
    <w:rsid w:val="00DF7619"/>
    <w:rsid w:val="00E042D8"/>
    <w:rsid w:val="00E07EE7"/>
    <w:rsid w:val="00E1103B"/>
    <w:rsid w:val="00E17B44"/>
    <w:rsid w:val="00E20F27"/>
    <w:rsid w:val="00E22443"/>
    <w:rsid w:val="00E25B1F"/>
    <w:rsid w:val="00E27FEA"/>
    <w:rsid w:val="00E4086F"/>
    <w:rsid w:val="00E43B3C"/>
    <w:rsid w:val="00E474AB"/>
    <w:rsid w:val="00E50188"/>
    <w:rsid w:val="00E50BB3"/>
    <w:rsid w:val="00E515CB"/>
    <w:rsid w:val="00E52260"/>
    <w:rsid w:val="00E639B6"/>
    <w:rsid w:val="00E6434B"/>
    <w:rsid w:val="00E6463D"/>
    <w:rsid w:val="00E72E9B"/>
    <w:rsid w:val="00E850C3"/>
    <w:rsid w:val="00E87DF2"/>
    <w:rsid w:val="00E9462E"/>
    <w:rsid w:val="00EA470E"/>
    <w:rsid w:val="00EA47A7"/>
    <w:rsid w:val="00EA57EB"/>
    <w:rsid w:val="00EB3226"/>
    <w:rsid w:val="00EC213A"/>
    <w:rsid w:val="00EC7744"/>
    <w:rsid w:val="00ED0DAD"/>
    <w:rsid w:val="00ED0F46"/>
    <w:rsid w:val="00ED2373"/>
    <w:rsid w:val="00EE3E8A"/>
    <w:rsid w:val="00EF58B8"/>
    <w:rsid w:val="00EF6ECA"/>
    <w:rsid w:val="00F024E1"/>
    <w:rsid w:val="00F06C10"/>
    <w:rsid w:val="00F1096F"/>
    <w:rsid w:val="00F12589"/>
    <w:rsid w:val="00F12595"/>
    <w:rsid w:val="00F134D9"/>
    <w:rsid w:val="00F1403D"/>
    <w:rsid w:val="00F1463F"/>
    <w:rsid w:val="00F21302"/>
    <w:rsid w:val="00F2430D"/>
    <w:rsid w:val="00F321DE"/>
    <w:rsid w:val="00F33777"/>
    <w:rsid w:val="00F40648"/>
    <w:rsid w:val="00F47DA2"/>
    <w:rsid w:val="00F519FC"/>
    <w:rsid w:val="00F6239D"/>
    <w:rsid w:val="00F715D2"/>
    <w:rsid w:val="00F7274F"/>
    <w:rsid w:val="00F74E84"/>
    <w:rsid w:val="00F76FA8"/>
    <w:rsid w:val="00F93F08"/>
    <w:rsid w:val="00F94CED"/>
    <w:rsid w:val="00FA02BB"/>
    <w:rsid w:val="00FA2CEE"/>
    <w:rsid w:val="00FA318C"/>
    <w:rsid w:val="00FB6F92"/>
    <w:rsid w:val="00FC026E"/>
    <w:rsid w:val="00FC5124"/>
    <w:rsid w:val="00FD4731"/>
    <w:rsid w:val="00FD6768"/>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8E60EB"/>
  <w15:docId w15:val="{37E44266-E5A7-4061-86D0-5335EA0DB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2C0009"/>
    <w:pPr>
      <w:keepNext/>
      <w:spacing w:before="240" w:after="60"/>
      <w:outlineLvl w:val="0"/>
    </w:pPr>
    <w:rPr>
      <w:rFonts w:ascii="Arial" w:hAnsi="Arial" w:cs="Arial"/>
      <w:b/>
      <w:bCs/>
      <w:color w:val="4F2683"/>
      <w:kern w:val="28"/>
      <w:sz w:val="44"/>
      <w:szCs w:val="36"/>
      <w:lang w:eastAsia="en-US"/>
    </w:rPr>
  </w:style>
  <w:style w:type="paragraph" w:styleId="Heading2">
    <w:name w:val="heading 2"/>
    <w:next w:val="Normal"/>
    <w:qFormat/>
    <w:rsid w:val="002C0009"/>
    <w:pPr>
      <w:keepNext/>
      <w:spacing w:before="240" w:after="60"/>
      <w:outlineLvl w:val="1"/>
    </w:pPr>
    <w:rPr>
      <w:rFonts w:ascii="Arial" w:hAnsi="Arial" w:cs="Arial"/>
      <w:b/>
      <w:bCs/>
      <w:iCs/>
      <w:color w:val="4F2683"/>
      <w:sz w:val="36"/>
      <w:szCs w:val="28"/>
      <w:lang w:eastAsia="en-US"/>
    </w:rPr>
  </w:style>
  <w:style w:type="paragraph" w:styleId="Heading3">
    <w:name w:val="heading 3"/>
    <w:next w:val="Normal"/>
    <w:qFormat/>
    <w:rsid w:val="002C0009"/>
    <w:pPr>
      <w:keepNext/>
      <w:spacing w:before="180" w:after="60"/>
      <w:outlineLvl w:val="2"/>
    </w:pPr>
    <w:rPr>
      <w:rFonts w:ascii="Arial" w:hAnsi="Arial" w:cs="Arial"/>
      <w:b/>
      <w:bCs/>
      <w:color w:val="4F2683"/>
      <w:sz w:val="32"/>
      <w:szCs w:val="26"/>
      <w:lang w:eastAsia="en-US"/>
    </w:rPr>
  </w:style>
  <w:style w:type="paragraph" w:styleId="Heading4">
    <w:name w:val="heading 4"/>
    <w:next w:val="Normal"/>
    <w:qFormat/>
    <w:rsid w:val="002C0009"/>
    <w:pPr>
      <w:keepNext/>
      <w:spacing w:before="240" w:after="60"/>
      <w:outlineLvl w:val="3"/>
    </w:pPr>
    <w:rPr>
      <w:rFonts w:ascii="Arial" w:hAnsi="Arial"/>
      <w:b/>
      <w:bCs/>
      <w:i/>
      <w:color w:val="4F2683"/>
      <w:sz w:val="28"/>
      <w:szCs w:val="28"/>
      <w:lang w:eastAsia="en-US"/>
    </w:rPr>
  </w:style>
  <w:style w:type="paragraph" w:styleId="Heading5">
    <w:name w:val="heading 5"/>
    <w:next w:val="Normal"/>
    <w:rsid w:val="002C0009"/>
    <w:pPr>
      <w:keepNext/>
      <w:spacing w:before="240" w:after="60"/>
      <w:outlineLvl w:val="4"/>
    </w:pPr>
    <w:rPr>
      <w:rFonts w:ascii="Arial" w:hAnsi="Arial"/>
      <w:b/>
      <w:bCs/>
      <w:iCs/>
      <w:color w:val="4F2683"/>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2C0009"/>
    <w:pPr>
      <w:spacing w:before="360" w:after="120"/>
      <w:contextualSpacing/>
    </w:pPr>
    <w:rPr>
      <w:rFonts w:ascii="Arial" w:eastAsiaTheme="majorEastAsia" w:hAnsi="Arial" w:cstheme="majorBidi"/>
      <w:b/>
      <w:color w:val="4F2683"/>
      <w:kern w:val="28"/>
      <w:sz w:val="48"/>
      <w:szCs w:val="52"/>
      <w:lang w:eastAsia="en-US"/>
    </w:rPr>
  </w:style>
  <w:style w:type="character" w:customStyle="1" w:styleId="TitleChar">
    <w:name w:val="Title Char"/>
    <w:basedOn w:val="DefaultParagraphFont"/>
    <w:link w:val="Title"/>
    <w:rsid w:val="002C0009"/>
    <w:rPr>
      <w:rFonts w:ascii="Arial" w:eastAsiaTheme="majorEastAsia" w:hAnsi="Arial" w:cstheme="majorBidi"/>
      <w:b/>
      <w:color w:val="4F2683"/>
      <w:kern w:val="28"/>
      <w:sz w:val="48"/>
      <w:szCs w:val="52"/>
      <w:lang w:eastAsia="en-US"/>
    </w:rPr>
  </w:style>
  <w:style w:type="paragraph" w:customStyle="1" w:styleId="Boxheading">
    <w:name w:val="Box heading"/>
    <w:basedOn w:val="Boxtype"/>
    <w:qFormat/>
    <w:rsid w:val="002C0009"/>
    <w:pPr>
      <w:spacing w:before="240"/>
    </w:pPr>
    <w:rPr>
      <w:rFonts w:cs="Times New Roman"/>
      <w:b/>
      <w:bCs/>
      <w:caps/>
      <w:color w:val="4F2683"/>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2C0009"/>
    <w:pPr>
      <w:pBdr>
        <w:bottom w:val="single" w:sz="4" w:space="4" w:color="3F4A75" w:themeColor="accent1"/>
      </w:pBdr>
      <w:spacing w:before="200" w:after="280"/>
      <w:ind w:left="936" w:right="936"/>
    </w:pPr>
    <w:rPr>
      <w:rFonts w:ascii="Arial" w:hAnsi="Arial"/>
      <w:b/>
      <w:bCs/>
      <w:i/>
      <w:iCs/>
      <w:color w:val="4F2683"/>
      <w:sz w:val="22"/>
      <w:szCs w:val="24"/>
      <w:lang w:eastAsia="en-US"/>
    </w:rPr>
  </w:style>
  <w:style w:type="character" w:customStyle="1" w:styleId="IntenseQuoteChar">
    <w:name w:val="Intense Quote Char"/>
    <w:basedOn w:val="DefaultParagraphFont"/>
    <w:link w:val="IntenseQuote"/>
    <w:uiPriority w:val="30"/>
    <w:rsid w:val="002C0009"/>
    <w:rPr>
      <w:rFonts w:ascii="Arial" w:hAnsi="Arial"/>
      <w:b/>
      <w:bCs/>
      <w:i/>
      <w:iCs/>
      <w:color w:val="4F2683"/>
      <w:sz w:val="22"/>
      <w:szCs w:val="24"/>
      <w:lang w:eastAsia="en-US"/>
    </w:rPr>
  </w:style>
  <w:style w:type="character" w:styleId="SubtleReference">
    <w:name w:val="Subtle Reference"/>
    <w:basedOn w:val="DefaultParagraphFont"/>
    <w:uiPriority w:val="31"/>
    <w:rsid w:val="002C0009"/>
    <w:rPr>
      <w:smallCaps/>
      <w:color w:val="4F2683"/>
      <w:u w:val="single"/>
    </w:rPr>
  </w:style>
  <w:style w:type="character" w:styleId="IntenseReference">
    <w:name w:val="Intense Reference"/>
    <w:basedOn w:val="DefaultParagraphFont"/>
    <w:uiPriority w:val="32"/>
    <w:rsid w:val="002C0009"/>
    <w:rPr>
      <w:b/>
      <w:bCs/>
      <w:i/>
      <w:smallCaps/>
      <w:color w:val="4F2683"/>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2C0009"/>
    <w:pPr>
      <w:pBdr>
        <w:top w:val="single" w:sz="4" w:space="15" w:color="4F2683"/>
        <w:bottom w:val="single" w:sz="4" w:space="10" w:color="4F2683"/>
      </w:pBdr>
      <w:spacing w:before="240" w:after="240" w:line="340" w:lineRule="exact"/>
    </w:pPr>
    <w:rPr>
      <w:rFonts w:eastAsiaTheme="minorHAnsi"/>
      <w:color w:val="4F2683"/>
    </w:rPr>
  </w:style>
  <w:style w:type="paragraph" w:customStyle="1" w:styleId="Boxtype">
    <w:name w:val="Box type"/>
    <w:next w:val="Normal"/>
    <w:qFormat/>
    <w:rsid w:val="002C0009"/>
    <w:pPr>
      <w:pBdr>
        <w:top w:val="single" w:sz="6" w:space="20" w:color="4F2683"/>
        <w:left w:val="single" w:sz="6" w:space="10" w:color="4F2683"/>
        <w:bottom w:val="single" w:sz="6" w:space="10" w:color="4F2683"/>
        <w:right w:val="single" w:sz="6" w:space="10" w:color="4F2683"/>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2C0009"/>
    <w:rPr>
      <w:b/>
      <w:caps/>
      <w:smallCaps w:val="0"/>
      <w:color w:val="4F2683"/>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2C0009"/>
    <w:pPr>
      <w:spacing w:before="480" w:line="400" w:lineRule="exact"/>
    </w:pPr>
    <w:rPr>
      <w:color w:val="4F2683"/>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styleId="UnresolvedMention">
    <w:name w:val="Unresolved Mention"/>
    <w:basedOn w:val="DefaultParagraphFont"/>
    <w:uiPriority w:val="99"/>
    <w:semiHidden/>
    <w:unhideWhenUsed/>
    <w:rsid w:val="00120E72"/>
    <w:rPr>
      <w:color w:val="605E5C"/>
      <w:shd w:val="clear" w:color="auto" w:fill="E1DFDD"/>
    </w:rPr>
  </w:style>
  <w:style w:type="character" w:styleId="FollowedHyperlink">
    <w:name w:val="FollowedHyperlink"/>
    <w:basedOn w:val="DefaultParagraphFont"/>
    <w:semiHidden/>
    <w:unhideWhenUsed/>
    <w:rsid w:val="00755F50"/>
    <w:rPr>
      <w:color w:val="800080" w:themeColor="followedHyperlink"/>
      <w:u w:val="single"/>
    </w:rPr>
  </w:style>
  <w:style w:type="character" w:styleId="FootnoteReference">
    <w:name w:val="footnote reference"/>
    <w:basedOn w:val="DefaultParagraphFont"/>
    <w:semiHidden/>
    <w:unhideWhenUsed/>
    <w:rsid w:val="000C05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5540989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25882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gi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gif"/><Relationship Id="rId17" Type="http://schemas.openxmlformats.org/officeDocument/2006/relationships/image" Target="media/image7.gif"/><Relationship Id="rId2" Type="http://schemas.openxmlformats.org/officeDocument/2006/relationships/customXml" Target="../customXml/item2.xml"/><Relationship Id="rId16" Type="http://schemas.openxmlformats.org/officeDocument/2006/relationships/image" Target="media/image6.gi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image" Target="media/image5.gi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gif"/><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dfsuserenv\Users\User_01\MCCAYM\Documents\Emergency%20health%20management\SSBA%20resources\DT0002945-TEM-Security-Sensitive-Biological-Agents-Word-template.dotx" TargetMode="External"/></Relationships>
</file>

<file path=word/theme/theme1.xml><?xml version="1.0" encoding="utf-8"?>
<a:theme xmlns:a="http://schemas.openxmlformats.org/drawingml/2006/main" name="SSBA">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A3B0B12D2F0A044930B7F0ED9CD8462" ma:contentTypeVersion="20" ma:contentTypeDescription="Create a new document." ma:contentTypeScope="" ma:versionID="8f7d9e9be767a787025ed14c527cabb1">
  <xsd:schema xmlns:xsd="http://www.w3.org/2001/XMLSchema" xmlns:xs="http://www.w3.org/2001/XMLSchema" xmlns:p="http://schemas.microsoft.com/office/2006/metadata/properties" xmlns:ns2="66b98d56-25b7-479b-bf58-c8a0702ccf2c" xmlns:ns3="3e9090f6-0245-48e3-bd19-46cc0b4d31f0" targetNamespace="http://schemas.microsoft.com/office/2006/metadata/properties" ma:root="true" ma:fieldsID="f43b705ae144227d461193c751071834" ns2:_="" ns3:_="">
    <xsd:import namespace="66b98d56-25b7-479b-bf58-c8a0702ccf2c"/>
    <xsd:import namespace="3e9090f6-0245-48e3-bd19-46cc0b4d31f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Trello" minOccurs="0"/>
                <xsd:element ref="ns3:MediaServiceLocation" minOccurs="0"/>
                <xsd:element ref="ns3:Category" minOccurs="0"/>
                <xsd:element ref="ns2:TaxCatchAll"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b98d56-25b7-479b-bf58-c8a0702ccf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453538d-d5ab-4153-beec-42a8f73a9330}" ma:internalName="TaxCatchAll" ma:showField="CatchAllData" ma:web="66b98d56-25b7-479b-bf58-c8a0702ccf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9090f6-0245-48e3-bd19-46cc0b4d31f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Trello" ma:index="20" nillable="true" ma:displayName="Trello" ma:description="Link to Trello ticket" ma:format="Hyperlink" ma:internalName="Trello">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21" nillable="true" ma:displayName="Location" ma:internalName="MediaServiceLocation" ma:readOnly="true">
      <xsd:simpleType>
        <xsd:restriction base="dms:Text"/>
      </xsd:simpleType>
    </xsd:element>
    <xsd:element name="Category" ma:index="22" nillable="true" ma:displayName="Category" ma:format="Dropdown" ma:internalName="Category">
      <xsd:simpleType>
        <xsd:restriction base="dms:Choice">
          <xsd:enumeration value="Design Files"/>
          <xsd:enumeration value="Image Libraries"/>
          <xsd:enumeration value="Video Team"/>
          <xsd:enumeration value="Design Files - Corporate Comms Wallboards"/>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rello xmlns="3e9090f6-0245-48e3-bd19-46cc0b4d31f0">
      <Url xsi:nil="true"/>
      <Description xsi:nil="true"/>
    </Trello>
    <Category xmlns="3e9090f6-0245-48e3-bd19-46cc0b4d31f0" xsi:nil="true"/>
    <TaxCatchAll xmlns="66b98d56-25b7-479b-bf58-c8a0702ccf2c" xsi:nil="true"/>
    <lcf76f155ced4ddcb4097134ff3c332f xmlns="3e9090f6-0245-48e3-bd19-46cc0b4d31f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customXml/itemProps2.xml><?xml version="1.0" encoding="utf-8"?>
<ds:datastoreItem xmlns:ds="http://schemas.openxmlformats.org/officeDocument/2006/customXml" ds:itemID="{72C85FCF-029E-4E52-9DF5-4D1E9E416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b98d56-25b7-479b-bf58-c8a0702ccf2c"/>
    <ds:schemaRef ds:uri="3e9090f6-0245-48e3-bd19-46cc0b4d31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4.xml><?xml version="1.0" encoding="utf-8"?>
<ds:datastoreItem xmlns:ds="http://schemas.openxmlformats.org/officeDocument/2006/customXml" ds:itemID="{D20C6417-ADBB-487B-9091-DC3471F064BF}">
  <ds:schemaRefs>
    <ds:schemaRef ds:uri="66b98d56-25b7-479b-bf58-c8a0702ccf2c"/>
    <ds:schemaRef ds:uri="http://schemas.microsoft.com/office/2006/documentManagement/types"/>
    <ds:schemaRef ds:uri="http://purl.org/dc/elements/1.1/"/>
    <ds:schemaRef ds:uri="http://schemas.openxmlformats.org/package/2006/metadata/core-properties"/>
    <ds:schemaRef ds:uri="http://www.w3.org/XML/1998/namespace"/>
    <ds:schemaRef ds:uri="http://schemas.microsoft.com/office/infopath/2007/PartnerControls"/>
    <ds:schemaRef ds:uri="http://purl.org/dc/terms/"/>
    <ds:schemaRef ds:uri="3e9090f6-0245-48e3-bd19-46cc0b4d31f0"/>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DT0002945-TEM-Security-Sensitive-Biological-Agents-Word-template.dotx</Template>
  <TotalTime>41</TotalTime>
  <Pages>10</Pages>
  <Words>1640</Words>
  <Characters>9564</Characters>
  <Application>Microsoft Office Word</Application>
  <DocSecurity>0</DocSecurity>
  <Lines>177</Lines>
  <Paragraphs>91</Paragraphs>
  <ScaleCrop>false</ScaleCrop>
  <HeadingPairs>
    <vt:vector size="2" baseType="variant">
      <vt:variant>
        <vt:lpstr>Title</vt:lpstr>
      </vt:variant>
      <vt:variant>
        <vt:i4>1</vt:i4>
      </vt:variant>
    </vt:vector>
  </HeadingPairs>
  <TitlesOfParts>
    <vt:vector size="1" baseType="lpstr">
      <vt:lpstr>SSBA – Guideline 2 – Registered facility reporting requirements</vt:lpstr>
    </vt:vector>
  </TitlesOfParts>
  <Company/>
  <LinksUpToDate>false</LinksUpToDate>
  <CharactersWithSpaces>11113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SSBA – Guideline 2 – Registered facility reporting requirements</dc:title>
  <dc:subject>Emergency health management</dc:subject>
  <dc:creator>Australian Government Department of Health and Aged Care</dc:creator>
  <cp:keywords>Security Sensitive Biological Agents (SSBA) Regulatory Scheme</cp:keywords>
  <dc:description/>
  <cp:lastModifiedBy>MCCAY, Meryl</cp:lastModifiedBy>
  <cp:revision>4</cp:revision>
  <dcterms:created xsi:type="dcterms:W3CDTF">2022-06-16T01:50:00Z</dcterms:created>
  <dcterms:modified xsi:type="dcterms:W3CDTF">2022-06-16T02:31:00Z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0x010100AA3B0B12D2F0A044930B7F0ED9CD8462</vt:lpwstr>
  </property>
</Properties>
</file>