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A0378" w14:textId="7BE920B4" w:rsidR="00BA2732" w:rsidRDefault="008D673E" w:rsidP="003D033A">
      <w:pPr>
        <w:pStyle w:val="Title"/>
      </w:pPr>
      <w:r w:rsidRPr="008D673E">
        <w:t>SSBA – Fact sheet 14 – Dual-use SSBAs</w:t>
      </w:r>
    </w:p>
    <w:p w14:paraId="7C93D9C6" w14:textId="4C9C1652" w:rsidR="00B53987" w:rsidRPr="00B53987" w:rsidRDefault="008D673E" w:rsidP="008D673E">
      <w:pPr>
        <w:pStyle w:val="Subtitle"/>
      </w:pPr>
      <w:r>
        <w:t>October 2014</w:t>
      </w:r>
    </w:p>
    <w:p w14:paraId="7B60F5AC" w14:textId="77777777" w:rsidR="008D673E" w:rsidRPr="008D673E" w:rsidRDefault="008D673E" w:rsidP="008D673E">
      <w:r w:rsidRPr="008D673E">
        <w:t>‘Dual-use’ is a term that refers to technology which can be used for both peaceful and malevolent purposes.</w:t>
      </w:r>
    </w:p>
    <w:p w14:paraId="51BDD207" w14:textId="77777777" w:rsidR="008D673E" w:rsidRPr="008D673E" w:rsidRDefault="008D673E" w:rsidP="008D673E">
      <w:r w:rsidRPr="008D673E">
        <w:t xml:space="preserve">Dual-use goods comprise equipment and technologies developed to meet commercial </w:t>
      </w:r>
      <w:proofErr w:type="gramStart"/>
      <w:r w:rsidRPr="008D673E">
        <w:t>needs, but</w:t>
      </w:r>
      <w:proofErr w:type="gramEnd"/>
      <w:r w:rsidRPr="008D673E">
        <w:t xml:space="preserve"> may also be used as military components or in the development of military systems or weapons of mass destruction (WMD).</w:t>
      </w:r>
    </w:p>
    <w:p w14:paraId="7A2F2AD6" w14:textId="77777777" w:rsidR="008D673E" w:rsidRPr="008D673E" w:rsidRDefault="008D673E" w:rsidP="008D673E">
      <w:r w:rsidRPr="008D673E">
        <w:t>Dual-use biological research is legitimate research that could be misused to threaten public health or other aspects of national security</w:t>
      </w:r>
      <w:r w:rsidRPr="008D673E">
        <w:rPr>
          <w:vertAlign w:val="superscript"/>
        </w:rPr>
        <w:t>1</w:t>
      </w:r>
      <w:r w:rsidRPr="008D673E">
        <w:t xml:space="preserve">. </w:t>
      </w:r>
      <w:proofErr w:type="gramStart"/>
      <w:r w:rsidRPr="008D673E">
        <w:t>Dual-use</w:t>
      </w:r>
      <w:proofErr w:type="gramEnd"/>
      <w:r w:rsidRPr="008D673E">
        <w:t xml:space="preserve"> can create an ethical issue for researchers, as they intend no harm and are aiming for a good outcome. The issue arises because the outcome could be used for malicious purposes by others</w:t>
      </w:r>
      <w:r w:rsidRPr="008D673E">
        <w:rPr>
          <w:vertAlign w:val="superscript"/>
        </w:rPr>
        <w:t>2</w:t>
      </w:r>
      <w:r w:rsidRPr="008D673E">
        <w:t>.</w:t>
      </w:r>
    </w:p>
    <w:p w14:paraId="7E8B3AD7" w14:textId="77777777" w:rsidR="008D673E" w:rsidRPr="008D673E" w:rsidRDefault="008D673E" w:rsidP="008D673E">
      <w:r w:rsidRPr="008D673E">
        <w:t>Experiments of concern</w:t>
      </w:r>
      <w:r w:rsidRPr="008D673E">
        <w:rPr>
          <w:vertAlign w:val="superscript"/>
        </w:rPr>
        <w:t>2</w:t>
      </w:r>
      <w:r w:rsidRPr="008D673E">
        <w:t> could include those that could:</w:t>
      </w:r>
    </w:p>
    <w:p w14:paraId="3E5D47E9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demonstrate how to render a vaccine </w:t>
      </w:r>
      <w:proofErr w:type="gramStart"/>
      <w:r w:rsidRPr="008D673E">
        <w:t>ineffective;</w:t>
      </w:r>
      <w:proofErr w:type="gramEnd"/>
    </w:p>
    <w:p w14:paraId="1B9C8E96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confer resistance to therapeutically useful antibiotics or antiviral </w:t>
      </w:r>
      <w:proofErr w:type="gramStart"/>
      <w:r w:rsidRPr="008D673E">
        <w:t>agents;</w:t>
      </w:r>
      <w:proofErr w:type="gramEnd"/>
    </w:p>
    <w:p w14:paraId="6016DB45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enhance the virulence of a pathogen or render a non-pathogen </w:t>
      </w:r>
      <w:proofErr w:type="gramStart"/>
      <w:r w:rsidRPr="008D673E">
        <w:t>virulent;</w:t>
      </w:r>
      <w:proofErr w:type="gramEnd"/>
    </w:p>
    <w:p w14:paraId="67E6CA8B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increase the transmissibility of a </w:t>
      </w:r>
      <w:proofErr w:type="gramStart"/>
      <w:r w:rsidRPr="008D673E">
        <w:t>pathogen;</w:t>
      </w:r>
      <w:proofErr w:type="gramEnd"/>
    </w:p>
    <w:p w14:paraId="1BF52697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alter the host range of a </w:t>
      </w:r>
      <w:proofErr w:type="gramStart"/>
      <w:r w:rsidRPr="008D673E">
        <w:t>pathogen;</w:t>
      </w:r>
      <w:proofErr w:type="gramEnd"/>
    </w:p>
    <w:p w14:paraId="26D63E82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enable the evasion of diagnosis and or detection by established </w:t>
      </w:r>
      <w:proofErr w:type="gramStart"/>
      <w:r w:rsidRPr="008D673E">
        <w:t>methods;</w:t>
      </w:r>
      <w:proofErr w:type="gramEnd"/>
    </w:p>
    <w:p w14:paraId="0428B7EE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enable the </w:t>
      </w:r>
      <w:proofErr w:type="spellStart"/>
      <w:r w:rsidRPr="008D673E">
        <w:t>weaponisation</w:t>
      </w:r>
      <w:proofErr w:type="spellEnd"/>
      <w:r w:rsidRPr="008D673E">
        <w:t xml:space="preserve"> of a biological agent or </w:t>
      </w:r>
      <w:proofErr w:type="gramStart"/>
      <w:r w:rsidRPr="008D673E">
        <w:t>toxin;</w:t>
      </w:r>
      <w:proofErr w:type="gramEnd"/>
    </w:p>
    <w:p w14:paraId="2924C981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enable genetic sequencing of </w:t>
      </w:r>
      <w:proofErr w:type="gramStart"/>
      <w:r w:rsidRPr="008D673E">
        <w:t>pathogens;</w:t>
      </w:r>
      <w:proofErr w:type="gramEnd"/>
    </w:p>
    <w:p w14:paraId="03531B81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 xml:space="preserve">synthesise pathogenic </w:t>
      </w:r>
      <w:proofErr w:type="gramStart"/>
      <w:r w:rsidRPr="008D673E">
        <w:t>microorganisms;</w:t>
      </w:r>
      <w:proofErr w:type="gramEnd"/>
    </w:p>
    <w:p w14:paraId="2652DBD6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>involve any use of Variola virus (smallpox); or</w:t>
      </w:r>
    </w:p>
    <w:p w14:paraId="53C86E85" w14:textId="77777777" w:rsidR="008D673E" w:rsidRPr="008D673E" w:rsidRDefault="008D673E" w:rsidP="008D673E">
      <w:pPr>
        <w:pStyle w:val="ListParagraph"/>
        <w:numPr>
          <w:ilvl w:val="0"/>
          <w:numId w:val="29"/>
        </w:numPr>
      </w:pPr>
      <w:r w:rsidRPr="008D673E">
        <w:t>attempt to recover/revive past pathogens.</w:t>
      </w:r>
    </w:p>
    <w:p w14:paraId="4B44C3A0" w14:textId="77777777" w:rsidR="008D673E" w:rsidRPr="008D673E" w:rsidRDefault="008D673E" w:rsidP="008D673E">
      <w:pPr>
        <w:pStyle w:val="Heading1"/>
      </w:pPr>
      <w:r w:rsidRPr="008D673E">
        <w:t xml:space="preserve">Export controls for </w:t>
      </w:r>
      <w:proofErr w:type="gramStart"/>
      <w:r w:rsidRPr="008D673E">
        <w:t>dual-use</w:t>
      </w:r>
      <w:proofErr w:type="gramEnd"/>
      <w:r w:rsidRPr="008D673E">
        <w:t xml:space="preserve"> goods</w:t>
      </w:r>
      <w:r w:rsidRPr="008D673E">
        <w:rPr>
          <w:vertAlign w:val="superscript"/>
        </w:rPr>
        <w:t>3</w:t>
      </w:r>
    </w:p>
    <w:p w14:paraId="2811ACC4" w14:textId="77777777" w:rsidR="008D673E" w:rsidRPr="008D673E" w:rsidRDefault="008D673E" w:rsidP="008D673E">
      <w:r w:rsidRPr="008D673E">
        <w:t>The legislative basis for monitoring the export of controlled defence and dual-use goods is through Regulation 13E of the </w:t>
      </w:r>
      <w:r w:rsidRPr="008D673E">
        <w:rPr>
          <w:i/>
          <w:iCs/>
        </w:rPr>
        <w:t>Customs (Prohibited Exports) Regulations 1958 </w:t>
      </w:r>
      <w:r w:rsidRPr="008D673E">
        <w:t>of the</w:t>
      </w:r>
      <w:r w:rsidRPr="008D673E">
        <w:rPr>
          <w:i/>
          <w:iCs/>
        </w:rPr>
        <w:t> Customs Act 1901.</w:t>
      </w:r>
      <w:r w:rsidRPr="008D673E">
        <w:t xml:space="preserve"> Goods, </w:t>
      </w:r>
      <w:proofErr w:type="gramStart"/>
      <w:r w:rsidRPr="008D673E">
        <w:t>services</w:t>
      </w:r>
      <w:proofErr w:type="gramEnd"/>
      <w:r w:rsidRPr="008D673E">
        <w:t xml:space="preserve"> and technologies not controlled under the </w:t>
      </w:r>
      <w:r w:rsidRPr="008D673E">
        <w:rPr>
          <w:i/>
          <w:iCs/>
        </w:rPr>
        <w:t>Customs Act 1901</w:t>
      </w:r>
      <w:r w:rsidRPr="008D673E">
        <w:t>, but that may potentially contribute to a weapon of mass destruction are controlled for export or supply under the </w:t>
      </w:r>
      <w:r w:rsidRPr="008D673E">
        <w:rPr>
          <w:i/>
          <w:iCs/>
        </w:rPr>
        <w:t>Weapons of Mass Destruction (Prevention of Proliferation) Act 1995.</w:t>
      </w:r>
    </w:p>
    <w:p w14:paraId="491D944C" w14:textId="77777777" w:rsidR="008D673E" w:rsidRPr="008D673E" w:rsidRDefault="008D673E" w:rsidP="008D673E">
      <w:r w:rsidRPr="008D673E">
        <w:lastRenderedPageBreak/>
        <w:t xml:space="preserve">Export controls are applicable to defence and dual-use goods including parts and components and related materials, </w:t>
      </w:r>
      <w:proofErr w:type="gramStart"/>
      <w:r w:rsidRPr="008D673E">
        <w:t>equipment</w:t>
      </w:r>
      <w:proofErr w:type="gramEnd"/>
      <w:r w:rsidRPr="008D673E">
        <w:t xml:space="preserve"> and technologies.</w:t>
      </w:r>
    </w:p>
    <w:p w14:paraId="0ECF1130" w14:textId="77777777" w:rsidR="008D673E" w:rsidRPr="008D673E" w:rsidRDefault="008D673E" w:rsidP="008D673E">
      <w:r w:rsidRPr="008D673E">
        <w:t>For further information, please refer to the </w:t>
      </w:r>
      <w:hyperlink r:id="rId11" w:history="1">
        <w:r w:rsidRPr="008D673E">
          <w:rPr>
            <w:rStyle w:val="Hyperlink"/>
          </w:rPr>
          <w:t>Defence Export Control Office</w:t>
        </w:r>
      </w:hyperlink>
      <w:r w:rsidRPr="008D673E">
        <w:t> website.</w:t>
      </w:r>
    </w:p>
    <w:p w14:paraId="38D30F4B" w14:textId="3770BDD0" w:rsidR="008D673E" w:rsidRPr="008D673E" w:rsidRDefault="008D673E" w:rsidP="008D673E">
      <w:pPr>
        <w:pStyle w:val="Heading1"/>
      </w:pPr>
      <w:r w:rsidRPr="008D673E">
        <w:t>Reference list</w:t>
      </w:r>
    </w:p>
    <w:p w14:paraId="13FE7436" w14:textId="77777777" w:rsidR="008D673E" w:rsidRPr="008D673E" w:rsidRDefault="008D673E" w:rsidP="008D673E">
      <w:pPr>
        <w:numPr>
          <w:ilvl w:val="0"/>
          <w:numId w:val="28"/>
        </w:numPr>
        <w:spacing w:before="60" w:after="60" w:line="240" w:lineRule="auto"/>
        <w:rPr>
          <w:sz w:val="21"/>
        </w:rPr>
      </w:pPr>
      <w:r w:rsidRPr="008D673E">
        <w:rPr>
          <w:sz w:val="21"/>
        </w:rPr>
        <w:t>National Science Advisory Board for Biosecurity Working Group Status Report presented at meeting of the National Science Advisory Board for Biosecurity, Bethesda, Maryland, USA, 13 July 2006.</w:t>
      </w:r>
    </w:p>
    <w:p w14:paraId="23BCE56E" w14:textId="77777777" w:rsidR="008D673E" w:rsidRPr="008D673E" w:rsidRDefault="008D673E" w:rsidP="008D673E">
      <w:pPr>
        <w:numPr>
          <w:ilvl w:val="0"/>
          <w:numId w:val="28"/>
        </w:numPr>
        <w:spacing w:before="60" w:after="60" w:line="240" w:lineRule="auto"/>
        <w:rPr>
          <w:sz w:val="21"/>
        </w:rPr>
      </w:pPr>
      <w:r w:rsidRPr="008D673E">
        <w:rPr>
          <w:sz w:val="21"/>
        </w:rPr>
        <w:t xml:space="preserve">S Miller &amp; M </w:t>
      </w:r>
      <w:proofErr w:type="spellStart"/>
      <w:r w:rsidRPr="008D673E">
        <w:rPr>
          <w:sz w:val="21"/>
        </w:rPr>
        <w:t>Selgelid</w:t>
      </w:r>
      <w:proofErr w:type="spellEnd"/>
      <w:r w:rsidRPr="008D673E">
        <w:rPr>
          <w:sz w:val="21"/>
        </w:rPr>
        <w:t>, Ethical and Philosophical Consideration of the Dual-Use Dilemma in the Biological Sciences, Centre for Applied Philosophy and Public Ethics, Australian National University and Charles Sturt University, Canberra, 2006.</w:t>
      </w:r>
    </w:p>
    <w:p w14:paraId="6709921A" w14:textId="6CD072A4" w:rsidR="009040E9" w:rsidRPr="009040E9" w:rsidRDefault="008D673E" w:rsidP="009040E9">
      <w:pPr>
        <w:numPr>
          <w:ilvl w:val="0"/>
          <w:numId w:val="28"/>
        </w:numPr>
      </w:pPr>
      <w:r w:rsidRPr="008D673E">
        <w:rPr>
          <w:sz w:val="21"/>
        </w:rPr>
        <w:t>Department of Defence, Australian Export Controls for Defence and Dual-Use Goods, Department of Defence, Canberra, 2007.</w:t>
      </w:r>
    </w:p>
    <w:sectPr w:rsidR="009040E9" w:rsidRPr="009040E9" w:rsidSect="00B539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6922" w14:textId="77777777" w:rsidR="009A1C53" w:rsidRDefault="009A1C53" w:rsidP="006B56BB">
      <w:r>
        <w:separator/>
      </w:r>
    </w:p>
    <w:p w14:paraId="3826EFDB" w14:textId="77777777" w:rsidR="009A1C53" w:rsidRDefault="009A1C53"/>
  </w:endnote>
  <w:endnote w:type="continuationSeparator" w:id="0">
    <w:p w14:paraId="64CCC6BF" w14:textId="77777777" w:rsidR="009A1C53" w:rsidRDefault="009A1C53" w:rsidP="006B56BB">
      <w:r>
        <w:continuationSeparator/>
      </w:r>
    </w:p>
    <w:p w14:paraId="1EF17D1B" w14:textId="77777777" w:rsidR="009A1C53" w:rsidRDefault="009A1C53"/>
  </w:endnote>
  <w:endnote w:type="continuationNotice" w:id="1">
    <w:p w14:paraId="492B337C" w14:textId="77777777" w:rsidR="009A1C53" w:rsidRDefault="009A1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4CC29" w14:textId="77777777" w:rsidR="00F64706" w:rsidRDefault="00F64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79CD" w14:textId="678F6BA8" w:rsidR="00B53987" w:rsidRDefault="00F64706" w:rsidP="00B53987">
    <w:pPr>
      <w:pStyle w:val="Footer"/>
    </w:pPr>
    <w:r w:rsidRPr="00F64706">
      <w:t>SSBA – Fact sheet 14 – Dual-use SSBAs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3D55D" w14:textId="2AC6E8B4" w:rsidR="00B53987" w:rsidRDefault="005F2423" w:rsidP="00B539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21106F" wp14:editId="548021C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324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4000"/>
                      </a:xfrm>
                      <a:prstGeom prst="rect">
                        <a:avLst/>
                      </a:prstGeom>
                      <a:solidFill>
                        <a:srgbClr val="4F26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41E6A" id="Rectangle 2" o:spid="_x0000_s1026" style="position:absolute;margin-left:0;margin-top:0;width:595.3pt;height:25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" fillcolor="#4f2683" stroked="f" strokeweight="2pt">
              <w10:wrap anchorx="page" anchory="page"/>
            </v:rect>
          </w:pict>
        </mc:Fallback>
      </mc:AlternateContent>
    </w:r>
    <w:r w:rsidR="008D673E" w:rsidRPr="008D673E">
      <w:t>SSBA – Fact sheet 14 – Dual-use SSBAs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6D04B" w14:textId="77777777" w:rsidR="009A1C53" w:rsidRDefault="009A1C53" w:rsidP="006B56BB">
      <w:r>
        <w:separator/>
      </w:r>
    </w:p>
    <w:p w14:paraId="29219986" w14:textId="77777777" w:rsidR="009A1C53" w:rsidRDefault="009A1C53"/>
  </w:footnote>
  <w:footnote w:type="continuationSeparator" w:id="0">
    <w:p w14:paraId="193D1CF1" w14:textId="77777777" w:rsidR="009A1C53" w:rsidRDefault="009A1C53" w:rsidP="006B56BB">
      <w:r>
        <w:continuationSeparator/>
      </w:r>
    </w:p>
    <w:p w14:paraId="588BFA54" w14:textId="77777777" w:rsidR="009A1C53" w:rsidRDefault="009A1C53"/>
  </w:footnote>
  <w:footnote w:type="continuationNotice" w:id="1">
    <w:p w14:paraId="1EDE7E4F" w14:textId="77777777" w:rsidR="009A1C53" w:rsidRDefault="009A1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A9D7" w14:textId="77777777" w:rsidR="00F64706" w:rsidRDefault="00F64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F54E8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6075" w14:textId="77777777" w:rsidR="00B53987" w:rsidRDefault="00C0391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23E5C4" wp14:editId="4A325CD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058352"/>
          <wp:effectExtent l="0" t="0" r="0" b="0"/>
          <wp:wrapSquare wrapText="bothSides"/>
          <wp:docPr id="3" name="Picture 3" descr="Australian Government Department of Health - Security Sensitive Biolog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lth - Security Sensitive Biologic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5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5E11AB"/>
    <w:multiLevelType w:val="multilevel"/>
    <w:tmpl w:val="F8067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EB5CF7"/>
    <w:multiLevelType w:val="hybridMultilevel"/>
    <w:tmpl w:val="7CDA4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F18A5"/>
    <w:multiLevelType w:val="multilevel"/>
    <w:tmpl w:val="2DB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21"/>
  </w:num>
  <w:num w:numId="23">
    <w:abstractNumId w:val="16"/>
  </w:num>
  <w:num w:numId="24">
    <w:abstractNumId w:val="19"/>
  </w:num>
  <w:num w:numId="25">
    <w:abstractNumId w:val="8"/>
  </w:num>
  <w:num w:numId="26">
    <w:abstractNumId w:val="15"/>
  </w:num>
  <w:num w:numId="27">
    <w:abstractNumId w:val="20"/>
  </w:num>
  <w:num w:numId="28">
    <w:abstractNumId w:val="1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3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3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D3A"/>
    <w:rsid w:val="00046FF0"/>
    <w:rsid w:val="00050176"/>
    <w:rsid w:val="00050342"/>
    <w:rsid w:val="00054353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0CD"/>
    <w:rsid w:val="00156D96"/>
    <w:rsid w:val="001571C7"/>
    <w:rsid w:val="00161094"/>
    <w:rsid w:val="00162A5E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009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377F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36C5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20B4E"/>
    <w:rsid w:val="00535509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2423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73E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A1C53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3916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474AB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64706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33DBC"/>
  <w15:docId w15:val="{18F93E74-6F15-4C58-AE8C-134B23E6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2C0009"/>
    <w:pPr>
      <w:keepNext/>
      <w:spacing w:before="240" w:after="60"/>
      <w:outlineLvl w:val="0"/>
    </w:pPr>
    <w:rPr>
      <w:rFonts w:ascii="Arial" w:hAnsi="Arial" w:cs="Arial"/>
      <w:b/>
      <w:bCs/>
      <w:color w:val="4F2683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2C0009"/>
    <w:pPr>
      <w:keepNext/>
      <w:spacing w:before="240" w:after="60"/>
      <w:outlineLvl w:val="1"/>
    </w:pPr>
    <w:rPr>
      <w:rFonts w:ascii="Arial" w:hAnsi="Arial" w:cs="Arial"/>
      <w:b/>
      <w:bCs/>
      <w:iCs/>
      <w:color w:val="4F2683"/>
      <w:sz w:val="36"/>
      <w:szCs w:val="28"/>
      <w:lang w:eastAsia="en-US"/>
    </w:rPr>
  </w:style>
  <w:style w:type="paragraph" w:styleId="Heading3">
    <w:name w:val="heading 3"/>
    <w:next w:val="Normal"/>
    <w:qFormat/>
    <w:rsid w:val="002C0009"/>
    <w:pPr>
      <w:keepNext/>
      <w:spacing w:before="180" w:after="60"/>
      <w:outlineLvl w:val="2"/>
    </w:pPr>
    <w:rPr>
      <w:rFonts w:ascii="Arial" w:hAnsi="Arial" w:cs="Arial"/>
      <w:b/>
      <w:bCs/>
      <w:color w:val="4F2683"/>
      <w:sz w:val="32"/>
      <w:szCs w:val="26"/>
      <w:lang w:eastAsia="en-US"/>
    </w:rPr>
  </w:style>
  <w:style w:type="paragraph" w:styleId="Heading4">
    <w:name w:val="heading 4"/>
    <w:next w:val="Normal"/>
    <w:qFormat/>
    <w:rsid w:val="002C0009"/>
    <w:pPr>
      <w:keepNext/>
      <w:spacing w:before="240" w:after="60"/>
      <w:outlineLvl w:val="3"/>
    </w:pPr>
    <w:rPr>
      <w:rFonts w:ascii="Arial" w:hAnsi="Arial"/>
      <w:b/>
      <w:bCs/>
      <w:i/>
      <w:color w:val="4F2683"/>
      <w:sz w:val="28"/>
      <w:szCs w:val="28"/>
      <w:lang w:eastAsia="en-US"/>
    </w:rPr>
  </w:style>
  <w:style w:type="paragraph" w:styleId="Heading5">
    <w:name w:val="heading 5"/>
    <w:next w:val="Normal"/>
    <w:rsid w:val="002C0009"/>
    <w:pPr>
      <w:keepNext/>
      <w:spacing w:before="240" w:after="60"/>
      <w:outlineLvl w:val="4"/>
    </w:pPr>
    <w:rPr>
      <w:rFonts w:ascii="Arial" w:hAnsi="Arial"/>
      <w:b/>
      <w:bCs/>
      <w:iCs/>
      <w:color w:val="4F2683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2C0009"/>
    <w:pPr>
      <w:spacing w:before="360" w:after="120"/>
      <w:contextualSpacing/>
    </w:pPr>
    <w:rPr>
      <w:rFonts w:ascii="Arial" w:eastAsiaTheme="majorEastAsia" w:hAnsi="Arial" w:cstheme="majorBidi"/>
      <w:b/>
      <w:color w:val="4F2683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2C0009"/>
    <w:rPr>
      <w:rFonts w:ascii="Arial" w:eastAsiaTheme="majorEastAsia" w:hAnsi="Arial" w:cstheme="majorBidi"/>
      <w:b/>
      <w:color w:val="4F2683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2C0009"/>
    <w:pPr>
      <w:spacing w:before="240"/>
    </w:pPr>
    <w:rPr>
      <w:rFonts w:cs="Times New Roman"/>
      <w:b/>
      <w:bCs/>
      <w:caps/>
      <w:color w:val="4F2683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2C0009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2683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09"/>
    <w:rPr>
      <w:rFonts w:ascii="Arial" w:hAnsi="Arial"/>
      <w:b/>
      <w:bCs/>
      <w:i/>
      <w:iCs/>
      <w:color w:val="4F2683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2C0009"/>
    <w:rPr>
      <w:smallCaps/>
      <w:color w:val="4F2683"/>
      <w:u w:val="single"/>
    </w:rPr>
  </w:style>
  <w:style w:type="character" w:styleId="IntenseReference">
    <w:name w:val="Intense Reference"/>
    <w:basedOn w:val="DefaultParagraphFont"/>
    <w:uiPriority w:val="32"/>
    <w:rsid w:val="002C0009"/>
    <w:rPr>
      <w:b/>
      <w:bCs/>
      <w:i/>
      <w:smallCaps/>
      <w:color w:val="4F2683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2C0009"/>
    <w:pPr>
      <w:pBdr>
        <w:top w:val="single" w:sz="4" w:space="15" w:color="4F2683"/>
        <w:bottom w:val="single" w:sz="4" w:space="10" w:color="4F2683"/>
      </w:pBdr>
      <w:spacing w:before="240" w:after="240" w:line="340" w:lineRule="exact"/>
    </w:pPr>
    <w:rPr>
      <w:rFonts w:eastAsiaTheme="minorHAnsi"/>
      <w:color w:val="4F2683"/>
    </w:rPr>
  </w:style>
  <w:style w:type="paragraph" w:customStyle="1" w:styleId="Boxtype">
    <w:name w:val="Box type"/>
    <w:next w:val="Normal"/>
    <w:qFormat/>
    <w:rsid w:val="002C0009"/>
    <w:pPr>
      <w:pBdr>
        <w:top w:val="single" w:sz="6" w:space="20" w:color="4F2683"/>
        <w:left w:val="single" w:sz="6" w:space="10" w:color="4F2683"/>
        <w:bottom w:val="single" w:sz="6" w:space="10" w:color="4F2683"/>
        <w:right w:val="single" w:sz="6" w:space="10" w:color="4F2683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2C0009"/>
    <w:rPr>
      <w:b/>
      <w:caps/>
      <w:smallCaps w:val="0"/>
      <w:color w:val="4F2683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C0009"/>
    <w:pPr>
      <w:spacing w:before="480" w:line="400" w:lineRule="exact"/>
    </w:pPr>
    <w:rPr>
      <w:color w:val="4F2683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fence.gov.au/dec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MCCAYM\Documents\Emergency%20health%20management\SSBA%20resources\DT0002945-TEM-Security-Sensitive-Biological-Agents-Word-template.dotx" TargetMode="External"/></Relationships>
</file>

<file path=word/theme/theme1.xml><?xml version="1.0" encoding="utf-8"?>
<a:theme xmlns:a="http://schemas.openxmlformats.org/drawingml/2006/main" name="SSBA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lcf76f155ced4ddcb4097134ff3c332f xmlns="dcf7b372-aaaa-46d8-9da6-ade9aab953df">
      <Terms xmlns="http://schemas.microsoft.com/office/infopath/2007/PartnerControls"/>
    </lcf76f155ced4ddcb4097134ff3c332f>
    <_DCDateModified xmlns="http://schemas.microsoft.com/sharepoint/v3/fields" xsi:nil="true"/>
    <Status xmlns="dcf7b372-aaaa-46d8-9da6-ade9aab953df" xsi:nil="true"/>
    <URLpattern xmlns="dcf7b372-aaaa-46d8-9da6-ade9aab953df" xsi:nil="true"/>
    <Modified_x0020_by0 xmlns="dcf7b372-aaaa-46d8-9da6-ade9aab953df">
      <UserInfo>
        <DisplayName/>
        <AccountId xsi:nil="true"/>
        <AccountType/>
      </UserInfo>
    </Modified_x0020_by0>
    <Reviewer xmlns="dcf7b372-aaaa-46d8-9da6-ade9aab953df" xsi:nil="true"/>
    <_Flow_SignoffStatus xmlns="dcf7b372-aaaa-46d8-9da6-ade9aab953df" xsi:nil="true"/>
    <Subtypes xmlns="dcf7b372-aaaa-46d8-9da6-ade9aab953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25A414-AEE7-424B-9530-576956682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DT0002945-TEM-Security-Sensitive-Biological-Agents-Word-template.dotx</Template>
  <TotalTime>13</TotalTime>
  <Pages>2</Pages>
  <Words>383</Words>
  <Characters>2288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SSBA – Fact sheet 14 – Dual-use SSBAs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SSBA – Fact sheet 14 – Dual-use SSBAs</dc:title>
  <dc:subject>Emergency health management</dc:subject>
  <dc:creator>Australian Government Department of Health and Aged Care</dc:creator>
  <cp:keywords>Security Sensitive Biological Agents (SSBA) Regulatory Scheme</cp:keywords>
  <dc:description/>
  <cp:lastModifiedBy>MCCAY, Meryl</cp:lastModifiedBy>
  <cp:revision>6</cp:revision>
  <dcterms:created xsi:type="dcterms:W3CDTF">2022-06-15T05:17:00Z</dcterms:created>
  <dcterms:modified xsi:type="dcterms:W3CDTF">2022-06-15T06:44:00Z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  <property fmtid="{D5CDD505-2E9C-101B-9397-08002B2CF9AE}" pid="5" name="MediaServiceImageTags">
    <vt:lpwstr/>
  </property>
</Properties>
</file>