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2CDAE5E1" w14:textId="77777777" w:rsidTr="00800DEB">
        <w:tc>
          <w:tcPr>
            <w:tcW w:w="2547" w:type="dxa"/>
          </w:tcPr>
          <w:p w14:paraId="3155D475" w14:textId="77777777" w:rsidR="00800DEB" w:rsidRDefault="00800DEB" w:rsidP="00800DEB">
            <w:r>
              <w:rPr>
                <w:noProof/>
              </w:rPr>
              <w:drawing>
                <wp:inline distT="0" distB="0" distL="0" distR="0" wp14:anchorId="4DCF383C" wp14:editId="21AD2E4A">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44C44AFE" w14:textId="4DD8F421" w:rsidR="00800DEB" w:rsidRDefault="00AB4B5E" w:rsidP="00800DEB">
            <w:pPr>
              <w:pStyle w:val="Title"/>
            </w:pPr>
            <w:r w:rsidRPr="00AB4B5E">
              <w:t>Smallpox</w:t>
            </w:r>
          </w:p>
          <w:p w14:paraId="397DDED8" w14:textId="77777777" w:rsidR="00800DEB" w:rsidRDefault="00800DEB" w:rsidP="00800DEB">
            <w:pPr>
              <w:pStyle w:val="Subtitle"/>
            </w:pPr>
            <w:r w:rsidRPr="00800DEB">
              <w:t>Australian national notifiable diseases case definition</w:t>
            </w:r>
          </w:p>
        </w:tc>
      </w:tr>
    </w:tbl>
    <w:p w14:paraId="64B1A14F" w14:textId="0B0CB769" w:rsidR="004516E8" w:rsidRDefault="00800DEB" w:rsidP="009E0B84">
      <w:pPr>
        <w:pStyle w:val="IntroPara"/>
      </w:pPr>
      <w:r w:rsidRPr="00872414">
        <w:t xml:space="preserve">This document contains the </w:t>
      </w:r>
      <w:r>
        <w:t xml:space="preserve">surveillance </w:t>
      </w:r>
      <w:r w:rsidRPr="00872414">
        <w:t xml:space="preserve">case definition for </w:t>
      </w:r>
      <w:r w:rsidR="00AB4B5E">
        <w:t>s</w:t>
      </w:r>
      <w:r w:rsidR="00AB4B5E" w:rsidRPr="00AB4B5E">
        <w:t>mallpox</w:t>
      </w:r>
      <w:r w:rsidR="00AB4B5E">
        <w:t>,</w:t>
      </w:r>
      <w:r w:rsidR="00AB4B5E" w:rsidRPr="00AB4B5E">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4"/>
        <w:gridCol w:w="4552"/>
        <w:gridCol w:w="1405"/>
        <w:gridCol w:w="2089"/>
      </w:tblGrid>
      <w:tr w:rsidR="00800DEB" w:rsidRPr="00872414" w14:paraId="640DBD8F" w14:textId="77777777" w:rsidTr="0065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8632DD"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7059EF9F"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454A8E76"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58482DB1"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3C1036D0"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2E041E" w14:textId="565F3E1E" w:rsidR="00800DEB" w:rsidRPr="00872414" w:rsidRDefault="00AB4B5E" w:rsidP="00AB4B5E">
            <w:pPr>
              <w:pStyle w:val="TableText"/>
            </w:pPr>
            <w:r w:rsidRPr="00AB4B5E">
              <w:t>1.1</w:t>
            </w:r>
          </w:p>
        </w:tc>
        <w:tc>
          <w:tcPr>
            <w:tcW w:w="0" w:type="auto"/>
          </w:tcPr>
          <w:p w14:paraId="55E92C9E" w14:textId="77777777" w:rsidR="00AB4B5E" w:rsidRPr="00AB4B5E" w:rsidRDefault="00AB4B5E" w:rsidP="00AB4B5E">
            <w:pPr>
              <w:pStyle w:val="TableText"/>
              <w:numPr>
                <w:ilvl w:val="0"/>
                <w:numId w:val="20"/>
              </w:numPr>
              <w:cnfStyle w:val="000000100000" w:firstRow="0" w:lastRow="0" w:firstColumn="0" w:lastColumn="0" w:oddVBand="0" w:evenVBand="0" w:oddHBand="1" w:evenHBand="0" w:firstRowFirstColumn="0" w:firstRowLastColumn="0" w:lastRowFirstColumn="0" w:lastRowLastColumn="0"/>
            </w:pPr>
            <w:r w:rsidRPr="00AB4B5E">
              <w:t>Removal of ‘credible’ and addition of ‘syndrome consistent with’.</w:t>
            </w:r>
          </w:p>
          <w:p w14:paraId="6D61978B" w14:textId="77777777" w:rsidR="00AB4B5E" w:rsidRPr="00AB4B5E" w:rsidRDefault="00AB4B5E" w:rsidP="00AB4B5E">
            <w:pPr>
              <w:pStyle w:val="TableText"/>
              <w:numPr>
                <w:ilvl w:val="0"/>
                <w:numId w:val="20"/>
              </w:numPr>
              <w:cnfStyle w:val="000000100000" w:firstRow="0" w:lastRow="0" w:firstColumn="0" w:lastColumn="0" w:oddVBand="0" w:evenVBand="0" w:oddHBand="1" w:evenHBand="0" w:firstRowFirstColumn="0" w:firstRowLastColumn="0" w:lastRowFirstColumn="0" w:lastRowLastColumn="0"/>
            </w:pPr>
            <w:r w:rsidRPr="00AB4B5E">
              <w:t>Addition of a footnote under clinical evidence.</w:t>
            </w:r>
          </w:p>
          <w:p w14:paraId="4660E5B0" w14:textId="53FF953F" w:rsidR="00800DEB" w:rsidRPr="00872414" w:rsidRDefault="00AB4B5E" w:rsidP="00AB4B5E">
            <w:pPr>
              <w:pStyle w:val="TableText"/>
              <w:numPr>
                <w:ilvl w:val="0"/>
                <w:numId w:val="20"/>
              </w:numPr>
              <w:cnfStyle w:val="000000100000" w:firstRow="0" w:lastRow="0" w:firstColumn="0" w:lastColumn="0" w:oddVBand="0" w:evenVBand="0" w:oddHBand="1" w:evenHBand="0" w:firstRowFirstColumn="0" w:firstRowLastColumn="0" w:lastRowFirstColumn="0" w:lastRowLastColumn="0"/>
            </w:pPr>
            <w:r w:rsidRPr="00AB4B5E">
              <w:t>Additional detail to epidemiological links.</w:t>
            </w:r>
          </w:p>
        </w:tc>
        <w:tc>
          <w:tcPr>
            <w:tcW w:w="0" w:type="auto"/>
          </w:tcPr>
          <w:p w14:paraId="0E587545" w14:textId="61E04FEA" w:rsidR="00800DEB" w:rsidRPr="00872414" w:rsidRDefault="00AB4B5E" w:rsidP="00AB4B5E">
            <w:pPr>
              <w:pStyle w:val="TableText"/>
              <w:cnfStyle w:val="000000100000" w:firstRow="0" w:lastRow="0" w:firstColumn="0" w:lastColumn="0" w:oddVBand="0" w:evenVBand="0" w:oddHBand="1" w:evenHBand="0" w:firstRowFirstColumn="0" w:firstRowLastColumn="0" w:lastRowFirstColumn="0" w:lastRowLastColumn="0"/>
            </w:pPr>
            <w:r>
              <w:t>2019</w:t>
            </w:r>
          </w:p>
        </w:tc>
        <w:tc>
          <w:tcPr>
            <w:tcW w:w="0" w:type="auto"/>
          </w:tcPr>
          <w:p w14:paraId="729793DB" w14:textId="23A34DE1" w:rsidR="00800DEB" w:rsidRPr="00AB4B5E" w:rsidRDefault="00AB4B5E" w:rsidP="00AB4B5E">
            <w:pPr>
              <w:pStyle w:val="TableText"/>
              <w:cnfStyle w:val="000000100000" w:firstRow="0" w:lastRow="0" w:firstColumn="0" w:lastColumn="0" w:oddVBand="0" w:evenVBand="0" w:oddHBand="1" w:evenHBand="0" w:firstRowFirstColumn="0" w:firstRowLastColumn="0" w:lastRowFirstColumn="0" w:lastRowLastColumn="0"/>
            </w:pPr>
            <w:r w:rsidRPr="00AB4B5E">
              <w:t>1 July 2019</w:t>
            </w:r>
          </w:p>
        </w:tc>
      </w:tr>
      <w:tr w:rsidR="00800DEB" w:rsidRPr="00872414" w14:paraId="25DAA135"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13A5F3" w14:textId="4F7209A1" w:rsidR="00800DEB" w:rsidRPr="00872414" w:rsidRDefault="00AB4B5E" w:rsidP="00AB4B5E">
            <w:pPr>
              <w:pStyle w:val="TableText"/>
            </w:pPr>
            <w:r>
              <w:t>1.0</w:t>
            </w:r>
          </w:p>
        </w:tc>
        <w:tc>
          <w:tcPr>
            <w:tcW w:w="0" w:type="auto"/>
          </w:tcPr>
          <w:p w14:paraId="6DD233B1" w14:textId="19A66FDD" w:rsidR="00800DEB" w:rsidRPr="00872414" w:rsidRDefault="00AB4B5E" w:rsidP="00AB4B5E">
            <w:pPr>
              <w:pStyle w:val="TableText"/>
              <w:cnfStyle w:val="000000010000" w:firstRow="0" w:lastRow="0" w:firstColumn="0" w:lastColumn="0" w:oddVBand="0" w:evenVBand="0" w:oddHBand="0" w:evenHBand="1" w:firstRowFirstColumn="0" w:firstRowLastColumn="0" w:lastRowFirstColumn="0" w:lastRowLastColumn="0"/>
            </w:pPr>
            <w:r w:rsidRPr="00AB4B5E">
              <w:t>Initial case definition</w:t>
            </w:r>
          </w:p>
        </w:tc>
        <w:tc>
          <w:tcPr>
            <w:tcW w:w="0" w:type="auto"/>
          </w:tcPr>
          <w:p w14:paraId="3415F407" w14:textId="51765050" w:rsidR="00800DEB" w:rsidRPr="00872414" w:rsidRDefault="00AB4B5E" w:rsidP="00AB4B5E">
            <w:pPr>
              <w:pStyle w:val="TableText"/>
              <w:cnfStyle w:val="000000010000" w:firstRow="0" w:lastRow="0" w:firstColumn="0" w:lastColumn="0" w:oddVBand="0" w:evenVBand="0" w:oddHBand="0" w:evenHBand="1" w:firstRowFirstColumn="0" w:firstRowLastColumn="0" w:lastRowFirstColumn="0" w:lastRowLastColumn="0"/>
            </w:pPr>
            <w:r>
              <w:t>2004</w:t>
            </w:r>
          </w:p>
        </w:tc>
        <w:tc>
          <w:tcPr>
            <w:tcW w:w="0" w:type="auto"/>
          </w:tcPr>
          <w:p w14:paraId="493F8B95" w14:textId="58664E68" w:rsidR="00800DEB" w:rsidRPr="00872414" w:rsidRDefault="00AB4B5E" w:rsidP="00AB4B5E">
            <w:pPr>
              <w:pStyle w:val="TableText"/>
              <w:cnfStyle w:val="000000010000" w:firstRow="0" w:lastRow="0" w:firstColumn="0" w:lastColumn="0" w:oddVBand="0" w:evenVBand="0" w:oddHBand="0" w:evenHBand="1" w:firstRowFirstColumn="0" w:firstRowLastColumn="0" w:lastRowFirstColumn="0" w:lastRowLastColumn="0"/>
            </w:pPr>
            <w:r>
              <w:t>2004</w:t>
            </w:r>
          </w:p>
        </w:tc>
      </w:tr>
    </w:tbl>
    <w:p w14:paraId="6728B0B8" w14:textId="77777777" w:rsidR="00AB4B5E" w:rsidRPr="00AB4B5E" w:rsidRDefault="00AB4B5E" w:rsidP="00AB4B5E">
      <w:pPr>
        <w:shd w:val="clear" w:color="auto" w:fill="FFFFFF"/>
        <w:spacing w:before="240"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t>Reporting</w:t>
      </w:r>
    </w:p>
    <w:p w14:paraId="1F10782F"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Both </w:t>
      </w:r>
      <w:r w:rsidRPr="00AB4B5E">
        <w:rPr>
          <w:rFonts w:ascii="Helvetica" w:hAnsi="Helvetica" w:cs="Helvetica"/>
          <w:b/>
          <w:bCs/>
          <w:color w:val="222222"/>
          <w:sz w:val="20"/>
          <w:szCs w:val="20"/>
          <w:lang w:eastAsia="en-AU"/>
        </w:rPr>
        <w:t>confirmed cases</w:t>
      </w:r>
      <w:r w:rsidRPr="00AB4B5E">
        <w:rPr>
          <w:rFonts w:ascii="Helvetica" w:hAnsi="Helvetica" w:cs="Helvetica"/>
          <w:color w:val="222222"/>
          <w:sz w:val="20"/>
          <w:szCs w:val="20"/>
          <w:lang w:eastAsia="en-AU"/>
        </w:rPr>
        <w:t> and </w:t>
      </w:r>
      <w:r w:rsidRPr="00AB4B5E">
        <w:rPr>
          <w:rFonts w:ascii="Helvetica" w:hAnsi="Helvetica" w:cs="Helvetica"/>
          <w:b/>
          <w:bCs/>
          <w:color w:val="222222"/>
          <w:sz w:val="20"/>
          <w:szCs w:val="20"/>
          <w:lang w:eastAsia="en-AU"/>
        </w:rPr>
        <w:t>probable cases</w:t>
      </w:r>
      <w:r w:rsidRPr="00AB4B5E">
        <w:rPr>
          <w:rFonts w:ascii="Helvetica" w:hAnsi="Helvetica" w:cs="Helvetica"/>
          <w:color w:val="222222"/>
          <w:sz w:val="20"/>
          <w:szCs w:val="20"/>
          <w:lang w:eastAsia="en-AU"/>
        </w:rPr>
        <w:t> should be notified.</w:t>
      </w:r>
    </w:p>
    <w:p w14:paraId="55DF67C8" w14:textId="77777777" w:rsidR="00AB4B5E" w:rsidRPr="00AB4B5E" w:rsidRDefault="00AB4B5E" w:rsidP="00AB4B5E">
      <w:pPr>
        <w:shd w:val="clear" w:color="auto" w:fill="FFFFFF"/>
        <w:spacing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t>Confirmed case</w:t>
      </w:r>
    </w:p>
    <w:p w14:paraId="769D5326"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A confirmed case requires laboratory definitive evidence only.</w:t>
      </w:r>
    </w:p>
    <w:p w14:paraId="0C8BBD70" w14:textId="77777777" w:rsidR="00AB4B5E" w:rsidRPr="00AB4B5E" w:rsidRDefault="00AB4B5E" w:rsidP="00AB4B5E">
      <w:pPr>
        <w:shd w:val="clear" w:color="auto" w:fill="FFFFFF"/>
        <w:spacing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t>Laboratory definitive evidence</w:t>
      </w:r>
    </w:p>
    <w:p w14:paraId="67EF2310" w14:textId="77777777" w:rsidR="00AB4B5E" w:rsidRPr="00AB4B5E" w:rsidRDefault="00AB4B5E" w:rsidP="00AB4B5E">
      <w:pPr>
        <w:shd w:val="clear" w:color="auto" w:fill="FFFFFF"/>
        <w:spacing w:before="240"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1. Isolation of variola</w:t>
      </w:r>
      <w:r w:rsidRPr="00AB4B5E">
        <w:rPr>
          <w:rFonts w:ascii="Helvetica" w:hAnsi="Helvetica" w:cs="Helvetica"/>
          <w:i/>
          <w:iCs/>
          <w:color w:val="222222"/>
          <w:sz w:val="20"/>
          <w:szCs w:val="20"/>
          <w:lang w:eastAsia="en-AU"/>
        </w:rPr>
        <w:t> </w:t>
      </w:r>
      <w:r w:rsidRPr="00AB4B5E">
        <w:rPr>
          <w:rFonts w:ascii="Helvetica" w:hAnsi="Helvetica" w:cs="Helvetica"/>
          <w:color w:val="222222"/>
          <w:sz w:val="20"/>
          <w:szCs w:val="20"/>
          <w:lang w:eastAsia="en-AU"/>
        </w:rPr>
        <w:t xml:space="preserve">virus, confirmed at the Victorian Infectious Diseases Reference </w:t>
      </w:r>
      <w:proofErr w:type="gramStart"/>
      <w:r w:rsidRPr="00AB4B5E">
        <w:rPr>
          <w:rFonts w:ascii="Helvetica" w:hAnsi="Helvetica" w:cs="Helvetica"/>
          <w:color w:val="222222"/>
          <w:sz w:val="20"/>
          <w:szCs w:val="20"/>
          <w:lang w:eastAsia="en-AU"/>
        </w:rPr>
        <w:t>Laboratory;</w:t>
      </w:r>
      <w:proofErr w:type="gramEnd"/>
    </w:p>
    <w:p w14:paraId="5C21118D"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OR</w:t>
      </w:r>
    </w:p>
    <w:p w14:paraId="7BAB27E9" w14:textId="77777777" w:rsidR="00AB4B5E" w:rsidRPr="00AB4B5E" w:rsidRDefault="00AB4B5E" w:rsidP="00AB4B5E">
      <w:pPr>
        <w:shd w:val="clear" w:color="auto" w:fill="FFFFFF"/>
        <w:spacing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2. Detection of variola virus by nucleic acid testing, confirmed at Victorian Infectious Diseases Reference Laboratory.</w:t>
      </w:r>
    </w:p>
    <w:p w14:paraId="7026FFBE" w14:textId="77777777" w:rsidR="00AB4B5E" w:rsidRPr="00AB4B5E" w:rsidRDefault="00AB4B5E" w:rsidP="00582288">
      <w:pPr>
        <w:keepNext/>
        <w:shd w:val="clear" w:color="auto" w:fill="FFFFFF"/>
        <w:spacing w:before="240"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lastRenderedPageBreak/>
        <w:t>Probable case</w:t>
      </w:r>
    </w:p>
    <w:p w14:paraId="232DFDA8"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A probable case requires either:</w:t>
      </w:r>
    </w:p>
    <w:p w14:paraId="3668E395" w14:textId="77777777" w:rsidR="00AB4B5E" w:rsidRPr="00AB4B5E" w:rsidRDefault="00AB4B5E" w:rsidP="00AB4B5E">
      <w:pPr>
        <w:shd w:val="clear" w:color="auto" w:fill="FFFFFF"/>
        <w:spacing w:before="240"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1. </w:t>
      </w:r>
      <w:r w:rsidRPr="00AB4B5E">
        <w:rPr>
          <w:rFonts w:ascii="Helvetica" w:hAnsi="Helvetica" w:cs="Helvetica"/>
          <w:b/>
          <w:bCs/>
          <w:color w:val="222222"/>
          <w:sz w:val="20"/>
          <w:szCs w:val="20"/>
          <w:lang w:eastAsia="en-AU"/>
        </w:rPr>
        <w:t>Clinical evidence</w:t>
      </w:r>
      <w:r w:rsidRPr="00AB4B5E">
        <w:rPr>
          <w:rFonts w:ascii="Helvetica" w:hAnsi="Helvetica" w:cs="Helvetica"/>
          <w:color w:val="222222"/>
          <w:sz w:val="20"/>
          <w:szCs w:val="20"/>
          <w:lang w:eastAsia="en-AU"/>
        </w:rPr>
        <w:t> and </w:t>
      </w:r>
      <w:r w:rsidRPr="00AB4B5E">
        <w:rPr>
          <w:rFonts w:ascii="Helvetica" w:hAnsi="Helvetica" w:cs="Helvetica"/>
          <w:b/>
          <w:bCs/>
          <w:color w:val="222222"/>
          <w:sz w:val="20"/>
          <w:szCs w:val="20"/>
          <w:lang w:eastAsia="en-AU"/>
        </w:rPr>
        <w:t xml:space="preserve">laboratory suggestive </w:t>
      </w:r>
      <w:proofErr w:type="gramStart"/>
      <w:r w:rsidRPr="00AB4B5E">
        <w:rPr>
          <w:rFonts w:ascii="Helvetica" w:hAnsi="Helvetica" w:cs="Helvetica"/>
          <w:b/>
          <w:bCs/>
          <w:color w:val="222222"/>
          <w:sz w:val="20"/>
          <w:szCs w:val="20"/>
          <w:lang w:eastAsia="en-AU"/>
        </w:rPr>
        <w:t>evidence</w:t>
      </w:r>
      <w:r w:rsidRPr="00AB4B5E">
        <w:rPr>
          <w:rFonts w:ascii="Helvetica" w:hAnsi="Helvetica" w:cs="Helvetica"/>
          <w:color w:val="222222"/>
          <w:sz w:val="20"/>
          <w:szCs w:val="20"/>
          <w:lang w:eastAsia="en-AU"/>
        </w:rPr>
        <w:t>;</w:t>
      </w:r>
      <w:proofErr w:type="gramEnd"/>
    </w:p>
    <w:p w14:paraId="70EFA4E4"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OR</w:t>
      </w:r>
    </w:p>
    <w:p w14:paraId="3495AFE5" w14:textId="77777777" w:rsidR="00AB4B5E" w:rsidRPr="00AB4B5E" w:rsidRDefault="00AB4B5E" w:rsidP="00AB4B5E">
      <w:pPr>
        <w:shd w:val="clear" w:color="auto" w:fill="FFFFFF"/>
        <w:spacing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2. </w:t>
      </w:r>
      <w:r w:rsidRPr="00AB4B5E">
        <w:rPr>
          <w:rFonts w:ascii="Helvetica" w:hAnsi="Helvetica" w:cs="Helvetica"/>
          <w:b/>
          <w:bCs/>
          <w:color w:val="222222"/>
          <w:sz w:val="20"/>
          <w:szCs w:val="20"/>
          <w:lang w:eastAsia="en-AU"/>
        </w:rPr>
        <w:t>Clinical evidence</w:t>
      </w:r>
      <w:r w:rsidRPr="00AB4B5E">
        <w:rPr>
          <w:rFonts w:ascii="Helvetica" w:hAnsi="Helvetica" w:cs="Helvetica"/>
          <w:color w:val="222222"/>
          <w:sz w:val="20"/>
          <w:szCs w:val="20"/>
          <w:lang w:eastAsia="en-AU"/>
        </w:rPr>
        <w:t> and </w:t>
      </w:r>
      <w:r w:rsidRPr="00AB4B5E">
        <w:rPr>
          <w:rFonts w:ascii="Helvetica" w:hAnsi="Helvetica" w:cs="Helvetica"/>
          <w:b/>
          <w:bCs/>
          <w:color w:val="222222"/>
          <w:sz w:val="20"/>
          <w:szCs w:val="20"/>
          <w:lang w:eastAsia="en-AU"/>
        </w:rPr>
        <w:t>epidemiological evidence</w:t>
      </w:r>
      <w:r w:rsidRPr="00AB4B5E">
        <w:rPr>
          <w:rFonts w:ascii="Helvetica" w:hAnsi="Helvetica" w:cs="Helvetica"/>
          <w:color w:val="222222"/>
          <w:sz w:val="20"/>
          <w:szCs w:val="20"/>
          <w:lang w:eastAsia="en-AU"/>
        </w:rPr>
        <w:t>.</w:t>
      </w:r>
    </w:p>
    <w:p w14:paraId="6D89C1C6" w14:textId="77777777" w:rsidR="00AB4B5E" w:rsidRPr="00AB4B5E" w:rsidRDefault="00AB4B5E" w:rsidP="00AB4B5E">
      <w:pPr>
        <w:shd w:val="clear" w:color="auto" w:fill="FFFFFF"/>
        <w:spacing w:before="240"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t>Laboratory suggestive evidence</w:t>
      </w:r>
    </w:p>
    <w:p w14:paraId="58DBC41C" w14:textId="77777777" w:rsidR="00AB4B5E" w:rsidRPr="00AB4B5E" w:rsidRDefault="00AB4B5E" w:rsidP="00AB4B5E">
      <w:pPr>
        <w:shd w:val="clear" w:color="auto" w:fill="FFFFFF"/>
        <w:spacing w:before="240"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 xml:space="preserve">1. Detection of a poxvirus resembling variola virus by electron </w:t>
      </w:r>
      <w:proofErr w:type="gramStart"/>
      <w:r w:rsidRPr="00AB4B5E">
        <w:rPr>
          <w:rFonts w:ascii="Helvetica" w:hAnsi="Helvetica" w:cs="Helvetica"/>
          <w:color w:val="222222"/>
          <w:sz w:val="20"/>
          <w:szCs w:val="20"/>
          <w:lang w:eastAsia="en-AU"/>
        </w:rPr>
        <w:t>microscopy;</w:t>
      </w:r>
      <w:proofErr w:type="gramEnd"/>
    </w:p>
    <w:p w14:paraId="01FF57B1"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OR</w:t>
      </w:r>
    </w:p>
    <w:p w14:paraId="3BD3DBE5" w14:textId="1EE0CB94" w:rsidR="00AB4B5E" w:rsidRPr="00AB4B5E" w:rsidRDefault="00AB4B5E" w:rsidP="00AB4B5E">
      <w:pPr>
        <w:shd w:val="clear" w:color="auto" w:fill="FFFFFF"/>
        <w:spacing w:after="240" w:line="300" w:lineRule="atLeast"/>
        <w:rPr>
          <w:rFonts w:ascii="Helvetica" w:hAnsi="Helvetica" w:cs="Helvetica"/>
          <w:sz w:val="20"/>
          <w:szCs w:val="20"/>
          <w:lang w:eastAsia="en-AU"/>
        </w:rPr>
      </w:pPr>
      <w:r w:rsidRPr="00AB4B5E">
        <w:rPr>
          <w:rFonts w:ascii="Helvetica" w:hAnsi="Helvetica" w:cs="Helvetica"/>
          <w:sz w:val="20"/>
          <w:szCs w:val="20"/>
          <w:lang w:eastAsia="en-AU"/>
        </w:rPr>
        <w:t>2. Isolation of variola virus at a non-reference laboratory</w:t>
      </w:r>
      <w:r w:rsidR="00582288">
        <w:rPr>
          <w:rFonts w:ascii="Helvetica" w:hAnsi="Helvetica" w:cs="Helvetica"/>
          <w:sz w:val="20"/>
          <w:szCs w:val="20"/>
          <w:lang w:eastAsia="en-AU"/>
        </w:rPr>
        <w:t xml:space="preserve"> (</w:t>
      </w:r>
      <w:r w:rsidRPr="00AB4B5E">
        <w:rPr>
          <w:rFonts w:ascii="Helvetica" w:hAnsi="Helvetica" w:cs="Helvetica"/>
          <w:sz w:val="20"/>
          <w:szCs w:val="20"/>
          <w:lang w:eastAsia="en-AU"/>
        </w:rPr>
        <w:t>1</w:t>
      </w:r>
      <w:proofErr w:type="gramStart"/>
      <w:r w:rsidR="00582288">
        <w:rPr>
          <w:rFonts w:ascii="Helvetica" w:hAnsi="Helvetica" w:cs="Helvetica"/>
          <w:sz w:val="20"/>
          <w:szCs w:val="20"/>
          <w:lang w:eastAsia="en-AU"/>
        </w:rPr>
        <w:t>)</w:t>
      </w:r>
      <w:r w:rsidRPr="00AB4B5E">
        <w:rPr>
          <w:rFonts w:ascii="Helvetica" w:hAnsi="Helvetica" w:cs="Helvetica"/>
          <w:sz w:val="20"/>
          <w:szCs w:val="20"/>
          <w:lang w:eastAsia="en-AU"/>
        </w:rPr>
        <w:t>;</w:t>
      </w:r>
      <w:proofErr w:type="gramEnd"/>
    </w:p>
    <w:p w14:paraId="49A7BBAE" w14:textId="77777777" w:rsidR="00AB4B5E" w:rsidRPr="00AB4B5E" w:rsidRDefault="00AB4B5E" w:rsidP="00AB4B5E">
      <w:pPr>
        <w:shd w:val="clear" w:color="auto" w:fill="FFFFFF"/>
        <w:spacing w:after="240" w:line="300" w:lineRule="atLeast"/>
        <w:rPr>
          <w:rFonts w:ascii="Helvetica" w:hAnsi="Helvetica" w:cs="Helvetica"/>
          <w:sz w:val="20"/>
          <w:szCs w:val="20"/>
          <w:lang w:eastAsia="en-AU"/>
        </w:rPr>
      </w:pPr>
      <w:r w:rsidRPr="00AB4B5E">
        <w:rPr>
          <w:rFonts w:ascii="Helvetica" w:hAnsi="Helvetica" w:cs="Helvetica"/>
          <w:sz w:val="20"/>
          <w:szCs w:val="20"/>
          <w:lang w:eastAsia="en-AU"/>
        </w:rPr>
        <w:t>OR</w:t>
      </w:r>
    </w:p>
    <w:p w14:paraId="42D7EABC" w14:textId="3A06551D" w:rsidR="00AB4B5E" w:rsidRPr="00AB4B5E" w:rsidRDefault="00AB4B5E" w:rsidP="00AB4B5E">
      <w:pPr>
        <w:shd w:val="clear" w:color="auto" w:fill="FFFFFF"/>
        <w:spacing w:line="300" w:lineRule="atLeast"/>
        <w:rPr>
          <w:rFonts w:ascii="Helvetica" w:hAnsi="Helvetica" w:cs="Helvetica"/>
          <w:sz w:val="20"/>
          <w:szCs w:val="20"/>
          <w:lang w:eastAsia="en-AU"/>
        </w:rPr>
      </w:pPr>
      <w:r w:rsidRPr="00AB4B5E">
        <w:rPr>
          <w:rFonts w:ascii="Helvetica" w:hAnsi="Helvetica" w:cs="Helvetica"/>
          <w:sz w:val="20"/>
          <w:szCs w:val="20"/>
          <w:lang w:eastAsia="en-AU"/>
        </w:rPr>
        <w:t>3. Detection of variola virus by nucleic acid testing at a non-reference laboratory</w:t>
      </w:r>
      <w:r w:rsidR="00582288">
        <w:rPr>
          <w:rFonts w:ascii="Helvetica" w:hAnsi="Helvetica" w:cs="Helvetica"/>
          <w:sz w:val="20"/>
          <w:szCs w:val="20"/>
          <w:lang w:eastAsia="en-AU"/>
        </w:rPr>
        <w:t xml:space="preserve"> (</w:t>
      </w:r>
      <w:r w:rsidRPr="00AB4B5E">
        <w:rPr>
          <w:rFonts w:ascii="Helvetica" w:hAnsi="Helvetica" w:cs="Helvetica"/>
          <w:sz w:val="20"/>
          <w:szCs w:val="20"/>
          <w:lang w:eastAsia="en-AU"/>
        </w:rPr>
        <w:t>1</w:t>
      </w:r>
      <w:r w:rsidR="00582288">
        <w:rPr>
          <w:rFonts w:ascii="Helvetica" w:hAnsi="Helvetica" w:cs="Helvetica"/>
          <w:sz w:val="20"/>
          <w:szCs w:val="20"/>
          <w:lang w:eastAsia="en-AU"/>
        </w:rPr>
        <w:t>)</w:t>
      </w:r>
    </w:p>
    <w:p w14:paraId="7055170B" w14:textId="77777777" w:rsidR="00AB4B5E" w:rsidRPr="00AB4B5E" w:rsidRDefault="00AB4B5E" w:rsidP="00AB4B5E">
      <w:pPr>
        <w:shd w:val="clear" w:color="auto" w:fill="FFFFFF"/>
        <w:spacing w:before="240" w:after="120"/>
        <w:outlineLvl w:val="1"/>
        <w:rPr>
          <w:rFonts w:ascii="Open Sans" w:hAnsi="Open Sans" w:cs="Open Sans"/>
          <w:sz w:val="32"/>
          <w:szCs w:val="32"/>
          <w:lang w:eastAsia="en-AU"/>
        </w:rPr>
      </w:pPr>
      <w:r w:rsidRPr="00AB4B5E">
        <w:rPr>
          <w:rFonts w:ascii="Open Sans" w:hAnsi="Open Sans" w:cs="Open Sans"/>
          <w:sz w:val="32"/>
          <w:szCs w:val="32"/>
          <w:lang w:eastAsia="en-AU"/>
        </w:rPr>
        <w:t>Clinical evidence</w:t>
      </w:r>
    </w:p>
    <w:p w14:paraId="0B61FEA8" w14:textId="1CA34E55" w:rsidR="00AB4B5E" w:rsidRPr="00AB4B5E" w:rsidRDefault="00AB4B5E" w:rsidP="00AB4B5E">
      <w:pPr>
        <w:shd w:val="clear" w:color="auto" w:fill="FFFFFF"/>
        <w:spacing w:after="240" w:line="300" w:lineRule="atLeast"/>
        <w:rPr>
          <w:rFonts w:ascii="Helvetica" w:hAnsi="Helvetica" w:cs="Helvetica"/>
          <w:sz w:val="20"/>
          <w:szCs w:val="20"/>
          <w:lang w:eastAsia="en-AU"/>
        </w:rPr>
      </w:pPr>
      <w:r w:rsidRPr="00AB4B5E">
        <w:rPr>
          <w:rFonts w:ascii="Helvetica" w:hAnsi="Helvetica" w:cs="Helvetica"/>
          <w:sz w:val="20"/>
          <w:szCs w:val="20"/>
          <w:lang w:eastAsia="en-AU"/>
        </w:rPr>
        <w:t>A clinical syndrome consistent with smallpox as judged by a specialist physician</w:t>
      </w:r>
      <w:r w:rsidR="00582288">
        <w:rPr>
          <w:rFonts w:ascii="Helvetica" w:hAnsi="Helvetica" w:cs="Helvetica"/>
          <w:sz w:val="20"/>
          <w:szCs w:val="20"/>
          <w:lang w:eastAsia="en-AU"/>
        </w:rPr>
        <w:t xml:space="preserve"> (2)</w:t>
      </w:r>
      <w:r w:rsidRPr="00AB4B5E">
        <w:rPr>
          <w:rFonts w:ascii="Helvetica" w:hAnsi="Helvetica" w:cs="Helvetica"/>
          <w:sz w:val="20"/>
          <w:szCs w:val="20"/>
          <w:lang w:eastAsia="en-AU"/>
        </w:rPr>
        <w:t>.</w:t>
      </w:r>
    </w:p>
    <w:p w14:paraId="497317AC" w14:textId="77777777" w:rsidR="00AB4B5E" w:rsidRPr="00AB4B5E" w:rsidRDefault="00AB4B5E" w:rsidP="00AB4B5E">
      <w:pPr>
        <w:shd w:val="clear" w:color="auto" w:fill="FFFFFF"/>
        <w:spacing w:after="120"/>
        <w:outlineLvl w:val="1"/>
        <w:rPr>
          <w:rFonts w:ascii="Open Sans" w:hAnsi="Open Sans" w:cs="Open Sans"/>
          <w:color w:val="000000"/>
          <w:sz w:val="32"/>
          <w:szCs w:val="32"/>
          <w:lang w:eastAsia="en-AU"/>
        </w:rPr>
      </w:pPr>
      <w:r w:rsidRPr="00AB4B5E">
        <w:rPr>
          <w:rFonts w:ascii="Open Sans" w:hAnsi="Open Sans" w:cs="Open Sans"/>
          <w:color w:val="000000"/>
          <w:sz w:val="32"/>
          <w:szCs w:val="32"/>
          <w:lang w:eastAsia="en-AU"/>
        </w:rPr>
        <w:t>Epidemiological evidence</w:t>
      </w:r>
    </w:p>
    <w:p w14:paraId="5F5FF481"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1. Within 7 to 19 days prior to illness onset the case has:</w:t>
      </w:r>
    </w:p>
    <w:p w14:paraId="7F33DC97" w14:textId="77777777" w:rsidR="00AB4B5E" w:rsidRPr="00AB4B5E" w:rsidRDefault="00AB4B5E" w:rsidP="00AB4B5E">
      <w:pPr>
        <w:shd w:val="clear" w:color="auto" w:fill="FFFFFF"/>
        <w:spacing w:before="240"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 xml:space="preserve">a. An epidemiological link to a confirmed </w:t>
      </w:r>
      <w:proofErr w:type="gramStart"/>
      <w:r w:rsidRPr="00AB4B5E">
        <w:rPr>
          <w:rFonts w:ascii="Helvetica" w:hAnsi="Helvetica" w:cs="Helvetica"/>
          <w:color w:val="222222"/>
          <w:sz w:val="20"/>
          <w:szCs w:val="20"/>
          <w:lang w:eastAsia="en-AU"/>
        </w:rPr>
        <w:t>case;</w:t>
      </w:r>
      <w:proofErr w:type="gramEnd"/>
    </w:p>
    <w:p w14:paraId="03A283FF"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OR</w:t>
      </w:r>
    </w:p>
    <w:p w14:paraId="0CAE79EC"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 xml:space="preserve">b. An epidemiological link to a case in a chain of epidemiologically linked cases where at least one case is </w:t>
      </w:r>
      <w:proofErr w:type="gramStart"/>
      <w:r w:rsidRPr="00AB4B5E">
        <w:rPr>
          <w:rFonts w:ascii="Helvetica" w:hAnsi="Helvetica" w:cs="Helvetica"/>
          <w:color w:val="222222"/>
          <w:sz w:val="20"/>
          <w:szCs w:val="20"/>
          <w:lang w:eastAsia="en-AU"/>
        </w:rPr>
        <w:t>confirmed;</w:t>
      </w:r>
      <w:proofErr w:type="gramEnd"/>
    </w:p>
    <w:p w14:paraId="1C8813A0" w14:textId="77777777" w:rsidR="00AB4B5E" w:rsidRPr="00AB4B5E" w:rsidRDefault="00AB4B5E" w:rsidP="00AB4B5E">
      <w:pPr>
        <w:shd w:val="clear" w:color="auto" w:fill="FFFFFF"/>
        <w:spacing w:after="24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OR</w:t>
      </w:r>
    </w:p>
    <w:p w14:paraId="2B65A024" w14:textId="77777777" w:rsidR="00AB4B5E" w:rsidRPr="00AB4B5E" w:rsidRDefault="00AB4B5E" w:rsidP="00AB4B5E">
      <w:pPr>
        <w:shd w:val="clear" w:color="auto" w:fill="FFFFFF"/>
        <w:spacing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c. An identified mechanism of exposure to variola virus.</w:t>
      </w:r>
    </w:p>
    <w:p w14:paraId="00F8CF8B" w14:textId="77777777" w:rsidR="00AB4B5E" w:rsidRDefault="00AB4B5E">
      <w:pPr>
        <w:rPr>
          <w:rFonts w:ascii="Times New Roman" w:hAnsi="Times New Roman"/>
          <w:sz w:val="24"/>
          <w:lang w:eastAsia="en-AU"/>
        </w:rPr>
      </w:pPr>
      <w:r>
        <w:rPr>
          <w:rFonts w:ascii="Times New Roman" w:hAnsi="Times New Roman"/>
          <w:sz w:val="24"/>
          <w:lang w:eastAsia="en-AU"/>
        </w:rPr>
        <w:br w:type="page"/>
      </w:r>
    </w:p>
    <w:p w14:paraId="74BD55B3" w14:textId="368AAC17" w:rsidR="00AB4B5E" w:rsidRPr="00AB4B5E" w:rsidRDefault="00AB4B5E" w:rsidP="00AB4B5E">
      <w:pPr>
        <w:spacing w:before="450" w:after="450"/>
        <w:rPr>
          <w:rFonts w:ascii="Times New Roman" w:hAnsi="Times New Roman"/>
          <w:sz w:val="24"/>
          <w:lang w:eastAsia="en-AU"/>
        </w:rPr>
      </w:pPr>
      <w:r w:rsidRPr="00AB4B5E">
        <w:rPr>
          <w:rFonts w:ascii="Times New Roman" w:hAnsi="Times New Roman"/>
          <w:sz w:val="24"/>
          <w:lang w:eastAsia="en-AU"/>
        </w:rPr>
        <w:lastRenderedPageBreak/>
        <w:pict w14:anchorId="0FE1DEB0">
          <v:rect id="_x0000_i1025" style="width:0;height:1.5pt" o:hralign="center" o:hrstd="t" o:hrnoshade="t" o:hr="t" fillcolor="#222" stroked="f"/>
        </w:pict>
      </w:r>
    </w:p>
    <w:p w14:paraId="1E8D9EF4" w14:textId="77777777" w:rsidR="00AB4B5E" w:rsidRPr="00AB4B5E" w:rsidRDefault="00AB4B5E" w:rsidP="00AB4B5E">
      <w:pPr>
        <w:numPr>
          <w:ilvl w:val="0"/>
          <w:numId w:val="21"/>
        </w:numPr>
        <w:shd w:val="clear" w:color="auto" w:fill="FFFFFF"/>
        <w:spacing w:after="9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In the absence of meeting criterion 1 of the laboratory suggestive evidence, if confirmatory testing at a reference laboratory subsequently confirms the specimen as not being variola virus, this criterion would not be considered to have been met as the laboratory suggestive evidence component of the case definition.</w:t>
      </w:r>
    </w:p>
    <w:p w14:paraId="3A11051F" w14:textId="77777777" w:rsidR="00AB4B5E" w:rsidRPr="00AB4B5E" w:rsidRDefault="00AB4B5E" w:rsidP="00AB4B5E">
      <w:pPr>
        <w:numPr>
          <w:ilvl w:val="0"/>
          <w:numId w:val="21"/>
        </w:numPr>
        <w:shd w:val="clear" w:color="auto" w:fill="FFFFFF"/>
        <w:spacing w:after="90" w:line="300" w:lineRule="atLeast"/>
        <w:rPr>
          <w:rFonts w:ascii="Helvetica" w:hAnsi="Helvetica" w:cs="Helvetica"/>
          <w:color w:val="222222"/>
          <w:sz w:val="20"/>
          <w:szCs w:val="20"/>
          <w:lang w:eastAsia="en-AU"/>
        </w:rPr>
      </w:pPr>
      <w:r w:rsidRPr="00AB4B5E">
        <w:rPr>
          <w:rFonts w:ascii="Helvetica" w:hAnsi="Helvetica" w:cs="Helvetica"/>
          <w:color w:val="222222"/>
          <w:sz w:val="20"/>
          <w:szCs w:val="20"/>
          <w:lang w:eastAsia="en-AU"/>
        </w:rPr>
        <w:t xml:space="preserve">Such as an infectious diseases physician, clinical </w:t>
      </w:r>
      <w:proofErr w:type="gramStart"/>
      <w:r w:rsidRPr="00AB4B5E">
        <w:rPr>
          <w:rFonts w:ascii="Helvetica" w:hAnsi="Helvetica" w:cs="Helvetica"/>
          <w:color w:val="222222"/>
          <w:sz w:val="20"/>
          <w:szCs w:val="20"/>
          <w:lang w:eastAsia="en-AU"/>
        </w:rPr>
        <w:t>microbiologist</w:t>
      </w:r>
      <w:proofErr w:type="gramEnd"/>
      <w:r w:rsidRPr="00AB4B5E">
        <w:rPr>
          <w:rFonts w:ascii="Helvetica" w:hAnsi="Helvetica" w:cs="Helvetica"/>
          <w:color w:val="222222"/>
          <w:sz w:val="20"/>
          <w:szCs w:val="20"/>
          <w:lang w:eastAsia="en-AU"/>
        </w:rPr>
        <w:t xml:space="preserve"> or public health physician.</w:t>
      </w:r>
    </w:p>
    <w:p w14:paraId="152F2C9D" w14:textId="08BE8430" w:rsidR="009E0B84" w:rsidRDefault="009E0B84" w:rsidP="00AB4B5E">
      <w:pPr>
        <w:pStyle w:val="Paragraphtext"/>
      </w:pPr>
    </w:p>
    <w:sectPr w:rsidR="009E0B84"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D615" w14:textId="77777777" w:rsidR="00AB4B5E" w:rsidRDefault="00AB4B5E" w:rsidP="006B56BB">
      <w:r>
        <w:separator/>
      </w:r>
    </w:p>
    <w:p w14:paraId="65758E7C" w14:textId="77777777" w:rsidR="00AB4B5E" w:rsidRDefault="00AB4B5E"/>
  </w:endnote>
  <w:endnote w:type="continuationSeparator" w:id="0">
    <w:p w14:paraId="0A3A8EA7" w14:textId="77777777" w:rsidR="00AB4B5E" w:rsidRDefault="00AB4B5E" w:rsidP="006B56BB">
      <w:r>
        <w:continuationSeparator/>
      </w:r>
    </w:p>
    <w:p w14:paraId="037F3FD0" w14:textId="77777777" w:rsidR="00AB4B5E" w:rsidRDefault="00AB4B5E"/>
  </w:endnote>
  <w:endnote w:type="continuationNotice" w:id="1">
    <w:p w14:paraId="2F9A9EC3" w14:textId="77777777" w:rsidR="00AB4B5E" w:rsidRDefault="00AB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1EAC3977" w14:textId="42DB860C" w:rsidR="00CD407A" w:rsidRDefault="00AB4B5E">
            <w:pPr>
              <w:pStyle w:val="Footer"/>
              <w:jc w:val="right"/>
            </w:pPr>
            <w:r w:rsidRPr="00AB4B5E">
              <w:t>Smallpox</w:t>
            </w:r>
            <w:r w:rsidR="00076AD6">
              <w:t xml:space="preserve"> –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502559A7" w14:textId="77777777" w:rsidR="00CD407A" w:rsidRDefault="00CD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59438" w14:textId="77777777" w:rsidR="00AB4B5E" w:rsidRDefault="00AB4B5E" w:rsidP="006B56BB">
      <w:r>
        <w:separator/>
      </w:r>
    </w:p>
    <w:p w14:paraId="1BA3D8D3" w14:textId="77777777" w:rsidR="00AB4B5E" w:rsidRDefault="00AB4B5E"/>
  </w:footnote>
  <w:footnote w:type="continuationSeparator" w:id="0">
    <w:p w14:paraId="6373A321" w14:textId="77777777" w:rsidR="00AB4B5E" w:rsidRDefault="00AB4B5E" w:rsidP="006B56BB">
      <w:r>
        <w:continuationSeparator/>
      </w:r>
    </w:p>
    <w:p w14:paraId="66460EAA" w14:textId="77777777" w:rsidR="00AB4B5E" w:rsidRDefault="00AB4B5E"/>
  </w:footnote>
  <w:footnote w:type="continuationNotice" w:id="1">
    <w:p w14:paraId="2284A40E" w14:textId="77777777" w:rsidR="00AB4B5E" w:rsidRDefault="00AB4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CB52A0"/>
    <w:multiLevelType w:val="multilevel"/>
    <w:tmpl w:val="2D3E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04A0E73"/>
    <w:multiLevelType w:val="hybridMultilevel"/>
    <w:tmpl w:val="FA02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5"/>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82288"/>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4B5E"/>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5117"/>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94F1B"/>
  <w15:docId w15:val="{C7B183DA-0284-47A4-8FD8-53D8FFC5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AB4B5E"/>
    <w:pPr>
      <w:spacing w:before="60" w:after="60"/>
    </w:pPr>
    <w:rPr>
      <w:rFonts w:ascii="Arial" w:hAnsi="Arial"/>
      <w:color w:val="000000" w:themeColor="text1"/>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AB4B5E"/>
    <w:rPr>
      <w:rFonts w:ascii="Arial" w:hAnsi="Arial" w:cs="Arial"/>
      <w:bCs/>
      <w:iCs/>
      <w:color w:val="358189"/>
      <w:sz w:val="32"/>
      <w:szCs w:val="28"/>
      <w:lang w:eastAsia="en-US"/>
    </w:rPr>
  </w:style>
  <w:style w:type="paragraph" w:styleId="NormalWeb">
    <w:name w:val="Normal (Web)"/>
    <w:basedOn w:val="Normal"/>
    <w:uiPriority w:val="99"/>
    <w:semiHidden/>
    <w:unhideWhenUsed/>
    <w:rsid w:val="00AB4B5E"/>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357031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3783104">
      <w:bodyDiv w:val="1"/>
      <w:marLeft w:val="0"/>
      <w:marRight w:val="0"/>
      <w:marTop w:val="0"/>
      <w:marBottom w:val="0"/>
      <w:divBdr>
        <w:top w:val="none" w:sz="0" w:space="0" w:color="auto"/>
        <w:left w:val="none" w:sz="0" w:space="0" w:color="auto"/>
        <w:bottom w:val="none" w:sz="0" w:space="0" w:color="auto"/>
        <w:right w:val="none" w:sz="0" w:space="0" w:color="auto"/>
      </w:divBdr>
      <w:divsChild>
        <w:div w:id="640576095">
          <w:blockQuote w:val="1"/>
          <w:marLeft w:val="0"/>
          <w:marRight w:val="0"/>
          <w:marTop w:val="0"/>
          <w:marBottom w:val="300"/>
          <w:divBdr>
            <w:top w:val="none" w:sz="0" w:space="0" w:color="auto"/>
            <w:left w:val="single" w:sz="36" w:space="11" w:color="EEEEEE"/>
            <w:bottom w:val="none" w:sz="0" w:space="0" w:color="auto"/>
            <w:right w:val="none" w:sz="0" w:space="0" w:color="auto"/>
          </w:divBdr>
        </w:div>
        <w:div w:id="1975870940">
          <w:blockQuote w:val="1"/>
          <w:marLeft w:val="0"/>
          <w:marRight w:val="0"/>
          <w:marTop w:val="0"/>
          <w:marBottom w:val="300"/>
          <w:divBdr>
            <w:top w:val="none" w:sz="0" w:space="0" w:color="auto"/>
            <w:left w:val="single" w:sz="36" w:space="11" w:color="EEEEEE"/>
            <w:bottom w:val="none" w:sz="0" w:space="0" w:color="auto"/>
            <w:right w:val="none" w:sz="0" w:space="0" w:color="auto"/>
          </w:divBdr>
        </w:div>
        <w:div w:id="1063409194">
          <w:blockQuote w:val="1"/>
          <w:marLeft w:val="0"/>
          <w:marRight w:val="0"/>
          <w:marTop w:val="0"/>
          <w:marBottom w:val="300"/>
          <w:divBdr>
            <w:top w:val="none" w:sz="0" w:space="0" w:color="auto"/>
            <w:left w:val="single" w:sz="36" w:space="11" w:color="EEEEEE"/>
            <w:bottom w:val="none" w:sz="0" w:space="0" w:color="auto"/>
            <w:right w:val="none" w:sz="0" w:space="0" w:color="auto"/>
          </w:divBdr>
        </w:div>
        <w:div w:id="8245136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4F4AD897-8294-446A-A91B-AEF830A0774B}"/>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4</TotalTime>
  <Pages>3</Pages>
  <Words>331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Smallpox – Surveillance case definition</dc:title>
  <dc:creator>Communicable Diseases Network Australia</dc:creator>
  <cp:keywords>Communicable diseases</cp:keywords>
  <cp:lastModifiedBy>ARNOLD, Max</cp:lastModifiedBy>
  <cp:revision>3</cp:revision>
  <dcterms:created xsi:type="dcterms:W3CDTF">2022-06-08T02:15:00Z</dcterms:created>
  <dcterms:modified xsi:type="dcterms:W3CDTF">2022-06-08T02:19:00Z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