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37057199" w14:textId="77777777" w:rsidTr="00800DEB">
        <w:tc>
          <w:tcPr>
            <w:tcW w:w="2547" w:type="dxa"/>
          </w:tcPr>
          <w:p w14:paraId="2C3FBF8E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62E722B" wp14:editId="1EDEBFE1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4A464CF" w14:textId="6D528426" w:rsidR="00800DEB" w:rsidRDefault="004559DD" w:rsidP="00800DEB">
            <w:pPr>
              <w:pStyle w:val="Title"/>
            </w:pPr>
            <w:r w:rsidRPr="004559DD">
              <w:t>Rubella</w:t>
            </w:r>
          </w:p>
          <w:p w14:paraId="51BC11D8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6E3C429" w14:textId="7E197260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4559DD">
        <w:t>r</w:t>
      </w:r>
      <w:r w:rsidR="004559DD" w:rsidRPr="004559DD">
        <w:t>ubella</w:t>
      </w:r>
      <w:r w:rsidR="004559DD">
        <w:t>,</w:t>
      </w:r>
      <w:r w:rsidR="004559DD" w:rsidRPr="004559DD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873"/>
        <w:gridCol w:w="1245"/>
        <w:gridCol w:w="1929"/>
      </w:tblGrid>
      <w:tr w:rsidR="00800DEB" w:rsidRPr="00872414" w14:paraId="5D031629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940F8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716E4F6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FE8C5B6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0FF59FE0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67691CD3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760F2A" w14:textId="527DC999" w:rsidR="00800DEB" w:rsidRPr="00872414" w:rsidRDefault="004559D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4FAFBF36" w14:textId="77777777" w:rsidR="004559DD" w:rsidRPr="004559DD" w:rsidRDefault="004559DD" w:rsidP="004559DD">
            <w:pPr>
              <w:numPr>
                <w:ilvl w:val="0"/>
                <w:numId w:val="20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Cs w:val="22"/>
                <w:lang w:eastAsia="en-AU"/>
              </w:rPr>
            </w:pPr>
            <w:r w:rsidRPr="004559DD">
              <w:rPr>
                <w:rFonts w:cs="Arial"/>
                <w:color w:val="222222"/>
                <w:szCs w:val="22"/>
              </w:rPr>
              <w:t xml:space="preserve">Additional detail to laboratory definitive evidence </w:t>
            </w:r>
            <w:proofErr w:type="gramStart"/>
            <w:r w:rsidRPr="004559DD">
              <w:rPr>
                <w:rFonts w:cs="Arial"/>
                <w:color w:val="222222"/>
                <w:szCs w:val="22"/>
              </w:rPr>
              <w:t>point</w:t>
            </w:r>
            <w:proofErr w:type="gramEnd"/>
            <w:r w:rsidRPr="004559DD">
              <w:rPr>
                <w:rFonts w:cs="Arial"/>
                <w:color w:val="222222"/>
                <w:szCs w:val="22"/>
              </w:rPr>
              <w:t xml:space="preserve"> 3 criterion and inclusion of a footnote to allow recently vaccinated cases to potentially be considered as confirmed cases</w:t>
            </w:r>
          </w:p>
          <w:p w14:paraId="7E6841DE" w14:textId="77777777" w:rsidR="004559DD" w:rsidRDefault="004559DD" w:rsidP="004559DD">
            <w:pPr>
              <w:numPr>
                <w:ilvl w:val="0"/>
                <w:numId w:val="20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Cs w:val="22"/>
              </w:rPr>
            </w:pPr>
            <w:r w:rsidRPr="004559DD">
              <w:rPr>
                <w:rFonts w:cs="Arial"/>
                <w:color w:val="222222"/>
                <w:szCs w:val="22"/>
              </w:rPr>
              <w:t>IgM antibody detection adjusted and moved from laboratory definitive evidence to laboratory suggestive evidence</w:t>
            </w:r>
          </w:p>
          <w:p w14:paraId="7E30AA27" w14:textId="377E2BEF" w:rsidR="00800DEB" w:rsidRPr="004559DD" w:rsidRDefault="004559DD" w:rsidP="004559DD">
            <w:pPr>
              <w:numPr>
                <w:ilvl w:val="0"/>
                <w:numId w:val="20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Cs w:val="22"/>
              </w:rPr>
            </w:pPr>
            <w:r w:rsidRPr="004559DD">
              <w:rPr>
                <w:rFonts w:cs="Arial"/>
                <w:color w:val="222222"/>
                <w:szCs w:val="22"/>
              </w:rPr>
              <w:t>Rephrasing of the probable case definition evidence requirements with no change to the actual evidence required</w:t>
            </w:r>
          </w:p>
        </w:tc>
        <w:tc>
          <w:tcPr>
            <w:tcW w:w="0" w:type="auto"/>
          </w:tcPr>
          <w:p w14:paraId="2BFC8997" w14:textId="4C924DFE" w:rsidR="00800DEB" w:rsidRPr="00872414" w:rsidRDefault="004559D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59DD">
              <w:rPr>
                <w:lang w:eastAsia="en-AU"/>
              </w:rPr>
              <w:t>15 May 2019</w:t>
            </w:r>
          </w:p>
        </w:tc>
        <w:tc>
          <w:tcPr>
            <w:tcW w:w="0" w:type="auto"/>
          </w:tcPr>
          <w:p w14:paraId="12371D3B" w14:textId="4110A4F3" w:rsidR="00800DEB" w:rsidRPr="00872414" w:rsidRDefault="004559D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59DD">
              <w:rPr>
                <w:lang w:eastAsia="en-AU"/>
              </w:rPr>
              <w:t>1 July 2019</w:t>
            </w:r>
          </w:p>
        </w:tc>
      </w:tr>
      <w:tr w:rsidR="00800DEB" w:rsidRPr="00872414" w14:paraId="1D299995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3B3ED" w14:textId="2A79E372" w:rsidR="00800DEB" w:rsidRPr="00872414" w:rsidRDefault="004559D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459A6CCE" w14:textId="28D946E7" w:rsidR="00800DEB" w:rsidRPr="00872414" w:rsidRDefault="004559DD" w:rsidP="00455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59DD"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504CEF48" w14:textId="0EA1D617" w:rsidR="00800DEB" w:rsidRPr="00872414" w:rsidRDefault="004559D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32846BD5" w14:textId="267BE26A" w:rsidR="00800DEB" w:rsidRPr="00872414" w:rsidRDefault="004559D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3CB77EE9" w14:textId="77777777" w:rsidR="004559DD" w:rsidRDefault="004559DD" w:rsidP="004559DD">
      <w:pPr>
        <w:shd w:val="clear" w:color="auto" w:fill="FFFFFF"/>
        <w:spacing w:before="240" w:after="120"/>
        <w:outlineLvl w:val="1"/>
        <w:rPr>
          <w:rFonts w:cs="Open Sans"/>
          <w:color w:val="000000"/>
        </w:rPr>
      </w:pPr>
    </w:p>
    <w:p w14:paraId="3FC3BCF8" w14:textId="3FBFD0BB" w:rsidR="004559DD" w:rsidRPr="004559DD" w:rsidRDefault="004559DD" w:rsidP="004559DD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4559DD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533557CD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407627EB" w14:textId="77777777" w:rsidR="004559DD" w:rsidRPr="004559DD" w:rsidRDefault="004559DD" w:rsidP="004559DD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4559DD">
        <w:rPr>
          <w:rFonts w:ascii="Open Sans" w:hAnsi="Open Sans" w:cs="Open Sans"/>
          <w:color w:val="000000"/>
          <w:sz w:val="36"/>
          <w:szCs w:val="36"/>
          <w:lang w:eastAsia="en-AU"/>
        </w:rPr>
        <w:t>Confirmed case</w:t>
      </w:r>
    </w:p>
    <w:p w14:paraId="0FE6310D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0CF46890" w14:textId="77777777" w:rsidR="004559DD" w:rsidRPr="004559DD" w:rsidRDefault="004559DD" w:rsidP="004559DD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59DD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Laboratory definitive evidence</w:t>
      </w:r>
    </w:p>
    <w:p w14:paraId="175C0F91" w14:textId="77777777" w:rsidR="004559DD" w:rsidRPr="004559DD" w:rsidRDefault="004559DD" w:rsidP="004559DD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Isolation of rubella </w:t>
      </w:r>
      <w:proofErr w:type="gramStart"/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virus.*</w:t>
      </w:r>
      <w:proofErr w:type="gramEnd"/>
    </w:p>
    <w:p w14:paraId="41CDEA71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3A7D6CE" w14:textId="77777777" w:rsidR="004559DD" w:rsidRPr="004559DD" w:rsidRDefault="004559DD" w:rsidP="004559DD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Detection of rubella virus by nucleic acid </w:t>
      </w:r>
      <w:proofErr w:type="gramStart"/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testing.*</w:t>
      </w:r>
      <w:proofErr w:type="gramEnd"/>
    </w:p>
    <w:p w14:paraId="28E869F0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734F280" w14:textId="77777777" w:rsidR="004559DD" w:rsidRPr="004559DD" w:rsidRDefault="004559DD" w:rsidP="004559DD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significant increase in antibody level, such as a fourfold or greater rise in titre to rubella virus 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EXCEPT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 if the case has received a rubella-containing vaccine eight days to eight weeks prior to convalescent specimen collection. (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NOTE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: paired sera must be tested in parallel).</w:t>
      </w:r>
    </w:p>
    <w:p w14:paraId="4548224B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*Where rubella vaccine has been given in the 3 weeks prior to illness onset and wild-type virus is not detected, or unable to be detected, a case may be considered “Probable” only if the criteria for </w:t>
      </w:r>
      <w:r w:rsidRPr="004559DD">
        <w:rPr>
          <w:rFonts w:ascii="Helvetica" w:hAnsi="Helvetica" w:cs="Helvetica"/>
          <w:b/>
          <w:bCs/>
          <w:i/>
          <w:iCs/>
          <w:color w:val="222222"/>
          <w:sz w:val="20"/>
          <w:szCs w:val="20"/>
          <w:lang w:eastAsia="en-AU"/>
        </w:rPr>
        <w:t>clinical and epidemiological</w:t>
      </w:r>
      <w:r w:rsidRPr="004559DD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evidence can also be met, suggesting wild-type infection. Vaccine-associated rubella illness (genotype 1A) is not notifiable, but rather should be reported as an adverse event following immunisation.</w:t>
      </w:r>
    </w:p>
    <w:p w14:paraId="7B587295" w14:textId="77777777" w:rsidR="004559DD" w:rsidRPr="004559DD" w:rsidRDefault="004559DD" w:rsidP="004559DD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4559DD">
        <w:rPr>
          <w:rFonts w:ascii="Open Sans" w:hAnsi="Open Sans" w:cs="Open Sans"/>
          <w:color w:val="000000"/>
          <w:sz w:val="36"/>
          <w:szCs w:val="36"/>
          <w:lang w:eastAsia="en-AU"/>
        </w:rPr>
        <w:t>Probable case</w:t>
      </w:r>
    </w:p>
    <w:p w14:paraId="0B30A815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requires:</w:t>
      </w:r>
    </w:p>
    <w:p w14:paraId="64ACDB1C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evidence.</w:t>
      </w:r>
    </w:p>
    <w:p w14:paraId="565EA4D3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7E622D3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 xml:space="preserve">epidemiological </w:t>
      </w:r>
      <w:proofErr w:type="gramStart"/>
      <w:r w:rsidRPr="004559D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evidence.</w:t>
      </w: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*</w:t>
      </w:r>
      <w:proofErr w:type="gramEnd"/>
    </w:p>
    <w:p w14:paraId="22D2A8E9" w14:textId="77777777" w:rsidR="004559DD" w:rsidRPr="004559DD" w:rsidRDefault="004559DD" w:rsidP="004559D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59DD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06A6A53A" w14:textId="77777777" w:rsidR="004559DD" w:rsidRPr="004559DD" w:rsidRDefault="004559DD" w:rsidP="004559DD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Detection of rubella-specific IgM antibody, EXCEPT</w:t>
      </w:r>
    </w:p>
    <w:p w14:paraId="421D467C" w14:textId="77777777" w:rsidR="004559DD" w:rsidRPr="004559DD" w:rsidRDefault="004559DD" w:rsidP="004559DD">
      <w:pPr>
        <w:numPr>
          <w:ilvl w:val="1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If ruled out by more specific rubella IgM serology testing at a jurisdictional public health laboratory.</w:t>
      </w:r>
    </w:p>
    <w:p w14:paraId="7825E786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12FEFC5" w14:textId="77777777" w:rsidR="004559DD" w:rsidRPr="004559DD" w:rsidRDefault="004559DD" w:rsidP="004559DD">
      <w:pPr>
        <w:numPr>
          <w:ilvl w:val="1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If the case has received a rubella-containing vaccine eight days to eight weeks before testing.</w:t>
      </w:r>
    </w:p>
    <w:p w14:paraId="070E4E95" w14:textId="77777777" w:rsidR="004559DD" w:rsidRPr="004559DD" w:rsidRDefault="004559DD" w:rsidP="004559DD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59DD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4AE960D4" w14:textId="77777777" w:rsidR="004559DD" w:rsidRPr="004559DD" w:rsidRDefault="004559DD" w:rsidP="004559DD">
      <w:pPr>
        <w:keepNext/>
        <w:numPr>
          <w:ilvl w:val="0"/>
          <w:numId w:val="26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 generalised maculopapular rash.</w:t>
      </w:r>
    </w:p>
    <w:p w14:paraId="76346F6B" w14:textId="77777777" w:rsidR="004559DD" w:rsidRPr="004559DD" w:rsidRDefault="004559DD" w:rsidP="004559DD">
      <w:pPr>
        <w:keepNext/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54A343DF" w14:textId="77777777" w:rsidR="004559DD" w:rsidRPr="004559DD" w:rsidRDefault="004559DD" w:rsidP="004559DD">
      <w:pPr>
        <w:keepNext/>
        <w:numPr>
          <w:ilvl w:val="0"/>
          <w:numId w:val="27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Fever.</w:t>
      </w:r>
    </w:p>
    <w:p w14:paraId="166FA059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5367441B" w14:textId="77777777" w:rsidR="004559DD" w:rsidRPr="004559DD" w:rsidRDefault="004559DD" w:rsidP="004559DD">
      <w:pPr>
        <w:numPr>
          <w:ilvl w:val="0"/>
          <w:numId w:val="28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Arthralgia/arthritis OR lymphadenopathy OR conjunctivitis.</w:t>
      </w:r>
    </w:p>
    <w:p w14:paraId="3BACAE7A" w14:textId="77777777" w:rsidR="004559DD" w:rsidRPr="004559DD" w:rsidRDefault="004559DD" w:rsidP="004559D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59DD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6AAE6306" w14:textId="77777777" w:rsidR="004559DD" w:rsidRPr="004559DD" w:rsidRDefault="004559DD" w:rsidP="004559D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 link is established when there is:</w:t>
      </w:r>
    </w:p>
    <w:p w14:paraId="3F19BBD1" w14:textId="77777777" w:rsidR="004559DD" w:rsidRPr="004559DD" w:rsidRDefault="004559DD" w:rsidP="004559DD">
      <w:pPr>
        <w:numPr>
          <w:ilvl w:val="0"/>
          <w:numId w:val="29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Contact between two people involving a plausible mode of transmission at a time when:</w:t>
      </w:r>
    </w:p>
    <w:p w14:paraId="59470436" w14:textId="77777777" w:rsidR="004559DD" w:rsidRPr="004559DD" w:rsidRDefault="004559DD" w:rsidP="004559DD">
      <w:pPr>
        <w:numPr>
          <w:ilvl w:val="1"/>
          <w:numId w:val="29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one of them is likely to be infectious (about one week before to at least four days after appearance of rash).</w:t>
      </w:r>
    </w:p>
    <w:p w14:paraId="147969CE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10DCC3AE" w14:textId="77777777" w:rsidR="004559DD" w:rsidRPr="004559DD" w:rsidRDefault="004559DD" w:rsidP="004559DD">
      <w:pPr>
        <w:numPr>
          <w:ilvl w:val="1"/>
          <w:numId w:val="3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the other has an illness which starts within 14 and 23 days after this contact.</w:t>
      </w:r>
    </w:p>
    <w:p w14:paraId="004B9466" w14:textId="77777777" w:rsidR="004559DD" w:rsidRPr="004559DD" w:rsidRDefault="004559DD" w:rsidP="004559DD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161CB3E7" w14:textId="5E2E4595" w:rsidR="009E0B84" w:rsidRPr="004559DD" w:rsidRDefault="004559DD" w:rsidP="004559DD">
      <w:pPr>
        <w:numPr>
          <w:ilvl w:val="1"/>
          <w:numId w:val="3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59DD">
        <w:rPr>
          <w:rFonts w:ascii="Helvetica" w:hAnsi="Helvetica" w:cs="Helvetica"/>
          <w:color w:val="222222"/>
          <w:sz w:val="20"/>
          <w:szCs w:val="20"/>
          <w:lang w:eastAsia="en-AU"/>
        </w:rPr>
        <w:t>at least one case in the chain of epidemiologically linked cases (which may involve many cases) is laboratory conﬁrmed.</w:t>
      </w:r>
    </w:p>
    <w:sectPr w:rsidR="009E0B84" w:rsidRPr="004559DD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601E2" w14:textId="77777777" w:rsidR="004559DD" w:rsidRDefault="004559DD" w:rsidP="006B56BB">
      <w:r>
        <w:separator/>
      </w:r>
    </w:p>
    <w:p w14:paraId="41B31C35" w14:textId="77777777" w:rsidR="004559DD" w:rsidRDefault="004559DD"/>
  </w:endnote>
  <w:endnote w:type="continuationSeparator" w:id="0">
    <w:p w14:paraId="3F630A7E" w14:textId="77777777" w:rsidR="004559DD" w:rsidRDefault="004559DD" w:rsidP="006B56BB">
      <w:r>
        <w:continuationSeparator/>
      </w:r>
    </w:p>
    <w:p w14:paraId="55964FF9" w14:textId="77777777" w:rsidR="004559DD" w:rsidRDefault="004559DD"/>
  </w:endnote>
  <w:endnote w:type="continuationNotice" w:id="1">
    <w:p w14:paraId="0F14AE0C" w14:textId="77777777" w:rsidR="004559DD" w:rsidRDefault="00455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87E0B9" w14:textId="12A8867B" w:rsidR="00CD407A" w:rsidRDefault="004559DD">
            <w:pPr>
              <w:pStyle w:val="Footer"/>
              <w:jc w:val="right"/>
            </w:pPr>
            <w:r w:rsidRPr="004559DD">
              <w:t xml:space="preserve">Rubella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EC4D2AE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CF90" w14:textId="77777777" w:rsidR="004559DD" w:rsidRDefault="004559DD" w:rsidP="006B56BB">
      <w:r>
        <w:separator/>
      </w:r>
    </w:p>
    <w:p w14:paraId="0FEEA354" w14:textId="77777777" w:rsidR="004559DD" w:rsidRDefault="004559DD"/>
  </w:footnote>
  <w:footnote w:type="continuationSeparator" w:id="0">
    <w:p w14:paraId="023DDE54" w14:textId="77777777" w:rsidR="004559DD" w:rsidRDefault="004559DD" w:rsidP="006B56BB">
      <w:r>
        <w:continuationSeparator/>
      </w:r>
    </w:p>
    <w:p w14:paraId="1A86EF3F" w14:textId="77777777" w:rsidR="004559DD" w:rsidRDefault="004559DD"/>
  </w:footnote>
  <w:footnote w:type="continuationNotice" w:id="1">
    <w:p w14:paraId="7EB77565" w14:textId="77777777" w:rsidR="004559DD" w:rsidRDefault="00455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352A4"/>
    <w:multiLevelType w:val="multilevel"/>
    <w:tmpl w:val="3E5E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94076"/>
    <w:multiLevelType w:val="multilevel"/>
    <w:tmpl w:val="6952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E67B2"/>
    <w:multiLevelType w:val="multilevel"/>
    <w:tmpl w:val="E1900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680478"/>
    <w:multiLevelType w:val="multilevel"/>
    <w:tmpl w:val="38B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72004"/>
    <w:multiLevelType w:val="multilevel"/>
    <w:tmpl w:val="ED347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5422FD6"/>
    <w:multiLevelType w:val="multilevel"/>
    <w:tmpl w:val="B972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C04B7"/>
    <w:multiLevelType w:val="multilevel"/>
    <w:tmpl w:val="3EC4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A50BFC"/>
    <w:multiLevelType w:val="multilevel"/>
    <w:tmpl w:val="F03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07DCD"/>
    <w:multiLevelType w:val="multilevel"/>
    <w:tmpl w:val="D4B6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553D7C"/>
    <w:multiLevelType w:val="multilevel"/>
    <w:tmpl w:val="DD3E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70EDB"/>
    <w:multiLevelType w:val="multilevel"/>
    <w:tmpl w:val="3820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27C36"/>
    <w:multiLevelType w:val="multilevel"/>
    <w:tmpl w:val="CAF0E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9"/>
  </w:num>
  <w:num w:numId="17">
    <w:abstractNumId w:val="10"/>
  </w:num>
  <w:num w:numId="18">
    <w:abstractNumId w:val="12"/>
  </w:num>
  <w:num w:numId="19">
    <w:abstractNumId w:val="17"/>
  </w:num>
  <w:num w:numId="20">
    <w:abstractNumId w:val="22"/>
  </w:num>
  <w:num w:numId="21">
    <w:abstractNumId w:val="27"/>
  </w:num>
  <w:num w:numId="22">
    <w:abstractNumId w:val="19"/>
    <w:lvlOverride w:ilvl="0">
      <w:startOverride w:val="2"/>
    </w:lvlOverride>
  </w:num>
  <w:num w:numId="23">
    <w:abstractNumId w:val="16"/>
  </w:num>
  <w:num w:numId="24">
    <w:abstractNumId w:val="11"/>
  </w:num>
  <w:num w:numId="25">
    <w:abstractNumId w:val="15"/>
  </w:num>
  <w:num w:numId="26">
    <w:abstractNumId w:val="13"/>
  </w:num>
  <w:num w:numId="27">
    <w:abstractNumId w:val="28"/>
  </w:num>
  <w:num w:numId="28">
    <w:abstractNumId w:val="14"/>
  </w:num>
  <w:num w:numId="29">
    <w:abstractNumId w:val="20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D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59DD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D2017"/>
  <w15:docId w15:val="{86DB8F7E-72A1-4962-B158-DE3226C0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4559DD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559D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59D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51F98709-20E6-4CC8-BDBE-724AC926C649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3</Pages>
  <Words>440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Rubella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2022-06-08T03:50:00Z</dcterms:created>
  <dcterms:modified xsi:type="dcterms:W3CDTF">2022-06-08T03:53:00Z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