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6513"/>
      </w:tblGrid>
      <w:tr w:rsidR="00800DEB" w14:paraId="08E7304A" w14:textId="77777777" w:rsidTr="00800DEB">
        <w:tc>
          <w:tcPr>
            <w:tcW w:w="2547" w:type="dxa"/>
          </w:tcPr>
          <w:p w14:paraId="4037A75F" w14:textId="77777777" w:rsidR="00800DEB" w:rsidRDefault="00800DEB" w:rsidP="00800DEB">
            <w:r>
              <w:rPr>
                <w:noProof/>
              </w:rPr>
              <w:drawing>
                <wp:inline distT="0" distB="0" distL="0" distR="0" wp14:anchorId="76110991" wp14:editId="06A8FADD">
                  <wp:extent cx="1171575" cy="1714500"/>
                  <wp:effectExtent l="0" t="0" r="9525" b="0"/>
                  <wp:docPr id="2" name="Picture 2" descr="Communicable Diseases Network Australi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Communicable Diseases Network Australia logo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3" w:type="dxa"/>
          </w:tcPr>
          <w:p w14:paraId="321CC027" w14:textId="42F44801" w:rsidR="00800DEB" w:rsidRDefault="004E3C80" w:rsidP="00800DEB">
            <w:pPr>
              <w:pStyle w:val="Title"/>
            </w:pPr>
            <w:r w:rsidRPr="004E3C80">
              <w:t>Rubella (congenital)</w:t>
            </w:r>
          </w:p>
          <w:p w14:paraId="14046D70" w14:textId="77777777" w:rsidR="00800DEB" w:rsidRDefault="00800DEB" w:rsidP="00800DEB">
            <w:pPr>
              <w:pStyle w:val="Subtitle"/>
            </w:pPr>
            <w:r w:rsidRPr="00800DEB">
              <w:t>Australian national notifiable diseases case definition</w:t>
            </w:r>
          </w:p>
        </w:tc>
      </w:tr>
    </w:tbl>
    <w:p w14:paraId="28344F1E" w14:textId="75D8D53B" w:rsidR="004516E8" w:rsidRDefault="00800DEB" w:rsidP="009E0B84">
      <w:pPr>
        <w:pStyle w:val="IntroPara"/>
      </w:pPr>
      <w:r w:rsidRPr="00872414">
        <w:t xml:space="preserve">This document contains the </w:t>
      </w:r>
      <w:r>
        <w:t xml:space="preserve">surveillance </w:t>
      </w:r>
      <w:r w:rsidRPr="00872414">
        <w:t xml:space="preserve">case definition for </w:t>
      </w:r>
      <w:r w:rsidR="004E3C80">
        <w:t>r</w:t>
      </w:r>
      <w:r w:rsidR="004E3C80" w:rsidRPr="004E3C80">
        <w:t>ubella (congenital)</w:t>
      </w:r>
      <w:r>
        <w:t>,</w:t>
      </w:r>
      <w:r w:rsidRPr="00872414">
        <w:t xml:space="preserve"> which is nationally notifiable within Australia. </w:t>
      </w:r>
      <w:r w:rsidR="004516E8">
        <w:t>State and territory health departments use this definition to decide whether to notify the Australian Government Department of Health</w:t>
      </w:r>
      <w:r w:rsidR="00B14926">
        <w:t xml:space="preserve"> and Aged Care</w:t>
      </w:r>
      <w:r w:rsidR="004516E8">
        <w:t xml:space="preserve"> of a case.</w:t>
      </w:r>
    </w:p>
    <w:tbl>
      <w:tblPr>
        <w:tblStyle w:val="DepartmentofHealthtable"/>
        <w:tblW w:w="5000" w:type="pct"/>
        <w:tblLook w:val="04A0" w:firstRow="1" w:lastRow="0" w:firstColumn="1" w:lastColumn="0" w:noHBand="0" w:noVBand="1"/>
        <w:tblDescription w:val="version control table for the cholera case definition"/>
      </w:tblPr>
      <w:tblGrid>
        <w:gridCol w:w="1023"/>
        <w:gridCol w:w="4712"/>
        <w:gridCol w:w="1366"/>
        <w:gridCol w:w="1969"/>
      </w:tblGrid>
      <w:tr w:rsidR="00800DEB" w:rsidRPr="00872414" w14:paraId="2A4CC50B" w14:textId="77777777" w:rsidTr="006505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79CBE944" w14:textId="77777777" w:rsidR="00800DEB" w:rsidRPr="00872414" w:rsidRDefault="00800DEB" w:rsidP="00650561">
            <w:pPr>
              <w:pStyle w:val="TableHeader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Version</w:t>
            </w:r>
          </w:p>
        </w:tc>
        <w:tc>
          <w:tcPr>
            <w:tcW w:w="0" w:type="auto"/>
            <w:hideMark/>
          </w:tcPr>
          <w:p w14:paraId="1EC0DED3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Status</w:t>
            </w:r>
          </w:p>
        </w:tc>
        <w:tc>
          <w:tcPr>
            <w:tcW w:w="0" w:type="auto"/>
            <w:hideMark/>
          </w:tcPr>
          <w:p w14:paraId="683107B6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Last reviewed</w:t>
            </w:r>
          </w:p>
        </w:tc>
        <w:tc>
          <w:tcPr>
            <w:tcW w:w="0" w:type="auto"/>
            <w:hideMark/>
          </w:tcPr>
          <w:p w14:paraId="3C01C0C3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Implementation date</w:t>
            </w:r>
          </w:p>
        </w:tc>
      </w:tr>
      <w:tr w:rsidR="00800DEB" w:rsidRPr="00872414" w14:paraId="58C8F6DC" w14:textId="77777777" w:rsidTr="00800D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E30066B" w14:textId="2E341F0B" w:rsidR="00800DEB" w:rsidRPr="00872414" w:rsidRDefault="004E3C80" w:rsidP="00650561">
            <w:pPr>
              <w:pStyle w:val="TableText"/>
              <w:rPr>
                <w:lang w:eastAsia="en-AU"/>
              </w:rPr>
            </w:pPr>
            <w:r>
              <w:rPr>
                <w:lang w:eastAsia="en-AU"/>
              </w:rPr>
              <w:t>1.1</w:t>
            </w:r>
          </w:p>
        </w:tc>
        <w:tc>
          <w:tcPr>
            <w:tcW w:w="0" w:type="auto"/>
          </w:tcPr>
          <w:p w14:paraId="385498A8" w14:textId="77777777" w:rsidR="004E3C80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Case definition has been renamed ‘Congenital Rubella Infection’, with a subcategory of ‘Congenital Rubella Syndrome’.</w:t>
            </w:r>
          </w:p>
          <w:p w14:paraId="20713A4D" w14:textId="77777777" w:rsidR="004E3C80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</w:p>
          <w:p w14:paraId="32D66A93" w14:textId="77777777" w:rsidR="004E3C80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 xml:space="preserve">Laboratory definitive evidence separated into </w:t>
            </w:r>
            <w:proofErr w:type="spellStart"/>
            <w:r>
              <w:rPr>
                <w:lang w:eastAsia="en-AU"/>
              </w:rPr>
              <w:t>fetal</w:t>
            </w:r>
            <w:proofErr w:type="spellEnd"/>
            <w:r>
              <w:rPr>
                <w:lang w:eastAsia="en-AU"/>
              </w:rPr>
              <w:t xml:space="preserve"> and infant.</w:t>
            </w:r>
          </w:p>
          <w:p w14:paraId="66C351A2" w14:textId="77777777" w:rsidR="004E3C80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</w:p>
          <w:p w14:paraId="6E1F9196" w14:textId="77777777" w:rsidR="004E3C80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Laboratory suggestive evidence (maternal) reframed as epidemiological evidence and separated into 1st trimester versus 2nd/3rd trimester.</w:t>
            </w:r>
          </w:p>
          <w:p w14:paraId="4C210A3F" w14:textId="77777777" w:rsidR="004E3C80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</w:p>
          <w:p w14:paraId="73732563" w14:textId="2A92FC50" w:rsidR="00800DEB" w:rsidRPr="00872414" w:rsidRDefault="004E3C80" w:rsidP="004E3C80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Laboratory evidence criteria throughout amended to be consistent with PHLN case definition.</w:t>
            </w:r>
          </w:p>
        </w:tc>
        <w:tc>
          <w:tcPr>
            <w:tcW w:w="0" w:type="auto"/>
          </w:tcPr>
          <w:p w14:paraId="236E4419" w14:textId="01C71586" w:rsidR="00800DEB" w:rsidRPr="00872414" w:rsidRDefault="004E3C80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4E3C80">
              <w:rPr>
                <w:lang w:eastAsia="en-AU"/>
              </w:rPr>
              <w:t>CDWG June 2015</w:t>
            </w:r>
          </w:p>
        </w:tc>
        <w:tc>
          <w:tcPr>
            <w:tcW w:w="0" w:type="auto"/>
          </w:tcPr>
          <w:p w14:paraId="583733BE" w14:textId="64415DA6" w:rsidR="00800DEB" w:rsidRPr="00872414" w:rsidRDefault="004E3C80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4E3C80">
              <w:rPr>
                <w:lang w:eastAsia="en-AU"/>
              </w:rPr>
              <w:t>1 January 2016</w:t>
            </w:r>
          </w:p>
        </w:tc>
      </w:tr>
      <w:tr w:rsidR="00800DEB" w:rsidRPr="00872414" w14:paraId="33191765" w14:textId="77777777" w:rsidTr="00800DE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0B332E9" w14:textId="0FC1A908" w:rsidR="00800DEB" w:rsidRPr="00872414" w:rsidRDefault="004E3C80" w:rsidP="00650561">
            <w:pPr>
              <w:pStyle w:val="TableText"/>
              <w:rPr>
                <w:lang w:eastAsia="en-AU"/>
              </w:rPr>
            </w:pPr>
            <w:r>
              <w:rPr>
                <w:lang w:eastAsia="en-AU"/>
              </w:rPr>
              <w:t>1.0</w:t>
            </w:r>
          </w:p>
        </w:tc>
        <w:tc>
          <w:tcPr>
            <w:tcW w:w="0" w:type="auto"/>
          </w:tcPr>
          <w:p w14:paraId="65B4D814" w14:textId="75B36F5B" w:rsidR="00800DEB" w:rsidRPr="00872414" w:rsidRDefault="004E3C80" w:rsidP="0065056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en-AU"/>
              </w:rPr>
            </w:pPr>
            <w:r w:rsidRPr="004E3C80">
              <w:rPr>
                <w:lang w:eastAsia="en-AU"/>
              </w:rPr>
              <w:t>Initial CDNA case definition</w:t>
            </w:r>
          </w:p>
        </w:tc>
        <w:tc>
          <w:tcPr>
            <w:tcW w:w="0" w:type="auto"/>
          </w:tcPr>
          <w:p w14:paraId="65D26363" w14:textId="7D5042A5" w:rsidR="00800DEB" w:rsidRPr="00872414" w:rsidRDefault="004E3C80" w:rsidP="0065056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en-AU"/>
              </w:rPr>
            </w:pPr>
            <w:r w:rsidRPr="004E3C80">
              <w:rPr>
                <w:lang w:eastAsia="en-AU"/>
              </w:rPr>
              <w:t>2004</w:t>
            </w:r>
          </w:p>
        </w:tc>
        <w:tc>
          <w:tcPr>
            <w:tcW w:w="0" w:type="auto"/>
          </w:tcPr>
          <w:p w14:paraId="533BAAED" w14:textId="0976F0C1" w:rsidR="00800DEB" w:rsidRPr="00872414" w:rsidRDefault="004E3C80" w:rsidP="0065056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en-AU"/>
              </w:rPr>
            </w:pPr>
            <w:r w:rsidRPr="004E3C80">
              <w:rPr>
                <w:lang w:eastAsia="en-AU"/>
              </w:rPr>
              <w:t>2004</w:t>
            </w:r>
          </w:p>
        </w:tc>
      </w:tr>
    </w:tbl>
    <w:p w14:paraId="64A35A9A" w14:textId="77777777" w:rsidR="009E0B84" w:rsidRDefault="009E0B84" w:rsidP="00800DEB"/>
    <w:p w14:paraId="7E8C59D7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 xml:space="preserve">Congenital rubella infection is reported based on relevant evidence from a live or stillborn infant, </w:t>
      </w:r>
      <w:proofErr w:type="gramStart"/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miscarriage</w:t>
      </w:r>
      <w:proofErr w:type="gramEnd"/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 xml:space="preserve"> or pregnancy termination. Congenital rubella syndrome is reported as a subset of congenital rubella infection.</w:t>
      </w:r>
    </w:p>
    <w:p w14:paraId="695F8BF5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Reporting</w:t>
      </w:r>
    </w:p>
    <w:p w14:paraId="118923C7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Both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conﬁrmed cases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 and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probable cases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 should be notiﬁed.</w:t>
      </w:r>
    </w:p>
    <w:p w14:paraId="552E40BD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lastRenderedPageBreak/>
        <w:t>Conﬁrmed case</w:t>
      </w:r>
    </w:p>
    <w:p w14:paraId="6A767C62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 conﬁrmed case requires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laboratory deﬁnitive evidence (</w:t>
      </w:r>
      <w:proofErr w:type="spellStart"/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fetal</w:t>
      </w:r>
      <w:proofErr w:type="spellEnd"/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)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.</w:t>
      </w:r>
    </w:p>
    <w:p w14:paraId="5E8EA0C1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</w:p>
    <w:p w14:paraId="20B9EE32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Laboratory definitive evidence (infant)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 AND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epidemiological evidence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.</w:t>
      </w:r>
    </w:p>
    <w:p w14:paraId="17F3C517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Laboratory deﬁnitive evidence</w:t>
      </w:r>
    </w:p>
    <w:p w14:paraId="7DDCBD6C" w14:textId="77777777" w:rsidR="004E3C80" w:rsidRPr="004E3C80" w:rsidRDefault="004E3C80" w:rsidP="004E3C80">
      <w:pPr>
        <w:shd w:val="clear" w:color="auto" w:fill="FFFFFF"/>
        <w:spacing w:before="240" w:after="120"/>
        <w:outlineLvl w:val="3"/>
        <w:rPr>
          <w:rFonts w:ascii="Open Sans" w:hAnsi="Open Sans" w:cs="Open Sans"/>
          <w:color w:val="000000"/>
          <w:sz w:val="24"/>
          <w:lang w:eastAsia="en-AU"/>
        </w:rPr>
      </w:pPr>
      <w:proofErr w:type="spellStart"/>
      <w:r w:rsidRPr="004E3C80">
        <w:rPr>
          <w:rFonts w:ascii="Open Sans" w:hAnsi="Open Sans" w:cs="Open Sans"/>
          <w:i/>
          <w:iCs/>
          <w:color w:val="000000"/>
          <w:sz w:val="24"/>
          <w:lang w:eastAsia="en-AU"/>
        </w:rPr>
        <w:t>Fetal</w:t>
      </w:r>
      <w:proofErr w:type="spellEnd"/>
    </w:p>
    <w:p w14:paraId="185BCFAC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Isolation or detection of rubella virus from an appropriate clinical sample (</w:t>
      </w:r>
      <w:proofErr w:type="gramStart"/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i.e.</w:t>
      </w:r>
      <w:proofErr w:type="gramEnd"/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 xml:space="preserve"> </w:t>
      </w:r>
      <w:proofErr w:type="spellStart"/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fetal</w:t>
      </w:r>
      <w:proofErr w:type="spellEnd"/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 xml:space="preserve"> blood or tissue, amniotic fluid, chorionic villus sample) by culture or nucleic acid testing.</w:t>
      </w:r>
    </w:p>
    <w:p w14:paraId="153AC1A5" w14:textId="77777777" w:rsidR="004E3C80" w:rsidRPr="004E3C80" w:rsidRDefault="004E3C80" w:rsidP="004E3C80">
      <w:pPr>
        <w:shd w:val="clear" w:color="auto" w:fill="FFFFFF"/>
        <w:spacing w:after="120"/>
        <w:outlineLvl w:val="3"/>
        <w:rPr>
          <w:rFonts w:ascii="Open Sans" w:hAnsi="Open Sans" w:cs="Open Sans"/>
          <w:color w:val="000000"/>
          <w:sz w:val="24"/>
          <w:lang w:eastAsia="en-AU"/>
        </w:rPr>
      </w:pPr>
      <w:r w:rsidRPr="004E3C80">
        <w:rPr>
          <w:rFonts w:ascii="Open Sans" w:hAnsi="Open Sans" w:cs="Open Sans"/>
          <w:i/>
          <w:iCs/>
          <w:color w:val="000000"/>
          <w:sz w:val="24"/>
          <w:lang w:eastAsia="en-AU"/>
        </w:rPr>
        <w:t>Infant</w:t>
      </w:r>
    </w:p>
    <w:p w14:paraId="0A238759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Isolation or detection of rubella virus from an appropriate clinical sample in an infant, by culture or nucleic acid testing.</w:t>
      </w:r>
    </w:p>
    <w:p w14:paraId="100C21D9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</w:p>
    <w:p w14:paraId="3C7B445E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Detection of rubella-speciﬁc IgM antibody in the serum of the infant.</w:t>
      </w:r>
    </w:p>
    <w:p w14:paraId="5FFAAF60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Epidemiological evidence</w:t>
      </w:r>
    </w:p>
    <w:p w14:paraId="2F26DEED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The mother has confirmed rubella infection during pregnancy (see definition for Rubella – non-congenital).</w:t>
      </w:r>
    </w:p>
    <w:p w14:paraId="0142F6E7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Probable case</w:t>
      </w:r>
    </w:p>
    <w:p w14:paraId="0106B65E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 probable case requires</w:t>
      </w:r>
    </w:p>
    <w:p w14:paraId="798EDB55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Epidemiological evidence 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(1st trimester infection).</w:t>
      </w:r>
    </w:p>
    <w:p w14:paraId="78815781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</w:p>
    <w:p w14:paraId="1506D8B1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Epidemiological evidence 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(2nd and 3rd trimester infection) AND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laboratory suggestive evidence (infant)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.</w:t>
      </w:r>
    </w:p>
    <w:p w14:paraId="42B3B646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Laboratory suggestive evidence</w:t>
      </w:r>
    </w:p>
    <w:p w14:paraId="03646936" w14:textId="77777777" w:rsidR="004E3C80" w:rsidRPr="004E3C80" w:rsidRDefault="004E3C80" w:rsidP="004E3C80">
      <w:pPr>
        <w:shd w:val="clear" w:color="auto" w:fill="FFFFFF"/>
        <w:spacing w:before="240" w:after="120"/>
        <w:outlineLvl w:val="3"/>
        <w:rPr>
          <w:rFonts w:ascii="Open Sans" w:hAnsi="Open Sans" w:cs="Open Sans"/>
          <w:color w:val="000000"/>
          <w:sz w:val="24"/>
          <w:lang w:eastAsia="en-AU"/>
        </w:rPr>
      </w:pPr>
      <w:r w:rsidRPr="004E3C80">
        <w:rPr>
          <w:rFonts w:ascii="Open Sans" w:hAnsi="Open Sans" w:cs="Open Sans"/>
          <w:i/>
          <w:iCs/>
          <w:color w:val="000000"/>
          <w:sz w:val="24"/>
          <w:lang w:eastAsia="en-AU"/>
        </w:rPr>
        <w:t>Infant</w:t>
      </w:r>
    </w:p>
    <w:p w14:paraId="3E24DE8F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High / rising rubella-specific IgG level in first year of life.</w:t>
      </w:r>
    </w:p>
    <w:p w14:paraId="277AF8A8" w14:textId="77777777" w:rsidR="004E3C80" w:rsidRPr="004E3C80" w:rsidRDefault="004E3C80" w:rsidP="004E3C80">
      <w:pPr>
        <w:keepNext/>
        <w:shd w:val="clear" w:color="auto" w:fill="FFFFFF"/>
        <w:spacing w:after="120"/>
        <w:outlineLvl w:val="1"/>
        <w:rPr>
          <w:rFonts w:ascii="Open Sans" w:hAnsi="Open Sans" w:cs="Open Sans"/>
          <w:color w:val="000000"/>
          <w:sz w:val="36"/>
          <w:szCs w:val="36"/>
          <w:lang w:eastAsia="en-AU"/>
        </w:rPr>
      </w:pPr>
      <w:r w:rsidRPr="004E3C80">
        <w:rPr>
          <w:rFonts w:ascii="Open Sans" w:hAnsi="Open Sans" w:cs="Open Sans"/>
          <w:color w:val="000000"/>
          <w:sz w:val="36"/>
          <w:szCs w:val="36"/>
          <w:lang w:eastAsia="en-AU"/>
        </w:rPr>
        <w:lastRenderedPageBreak/>
        <w:t>Congenital Rubella Syndrome</w:t>
      </w:r>
    </w:p>
    <w:p w14:paraId="33A1FD4E" w14:textId="77777777" w:rsidR="004E3C80" w:rsidRPr="004E3C80" w:rsidRDefault="004E3C80" w:rsidP="004E3C80">
      <w:pPr>
        <w:keepNext/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Reporting</w:t>
      </w:r>
    </w:p>
    <w:p w14:paraId="687F5C9F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Both conﬁrmed cases and probable cases should be reported.</w:t>
      </w:r>
    </w:p>
    <w:p w14:paraId="79111DF2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Confirmed case</w:t>
      </w:r>
    </w:p>
    <w:p w14:paraId="20B6B31E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 conﬁrmed case requires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 xml:space="preserve">laboratory deﬁnitive </w:t>
      </w:r>
      <w:proofErr w:type="spellStart"/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vidence</w:t>
      </w:r>
      <w:proofErr w:type="spellEnd"/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 xml:space="preserve"> (</w:t>
      </w:r>
      <w:proofErr w:type="spellStart"/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fetal</w:t>
      </w:r>
      <w:proofErr w:type="spellEnd"/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 xml:space="preserve"> or infant), 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as described above AND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 clinical evidence</w:t>
      </w:r>
    </w:p>
    <w:p w14:paraId="1C025673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Clinical evidence</w:t>
      </w:r>
    </w:p>
    <w:p w14:paraId="20BB375F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 live or stillborn infant with ANY of the following compatible defects: cataract, congenital glaucoma, congenital heart disease, hearing defect, microcephaly, pigmentary retinopathy, developmental delay, purpura, hepatosplenomegaly, meningoencephalitis, radiolucent bone disease or other defect not better explained by an alternative diagnosis.</w:t>
      </w:r>
    </w:p>
    <w:p w14:paraId="4947F6D3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Probable case</w:t>
      </w:r>
    </w:p>
    <w:p w14:paraId="68D4E925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 probable case requires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laboratory suggestive evidence (infant)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 OR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 epidemiological evidence,</w:t>
      </w: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 as described above.</w:t>
      </w:r>
    </w:p>
    <w:p w14:paraId="4B01313E" w14:textId="77777777" w:rsidR="004E3C80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AND </w:t>
      </w:r>
      <w:r w:rsidRPr="004E3C80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clinical evidence</w:t>
      </w:r>
    </w:p>
    <w:p w14:paraId="07CAFA95" w14:textId="77777777" w:rsidR="004E3C80" w:rsidRPr="004E3C80" w:rsidRDefault="004E3C80" w:rsidP="004E3C80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E3C80">
        <w:rPr>
          <w:rFonts w:ascii="Open Sans" w:hAnsi="Open Sans" w:cs="Open Sans"/>
          <w:color w:val="000000"/>
          <w:sz w:val="27"/>
          <w:szCs w:val="27"/>
          <w:lang w:eastAsia="en-AU"/>
        </w:rPr>
        <w:t>Clinical evidence</w:t>
      </w:r>
    </w:p>
    <w:p w14:paraId="1172A42D" w14:textId="50F24470" w:rsidR="009E0B84" w:rsidRPr="004E3C80" w:rsidRDefault="004E3C80" w:rsidP="004E3C80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E3C80">
        <w:rPr>
          <w:rFonts w:ascii="Helvetica" w:hAnsi="Helvetica" w:cs="Helvetica"/>
          <w:color w:val="222222"/>
          <w:sz w:val="20"/>
          <w:szCs w:val="20"/>
          <w:lang w:eastAsia="en-AU"/>
        </w:rPr>
        <w:t>(as for confirmed CRS case).</w:t>
      </w:r>
    </w:p>
    <w:sectPr w:rsidR="009E0B84" w:rsidRPr="004E3C80" w:rsidSect="00022629">
      <w:footerReference w:type="default" r:id="rId12"/>
      <w:type w:val="continuous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7559AF" w14:textId="77777777" w:rsidR="004E3C80" w:rsidRDefault="004E3C80" w:rsidP="006B56BB">
      <w:r>
        <w:separator/>
      </w:r>
    </w:p>
    <w:p w14:paraId="04FE85B7" w14:textId="77777777" w:rsidR="004E3C80" w:rsidRDefault="004E3C80"/>
  </w:endnote>
  <w:endnote w:type="continuationSeparator" w:id="0">
    <w:p w14:paraId="7B4C8559" w14:textId="77777777" w:rsidR="004E3C80" w:rsidRDefault="004E3C80" w:rsidP="006B56BB">
      <w:r>
        <w:continuationSeparator/>
      </w:r>
    </w:p>
    <w:p w14:paraId="41A494F4" w14:textId="77777777" w:rsidR="004E3C80" w:rsidRDefault="004E3C80"/>
  </w:endnote>
  <w:endnote w:type="continuationNotice" w:id="1">
    <w:p w14:paraId="47CF876D" w14:textId="77777777" w:rsidR="004E3C80" w:rsidRDefault="004E3C8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24697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C44E13D" w14:textId="3F614BE5" w:rsidR="00CD407A" w:rsidRDefault="004E3C80">
            <w:pPr>
              <w:pStyle w:val="Footer"/>
              <w:jc w:val="right"/>
            </w:pPr>
            <w:r w:rsidRPr="004E3C80">
              <w:t>Rubella</w:t>
            </w:r>
            <w:r>
              <w:t xml:space="preserve"> </w:t>
            </w:r>
            <w:r w:rsidR="00076AD6">
              <w:t xml:space="preserve">– </w:t>
            </w:r>
            <w:r w:rsidR="00800DEB">
              <w:t>Surveillance</w:t>
            </w:r>
            <w:r w:rsidR="00076AD6">
              <w:t xml:space="preserve"> case definition </w:t>
            </w:r>
            <w:r w:rsidR="00076AD6">
              <w:tab/>
            </w:r>
            <w:r w:rsidR="00076AD6">
              <w:tab/>
            </w:r>
            <w:r w:rsidR="00CD407A">
              <w:t xml:space="preserve">Page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PAGE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  <w:r w:rsidR="00CD407A">
              <w:t xml:space="preserve"> of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NUMPAGES 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1981B169" w14:textId="77777777" w:rsidR="00CD407A" w:rsidRDefault="00CD40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AC9514" w14:textId="77777777" w:rsidR="004E3C80" w:rsidRDefault="004E3C80" w:rsidP="006B56BB">
      <w:r>
        <w:separator/>
      </w:r>
    </w:p>
    <w:p w14:paraId="46DFDADC" w14:textId="77777777" w:rsidR="004E3C80" w:rsidRDefault="004E3C80"/>
  </w:footnote>
  <w:footnote w:type="continuationSeparator" w:id="0">
    <w:p w14:paraId="57C85EAA" w14:textId="77777777" w:rsidR="004E3C80" w:rsidRDefault="004E3C80" w:rsidP="006B56BB">
      <w:r>
        <w:continuationSeparator/>
      </w:r>
    </w:p>
    <w:p w14:paraId="3CE49193" w14:textId="77777777" w:rsidR="004E3C80" w:rsidRDefault="004E3C80"/>
  </w:footnote>
  <w:footnote w:type="continuationNotice" w:id="1">
    <w:p w14:paraId="61295803" w14:textId="77777777" w:rsidR="004E3C80" w:rsidRDefault="004E3C8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C55CFE62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3"/>
  </w:num>
  <w:num w:numId="8">
    <w:abstractNumId w:val="15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17"/>
  </w:num>
  <w:num w:numId="17">
    <w:abstractNumId w:val="10"/>
  </w:num>
  <w:num w:numId="18">
    <w:abstractNumId w:val="1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C80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7456"/>
    <w:rsid w:val="00071506"/>
    <w:rsid w:val="0007154F"/>
    <w:rsid w:val="00076AD6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71C7"/>
    <w:rsid w:val="00161094"/>
    <w:rsid w:val="0017665C"/>
    <w:rsid w:val="00177AD2"/>
    <w:rsid w:val="001815A8"/>
    <w:rsid w:val="001840C2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734"/>
    <w:rsid w:val="002C0CDD"/>
    <w:rsid w:val="002C38C4"/>
    <w:rsid w:val="002E1A1D"/>
    <w:rsid w:val="002E4081"/>
    <w:rsid w:val="002E5B78"/>
    <w:rsid w:val="002F3AE3"/>
    <w:rsid w:val="0030464B"/>
    <w:rsid w:val="0030786C"/>
    <w:rsid w:val="003100AE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05B3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16E8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6BCF"/>
    <w:rsid w:val="004D58BF"/>
    <w:rsid w:val="004E3C80"/>
    <w:rsid w:val="004E4335"/>
    <w:rsid w:val="004F13EE"/>
    <w:rsid w:val="004F2022"/>
    <w:rsid w:val="004F7C05"/>
    <w:rsid w:val="00501C94"/>
    <w:rsid w:val="0050643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D75EA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2CDA"/>
    <w:rsid w:val="00713558"/>
    <w:rsid w:val="00720D08"/>
    <w:rsid w:val="007263B9"/>
    <w:rsid w:val="007334F8"/>
    <w:rsid w:val="007339CD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4D09"/>
    <w:rsid w:val="007F2220"/>
    <w:rsid w:val="007F4B3E"/>
    <w:rsid w:val="00800DEB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254B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D6B57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0B84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2AD3"/>
    <w:rsid w:val="00A4512D"/>
    <w:rsid w:val="00A50244"/>
    <w:rsid w:val="00A627D7"/>
    <w:rsid w:val="00A656C7"/>
    <w:rsid w:val="00A705AF"/>
    <w:rsid w:val="00A72454"/>
    <w:rsid w:val="00A77696"/>
    <w:rsid w:val="00A80557"/>
    <w:rsid w:val="00A81D33"/>
    <w:rsid w:val="00A8341C"/>
    <w:rsid w:val="00A930AE"/>
    <w:rsid w:val="00A9567F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310E"/>
    <w:rsid w:val="00B04580"/>
    <w:rsid w:val="00B04B09"/>
    <w:rsid w:val="00B14926"/>
    <w:rsid w:val="00B16A51"/>
    <w:rsid w:val="00B32222"/>
    <w:rsid w:val="00B3618D"/>
    <w:rsid w:val="00B36233"/>
    <w:rsid w:val="00B42851"/>
    <w:rsid w:val="00B45AC7"/>
    <w:rsid w:val="00B5372F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D407A"/>
    <w:rsid w:val="00CE03CA"/>
    <w:rsid w:val="00CE22F1"/>
    <w:rsid w:val="00CE50F2"/>
    <w:rsid w:val="00CE60AF"/>
    <w:rsid w:val="00CE6502"/>
    <w:rsid w:val="00CF7D3C"/>
    <w:rsid w:val="00D01F09"/>
    <w:rsid w:val="00D147EB"/>
    <w:rsid w:val="00D34667"/>
    <w:rsid w:val="00D401E1"/>
    <w:rsid w:val="00D408B4"/>
    <w:rsid w:val="00D524C8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DF7652"/>
    <w:rsid w:val="00E042D8"/>
    <w:rsid w:val="00E07EE7"/>
    <w:rsid w:val="00E1103B"/>
    <w:rsid w:val="00E17B44"/>
    <w:rsid w:val="00E20F27"/>
    <w:rsid w:val="00E22443"/>
    <w:rsid w:val="00E27FEA"/>
    <w:rsid w:val="00E4086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5E9A"/>
    <w:rsid w:val="00EC7744"/>
    <w:rsid w:val="00ED0DAD"/>
    <w:rsid w:val="00ED0F46"/>
    <w:rsid w:val="00ED2373"/>
    <w:rsid w:val="00ED361A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50F4A78"/>
  <w15:docId w15:val="{4025B29D-9D11-4A97-A6CF-8319D7BA3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376E2"/>
    <w:pPr>
      <w:keepNext/>
      <w:spacing w:before="240" w:after="60"/>
      <w:outlineLvl w:val="0"/>
    </w:pPr>
    <w:rPr>
      <w:rFonts w:cs="Arial"/>
      <w:bCs/>
      <w:color w:val="3F4A75"/>
      <w:kern w:val="28"/>
      <w:sz w:val="36"/>
      <w:szCs w:val="36"/>
    </w:rPr>
  </w:style>
  <w:style w:type="paragraph" w:styleId="Heading2">
    <w:name w:val="heading 2"/>
    <w:next w:val="Paragraphtext"/>
    <w:link w:val="Heading2Char"/>
    <w:uiPriority w:val="9"/>
    <w:qFormat/>
    <w:rsid w:val="008376E2"/>
    <w:pPr>
      <w:keepNext/>
      <w:spacing w:before="240" w:after="6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next w:val="Normal"/>
    <w:link w:val="Heading3Char"/>
    <w:uiPriority w:val="9"/>
    <w:qFormat/>
    <w:rsid w:val="00DF7652"/>
    <w:pPr>
      <w:keepNext/>
      <w:spacing w:before="180" w:after="60"/>
      <w:outlineLvl w:val="2"/>
    </w:pPr>
    <w:rPr>
      <w:rFonts w:ascii="Arial" w:hAnsi="Arial" w:cs="Arial"/>
      <w:bCs/>
      <w:color w:val="358189"/>
      <w:sz w:val="24"/>
      <w:szCs w:val="26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uiPriority w:val="20"/>
    <w:qFormat/>
    <w:rsid w:val="00A705AF"/>
    <w:rPr>
      <w:i/>
      <w:iCs/>
    </w:rPr>
  </w:style>
  <w:style w:type="character" w:styleId="Strong">
    <w:name w:val="Strong"/>
    <w:basedOn w:val="DefaultParagraphFont"/>
    <w:uiPriority w:val="22"/>
    <w:qFormat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3100AE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3100AE"/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EC5E9A"/>
    <w:pPr>
      <w:spacing w:before="480" w:after="120"/>
      <w:contextualSpacing/>
    </w:pPr>
    <w:rPr>
      <w:rFonts w:eastAsiaTheme="majorEastAsia" w:cstheme="majorBidi"/>
      <w:b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EC5E9A"/>
    <w:rPr>
      <w:rFonts w:ascii="Arial" w:eastAsiaTheme="majorEastAsia" w:hAnsi="Arial" w:cstheme="majorBidi"/>
      <w:b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48593C"/>
    <w:pPr>
      <w:numPr>
        <w:numId w:val="17"/>
      </w:numPr>
      <w:spacing w:before="60" w:after="60"/>
    </w:pPr>
    <w:rPr>
      <w:color w:val="000000" w:themeColor="text1"/>
      <w:sz w:val="21"/>
    </w:rPr>
  </w:style>
  <w:style w:type="paragraph" w:styleId="ListParagraph">
    <w:name w:val="List Paragraph"/>
    <w:basedOn w:val="Normal"/>
    <w:uiPriority w:val="34"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C5E9A"/>
    <w:pPr>
      <w:spacing w:after="240" w:line="360" w:lineRule="auto"/>
    </w:pPr>
    <w:rPr>
      <w:b w:val="0"/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character" w:customStyle="1" w:styleId="Heading2Char">
    <w:name w:val="Heading 2 Char"/>
    <w:basedOn w:val="DefaultParagraphFont"/>
    <w:link w:val="Heading2"/>
    <w:uiPriority w:val="9"/>
    <w:rsid w:val="004E3C80"/>
    <w:rPr>
      <w:rFonts w:ascii="Arial" w:hAnsi="Arial" w:cs="Arial"/>
      <w:bCs/>
      <w:iCs/>
      <w:color w:val="358189"/>
      <w:sz w:val="32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E3C80"/>
    <w:rPr>
      <w:rFonts w:ascii="Arial" w:hAnsi="Arial" w:cs="Arial"/>
      <w:bCs/>
      <w:color w:val="358189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E3C80"/>
    <w:rPr>
      <w:rFonts w:ascii="Arial" w:hAnsi="Arial"/>
      <w:b/>
      <w:bCs/>
      <w:i/>
      <w:color w:val="414141"/>
      <w:sz w:val="24"/>
      <w:szCs w:val="28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E3C80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9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66552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1" w:color="EEEEEE"/>
            <w:bottom w:val="none" w:sz="0" w:space="0" w:color="auto"/>
            <w:right w:val="none" w:sz="0" w:space="0" w:color="auto"/>
          </w:divBdr>
        </w:div>
        <w:div w:id="197651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1" w:color="EEEEEE"/>
            <w:bottom w:val="none" w:sz="0" w:space="0" w:color="auto"/>
            <w:right w:val="none" w:sz="0" w:space="0" w:color="auto"/>
          </w:divBdr>
        </w:div>
        <w:div w:id="50764350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1" w:color="EEEEEE"/>
            <w:bottom w:val="none" w:sz="0" w:space="0" w:color="auto"/>
            <w:right w:val="none" w:sz="0" w:space="0" w:color="auto"/>
          </w:divBdr>
        </w:div>
        <w:div w:id="184748057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1" w:color="EEEEEE"/>
            <w:bottom w:val="none" w:sz="0" w:space="0" w:color="auto"/>
            <w:right w:val="none" w:sz="0" w:space="0" w:color="auto"/>
          </w:divBdr>
        </w:div>
        <w:div w:id="35450379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1" w:color="EEEEEE"/>
            <w:bottom w:val="none" w:sz="0" w:space="0" w:color="auto"/>
            <w:right w:val="none" w:sz="0" w:space="0" w:color="auto"/>
          </w:divBdr>
        </w:div>
      </w:divsChild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entral.health\dfsuserenv\Users\User_01\ARNOMA\Documents\Surveillance%20Case%20Definitions\CDNA%20surveillance%20case%20definition%20template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217076F0871349BCBE5A6EC7EEC4B3" ma:contentTypeVersion="35" ma:contentTypeDescription="Create a new document." ma:contentTypeScope="" ma:versionID="daa902607d3782abc6b39da5c7377c17">
  <xsd:schema xmlns:xsd="http://www.w3.org/2001/XMLSchema" xmlns:xs="http://www.w3.org/2001/XMLSchema" xmlns:p="http://schemas.microsoft.com/office/2006/metadata/properties" xmlns:ns2="dcf7b372-aaaa-46d8-9da6-ade9aab953df" xmlns:ns3="236487dd-ec90-4f99-8970-1318e5f29791" xmlns:ns4="http://schemas.microsoft.com/sharepoint/v3/fields" targetNamespace="http://schemas.microsoft.com/office/2006/metadata/properties" ma:root="true" ma:fieldsID="6786407172af4bf6979b7e88cf4c144d" ns2:_="" ns3:_="" ns4:_="">
    <xsd:import namespace="dcf7b372-aaaa-46d8-9da6-ade9aab953df"/>
    <xsd:import namespace="236487dd-ec90-4f99-8970-1318e5f2979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2:Reviewer" minOccurs="0"/>
                <xsd:element ref="ns2:Status" minOccurs="0"/>
                <xsd:element ref="ns2:Subtypes" minOccurs="0"/>
                <xsd:element ref="ns2:URLpattern" minOccurs="0"/>
                <xsd:element ref="ns3:TaxCatchAll" minOccurs="0"/>
                <xsd:element ref="ns2:lcf76f155ced4ddcb4097134ff3c332f" minOccurs="0"/>
                <xsd:element ref="ns2:Modified_x0020_by0" minOccurs="0"/>
                <xsd:element ref="ns4:_DCDateModifi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f7b372-aaaa-46d8-9da6-ade9aab953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Reviewer" ma:index="21" nillable="true" ma:displayName="Use case" ma:description="Who is reviewing the content to ensure it is current, accurate and relevant?" ma:format="Dropdown" ma:internalName="Reviewer">
      <xsd:simpleType>
        <xsd:restriction base="dms:Text">
          <xsd:maxLength value="255"/>
        </xsd:restriction>
      </xsd:simpleType>
    </xsd:element>
    <xsd:element name="Status" ma:index="22" nillable="true" ma:displayName="Status" ma:format="Dropdown" ma:internalName="Status">
      <xsd:simpleType>
        <xsd:restriction base="dms:Choice">
          <xsd:enumeration value="Not started"/>
          <xsd:enumeration value="Drafting"/>
          <xsd:enumeration value="Ready for review"/>
          <xsd:enumeration value="Reviewed"/>
          <xsd:enumeration value="Ready for approval"/>
          <xsd:enumeration value="Blocked"/>
          <xsd:enumeration value="Published"/>
          <xsd:enumeration value="Archived"/>
        </xsd:restriction>
      </xsd:simpleType>
    </xsd:element>
    <xsd:element name="Subtypes" ma:index="23" nillable="true" ma:displayName="Subtypes" ma:description="Subtypes available to the template&#10;" ma:format="Dropdown" ma:internalName="Subtypes">
      <xsd:simpleType>
        <xsd:restriction base="dms:Note">
          <xsd:maxLength value="255"/>
        </xsd:restriction>
      </xsd:simpleType>
    </xsd:element>
    <xsd:element name="URLpattern" ma:index="24" nillable="true" ma:displayName="URL pattern" ma:description="The URL pattern to be followed for all objects of this type" ma:format="Dropdown" ma:internalName="URLpattern">
      <xsd:simpleType>
        <xsd:restriction base="dms:Text">
          <xsd:maxLength value="255"/>
        </xsd:restriction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odified_x0020_by0" ma:index="28" nillable="true" ma:displayName="Modified by" ma:list="UserInfo" ma:SharePointGroup="0" ma:internalName="Modified_x0020_by0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6487dd-ec90-4f99-8970-1318e5f2979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c229c01-420d-4fb4-94f6-2b9ca1e2fb91}" ma:internalName="TaxCatchAll" ma:showField="CatchAllData" ma:web="236487dd-ec90-4f99-8970-1318e5f297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Modified" ma:index="29" nillable="true" ma:displayName="Date Modified" ma:description="The date on which this resource was last modified" ma:format="DateTime" ma:internalName="_DCDateModifi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dcf7b372-aaaa-46d8-9da6-ade9aab953df" xsi:nil="true"/>
    <URLpattern xmlns="dcf7b372-aaaa-46d8-9da6-ade9aab953df" xsi:nil="true"/>
    <Reviewer xmlns="dcf7b372-aaaa-46d8-9da6-ade9aab953df" xsi:nil="true"/>
    <_Flow_SignoffStatus xmlns="dcf7b372-aaaa-46d8-9da6-ade9aab953df" xsi:nil="true"/>
    <Subtypes xmlns="dcf7b372-aaaa-46d8-9da6-ade9aab953df" xsi:nil="true"/>
    <TaxCatchAll xmlns="236487dd-ec90-4f99-8970-1318e5f29791" xsi:nil="true"/>
    <_DCDateModified xmlns="http://schemas.microsoft.com/sharepoint/v3/fields" xsi:nil="true"/>
    <lcf76f155ced4ddcb4097134ff3c332f xmlns="dcf7b372-aaaa-46d8-9da6-ade9aab953df">
      <Terms xmlns="http://schemas.microsoft.com/office/infopath/2007/PartnerControls"/>
    </lcf76f155ced4ddcb4097134ff3c332f>
    <Modified_x0020_by0 xmlns="dcf7b372-aaaa-46d8-9da6-ade9aab953df">
      <UserInfo>
        <DisplayName/>
        <AccountId xsi:nil="true"/>
        <AccountType/>
      </UserInfo>
    </Modified_x0020_by0>
  </documentManagement>
</p:properties>
</file>

<file path=customXml/itemProps1.xml><?xml version="1.0" encoding="utf-8"?>
<ds:datastoreItem xmlns:ds="http://schemas.openxmlformats.org/officeDocument/2006/customXml" ds:itemID="{A13348D2-979D-4E78-A679-D0D2312302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BE2CBD-F3A5-4ADF-BF88-276368A6ECEB}"/>
</file>

<file path=customXml/itemProps4.xml><?xml version="1.0" encoding="utf-8"?>
<ds:datastoreItem xmlns:ds="http://schemas.openxmlformats.org/officeDocument/2006/customXml" ds:itemID="{D20C6417-ADBB-487B-9091-DC3471F064BF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236487dd-ec90-4f99-8970-1318e5f29791"/>
    <ds:schemaRef ds:uri="dcf7b372-aaaa-46d8-9da6-ade9aab953df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CDNA surveillance case definition template.dotx</Template>
  <TotalTime>4</TotalTime>
  <Pages>3</Pages>
  <Words>397</Words>
  <Characters>2604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Rubella – Surveillance case definition</vt:lpstr>
    </vt:vector>
  </TitlesOfParts>
  <Company>Dept Health And Ageing</Company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Rubella (congenital) – Surveillance case definition</dc:title>
  <dc:creator>Communicable Diseases Network Australia</dc:creator>
  <cp:keywords>Communicable diseases</cp:keywords>
  <cp:lastModifiedBy>ARNOLD, Max</cp:lastModifiedBy>
  <cp:revision>3</cp:revision>
  <dcterms:created xsi:type="dcterms:W3CDTF">2022-06-08T01:55:00Z</dcterms:created>
  <dcterms:modified xsi:type="dcterms:W3CDTF">2022-06-08T03:50:00Z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0x010100BA217076F0871349BCBE5A6EC7EEC4B3</vt:lpwstr>
  </property>
</Properties>
</file>