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2C081" w14:textId="1603A7EF" w:rsidR="00BC53B2" w:rsidRDefault="00465DC0" w:rsidP="00BC53B2">
      <w:r>
        <w:rPr>
          <w:rFonts w:ascii="Times New Roman" w:hAnsi="Times New Roman" w:cs="Times New Roman"/>
          <w:noProof/>
          <w:color w:val="auto"/>
          <w:sz w:val="24"/>
          <w:lang w:eastAsia="en-AU"/>
        </w:rPr>
        <mc:AlternateContent>
          <mc:Choice Requires="wps">
            <w:drawing>
              <wp:inline distT="0" distB="0" distL="0" distR="0" wp14:anchorId="4F972728" wp14:editId="19056E5E">
                <wp:extent cx="5257800" cy="4714875"/>
                <wp:effectExtent l="0" t="0" r="0" b="9525"/>
                <wp:docPr id="17" name="Text Box 17" descr="Title of the project&#10;Final Report&#10;Genetic and genomic certification for non-genetic pathologists and trainees with individual scope of practi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47148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lc="http://schemas.openxmlformats.org/drawingml/2006/lockedCanva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2B85AC2" w14:textId="229E01BE" w:rsidR="003C5834" w:rsidRPr="00F126A4" w:rsidRDefault="003C5834" w:rsidP="00465DC0">
                            <w:pPr>
                              <w:rPr>
                                <w:rFonts w:cs="Arial"/>
                                <w:b/>
                                <w:color w:val="auto"/>
                                <w:sz w:val="68"/>
                                <w:szCs w:val="68"/>
                              </w:rPr>
                            </w:pPr>
                            <w:r w:rsidRPr="00F126A4">
                              <w:rPr>
                                <w:rFonts w:cs="Arial"/>
                                <w:b/>
                                <w:color w:val="auto"/>
                                <w:sz w:val="68"/>
                                <w:szCs w:val="68"/>
                              </w:rPr>
                              <w:t>Final Report</w:t>
                            </w:r>
                          </w:p>
                          <w:p w14:paraId="157E96D3" w14:textId="77777777" w:rsidR="003C5834" w:rsidRPr="00F126A4" w:rsidRDefault="003C5834" w:rsidP="00465DC0">
                            <w:pPr>
                              <w:rPr>
                                <w:rFonts w:cs="Arial"/>
                                <w:color w:val="auto"/>
                                <w:sz w:val="60"/>
                                <w:szCs w:val="60"/>
                              </w:rPr>
                            </w:pPr>
                          </w:p>
                          <w:p w14:paraId="346CE808" w14:textId="77777777" w:rsidR="003C5834" w:rsidRPr="00F126A4" w:rsidRDefault="003C5834" w:rsidP="00465DC0">
                            <w:pPr>
                              <w:rPr>
                                <w:rFonts w:cs="Arial"/>
                                <w:color w:val="auto"/>
                                <w:sz w:val="56"/>
                                <w:szCs w:val="60"/>
                              </w:rPr>
                            </w:pPr>
                            <w:r w:rsidRPr="00F126A4">
                              <w:rPr>
                                <w:rFonts w:cs="Arial"/>
                                <w:color w:val="auto"/>
                                <w:sz w:val="56"/>
                                <w:szCs w:val="60"/>
                              </w:rPr>
                              <w:t xml:space="preserve">Genetic and genomic certification for non-genetic pathologists and trainees within individual scope of practice </w:t>
                            </w:r>
                          </w:p>
                          <w:p w14:paraId="510E4A68" w14:textId="77777777" w:rsidR="003C5834" w:rsidRPr="00F126A4" w:rsidRDefault="003C5834" w:rsidP="00465DC0">
                            <w:pPr>
                              <w:jc w:val="right"/>
                              <w:rPr>
                                <w:rFonts w:cs="Arial"/>
                                <w:color w:val="auto"/>
                                <w:sz w:val="44"/>
                                <w:szCs w:val="60"/>
                              </w:rPr>
                            </w:pPr>
                          </w:p>
                          <w:p w14:paraId="2C4946E8" w14:textId="555B7970" w:rsidR="003C5834" w:rsidRPr="00F126A4" w:rsidRDefault="003C5834" w:rsidP="00E80DF2">
                            <w:pPr>
                              <w:rPr>
                                <w:rFonts w:cs="Arial"/>
                                <w:color w:val="auto"/>
                                <w:sz w:val="60"/>
                                <w:szCs w:val="60"/>
                              </w:rPr>
                            </w:pPr>
                            <w:r w:rsidRPr="00F126A4">
                              <w:rPr>
                                <w:rFonts w:cs="Arial"/>
                                <w:color w:val="auto"/>
                                <w:sz w:val="44"/>
                                <w:szCs w:val="60"/>
                              </w:rPr>
                              <w:t>Schedule ID: 4-AJBOZ3E</w:t>
                            </w:r>
                          </w:p>
                          <w:p w14:paraId="123204EE" w14:textId="77777777" w:rsidR="003C5834" w:rsidRDefault="003C5834" w:rsidP="00465DC0">
                            <w:pPr>
                              <w:rPr>
                                <w:rFonts w:cs="Arial"/>
                                <w:color w:val="FFFFFF" w:themeColor="background1"/>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F972728" id="_x0000_t202" coordsize="21600,21600" o:spt="202" path="m,l,21600r21600,l21600,xe">
                <v:stroke joinstyle="miter"/>
                <v:path gradientshapeok="t" o:connecttype="rect"/>
              </v:shapetype>
              <v:shape id="Text Box 17" o:spid="_x0000_s1026" type="#_x0000_t202" alt="Title of the project&#10;Final Report&#10;Genetic and genomic certification for non-genetic pathologists and trainees with individual scope of practice" style="width:414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" filled="f" stroked="f">
                <v:path arrowok="t"/>
                <v:textbox>
                  <w:txbxContent>
                    <w:p w14:paraId="22B85AC2" w14:textId="229E01BE" w:rsidR="003C5834" w:rsidRPr="00F126A4" w:rsidRDefault="003C5834" w:rsidP="00465DC0">
                      <w:pPr>
                        <w:rPr>
                          <w:rFonts w:cs="Arial"/>
                          <w:b/>
                          <w:color w:val="auto"/>
                          <w:sz w:val="68"/>
                          <w:szCs w:val="68"/>
                        </w:rPr>
                      </w:pPr>
                      <w:r w:rsidRPr="00F126A4">
                        <w:rPr>
                          <w:rFonts w:cs="Arial"/>
                          <w:b/>
                          <w:color w:val="auto"/>
                          <w:sz w:val="68"/>
                          <w:szCs w:val="68"/>
                        </w:rPr>
                        <w:t>Final Report</w:t>
                      </w:r>
                    </w:p>
                    <w:p w14:paraId="157E96D3" w14:textId="77777777" w:rsidR="003C5834" w:rsidRPr="00F126A4" w:rsidRDefault="003C5834" w:rsidP="00465DC0">
                      <w:pPr>
                        <w:rPr>
                          <w:rFonts w:cs="Arial"/>
                          <w:color w:val="auto"/>
                          <w:sz w:val="60"/>
                          <w:szCs w:val="60"/>
                        </w:rPr>
                      </w:pPr>
                    </w:p>
                    <w:p w14:paraId="346CE808" w14:textId="77777777" w:rsidR="003C5834" w:rsidRPr="00F126A4" w:rsidRDefault="003C5834" w:rsidP="00465DC0">
                      <w:pPr>
                        <w:rPr>
                          <w:rFonts w:cs="Arial"/>
                          <w:color w:val="auto"/>
                          <w:sz w:val="56"/>
                          <w:szCs w:val="60"/>
                        </w:rPr>
                      </w:pPr>
                      <w:r w:rsidRPr="00F126A4">
                        <w:rPr>
                          <w:rFonts w:cs="Arial"/>
                          <w:color w:val="auto"/>
                          <w:sz w:val="56"/>
                          <w:szCs w:val="60"/>
                        </w:rPr>
                        <w:t xml:space="preserve">Genetic and genomic certification for non-genetic pathologists and trainees within individual scope of practice </w:t>
                      </w:r>
                    </w:p>
                    <w:p w14:paraId="510E4A68" w14:textId="77777777" w:rsidR="003C5834" w:rsidRPr="00F126A4" w:rsidRDefault="003C5834" w:rsidP="00465DC0">
                      <w:pPr>
                        <w:jc w:val="right"/>
                        <w:rPr>
                          <w:rFonts w:cs="Arial"/>
                          <w:color w:val="auto"/>
                          <w:sz w:val="44"/>
                          <w:szCs w:val="60"/>
                        </w:rPr>
                      </w:pPr>
                    </w:p>
                    <w:p w14:paraId="2C4946E8" w14:textId="555B7970" w:rsidR="003C5834" w:rsidRPr="00F126A4" w:rsidRDefault="003C5834" w:rsidP="00E80DF2">
                      <w:pPr>
                        <w:rPr>
                          <w:rFonts w:cs="Arial"/>
                          <w:color w:val="auto"/>
                          <w:sz w:val="60"/>
                          <w:szCs w:val="60"/>
                        </w:rPr>
                      </w:pPr>
                      <w:r w:rsidRPr="00F126A4">
                        <w:rPr>
                          <w:rFonts w:cs="Arial"/>
                          <w:color w:val="auto"/>
                          <w:sz w:val="44"/>
                          <w:szCs w:val="60"/>
                        </w:rPr>
                        <w:t>Schedule ID: 4-AJBOZ3E</w:t>
                      </w:r>
                    </w:p>
                    <w:p w14:paraId="123204EE" w14:textId="77777777" w:rsidR="003C5834" w:rsidRDefault="003C5834" w:rsidP="00465DC0">
                      <w:pPr>
                        <w:rPr>
                          <w:rFonts w:cs="Arial"/>
                          <w:color w:val="FFFFFF" w:themeColor="background1"/>
                          <w:sz w:val="60"/>
                          <w:szCs w:val="60"/>
                        </w:rPr>
                      </w:pPr>
                    </w:p>
                  </w:txbxContent>
                </v:textbox>
                <w10:anchorlock/>
              </v:shape>
            </w:pict>
          </mc:Fallback>
        </mc:AlternateContent>
      </w:r>
      <w:r w:rsidR="002C4751">
        <w:rPr>
          <w:noProof/>
          <w:lang w:eastAsia="en-AU"/>
        </w:rPr>
        <mc:AlternateContent>
          <mc:Choice Requires="wps">
            <w:drawing>
              <wp:inline distT="0" distB="0" distL="0" distR="0" wp14:anchorId="02FF6EAD" wp14:editId="254E3EF6">
                <wp:extent cx="5104800" cy="435600"/>
                <wp:effectExtent l="0" t="0" r="0" b="3175"/>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4800" cy="4356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5DCC3EB5" w14:textId="391B4053" w:rsidR="003C5834" w:rsidRPr="00F126A4" w:rsidRDefault="00A97B36" w:rsidP="00434C97">
                            <w:pPr>
                              <w:rPr>
                                <w:rFonts w:cs="Arial"/>
                                <w:color w:val="auto"/>
                                <w:sz w:val="36"/>
                                <w:szCs w:val="36"/>
                              </w:rPr>
                            </w:pPr>
                            <w:r>
                              <w:rPr>
                                <w:rFonts w:cs="Arial"/>
                                <w:color w:val="auto"/>
                                <w:sz w:val="36"/>
                                <w:szCs w:val="36"/>
                              </w:rPr>
                              <w:t>January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2FF6EAD" id="_x0000_t202" coordsize="21600,21600" o:spt="202" path="m,l,21600r21600,l21600,xe">
                <v:stroke joinstyle="miter"/>
                <v:path gradientshapeok="t" o:connecttype="rect"/>
              </v:shapetype>
              <v:shape id="Text Box 4" o:spid="_x0000_s1027" type="#_x0000_t202" style="width:401.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" filled="f" stroked="f">
                <v:path arrowok="t"/>
                <v:textbox>
                  <w:txbxContent>
                    <w:p w14:paraId="5DCC3EB5" w14:textId="391B4053" w:rsidR="003C5834" w:rsidRPr="00F126A4" w:rsidRDefault="00A97B36" w:rsidP="00434C97">
                      <w:pPr>
                        <w:rPr>
                          <w:rFonts w:cs="Arial"/>
                          <w:color w:val="auto"/>
                          <w:sz w:val="36"/>
                          <w:szCs w:val="36"/>
                        </w:rPr>
                      </w:pPr>
                      <w:r>
                        <w:rPr>
                          <w:rFonts w:cs="Arial"/>
                          <w:color w:val="auto"/>
                          <w:sz w:val="36"/>
                          <w:szCs w:val="36"/>
                        </w:rPr>
                        <w:t xml:space="preserve">January </w:t>
                      </w:r>
                      <w:r>
                        <w:rPr>
                          <w:rFonts w:cs="Arial"/>
                          <w:color w:val="auto"/>
                          <w:sz w:val="36"/>
                          <w:szCs w:val="36"/>
                        </w:rPr>
                        <w:t>2020</w:t>
                      </w:r>
                      <w:bookmarkStart w:id="1" w:name="_GoBack"/>
                      <w:bookmarkEnd w:id="1"/>
                    </w:p>
                  </w:txbxContent>
                </v:textbox>
                <w10:anchorlock/>
              </v:shape>
            </w:pict>
          </mc:Fallback>
        </mc:AlternateContent>
      </w:r>
    </w:p>
    <w:p w14:paraId="3DB407FD" w14:textId="09E53F11" w:rsidR="00434C97" w:rsidRPr="00BC53B2" w:rsidRDefault="00434C97" w:rsidP="00BC53B2">
      <w:pPr>
        <w:tabs>
          <w:tab w:val="left" w:pos="7183"/>
        </w:tabs>
        <w:sectPr w:rsidR="00434C97" w:rsidRPr="00BC53B2" w:rsidSect="005E74E6">
          <w:headerReference w:type="even" r:id="rId8"/>
          <w:headerReference w:type="default" r:id="rId9"/>
          <w:footerReference w:type="even" r:id="rId10"/>
          <w:headerReference w:type="first" r:id="rId11"/>
          <w:footerReference w:type="first" r:id="rId12"/>
          <w:pgSz w:w="11900" w:h="16840" w:code="199"/>
          <w:pgMar w:top="1440" w:right="1080" w:bottom="1440" w:left="1080" w:header="708" w:footer="708" w:gutter="0"/>
          <w:cols w:space="708"/>
          <w:docGrid w:linePitch="360"/>
        </w:sectPr>
      </w:pPr>
    </w:p>
    <w:p w14:paraId="0A352283" w14:textId="77777777" w:rsidR="003F0A96" w:rsidRDefault="003F0A96">
      <w:pPr>
        <w:spacing w:after="0" w:line="240" w:lineRule="auto"/>
        <w:rPr>
          <w:i/>
        </w:rPr>
      </w:pPr>
    </w:p>
    <w:p w14:paraId="5BE24C01" w14:textId="77777777" w:rsidR="008F0269" w:rsidRDefault="008F0269" w:rsidP="004F493D">
      <w:pPr>
        <w:jc w:val="center"/>
      </w:pPr>
    </w:p>
    <w:sdt>
      <w:sdtPr>
        <w:rPr>
          <w:rFonts w:eastAsiaTheme="minorEastAsia" w:cstheme="minorBidi"/>
          <w:bCs w:val="0"/>
          <w:color w:val="595959" w:themeColor="text1" w:themeTint="A6"/>
          <w:sz w:val="22"/>
          <w:szCs w:val="24"/>
          <w:lang w:val="en-AU"/>
        </w:rPr>
        <w:id w:val="1666823457"/>
        <w:docPartObj>
          <w:docPartGallery w:val="Table of Contents"/>
          <w:docPartUnique/>
        </w:docPartObj>
      </w:sdtPr>
      <w:sdtEndPr>
        <w:rPr>
          <w:b/>
          <w:noProof/>
        </w:rPr>
      </w:sdtEndPr>
      <w:sdtContent>
        <w:p w14:paraId="138AB12F" w14:textId="77777777" w:rsidR="00FE1086" w:rsidRDefault="00FE1086">
          <w:pPr>
            <w:pStyle w:val="TOCHeading"/>
          </w:pPr>
          <w:r>
            <w:t>Contents</w:t>
          </w:r>
        </w:p>
        <w:p w14:paraId="4CB0C166" w14:textId="0CC14DC5" w:rsidR="00C52843" w:rsidRDefault="00FE1086">
          <w:pPr>
            <w:pStyle w:val="TOC1"/>
            <w:tabs>
              <w:tab w:val="left" w:pos="440"/>
              <w:tab w:val="right" w:leader="dot" w:pos="9736"/>
            </w:tabs>
            <w:rPr>
              <w:rFonts w:asciiTheme="minorHAnsi" w:hAnsiTheme="minorHAnsi"/>
              <w:noProof/>
              <w:color w:val="auto"/>
              <w:szCs w:val="22"/>
              <w:lang w:eastAsia="en-AU"/>
            </w:rPr>
          </w:pPr>
          <w:r>
            <w:rPr>
              <w:b/>
              <w:bCs/>
              <w:noProof/>
            </w:rPr>
            <w:fldChar w:fldCharType="begin"/>
          </w:r>
          <w:r>
            <w:rPr>
              <w:b/>
              <w:bCs/>
              <w:noProof/>
            </w:rPr>
            <w:instrText xml:space="preserve"> TOC \o "1-3" \h \z \u </w:instrText>
          </w:r>
          <w:r>
            <w:rPr>
              <w:b/>
              <w:bCs/>
              <w:noProof/>
            </w:rPr>
            <w:fldChar w:fldCharType="separate"/>
          </w:r>
          <w:hyperlink w:anchor="_Toc38613952" w:history="1">
            <w:r w:rsidR="00C52843" w:rsidRPr="004855F9">
              <w:rPr>
                <w:rStyle w:val="Hyperlink"/>
                <w:noProof/>
              </w:rPr>
              <w:t>1.</w:t>
            </w:r>
            <w:r w:rsidR="00C52843">
              <w:rPr>
                <w:rFonts w:asciiTheme="minorHAnsi" w:hAnsiTheme="minorHAnsi"/>
                <w:noProof/>
                <w:color w:val="auto"/>
                <w:szCs w:val="22"/>
                <w:lang w:eastAsia="en-AU"/>
              </w:rPr>
              <w:tab/>
            </w:r>
            <w:r w:rsidR="00C52843" w:rsidRPr="004855F9">
              <w:rPr>
                <w:rStyle w:val="Hyperlink"/>
                <w:noProof/>
              </w:rPr>
              <w:t>Glossary of terms &amp; acronyms</w:t>
            </w:r>
            <w:r w:rsidR="00C52843">
              <w:rPr>
                <w:noProof/>
                <w:webHidden/>
              </w:rPr>
              <w:tab/>
            </w:r>
            <w:r w:rsidR="00C52843">
              <w:rPr>
                <w:noProof/>
                <w:webHidden/>
              </w:rPr>
              <w:fldChar w:fldCharType="begin"/>
            </w:r>
            <w:r w:rsidR="00C52843">
              <w:rPr>
                <w:noProof/>
                <w:webHidden/>
              </w:rPr>
              <w:instrText xml:space="preserve"> PAGEREF _Toc38613952 \h </w:instrText>
            </w:r>
            <w:r w:rsidR="00C52843">
              <w:rPr>
                <w:noProof/>
                <w:webHidden/>
              </w:rPr>
            </w:r>
            <w:r w:rsidR="00C52843">
              <w:rPr>
                <w:noProof/>
                <w:webHidden/>
              </w:rPr>
              <w:fldChar w:fldCharType="separate"/>
            </w:r>
            <w:r w:rsidR="00C16C15">
              <w:rPr>
                <w:noProof/>
                <w:webHidden/>
              </w:rPr>
              <w:t>3</w:t>
            </w:r>
            <w:r w:rsidR="00C52843">
              <w:rPr>
                <w:noProof/>
                <w:webHidden/>
              </w:rPr>
              <w:fldChar w:fldCharType="end"/>
            </w:r>
          </w:hyperlink>
        </w:p>
        <w:p w14:paraId="33F84A62" w14:textId="12A60A04"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53" w:history="1">
            <w:r w:rsidR="00C52843" w:rsidRPr="004855F9">
              <w:rPr>
                <w:rStyle w:val="Hyperlink"/>
                <w:noProof/>
              </w:rPr>
              <w:t>2.</w:t>
            </w:r>
            <w:r w:rsidR="00C52843">
              <w:rPr>
                <w:rFonts w:asciiTheme="minorHAnsi" w:hAnsiTheme="minorHAnsi"/>
                <w:noProof/>
                <w:color w:val="auto"/>
                <w:szCs w:val="22"/>
                <w:lang w:eastAsia="en-AU"/>
              </w:rPr>
              <w:tab/>
            </w:r>
            <w:r w:rsidR="00C52843" w:rsidRPr="004855F9">
              <w:rPr>
                <w:rStyle w:val="Hyperlink"/>
                <w:noProof/>
              </w:rPr>
              <w:t>Executive summary</w:t>
            </w:r>
            <w:r w:rsidR="00C52843">
              <w:rPr>
                <w:noProof/>
                <w:webHidden/>
              </w:rPr>
              <w:tab/>
            </w:r>
            <w:r w:rsidR="00C52843">
              <w:rPr>
                <w:noProof/>
                <w:webHidden/>
              </w:rPr>
              <w:fldChar w:fldCharType="begin"/>
            </w:r>
            <w:r w:rsidR="00C52843">
              <w:rPr>
                <w:noProof/>
                <w:webHidden/>
              </w:rPr>
              <w:instrText xml:space="preserve"> PAGEREF _Toc38613953 \h </w:instrText>
            </w:r>
            <w:r w:rsidR="00C52843">
              <w:rPr>
                <w:noProof/>
                <w:webHidden/>
              </w:rPr>
            </w:r>
            <w:r w:rsidR="00C52843">
              <w:rPr>
                <w:noProof/>
                <w:webHidden/>
              </w:rPr>
              <w:fldChar w:fldCharType="separate"/>
            </w:r>
            <w:r w:rsidR="00C16C15">
              <w:rPr>
                <w:noProof/>
                <w:webHidden/>
              </w:rPr>
              <w:t>4</w:t>
            </w:r>
            <w:r w:rsidR="00C52843">
              <w:rPr>
                <w:noProof/>
                <w:webHidden/>
              </w:rPr>
              <w:fldChar w:fldCharType="end"/>
            </w:r>
          </w:hyperlink>
        </w:p>
        <w:p w14:paraId="574A73C2" w14:textId="18494F6B"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54" w:history="1">
            <w:r w:rsidR="00C52843" w:rsidRPr="004855F9">
              <w:rPr>
                <w:rStyle w:val="Hyperlink"/>
                <w:noProof/>
              </w:rPr>
              <w:t>3.</w:t>
            </w:r>
            <w:r w:rsidR="00C52843">
              <w:rPr>
                <w:rFonts w:asciiTheme="minorHAnsi" w:hAnsiTheme="minorHAnsi"/>
                <w:noProof/>
                <w:color w:val="auto"/>
                <w:szCs w:val="22"/>
                <w:lang w:eastAsia="en-AU"/>
              </w:rPr>
              <w:tab/>
            </w:r>
            <w:r w:rsidR="00C52843" w:rsidRPr="004855F9">
              <w:rPr>
                <w:rStyle w:val="Hyperlink"/>
                <w:noProof/>
              </w:rPr>
              <w:t>Project statement</w:t>
            </w:r>
            <w:r w:rsidR="00C52843">
              <w:rPr>
                <w:noProof/>
                <w:webHidden/>
              </w:rPr>
              <w:tab/>
            </w:r>
            <w:r w:rsidR="00C52843">
              <w:rPr>
                <w:noProof/>
                <w:webHidden/>
              </w:rPr>
              <w:fldChar w:fldCharType="begin"/>
            </w:r>
            <w:r w:rsidR="00C52843">
              <w:rPr>
                <w:noProof/>
                <w:webHidden/>
              </w:rPr>
              <w:instrText xml:space="preserve"> PAGEREF _Toc38613954 \h </w:instrText>
            </w:r>
            <w:r w:rsidR="00C52843">
              <w:rPr>
                <w:noProof/>
                <w:webHidden/>
              </w:rPr>
            </w:r>
            <w:r w:rsidR="00C52843">
              <w:rPr>
                <w:noProof/>
                <w:webHidden/>
              </w:rPr>
              <w:fldChar w:fldCharType="separate"/>
            </w:r>
            <w:r w:rsidR="00C16C15">
              <w:rPr>
                <w:noProof/>
                <w:webHidden/>
              </w:rPr>
              <w:t>6</w:t>
            </w:r>
            <w:r w:rsidR="00C52843">
              <w:rPr>
                <w:noProof/>
                <w:webHidden/>
              </w:rPr>
              <w:fldChar w:fldCharType="end"/>
            </w:r>
          </w:hyperlink>
        </w:p>
        <w:p w14:paraId="5E47B15E" w14:textId="5E8A6A81" w:rsidR="00C52843" w:rsidRDefault="00453B91">
          <w:pPr>
            <w:pStyle w:val="TOC2"/>
            <w:rPr>
              <w:rFonts w:asciiTheme="minorHAnsi" w:hAnsiTheme="minorHAnsi"/>
              <w:noProof/>
              <w:color w:val="auto"/>
              <w:szCs w:val="22"/>
              <w:lang w:eastAsia="en-AU"/>
            </w:rPr>
          </w:pPr>
          <w:hyperlink w:anchor="_Toc38613955" w:history="1">
            <w:r w:rsidR="00C52843" w:rsidRPr="004855F9">
              <w:rPr>
                <w:rStyle w:val="Hyperlink"/>
                <w:noProof/>
              </w:rPr>
              <w:t>3.1 Background</w:t>
            </w:r>
            <w:r w:rsidR="00C52843">
              <w:rPr>
                <w:noProof/>
                <w:webHidden/>
              </w:rPr>
              <w:tab/>
            </w:r>
            <w:r w:rsidR="00C52843">
              <w:rPr>
                <w:noProof/>
                <w:webHidden/>
              </w:rPr>
              <w:fldChar w:fldCharType="begin"/>
            </w:r>
            <w:r w:rsidR="00C52843">
              <w:rPr>
                <w:noProof/>
                <w:webHidden/>
              </w:rPr>
              <w:instrText xml:space="preserve"> PAGEREF _Toc38613955 \h </w:instrText>
            </w:r>
            <w:r w:rsidR="00C52843">
              <w:rPr>
                <w:noProof/>
                <w:webHidden/>
              </w:rPr>
            </w:r>
            <w:r w:rsidR="00C52843">
              <w:rPr>
                <w:noProof/>
                <w:webHidden/>
              </w:rPr>
              <w:fldChar w:fldCharType="separate"/>
            </w:r>
            <w:r w:rsidR="00C16C15">
              <w:rPr>
                <w:noProof/>
                <w:webHidden/>
              </w:rPr>
              <w:t>6</w:t>
            </w:r>
            <w:r w:rsidR="00C52843">
              <w:rPr>
                <w:noProof/>
                <w:webHidden/>
              </w:rPr>
              <w:fldChar w:fldCharType="end"/>
            </w:r>
          </w:hyperlink>
        </w:p>
        <w:p w14:paraId="7F6C3F75" w14:textId="41A96C60"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56" w:history="1">
            <w:r w:rsidR="00C52843" w:rsidRPr="004855F9">
              <w:rPr>
                <w:rStyle w:val="Hyperlink"/>
                <w:noProof/>
              </w:rPr>
              <w:t>4.</w:t>
            </w:r>
            <w:r w:rsidR="00C52843">
              <w:rPr>
                <w:rFonts w:asciiTheme="minorHAnsi" w:hAnsiTheme="minorHAnsi"/>
                <w:noProof/>
                <w:color w:val="auto"/>
                <w:szCs w:val="22"/>
                <w:lang w:eastAsia="en-AU"/>
              </w:rPr>
              <w:tab/>
            </w:r>
            <w:r w:rsidR="00C52843" w:rsidRPr="004855F9">
              <w:rPr>
                <w:rStyle w:val="Hyperlink"/>
                <w:noProof/>
              </w:rPr>
              <w:t>Scope</w:t>
            </w:r>
            <w:r w:rsidR="00C52843">
              <w:rPr>
                <w:noProof/>
                <w:webHidden/>
              </w:rPr>
              <w:tab/>
            </w:r>
            <w:r w:rsidR="00C52843">
              <w:rPr>
                <w:noProof/>
                <w:webHidden/>
              </w:rPr>
              <w:fldChar w:fldCharType="begin"/>
            </w:r>
            <w:r w:rsidR="00C52843">
              <w:rPr>
                <w:noProof/>
                <w:webHidden/>
              </w:rPr>
              <w:instrText xml:space="preserve"> PAGEREF _Toc38613956 \h </w:instrText>
            </w:r>
            <w:r w:rsidR="00C52843">
              <w:rPr>
                <w:noProof/>
                <w:webHidden/>
              </w:rPr>
            </w:r>
            <w:r w:rsidR="00C52843">
              <w:rPr>
                <w:noProof/>
                <w:webHidden/>
              </w:rPr>
              <w:fldChar w:fldCharType="separate"/>
            </w:r>
            <w:r w:rsidR="00C16C15">
              <w:rPr>
                <w:noProof/>
                <w:webHidden/>
              </w:rPr>
              <w:t>7</w:t>
            </w:r>
            <w:r w:rsidR="00C52843">
              <w:rPr>
                <w:noProof/>
                <w:webHidden/>
              </w:rPr>
              <w:fldChar w:fldCharType="end"/>
            </w:r>
          </w:hyperlink>
        </w:p>
        <w:p w14:paraId="76CB6350" w14:textId="36ED4830" w:rsidR="00C52843" w:rsidRDefault="00453B91">
          <w:pPr>
            <w:pStyle w:val="TOC2"/>
            <w:rPr>
              <w:rFonts w:asciiTheme="minorHAnsi" w:hAnsiTheme="minorHAnsi"/>
              <w:noProof/>
              <w:color w:val="auto"/>
              <w:szCs w:val="22"/>
              <w:lang w:eastAsia="en-AU"/>
            </w:rPr>
          </w:pPr>
          <w:hyperlink w:anchor="_Toc38613957" w:history="1">
            <w:r w:rsidR="00C52843" w:rsidRPr="004855F9">
              <w:rPr>
                <w:rStyle w:val="Hyperlink"/>
                <w:noProof/>
              </w:rPr>
              <w:t>4.1 Purpose</w:t>
            </w:r>
            <w:r w:rsidR="00C52843">
              <w:rPr>
                <w:noProof/>
                <w:webHidden/>
              </w:rPr>
              <w:tab/>
            </w:r>
            <w:r w:rsidR="00C52843">
              <w:rPr>
                <w:noProof/>
                <w:webHidden/>
              </w:rPr>
              <w:fldChar w:fldCharType="begin"/>
            </w:r>
            <w:r w:rsidR="00C52843">
              <w:rPr>
                <w:noProof/>
                <w:webHidden/>
              </w:rPr>
              <w:instrText xml:space="preserve"> PAGEREF _Toc38613957 \h </w:instrText>
            </w:r>
            <w:r w:rsidR="00C52843">
              <w:rPr>
                <w:noProof/>
                <w:webHidden/>
              </w:rPr>
            </w:r>
            <w:r w:rsidR="00C52843">
              <w:rPr>
                <w:noProof/>
                <w:webHidden/>
              </w:rPr>
              <w:fldChar w:fldCharType="separate"/>
            </w:r>
            <w:r w:rsidR="00C16C15">
              <w:rPr>
                <w:noProof/>
                <w:webHidden/>
              </w:rPr>
              <w:t>7</w:t>
            </w:r>
            <w:r w:rsidR="00C52843">
              <w:rPr>
                <w:noProof/>
                <w:webHidden/>
              </w:rPr>
              <w:fldChar w:fldCharType="end"/>
            </w:r>
          </w:hyperlink>
        </w:p>
        <w:p w14:paraId="73ADDEFB" w14:textId="6DF06512" w:rsidR="00C52843" w:rsidRDefault="00453B91">
          <w:pPr>
            <w:pStyle w:val="TOC2"/>
            <w:rPr>
              <w:rFonts w:asciiTheme="minorHAnsi" w:hAnsiTheme="minorHAnsi"/>
              <w:noProof/>
              <w:color w:val="auto"/>
              <w:szCs w:val="22"/>
              <w:lang w:eastAsia="en-AU"/>
            </w:rPr>
          </w:pPr>
          <w:hyperlink w:anchor="_Toc38613958" w:history="1">
            <w:r w:rsidR="00C52843" w:rsidRPr="004855F9">
              <w:rPr>
                <w:rStyle w:val="Hyperlink"/>
                <w:noProof/>
              </w:rPr>
              <w:t>4.2 Project objectives</w:t>
            </w:r>
            <w:r w:rsidR="00C52843">
              <w:rPr>
                <w:noProof/>
                <w:webHidden/>
              </w:rPr>
              <w:tab/>
            </w:r>
            <w:r w:rsidR="00C52843">
              <w:rPr>
                <w:noProof/>
                <w:webHidden/>
              </w:rPr>
              <w:fldChar w:fldCharType="begin"/>
            </w:r>
            <w:r w:rsidR="00C52843">
              <w:rPr>
                <w:noProof/>
                <w:webHidden/>
              </w:rPr>
              <w:instrText xml:space="preserve"> PAGEREF _Toc38613958 \h </w:instrText>
            </w:r>
            <w:r w:rsidR="00C52843">
              <w:rPr>
                <w:noProof/>
                <w:webHidden/>
              </w:rPr>
            </w:r>
            <w:r w:rsidR="00C52843">
              <w:rPr>
                <w:noProof/>
                <w:webHidden/>
              </w:rPr>
              <w:fldChar w:fldCharType="separate"/>
            </w:r>
            <w:r w:rsidR="00C16C15">
              <w:rPr>
                <w:noProof/>
                <w:webHidden/>
              </w:rPr>
              <w:t>7</w:t>
            </w:r>
            <w:r w:rsidR="00C52843">
              <w:rPr>
                <w:noProof/>
                <w:webHidden/>
              </w:rPr>
              <w:fldChar w:fldCharType="end"/>
            </w:r>
          </w:hyperlink>
        </w:p>
        <w:p w14:paraId="70504B2D" w14:textId="69FB5464" w:rsidR="00C52843" w:rsidRDefault="00453B91">
          <w:pPr>
            <w:pStyle w:val="TOC2"/>
            <w:rPr>
              <w:rFonts w:asciiTheme="minorHAnsi" w:hAnsiTheme="minorHAnsi"/>
              <w:noProof/>
              <w:color w:val="auto"/>
              <w:szCs w:val="22"/>
              <w:lang w:eastAsia="en-AU"/>
            </w:rPr>
          </w:pPr>
          <w:hyperlink w:anchor="_Toc38613959" w:history="1">
            <w:r w:rsidR="00C52843" w:rsidRPr="004855F9">
              <w:rPr>
                <w:rStyle w:val="Hyperlink"/>
                <w:noProof/>
              </w:rPr>
              <w:t>4.3 Exclusions</w:t>
            </w:r>
            <w:r w:rsidR="00C52843">
              <w:rPr>
                <w:noProof/>
                <w:webHidden/>
              </w:rPr>
              <w:tab/>
            </w:r>
            <w:r w:rsidR="00C52843">
              <w:rPr>
                <w:noProof/>
                <w:webHidden/>
              </w:rPr>
              <w:fldChar w:fldCharType="begin"/>
            </w:r>
            <w:r w:rsidR="00C52843">
              <w:rPr>
                <w:noProof/>
                <w:webHidden/>
              </w:rPr>
              <w:instrText xml:space="preserve"> PAGEREF _Toc38613959 \h </w:instrText>
            </w:r>
            <w:r w:rsidR="00C52843">
              <w:rPr>
                <w:noProof/>
                <w:webHidden/>
              </w:rPr>
            </w:r>
            <w:r w:rsidR="00C52843">
              <w:rPr>
                <w:noProof/>
                <w:webHidden/>
              </w:rPr>
              <w:fldChar w:fldCharType="separate"/>
            </w:r>
            <w:r w:rsidR="00C16C15">
              <w:rPr>
                <w:noProof/>
                <w:webHidden/>
              </w:rPr>
              <w:t>7</w:t>
            </w:r>
            <w:r w:rsidR="00C52843">
              <w:rPr>
                <w:noProof/>
                <w:webHidden/>
              </w:rPr>
              <w:fldChar w:fldCharType="end"/>
            </w:r>
          </w:hyperlink>
        </w:p>
        <w:p w14:paraId="5360F143" w14:textId="08F8EB02"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60" w:history="1">
            <w:r w:rsidR="00C52843" w:rsidRPr="004855F9">
              <w:rPr>
                <w:rStyle w:val="Hyperlink"/>
                <w:noProof/>
              </w:rPr>
              <w:t>5.</w:t>
            </w:r>
            <w:r w:rsidR="00C52843">
              <w:rPr>
                <w:rFonts w:asciiTheme="minorHAnsi" w:hAnsiTheme="minorHAnsi"/>
                <w:noProof/>
                <w:color w:val="auto"/>
                <w:szCs w:val="22"/>
                <w:lang w:eastAsia="en-AU"/>
              </w:rPr>
              <w:tab/>
            </w:r>
            <w:r w:rsidR="00C52843" w:rsidRPr="004855F9">
              <w:rPr>
                <w:rStyle w:val="Hyperlink"/>
                <w:noProof/>
              </w:rPr>
              <w:t>Governance</w:t>
            </w:r>
            <w:r w:rsidR="00C52843">
              <w:rPr>
                <w:noProof/>
                <w:webHidden/>
              </w:rPr>
              <w:tab/>
            </w:r>
            <w:r w:rsidR="00C52843">
              <w:rPr>
                <w:noProof/>
                <w:webHidden/>
              </w:rPr>
              <w:fldChar w:fldCharType="begin"/>
            </w:r>
            <w:r w:rsidR="00C52843">
              <w:rPr>
                <w:noProof/>
                <w:webHidden/>
              </w:rPr>
              <w:instrText xml:space="preserve"> PAGEREF _Toc38613960 \h </w:instrText>
            </w:r>
            <w:r w:rsidR="00C52843">
              <w:rPr>
                <w:noProof/>
                <w:webHidden/>
              </w:rPr>
            </w:r>
            <w:r w:rsidR="00C52843">
              <w:rPr>
                <w:noProof/>
                <w:webHidden/>
              </w:rPr>
              <w:fldChar w:fldCharType="separate"/>
            </w:r>
            <w:r w:rsidR="00C16C15">
              <w:rPr>
                <w:noProof/>
                <w:webHidden/>
              </w:rPr>
              <w:t>8</w:t>
            </w:r>
            <w:r w:rsidR="00C52843">
              <w:rPr>
                <w:noProof/>
                <w:webHidden/>
              </w:rPr>
              <w:fldChar w:fldCharType="end"/>
            </w:r>
          </w:hyperlink>
        </w:p>
        <w:p w14:paraId="4914712E" w14:textId="01F108C0" w:rsidR="00C52843" w:rsidRDefault="00453B91">
          <w:pPr>
            <w:pStyle w:val="TOC2"/>
            <w:rPr>
              <w:rFonts w:asciiTheme="minorHAnsi" w:hAnsiTheme="minorHAnsi"/>
              <w:noProof/>
              <w:color w:val="auto"/>
              <w:szCs w:val="22"/>
              <w:lang w:eastAsia="en-AU"/>
            </w:rPr>
          </w:pPr>
          <w:hyperlink w:anchor="_Toc38613961" w:history="1">
            <w:r w:rsidR="00C52843" w:rsidRPr="004855F9">
              <w:rPr>
                <w:rStyle w:val="Hyperlink"/>
                <w:noProof/>
              </w:rPr>
              <w:t>5.1 Steering Committee</w:t>
            </w:r>
            <w:r w:rsidR="00C52843">
              <w:rPr>
                <w:noProof/>
                <w:webHidden/>
              </w:rPr>
              <w:tab/>
            </w:r>
            <w:r w:rsidR="00C52843">
              <w:rPr>
                <w:noProof/>
                <w:webHidden/>
              </w:rPr>
              <w:fldChar w:fldCharType="begin"/>
            </w:r>
            <w:r w:rsidR="00C52843">
              <w:rPr>
                <w:noProof/>
                <w:webHidden/>
              </w:rPr>
              <w:instrText xml:space="preserve"> PAGEREF _Toc38613961 \h </w:instrText>
            </w:r>
            <w:r w:rsidR="00C52843">
              <w:rPr>
                <w:noProof/>
                <w:webHidden/>
              </w:rPr>
            </w:r>
            <w:r w:rsidR="00C52843">
              <w:rPr>
                <w:noProof/>
                <w:webHidden/>
              </w:rPr>
              <w:fldChar w:fldCharType="separate"/>
            </w:r>
            <w:r w:rsidR="00C16C15">
              <w:rPr>
                <w:noProof/>
                <w:webHidden/>
              </w:rPr>
              <w:t>8</w:t>
            </w:r>
            <w:r w:rsidR="00C52843">
              <w:rPr>
                <w:noProof/>
                <w:webHidden/>
              </w:rPr>
              <w:fldChar w:fldCharType="end"/>
            </w:r>
          </w:hyperlink>
        </w:p>
        <w:p w14:paraId="3046C362" w14:textId="100D793A" w:rsidR="00C52843" w:rsidRDefault="00453B91">
          <w:pPr>
            <w:pStyle w:val="TOC2"/>
            <w:rPr>
              <w:rFonts w:asciiTheme="minorHAnsi" w:hAnsiTheme="minorHAnsi"/>
              <w:noProof/>
              <w:color w:val="auto"/>
              <w:szCs w:val="22"/>
              <w:lang w:eastAsia="en-AU"/>
            </w:rPr>
          </w:pPr>
          <w:hyperlink w:anchor="_Toc38613962" w:history="1">
            <w:r w:rsidR="00C52843" w:rsidRPr="004855F9">
              <w:rPr>
                <w:rStyle w:val="Hyperlink"/>
                <w:noProof/>
              </w:rPr>
              <w:t>5.2 Pathology Expert Group</w:t>
            </w:r>
            <w:r w:rsidR="00C52843">
              <w:rPr>
                <w:noProof/>
                <w:webHidden/>
              </w:rPr>
              <w:tab/>
            </w:r>
            <w:r w:rsidR="00C52843">
              <w:rPr>
                <w:noProof/>
                <w:webHidden/>
              </w:rPr>
              <w:fldChar w:fldCharType="begin"/>
            </w:r>
            <w:r w:rsidR="00C52843">
              <w:rPr>
                <w:noProof/>
                <w:webHidden/>
              </w:rPr>
              <w:instrText xml:space="preserve"> PAGEREF _Toc38613962 \h </w:instrText>
            </w:r>
            <w:r w:rsidR="00C52843">
              <w:rPr>
                <w:noProof/>
                <w:webHidden/>
              </w:rPr>
            </w:r>
            <w:r w:rsidR="00C52843">
              <w:rPr>
                <w:noProof/>
                <w:webHidden/>
              </w:rPr>
              <w:fldChar w:fldCharType="separate"/>
            </w:r>
            <w:r w:rsidR="00C16C15">
              <w:rPr>
                <w:noProof/>
                <w:webHidden/>
              </w:rPr>
              <w:t>8</w:t>
            </w:r>
            <w:r w:rsidR="00C52843">
              <w:rPr>
                <w:noProof/>
                <w:webHidden/>
              </w:rPr>
              <w:fldChar w:fldCharType="end"/>
            </w:r>
          </w:hyperlink>
        </w:p>
        <w:p w14:paraId="25C25FFE" w14:textId="71383215" w:rsidR="00C52843" w:rsidRDefault="00453B91">
          <w:pPr>
            <w:pStyle w:val="TOC2"/>
            <w:rPr>
              <w:rFonts w:asciiTheme="minorHAnsi" w:hAnsiTheme="minorHAnsi"/>
              <w:noProof/>
              <w:color w:val="auto"/>
              <w:szCs w:val="22"/>
              <w:lang w:eastAsia="en-AU"/>
            </w:rPr>
          </w:pPr>
          <w:hyperlink w:anchor="_Toc38613963" w:history="1">
            <w:r w:rsidR="00C52843" w:rsidRPr="004855F9">
              <w:rPr>
                <w:rStyle w:val="Hyperlink"/>
                <w:noProof/>
              </w:rPr>
              <w:t>5.3 Assessment Panel</w:t>
            </w:r>
            <w:r w:rsidR="00C52843">
              <w:rPr>
                <w:noProof/>
                <w:webHidden/>
              </w:rPr>
              <w:tab/>
            </w:r>
            <w:r w:rsidR="00C52843">
              <w:rPr>
                <w:noProof/>
                <w:webHidden/>
              </w:rPr>
              <w:fldChar w:fldCharType="begin"/>
            </w:r>
            <w:r w:rsidR="00C52843">
              <w:rPr>
                <w:noProof/>
                <w:webHidden/>
              </w:rPr>
              <w:instrText xml:space="preserve"> PAGEREF _Toc38613963 \h </w:instrText>
            </w:r>
            <w:r w:rsidR="00C52843">
              <w:rPr>
                <w:noProof/>
                <w:webHidden/>
              </w:rPr>
            </w:r>
            <w:r w:rsidR="00C52843">
              <w:rPr>
                <w:noProof/>
                <w:webHidden/>
              </w:rPr>
              <w:fldChar w:fldCharType="separate"/>
            </w:r>
            <w:r w:rsidR="00C16C15">
              <w:rPr>
                <w:noProof/>
                <w:webHidden/>
              </w:rPr>
              <w:t>9</w:t>
            </w:r>
            <w:r w:rsidR="00C52843">
              <w:rPr>
                <w:noProof/>
                <w:webHidden/>
              </w:rPr>
              <w:fldChar w:fldCharType="end"/>
            </w:r>
          </w:hyperlink>
        </w:p>
        <w:p w14:paraId="2CE96180" w14:textId="04160133" w:rsidR="00C52843" w:rsidRDefault="00453B91">
          <w:pPr>
            <w:pStyle w:val="TOC2"/>
            <w:rPr>
              <w:rFonts w:asciiTheme="minorHAnsi" w:hAnsiTheme="minorHAnsi"/>
              <w:noProof/>
              <w:color w:val="auto"/>
              <w:szCs w:val="22"/>
              <w:lang w:eastAsia="en-AU"/>
            </w:rPr>
          </w:pPr>
          <w:hyperlink w:anchor="_Toc38613964" w:history="1">
            <w:r w:rsidR="00C52843" w:rsidRPr="004855F9">
              <w:rPr>
                <w:rStyle w:val="Hyperlink"/>
                <w:noProof/>
              </w:rPr>
              <w:t>5.4 Governance Structure</w:t>
            </w:r>
            <w:r w:rsidR="00C52843">
              <w:rPr>
                <w:noProof/>
                <w:webHidden/>
              </w:rPr>
              <w:tab/>
            </w:r>
            <w:r w:rsidR="00C52843">
              <w:rPr>
                <w:noProof/>
                <w:webHidden/>
              </w:rPr>
              <w:fldChar w:fldCharType="begin"/>
            </w:r>
            <w:r w:rsidR="00C52843">
              <w:rPr>
                <w:noProof/>
                <w:webHidden/>
              </w:rPr>
              <w:instrText xml:space="preserve"> PAGEREF _Toc38613964 \h </w:instrText>
            </w:r>
            <w:r w:rsidR="00C52843">
              <w:rPr>
                <w:noProof/>
                <w:webHidden/>
              </w:rPr>
            </w:r>
            <w:r w:rsidR="00C52843">
              <w:rPr>
                <w:noProof/>
                <w:webHidden/>
              </w:rPr>
              <w:fldChar w:fldCharType="separate"/>
            </w:r>
            <w:r w:rsidR="00C16C15">
              <w:rPr>
                <w:noProof/>
                <w:webHidden/>
              </w:rPr>
              <w:t>10</w:t>
            </w:r>
            <w:r w:rsidR="00C52843">
              <w:rPr>
                <w:noProof/>
                <w:webHidden/>
              </w:rPr>
              <w:fldChar w:fldCharType="end"/>
            </w:r>
          </w:hyperlink>
        </w:p>
        <w:p w14:paraId="5FAD75BC" w14:textId="2B8741E3"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67" w:history="1">
            <w:r w:rsidR="00C52843" w:rsidRPr="004855F9">
              <w:rPr>
                <w:rStyle w:val="Hyperlink"/>
                <w:noProof/>
              </w:rPr>
              <w:t>6.</w:t>
            </w:r>
            <w:r w:rsidR="00C52843">
              <w:rPr>
                <w:rFonts w:asciiTheme="minorHAnsi" w:hAnsiTheme="minorHAnsi"/>
                <w:noProof/>
                <w:color w:val="auto"/>
                <w:szCs w:val="22"/>
                <w:lang w:eastAsia="en-AU"/>
              </w:rPr>
              <w:tab/>
            </w:r>
            <w:r w:rsidR="00C52843" w:rsidRPr="004855F9">
              <w:rPr>
                <w:rStyle w:val="Hyperlink"/>
                <w:noProof/>
              </w:rPr>
              <w:t>Project Activities</w:t>
            </w:r>
            <w:r w:rsidR="00C52843">
              <w:rPr>
                <w:noProof/>
                <w:webHidden/>
              </w:rPr>
              <w:tab/>
            </w:r>
            <w:r w:rsidR="00C52843">
              <w:rPr>
                <w:noProof/>
                <w:webHidden/>
              </w:rPr>
              <w:fldChar w:fldCharType="begin"/>
            </w:r>
            <w:r w:rsidR="00C52843">
              <w:rPr>
                <w:noProof/>
                <w:webHidden/>
              </w:rPr>
              <w:instrText xml:space="preserve"> PAGEREF _Toc38613967 \h </w:instrText>
            </w:r>
            <w:r w:rsidR="00C52843">
              <w:rPr>
                <w:noProof/>
                <w:webHidden/>
              </w:rPr>
            </w:r>
            <w:r w:rsidR="00C52843">
              <w:rPr>
                <w:noProof/>
                <w:webHidden/>
              </w:rPr>
              <w:fldChar w:fldCharType="separate"/>
            </w:r>
            <w:r w:rsidR="00C16C15">
              <w:rPr>
                <w:noProof/>
                <w:webHidden/>
              </w:rPr>
              <w:t>11</w:t>
            </w:r>
            <w:r w:rsidR="00C52843">
              <w:rPr>
                <w:noProof/>
                <w:webHidden/>
              </w:rPr>
              <w:fldChar w:fldCharType="end"/>
            </w:r>
          </w:hyperlink>
        </w:p>
        <w:p w14:paraId="1C8AA82F" w14:textId="75E0A0E9" w:rsidR="00C52843" w:rsidRDefault="00453B91">
          <w:pPr>
            <w:pStyle w:val="TOC2"/>
            <w:rPr>
              <w:rFonts w:asciiTheme="minorHAnsi" w:hAnsiTheme="minorHAnsi"/>
              <w:noProof/>
              <w:color w:val="auto"/>
              <w:szCs w:val="22"/>
              <w:lang w:eastAsia="en-AU"/>
            </w:rPr>
          </w:pPr>
          <w:hyperlink w:anchor="_Toc38613968" w:history="1">
            <w:r w:rsidR="00C52843" w:rsidRPr="004855F9">
              <w:rPr>
                <w:rStyle w:val="Hyperlink"/>
                <w:noProof/>
              </w:rPr>
              <w:t>6.1 Work Activity (Phase 1 – Expressions of Interest)</w:t>
            </w:r>
            <w:r w:rsidR="00C52843">
              <w:rPr>
                <w:noProof/>
                <w:webHidden/>
              </w:rPr>
              <w:tab/>
            </w:r>
            <w:r w:rsidR="00C52843">
              <w:rPr>
                <w:noProof/>
                <w:webHidden/>
              </w:rPr>
              <w:fldChar w:fldCharType="begin"/>
            </w:r>
            <w:r w:rsidR="00C52843">
              <w:rPr>
                <w:noProof/>
                <w:webHidden/>
              </w:rPr>
              <w:instrText xml:space="preserve"> PAGEREF _Toc38613968 \h </w:instrText>
            </w:r>
            <w:r w:rsidR="00C52843">
              <w:rPr>
                <w:noProof/>
                <w:webHidden/>
              </w:rPr>
            </w:r>
            <w:r w:rsidR="00C52843">
              <w:rPr>
                <w:noProof/>
                <w:webHidden/>
              </w:rPr>
              <w:fldChar w:fldCharType="separate"/>
            </w:r>
            <w:r w:rsidR="00C16C15">
              <w:rPr>
                <w:noProof/>
                <w:webHidden/>
              </w:rPr>
              <w:t>11</w:t>
            </w:r>
            <w:r w:rsidR="00C52843">
              <w:rPr>
                <w:noProof/>
                <w:webHidden/>
              </w:rPr>
              <w:fldChar w:fldCharType="end"/>
            </w:r>
          </w:hyperlink>
        </w:p>
        <w:p w14:paraId="0E62C25B" w14:textId="5CF9EB21" w:rsidR="00C52843" w:rsidRDefault="00453B91">
          <w:pPr>
            <w:pStyle w:val="TOC2"/>
            <w:rPr>
              <w:rFonts w:asciiTheme="minorHAnsi" w:hAnsiTheme="minorHAnsi"/>
              <w:noProof/>
              <w:color w:val="auto"/>
              <w:szCs w:val="22"/>
              <w:lang w:eastAsia="en-AU"/>
            </w:rPr>
          </w:pPr>
          <w:hyperlink w:anchor="_Toc38613969" w:history="1">
            <w:r w:rsidR="00C52843" w:rsidRPr="004855F9">
              <w:rPr>
                <w:rStyle w:val="Hyperlink"/>
                <w:noProof/>
              </w:rPr>
              <w:t>6.2 Work Activity (Phase 2 – Review and Assessment)</w:t>
            </w:r>
            <w:r w:rsidR="00C52843">
              <w:rPr>
                <w:noProof/>
                <w:webHidden/>
              </w:rPr>
              <w:tab/>
            </w:r>
            <w:r w:rsidR="00C52843">
              <w:rPr>
                <w:noProof/>
                <w:webHidden/>
              </w:rPr>
              <w:fldChar w:fldCharType="begin"/>
            </w:r>
            <w:r w:rsidR="00C52843">
              <w:rPr>
                <w:noProof/>
                <w:webHidden/>
              </w:rPr>
              <w:instrText xml:space="preserve"> PAGEREF _Toc38613969 \h </w:instrText>
            </w:r>
            <w:r w:rsidR="00C52843">
              <w:rPr>
                <w:noProof/>
                <w:webHidden/>
              </w:rPr>
            </w:r>
            <w:r w:rsidR="00C52843">
              <w:rPr>
                <w:noProof/>
                <w:webHidden/>
              </w:rPr>
              <w:fldChar w:fldCharType="separate"/>
            </w:r>
            <w:r w:rsidR="00C16C15">
              <w:rPr>
                <w:noProof/>
                <w:webHidden/>
              </w:rPr>
              <w:t>12</w:t>
            </w:r>
            <w:r w:rsidR="00C52843">
              <w:rPr>
                <w:noProof/>
                <w:webHidden/>
              </w:rPr>
              <w:fldChar w:fldCharType="end"/>
            </w:r>
          </w:hyperlink>
        </w:p>
        <w:p w14:paraId="7DC6E822" w14:textId="6C7AF8D0"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70" w:history="1">
            <w:r w:rsidR="00C52843" w:rsidRPr="004855F9">
              <w:rPr>
                <w:rStyle w:val="Hyperlink"/>
                <w:noProof/>
              </w:rPr>
              <w:t>7.</w:t>
            </w:r>
            <w:r w:rsidR="00C52843">
              <w:rPr>
                <w:rFonts w:asciiTheme="minorHAnsi" w:hAnsiTheme="minorHAnsi"/>
                <w:noProof/>
                <w:color w:val="auto"/>
                <w:szCs w:val="22"/>
                <w:lang w:eastAsia="en-AU"/>
              </w:rPr>
              <w:tab/>
            </w:r>
            <w:r w:rsidR="00C52843" w:rsidRPr="004855F9">
              <w:rPr>
                <w:rStyle w:val="Hyperlink"/>
                <w:noProof/>
              </w:rPr>
              <w:t>Project Challenges</w:t>
            </w:r>
            <w:r w:rsidR="00C52843">
              <w:rPr>
                <w:noProof/>
                <w:webHidden/>
              </w:rPr>
              <w:tab/>
            </w:r>
            <w:r w:rsidR="00C52843">
              <w:rPr>
                <w:noProof/>
                <w:webHidden/>
              </w:rPr>
              <w:fldChar w:fldCharType="begin"/>
            </w:r>
            <w:r w:rsidR="00C52843">
              <w:rPr>
                <w:noProof/>
                <w:webHidden/>
              </w:rPr>
              <w:instrText xml:space="preserve"> PAGEREF _Toc38613970 \h </w:instrText>
            </w:r>
            <w:r w:rsidR="00C52843">
              <w:rPr>
                <w:noProof/>
                <w:webHidden/>
              </w:rPr>
            </w:r>
            <w:r w:rsidR="00C52843">
              <w:rPr>
                <w:noProof/>
                <w:webHidden/>
              </w:rPr>
              <w:fldChar w:fldCharType="separate"/>
            </w:r>
            <w:r w:rsidR="00C16C15">
              <w:rPr>
                <w:noProof/>
                <w:webHidden/>
              </w:rPr>
              <w:t>14</w:t>
            </w:r>
            <w:r w:rsidR="00C52843">
              <w:rPr>
                <w:noProof/>
                <w:webHidden/>
              </w:rPr>
              <w:fldChar w:fldCharType="end"/>
            </w:r>
          </w:hyperlink>
        </w:p>
        <w:p w14:paraId="52C460B4" w14:textId="06CC417D" w:rsidR="00C52843" w:rsidRDefault="00453B91">
          <w:pPr>
            <w:pStyle w:val="TOC1"/>
            <w:tabs>
              <w:tab w:val="left" w:pos="440"/>
              <w:tab w:val="right" w:leader="dot" w:pos="9736"/>
            </w:tabs>
            <w:rPr>
              <w:rFonts w:asciiTheme="minorHAnsi" w:hAnsiTheme="minorHAnsi"/>
              <w:noProof/>
              <w:color w:val="auto"/>
              <w:szCs w:val="22"/>
              <w:lang w:eastAsia="en-AU"/>
            </w:rPr>
          </w:pPr>
          <w:hyperlink w:anchor="_Toc38613971" w:history="1">
            <w:r w:rsidR="00C52843" w:rsidRPr="004855F9">
              <w:rPr>
                <w:rStyle w:val="Hyperlink"/>
                <w:noProof/>
              </w:rPr>
              <w:t>8.</w:t>
            </w:r>
            <w:r w:rsidR="00C52843">
              <w:rPr>
                <w:rFonts w:asciiTheme="minorHAnsi" w:hAnsiTheme="minorHAnsi"/>
                <w:noProof/>
                <w:color w:val="auto"/>
                <w:szCs w:val="22"/>
                <w:lang w:eastAsia="en-AU"/>
              </w:rPr>
              <w:tab/>
            </w:r>
            <w:r w:rsidR="00C52843" w:rsidRPr="004855F9">
              <w:rPr>
                <w:rStyle w:val="Hyperlink"/>
                <w:noProof/>
              </w:rPr>
              <w:t>Project Outcomes and Future Directions</w:t>
            </w:r>
            <w:r w:rsidR="00C52843">
              <w:rPr>
                <w:noProof/>
                <w:webHidden/>
              </w:rPr>
              <w:tab/>
            </w:r>
            <w:r w:rsidR="00C52843">
              <w:rPr>
                <w:noProof/>
                <w:webHidden/>
              </w:rPr>
              <w:fldChar w:fldCharType="begin"/>
            </w:r>
            <w:r w:rsidR="00C52843">
              <w:rPr>
                <w:noProof/>
                <w:webHidden/>
              </w:rPr>
              <w:instrText xml:space="preserve"> PAGEREF _Toc38613971 \h </w:instrText>
            </w:r>
            <w:r w:rsidR="00C52843">
              <w:rPr>
                <w:noProof/>
                <w:webHidden/>
              </w:rPr>
            </w:r>
            <w:r w:rsidR="00C52843">
              <w:rPr>
                <w:noProof/>
                <w:webHidden/>
              </w:rPr>
              <w:fldChar w:fldCharType="separate"/>
            </w:r>
            <w:r w:rsidR="00C16C15">
              <w:rPr>
                <w:noProof/>
                <w:webHidden/>
              </w:rPr>
              <w:t>16</w:t>
            </w:r>
            <w:r w:rsidR="00C52843">
              <w:rPr>
                <w:noProof/>
                <w:webHidden/>
              </w:rPr>
              <w:fldChar w:fldCharType="end"/>
            </w:r>
          </w:hyperlink>
        </w:p>
        <w:p w14:paraId="5D4DB73E" w14:textId="7313765D" w:rsidR="00FE1086" w:rsidRDefault="00FE1086">
          <w:r>
            <w:rPr>
              <w:b/>
              <w:bCs/>
              <w:noProof/>
            </w:rPr>
            <w:fldChar w:fldCharType="end"/>
          </w:r>
        </w:p>
      </w:sdtContent>
    </w:sdt>
    <w:p w14:paraId="097BA3DD" w14:textId="77777777" w:rsidR="004F493D" w:rsidRDefault="004F493D">
      <w:pPr>
        <w:spacing w:after="0" w:line="240" w:lineRule="auto"/>
      </w:pPr>
      <w:r>
        <w:br w:type="page"/>
      </w:r>
    </w:p>
    <w:p w14:paraId="6749FCB2" w14:textId="77777777" w:rsidR="00F436F5" w:rsidRPr="00645CAF" w:rsidRDefault="00F436F5" w:rsidP="00CF2317">
      <w:pPr>
        <w:pStyle w:val="Heading1"/>
        <w:numPr>
          <w:ilvl w:val="0"/>
          <w:numId w:val="2"/>
        </w:numPr>
        <w:ind w:left="0" w:firstLine="0"/>
      </w:pPr>
      <w:bookmarkStart w:id="0" w:name="_Toc38613952"/>
      <w:r w:rsidRPr="00645CAF">
        <w:lastRenderedPageBreak/>
        <w:t>Glossary of terms &amp; acronyms</w:t>
      </w:r>
      <w:bookmarkEnd w:id="0"/>
    </w:p>
    <w:p w14:paraId="1C702756" w14:textId="77777777" w:rsidR="008F0269" w:rsidRDefault="008F0269" w:rsidP="0021570E"/>
    <w:tbl>
      <w:tblPr>
        <w:tblStyle w:val="MediumShading1-Accent2"/>
        <w:tblW w:w="0" w:type="auto"/>
        <w:tblLook w:val="04A0" w:firstRow="1" w:lastRow="0" w:firstColumn="1" w:lastColumn="0" w:noHBand="0" w:noVBand="1"/>
        <w:tblCaption w:val="Glossary of terms table"/>
        <w:tblDescription w:val="Lists the acronyms, full name for terms used in the document"/>
      </w:tblPr>
      <w:tblGrid>
        <w:gridCol w:w="2348"/>
        <w:gridCol w:w="7378"/>
      </w:tblGrid>
      <w:tr w:rsidR="008F0269" w:rsidRPr="00D93CF5" w14:paraId="5404787D" w14:textId="77777777" w:rsidTr="001444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8" w:type="dxa"/>
          </w:tcPr>
          <w:p w14:paraId="15A1CC96" w14:textId="77777777" w:rsidR="008F0269" w:rsidRPr="00DC6A80" w:rsidRDefault="008F0269" w:rsidP="00DC6A80">
            <w:pPr>
              <w:rPr>
                <w:b w:val="0"/>
                <w:color w:val="FFFFFF" w:themeColor="background1"/>
              </w:rPr>
            </w:pPr>
            <w:r w:rsidRPr="00DC6A80">
              <w:rPr>
                <w:b w:val="0"/>
                <w:color w:val="FFFFFF" w:themeColor="background1"/>
              </w:rPr>
              <w:t>A</w:t>
            </w:r>
            <w:r w:rsidR="00DC6A80" w:rsidRPr="00DC6A80">
              <w:rPr>
                <w:b w:val="0"/>
                <w:color w:val="FFFFFF" w:themeColor="background1"/>
              </w:rPr>
              <w:t>cronym</w:t>
            </w:r>
          </w:p>
        </w:tc>
        <w:tc>
          <w:tcPr>
            <w:tcW w:w="7378" w:type="dxa"/>
          </w:tcPr>
          <w:p w14:paraId="7B324EC3" w14:textId="77777777" w:rsidR="008F0269" w:rsidRPr="00DC6A80" w:rsidRDefault="008F0269" w:rsidP="00DC6A80">
            <w:pP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DC6A80">
              <w:rPr>
                <w:b w:val="0"/>
                <w:color w:val="FFFFFF" w:themeColor="background1"/>
              </w:rPr>
              <w:t>D</w:t>
            </w:r>
            <w:r w:rsidR="00DC6A80" w:rsidRPr="00DC6A80">
              <w:rPr>
                <w:b w:val="0"/>
                <w:color w:val="FFFFFF" w:themeColor="background1"/>
              </w:rPr>
              <w:t>etail</w:t>
            </w:r>
          </w:p>
        </w:tc>
      </w:tr>
      <w:tr w:rsidR="004B183F" w:rsidRPr="00D93CF5" w14:paraId="6FE82590" w14:textId="77777777" w:rsidTr="0014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4A8F31BF" w14:textId="77777777" w:rsidR="004B183F" w:rsidRPr="00D93CF5" w:rsidRDefault="0014442C" w:rsidP="001B3936">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A</w:t>
            </w:r>
            <w:r w:rsidR="008D080C">
              <w:rPr>
                <w:rFonts w:asciiTheme="majorHAnsi" w:eastAsia="Times New Roman" w:hAnsiTheme="majorHAnsi" w:cs="Times New Roman"/>
                <w:szCs w:val="22"/>
                <w:lang w:val="en-GB" w:eastAsia="en-GB"/>
              </w:rPr>
              <w:t>P</w:t>
            </w:r>
          </w:p>
        </w:tc>
        <w:tc>
          <w:tcPr>
            <w:tcW w:w="7378" w:type="dxa"/>
            <w:noWrap/>
          </w:tcPr>
          <w:p w14:paraId="72743A29" w14:textId="77777777" w:rsidR="004B183F" w:rsidRPr="00D93CF5" w:rsidRDefault="0014442C" w:rsidP="001B3936">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Cs w:val="22"/>
                <w:u w:val="single"/>
                <w:lang w:val="en-GB" w:eastAsia="en-GB"/>
              </w:rPr>
            </w:pPr>
            <w:r>
              <w:rPr>
                <w:rFonts w:asciiTheme="majorHAnsi" w:eastAsia="Times New Roman" w:hAnsiTheme="majorHAnsi" w:cs="Times New Roman"/>
                <w:szCs w:val="22"/>
                <w:u w:val="single"/>
                <w:lang w:val="en-GB" w:eastAsia="en-GB"/>
              </w:rPr>
              <w:t>Australian Pathology</w:t>
            </w:r>
          </w:p>
        </w:tc>
      </w:tr>
      <w:tr w:rsidR="0014442C" w:rsidRPr="00D93CF5" w14:paraId="70E4D166" w14:textId="77777777" w:rsidTr="001444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37F5EA18" w14:textId="77777777" w:rsidR="0014442C" w:rsidRPr="00D93CF5" w:rsidRDefault="0014442C" w:rsidP="0014442C">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FELLOW</w:t>
            </w:r>
          </w:p>
        </w:tc>
        <w:tc>
          <w:tcPr>
            <w:tcW w:w="7378" w:type="dxa"/>
            <w:noWrap/>
            <w:hideMark/>
          </w:tcPr>
          <w:p w14:paraId="70225A08" w14:textId="77777777" w:rsidR="0014442C" w:rsidRPr="00D93CF5" w:rsidRDefault="0014442C" w:rsidP="0014442C">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szCs w:val="22"/>
                <w:u w:val="single"/>
                <w:lang w:val="en-GB" w:eastAsia="en-GB"/>
              </w:rPr>
            </w:pPr>
            <w:r>
              <w:rPr>
                <w:rFonts w:asciiTheme="majorHAnsi" w:eastAsia="Times New Roman" w:hAnsiTheme="majorHAnsi" w:cs="Times New Roman"/>
                <w:szCs w:val="22"/>
                <w:u w:val="single"/>
                <w:lang w:val="en-GB" w:eastAsia="en-GB"/>
              </w:rPr>
              <w:t xml:space="preserve">Member of the </w:t>
            </w:r>
            <w:r w:rsidR="00817BD8">
              <w:rPr>
                <w:rFonts w:asciiTheme="majorHAnsi" w:eastAsia="Times New Roman" w:hAnsiTheme="majorHAnsi" w:cs="Times New Roman"/>
                <w:szCs w:val="22"/>
                <w:u w:val="single"/>
                <w:lang w:val="en-GB" w:eastAsia="en-GB"/>
              </w:rPr>
              <w:t>RCPA</w:t>
            </w:r>
            <w:r>
              <w:rPr>
                <w:rFonts w:asciiTheme="majorHAnsi" w:eastAsia="Times New Roman" w:hAnsiTheme="majorHAnsi" w:cs="Times New Roman"/>
                <w:szCs w:val="22"/>
                <w:u w:val="single"/>
                <w:lang w:val="en-GB" w:eastAsia="en-GB"/>
              </w:rPr>
              <w:t xml:space="preserve"> who has obtained Fellowship</w:t>
            </w:r>
          </w:p>
        </w:tc>
      </w:tr>
      <w:tr w:rsidR="000230B1" w:rsidRPr="00D93CF5" w14:paraId="20540FB1" w14:textId="77777777" w:rsidTr="0014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154236DC" w14:textId="77777777" w:rsidR="000230B1" w:rsidRDefault="000230B1" w:rsidP="0014442C">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Modules</w:t>
            </w:r>
          </w:p>
        </w:tc>
        <w:tc>
          <w:tcPr>
            <w:tcW w:w="7378" w:type="dxa"/>
            <w:noWrap/>
          </w:tcPr>
          <w:p w14:paraId="283F52B1" w14:textId="77777777" w:rsidR="000230B1" w:rsidRDefault="000230B1" w:rsidP="0014442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Cs w:val="22"/>
                <w:u w:val="single"/>
                <w:lang w:val="en-GB" w:eastAsia="en-GB"/>
              </w:rPr>
            </w:pPr>
            <w:r>
              <w:rPr>
                <w:rFonts w:asciiTheme="majorHAnsi" w:eastAsia="Times New Roman" w:hAnsiTheme="majorHAnsi" w:cs="Times New Roman"/>
                <w:szCs w:val="22"/>
                <w:u w:val="single"/>
                <w:lang w:val="en-GB" w:eastAsia="en-GB"/>
              </w:rPr>
              <w:t>RCPA Extension of Scope of Practice in Molecular Genetics (NPAAC Supervision Certification Modules)</w:t>
            </w:r>
          </w:p>
        </w:tc>
      </w:tr>
      <w:tr w:rsidR="0014442C" w:rsidRPr="00D93CF5" w14:paraId="182F96BB" w14:textId="77777777" w:rsidTr="001444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hideMark/>
          </w:tcPr>
          <w:p w14:paraId="53EAC667" w14:textId="77777777" w:rsidR="0014442C" w:rsidRPr="00D93CF5" w:rsidRDefault="0014442C" w:rsidP="0014442C">
            <w:pPr>
              <w:rPr>
                <w:rFonts w:asciiTheme="majorHAnsi" w:eastAsia="Times New Roman" w:hAnsiTheme="majorHAnsi" w:cs="Times New Roman"/>
                <w:szCs w:val="22"/>
                <w:lang w:val="en-GB" w:eastAsia="en-GB"/>
              </w:rPr>
            </w:pPr>
            <w:r w:rsidRPr="00D93CF5">
              <w:rPr>
                <w:rFonts w:asciiTheme="majorHAnsi" w:eastAsia="Times New Roman" w:hAnsiTheme="majorHAnsi" w:cs="Times New Roman"/>
                <w:szCs w:val="22"/>
                <w:lang w:val="en-GB" w:eastAsia="en-GB"/>
              </w:rPr>
              <w:t>NATA</w:t>
            </w:r>
          </w:p>
        </w:tc>
        <w:tc>
          <w:tcPr>
            <w:tcW w:w="7378" w:type="dxa"/>
            <w:noWrap/>
            <w:hideMark/>
          </w:tcPr>
          <w:p w14:paraId="70CA33BC" w14:textId="77777777" w:rsidR="0014442C" w:rsidRPr="00D93CF5" w:rsidRDefault="00453B91" w:rsidP="0014442C">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szCs w:val="22"/>
                <w:u w:val="single"/>
                <w:lang w:val="en-GB" w:eastAsia="en-GB"/>
              </w:rPr>
            </w:pPr>
            <w:hyperlink r:id="rId13" w:history="1">
              <w:r w:rsidR="0014442C" w:rsidRPr="00D93CF5">
                <w:rPr>
                  <w:rFonts w:asciiTheme="majorHAnsi" w:eastAsia="Times New Roman" w:hAnsiTheme="majorHAnsi" w:cs="Times New Roman"/>
                  <w:szCs w:val="22"/>
                  <w:u w:val="single"/>
                  <w:lang w:val="en-GB" w:eastAsia="en-GB"/>
                </w:rPr>
                <w:t>National Association of Testing Authorities, Australia</w:t>
              </w:r>
            </w:hyperlink>
          </w:p>
        </w:tc>
      </w:tr>
      <w:tr w:rsidR="0014442C" w:rsidRPr="00D93CF5" w14:paraId="01A5D948" w14:textId="77777777" w:rsidTr="0014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74B638E8" w14:textId="77777777" w:rsidR="0014442C" w:rsidRPr="00D93CF5" w:rsidRDefault="0014442C" w:rsidP="0014442C">
            <w:pPr>
              <w:rPr>
                <w:rFonts w:asciiTheme="majorHAnsi" w:eastAsia="Times New Roman" w:hAnsiTheme="majorHAnsi" w:cs="Times New Roman"/>
                <w:szCs w:val="22"/>
                <w:lang w:val="en-GB" w:eastAsia="en-GB"/>
              </w:rPr>
            </w:pPr>
            <w:r w:rsidRPr="00D93CF5">
              <w:rPr>
                <w:rFonts w:asciiTheme="majorHAnsi" w:eastAsia="Times New Roman" w:hAnsiTheme="majorHAnsi" w:cs="Times New Roman"/>
                <w:szCs w:val="22"/>
                <w:lang w:val="en-GB" w:eastAsia="en-GB"/>
              </w:rPr>
              <w:t>NPAAC</w:t>
            </w:r>
          </w:p>
        </w:tc>
        <w:tc>
          <w:tcPr>
            <w:tcW w:w="7378" w:type="dxa"/>
            <w:noWrap/>
          </w:tcPr>
          <w:p w14:paraId="0DB2063C" w14:textId="77777777" w:rsidR="0014442C" w:rsidRPr="00D93CF5" w:rsidRDefault="00453B91" w:rsidP="0014442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Cs w:val="22"/>
                <w:u w:val="single"/>
                <w:lang w:val="en-GB" w:eastAsia="en-GB"/>
              </w:rPr>
            </w:pPr>
            <w:hyperlink r:id="rId14" w:history="1">
              <w:r w:rsidR="0014442C" w:rsidRPr="00D93CF5">
                <w:rPr>
                  <w:rFonts w:asciiTheme="majorHAnsi" w:eastAsia="Times New Roman" w:hAnsiTheme="majorHAnsi" w:cs="Times New Roman"/>
                  <w:szCs w:val="22"/>
                  <w:u w:val="single"/>
                  <w:lang w:val="en-GB" w:eastAsia="en-GB"/>
                </w:rPr>
                <w:t>National Pathology Accreditation Advisory Council, Australia</w:t>
              </w:r>
            </w:hyperlink>
          </w:p>
        </w:tc>
      </w:tr>
      <w:tr w:rsidR="00FB0B3C" w:rsidRPr="00D93CF5" w14:paraId="3BB24336" w14:textId="77777777" w:rsidTr="001444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528D5C72" w14:textId="77777777" w:rsidR="00FB0B3C" w:rsidRPr="00D93CF5" w:rsidRDefault="00FB0B3C" w:rsidP="00FB0B3C">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PPA</w:t>
            </w:r>
          </w:p>
        </w:tc>
        <w:tc>
          <w:tcPr>
            <w:tcW w:w="7378" w:type="dxa"/>
            <w:noWrap/>
          </w:tcPr>
          <w:p w14:paraId="14207196" w14:textId="77777777" w:rsidR="00FB0B3C" w:rsidRPr="00D93CF5" w:rsidRDefault="00453B91" w:rsidP="00FB0B3C">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szCs w:val="22"/>
                <w:u w:val="single"/>
                <w:lang w:val="en-GB" w:eastAsia="en-GB"/>
              </w:rPr>
            </w:pPr>
            <w:hyperlink r:id="rId15" w:history="1">
              <w:r w:rsidR="00FB0B3C">
                <w:rPr>
                  <w:rFonts w:asciiTheme="majorHAnsi" w:eastAsia="Times New Roman" w:hAnsiTheme="majorHAnsi" w:cs="Times New Roman"/>
                  <w:szCs w:val="22"/>
                  <w:u w:val="single"/>
                  <w:lang w:val="en-GB" w:eastAsia="en-GB"/>
                </w:rPr>
                <w:t>Public</w:t>
              </w:r>
              <w:r w:rsidR="00FB0B3C" w:rsidRPr="00D93CF5">
                <w:rPr>
                  <w:rFonts w:asciiTheme="majorHAnsi" w:eastAsia="Times New Roman" w:hAnsiTheme="majorHAnsi" w:cs="Times New Roman"/>
                  <w:szCs w:val="22"/>
                  <w:u w:val="single"/>
                  <w:lang w:val="en-GB" w:eastAsia="en-GB"/>
                </w:rPr>
                <w:t xml:space="preserve"> </w:t>
              </w:r>
              <w:r w:rsidR="00FB0B3C">
                <w:rPr>
                  <w:rFonts w:asciiTheme="majorHAnsi" w:eastAsia="Times New Roman" w:hAnsiTheme="majorHAnsi" w:cs="Times New Roman"/>
                  <w:szCs w:val="22"/>
                  <w:u w:val="single"/>
                  <w:lang w:val="en-GB" w:eastAsia="en-GB"/>
                </w:rPr>
                <w:t xml:space="preserve">Pathology </w:t>
              </w:r>
              <w:r w:rsidR="00FB0B3C" w:rsidRPr="00D93CF5">
                <w:rPr>
                  <w:rFonts w:asciiTheme="majorHAnsi" w:eastAsia="Times New Roman" w:hAnsiTheme="majorHAnsi" w:cs="Times New Roman"/>
                  <w:szCs w:val="22"/>
                  <w:u w:val="single"/>
                  <w:lang w:val="en-GB" w:eastAsia="en-GB"/>
                </w:rPr>
                <w:t>Australia</w:t>
              </w:r>
            </w:hyperlink>
          </w:p>
        </w:tc>
      </w:tr>
      <w:tr w:rsidR="00FB0B3C" w:rsidRPr="00D93CF5" w14:paraId="63EC98BF" w14:textId="77777777" w:rsidTr="0014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40C93F8A" w14:textId="77777777" w:rsidR="00FB0B3C" w:rsidRPr="00D93CF5" w:rsidRDefault="00FB0B3C" w:rsidP="00FB0B3C">
            <w:pPr>
              <w:rPr>
                <w:rFonts w:asciiTheme="majorHAnsi" w:eastAsia="Times New Roman" w:hAnsiTheme="majorHAnsi" w:cs="Times New Roman"/>
                <w:szCs w:val="22"/>
                <w:lang w:val="en-GB" w:eastAsia="en-GB"/>
              </w:rPr>
            </w:pPr>
            <w:r w:rsidRPr="00D93CF5">
              <w:rPr>
                <w:rFonts w:asciiTheme="majorHAnsi" w:eastAsia="Times New Roman" w:hAnsiTheme="majorHAnsi" w:cs="Times New Roman"/>
                <w:szCs w:val="22"/>
                <w:lang w:val="en-GB" w:eastAsia="en-GB"/>
              </w:rPr>
              <w:t>RCPA</w:t>
            </w:r>
          </w:p>
        </w:tc>
        <w:tc>
          <w:tcPr>
            <w:tcW w:w="7378" w:type="dxa"/>
            <w:noWrap/>
          </w:tcPr>
          <w:p w14:paraId="03977192" w14:textId="77777777" w:rsidR="00FB0B3C" w:rsidRPr="00D93CF5" w:rsidRDefault="00453B91" w:rsidP="00FB0B3C">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Cs w:val="22"/>
                <w:u w:val="single"/>
                <w:lang w:val="en-GB" w:eastAsia="en-GB"/>
              </w:rPr>
            </w:pPr>
            <w:hyperlink r:id="rId16" w:history="1">
              <w:r w:rsidR="00FB0B3C" w:rsidRPr="00D93CF5">
                <w:rPr>
                  <w:rFonts w:asciiTheme="majorHAnsi" w:eastAsia="Times New Roman" w:hAnsiTheme="majorHAnsi" w:cs="Times New Roman"/>
                  <w:szCs w:val="22"/>
                  <w:u w:val="single"/>
                  <w:lang w:val="en-GB" w:eastAsia="en-GB"/>
                </w:rPr>
                <w:t>Royal College of Pathologists of Australasia</w:t>
              </w:r>
            </w:hyperlink>
          </w:p>
        </w:tc>
      </w:tr>
      <w:tr w:rsidR="00FB0B3C" w:rsidRPr="00D93CF5" w14:paraId="75E6DB74" w14:textId="77777777" w:rsidTr="001444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06ACC5C3" w14:textId="77777777" w:rsidR="00FB0B3C" w:rsidRPr="00D93CF5" w:rsidRDefault="00FB0B3C" w:rsidP="00FB0B3C">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RCPAQAP</w:t>
            </w:r>
          </w:p>
        </w:tc>
        <w:tc>
          <w:tcPr>
            <w:tcW w:w="7378" w:type="dxa"/>
            <w:noWrap/>
          </w:tcPr>
          <w:p w14:paraId="2D2B6C4F" w14:textId="77777777" w:rsidR="00FB0B3C" w:rsidRPr="005142C6" w:rsidRDefault="00453B91" w:rsidP="00FB0B3C">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ajorHAnsi"/>
                <w:szCs w:val="22"/>
                <w:u w:val="single"/>
                <w:lang w:val="en-GB" w:eastAsia="en-GB"/>
              </w:rPr>
            </w:pPr>
            <w:hyperlink r:id="rId17" w:history="1">
              <w:r w:rsidR="00FB0B3C" w:rsidRPr="005142C6">
                <w:rPr>
                  <w:rFonts w:asciiTheme="majorHAnsi" w:hAnsiTheme="majorHAnsi" w:cstheme="majorHAnsi"/>
                  <w:u w:val="single"/>
                </w:rPr>
                <w:t>RCPA Quality Assurance Programs</w:t>
              </w:r>
            </w:hyperlink>
          </w:p>
        </w:tc>
      </w:tr>
      <w:tr w:rsidR="00B764AD" w:rsidRPr="00D93CF5" w14:paraId="1224434F" w14:textId="77777777" w:rsidTr="0014442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4D4C88F8" w14:textId="280CCEA8" w:rsidR="00B764AD" w:rsidRDefault="00B764AD" w:rsidP="00FB0B3C">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RPL</w:t>
            </w:r>
          </w:p>
        </w:tc>
        <w:tc>
          <w:tcPr>
            <w:tcW w:w="7378" w:type="dxa"/>
            <w:noWrap/>
          </w:tcPr>
          <w:p w14:paraId="0C2F6AE3" w14:textId="28D8B731" w:rsidR="00B764AD" w:rsidRPr="003C5834" w:rsidRDefault="00B764AD" w:rsidP="00FB0B3C">
            <w:pPr>
              <w:cnfStyle w:val="000000100000" w:firstRow="0" w:lastRow="0" w:firstColumn="0" w:lastColumn="0" w:oddVBand="0" w:evenVBand="0" w:oddHBand="1" w:evenHBand="0" w:firstRowFirstColumn="0" w:firstRowLastColumn="0" w:lastRowFirstColumn="0" w:lastRowLastColumn="0"/>
              <w:rPr>
                <w:u w:val="single"/>
              </w:rPr>
            </w:pPr>
            <w:r w:rsidRPr="003C5834">
              <w:rPr>
                <w:u w:val="single"/>
              </w:rPr>
              <w:t>Recognition of Prior Learning</w:t>
            </w:r>
          </w:p>
        </w:tc>
      </w:tr>
      <w:tr w:rsidR="00817BD8" w:rsidRPr="00D93CF5" w14:paraId="0A47FBCF" w14:textId="77777777" w:rsidTr="0014442C">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348" w:type="dxa"/>
            <w:noWrap/>
          </w:tcPr>
          <w:p w14:paraId="347DD94B" w14:textId="77777777" w:rsidR="00817BD8" w:rsidRPr="00D93CF5" w:rsidRDefault="00817BD8" w:rsidP="00817BD8">
            <w:pPr>
              <w:rPr>
                <w:rFonts w:asciiTheme="majorHAnsi" w:eastAsia="Times New Roman" w:hAnsiTheme="majorHAnsi" w:cs="Times New Roman"/>
                <w:szCs w:val="22"/>
                <w:lang w:val="en-GB" w:eastAsia="en-GB"/>
              </w:rPr>
            </w:pPr>
            <w:r>
              <w:rPr>
                <w:rFonts w:asciiTheme="majorHAnsi" w:eastAsia="Times New Roman" w:hAnsiTheme="majorHAnsi" w:cs="Times New Roman"/>
                <w:szCs w:val="22"/>
                <w:lang w:val="en-GB" w:eastAsia="en-GB"/>
              </w:rPr>
              <w:t>TECHNICAL ASSESSOR</w:t>
            </w:r>
          </w:p>
        </w:tc>
        <w:tc>
          <w:tcPr>
            <w:tcW w:w="7378" w:type="dxa"/>
            <w:noWrap/>
          </w:tcPr>
          <w:p w14:paraId="5B05D84D" w14:textId="77777777" w:rsidR="00817BD8" w:rsidRPr="00D93CF5" w:rsidRDefault="00817BD8" w:rsidP="00817BD8">
            <w:pP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imes New Roman"/>
                <w:szCs w:val="22"/>
                <w:u w:val="single"/>
                <w:lang w:val="en-GB" w:eastAsia="en-GB"/>
              </w:rPr>
            </w:pPr>
            <w:r>
              <w:rPr>
                <w:rFonts w:asciiTheme="majorHAnsi" w:eastAsia="Times New Roman" w:hAnsiTheme="majorHAnsi" w:cs="Times New Roman"/>
                <w:szCs w:val="22"/>
                <w:u w:val="single"/>
                <w:lang w:val="en-GB" w:eastAsia="en-GB"/>
              </w:rPr>
              <w:t>Expert Pathologist qualified to assess applications</w:t>
            </w:r>
          </w:p>
        </w:tc>
      </w:tr>
    </w:tbl>
    <w:p w14:paraId="0693F504" w14:textId="77777777" w:rsidR="004F493D" w:rsidRDefault="004F493D" w:rsidP="004F493D">
      <w:pPr>
        <w:pStyle w:val="Heading1"/>
        <w:ind w:left="142"/>
      </w:pPr>
    </w:p>
    <w:p w14:paraId="752B527F" w14:textId="77777777" w:rsidR="004F493D" w:rsidRDefault="004F493D">
      <w:pPr>
        <w:spacing w:after="0" w:line="240" w:lineRule="auto"/>
        <w:rPr>
          <w:rFonts w:eastAsiaTheme="majorEastAsia" w:cstheme="majorBidi"/>
          <w:bCs/>
          <w:color w:val="404040" w:themeColor="text1" w:themeTint="BF"/>
          <w:sz w:val="32"/>
          <w:szCs w:val="32"/>
        </w:rPr>
      </w:pPr>
      <w:r>
        <w:br w:type="page"/>
      </w:r>
    </w:p>
    <w:p w14:paraId="1A08CD3F" w14:textId="77777777" w:rsidR="008F0269" w:rsidRPr="00645CAF" w:rsidRDefault="008E6820" w:rsidP="00CF2317">
      <w:pPr>
        <w:pStyle w:val="Heading1"/>
        <w:numPr>
          <w:ilvl w:val="0"/>
          <w:numId w:val="2"/>
        </w:numPr>
        <w:ind w:left="0" w:firstLine="0"/>
      </w:pPr>
      <w:bookmarkStart w:id="1" w:name="_Toc38613953"/>
      <w:r w:rsidRPr="00645CAF">
        <w:lastRenderedPageBreak/>
        <w:t>Executive summary</w:t>
      </w:r>
      <w:bookmarkEnd w:id="1"/>
    </w:p>
    <w:p w14:paraId="5EB6AE25" w14:textId="2918399D" w:rsidR="009561E1" w:rsidRPr="00F30626" w:rsidRDefault="00E43BF0" w:rsidP="004D1327">
      <w:pPr>
        <w:spacing w:line="240" w:lineRule="auto"/>
        <w:jc w:val="both"/>
        <w:rPr>
          <w:rFonts w:cs="Arial"/>
        </w:rPr>
      </w:pPr>
      <w:r w:rsidRPr="00E43BF0">
        <w:rPr>
          <w:rFonts w:cs="Arial"/>
        </w:rPr>
        <w:t xml:space="preserve">This is the </w:t>
      </w:r>
      <w:r w:rsidR="0023419A">
        <w:rPr>
          <w:rFonts w:cs="Arial"/>
        </w:rPr>
        <w:t>Final</w:t>
      </w:r>
      <w:r w:rsidRPr="00E43BF0">
        <w:rPr>
          <w:rFonts w:cs="Arial"/>
        </w:rPr>
        <w:t xml:space="preserve"> Report for the Genetic and </w:t>
      </w:r>
      <w:r>
        <w:rPr>
          <w:rFonts w:cs="Arial"/>
        </w:rPr>
        <w:t>g</w:t>
      </w:r>
      <w:r w:rsidRPr="00E43BF0">
        <w:rPr>
          <w:rFonts w:cs="Arial"/>
        </w:rPr>
        <w:t xml:space="preserve">enomic </w:t>
      </w:r>
      <w:r>
        <w:rPr>
          <w:rFonts w:cs="Arial"/>
        </w:rPr>
        <w:t>c</w:t>
      </w:r>
      <w:r w:rsidRPr="00E43BF0">
        <w:rPr>
          <w:rFonts w:cs="Arial"/>
        </w:rPr>
        <w:t xml:space="preserve">ertification for non-genetic pathologists and trainees within individual scope of practice Project. </w:t>
      </w:r>
    </w:p>
    <w:p w14:paraId="3BCC20A3" w14:textId="77777777" w:rsidR="001326F2" w:rsidRDefault="001326F2" w:rsidP="004D1327">
      <w:pPr>
        <w:spacing w:after="60"/>
        <w:jc w:val="both"/>
        <w:rPr>
          <w:rFonts w:cs="Arial"/>
        </w:rPr>
      </w:pPr>
    </w:p>
    <w:p w14:paraId="06B57983" w14:textId="741CDC7B" w:rsidR="001326F2" w:rsidRDefault="001326F2" w:rsidP="004D1327">
      <w:pPr>
        <w:spacing w:after="60"/>
        <w:jc w:val="both"/>
        <w:rPr>
          <w:szCs w:val="22"/>
        </w:rPr>
      </w:pPr>
      <w:r w:rsidRPr="00923BCE">
        <w:rPr>
          <w:szCs w:val="22"/>
        </w:rPr>
        <w:t xml:space="preserve">The RCPA identified the need for non-genetic pathologists who supervise laboratories to be assessed against the competency requirements developed by the RCPA to satisfy individual genetic and genomic competencies and qualifications to meet the new NPAAC Requirements for Supervision in the clinical Governance of Medical Laboratories (NPAAC </w:t>
      </w:r>
      <w:r w:rsidRPr="00923BCE">
        <w:rPr>
          <w:i/>
          <w:szCs w:val="22"/>
        </w:rPr>
        <w:t>Requirements</w:t>
      </w:r>
      <w:r w:rsidRPr="00923BCE">
        <w:rPr>
          <w:szCs w:val="22"/>
        </w:rPr>
        <w:t xml:space="preserve">) due to take effect in </w:t>
      </w:r>
      <w:r>
        <w:rPr>
          <w:szCs w:val="22"/>
        </w:rPr>
        <w:t>0</w:t>
      </w:r>
      <w:r w:rsidRPr="00923BCE">
        <w:rPr>
          <w:szCs w:val="22"/>
        </w:rPr>
        <w:t xml:space="preserve">1 August 2019.  </w:t>
      </w:r>
      <w:r>
        <w:rPr>
          <w:szCs w:val="22"/>
        </w:rPr>
        <w:t>The</w:t>
      </w:r>
      <w:r w:rsidRPr="00923BCE">
        <w:rPr>
          <w:szCs w:val="22"/>
        </w:rPr>
        <w:t xml:space="preserve"> RCPA </w:t>
      </w:r>
      <w:r>
        <w:rPr>
          <w:szCs w:val="22"/>
        </w:rPr>
        <w:t xml:space="preserve">identified the need </w:t>
      </w:r>
      <w:r w:rsidRPr="00923BCE">
        <w:rPr>
          <w:szCs w:val="22"/>
        </w:rPr>
        <w:t>to implement a process and program to assess</w:t>
      </w:r>
      <w:r>
        <w:rPr>
          <w:szCs w:val="22"/>
        </w:rPr>
        <w:t xml:space="preserve"> non-genetic pathologists who currently supervise laboratories where genetic and genomic testing is performed</w:t>
      </w:r>
      <w:r w:rsidRPr="00923BCE">
        <w:rPr>
          <w:szCs w:val="22"/>
        </w:rPr>
        <w:t xml:space="preserve">, and where </w:t>
      </w:r>
      <w:r>
        <w:rPr>
          <w:szCs w:val="22"/>
        </w:rPr>
        <w:t>required</w:t>
      </w:r>
      <w:r w:rsidRPr="00923BCE">
        <w:rPr>
          <w:szCs w:val="22"/>
        </w:rPr>
        <w:t xml:space="preserve">, to upskill </w:t>
      </w:r>
      <w:r>
        <w:rPr>
          <w:szCs w:val="22"/>
        </w:rPr>
        <w:t xml:space="preserve">individual </w:t>
      </w:r>
      <w:r w:rsidRPr="00923BCE">
        <w:rPr>
          <w:szCs w:val="22"/>
        </w:rPr>
        <w:t>supervising pathologist</w:t>
      </w:r>
      <w:r>
        <w:rPr>
          <w:szCs w:val="22"/>
        </w:rPr>
        <w:t>s</w:t>
      </w:r>
      <w:r w:rsidRPr="00923BCE">
        <w:rPr>
          <w:szCs w:val="22"/>
        </w:rPr>
        <w:t xml:space="preserve"> </w:t>
      </w:r>
      <w:r>
        <w:rPr>
          <w:szCs w:val="22"/>
        </w:rPr>
        <w:t>within their scope of practice to comply with</w:t>
      </w:r>
      <w:r w:rsidRPr="00923BCE">
        <w:rPr>
          <w:szCs w:val="22"/>
        </w:rPr>
        <w:t xml:space="preserve"> the </w:t>
      </w:r>
      <w:r>
        <w:rPr>
          <w:szCs w:val="22"/>
        </w:rPr>
        <w:t xml:space="preserve">new </w:t>
      </w:r>
      <w:r w:rsidRPr="00923BCE">
        <w:rPr>
          <w:szCs w:val="22"/>
        </w:rPr>
        <w:t>NPAAC laboratory supervisory requirements</w:t>
      </w:r>
      <w:r>
        <w:rPr>
          <w:szCs w:val="22"/>
        </w:rPr>
        <w:t>.</w:t>
      </w:r>
    </w:p>
    <w:p w14:paraId="455B2D80" w14:textId="36FFAB8E" w:rsidR="001326F2" w:rsidRDefault="001326F2" w:rsidP="004D1327">
      <w:pPr>
        <w:spacing w:after="60"/>
        <w:jc w:val="both"/>
        <w:rPr>
          <w:rFonts w:cs="Arial"/>
        </w:rPr>
      </w:pPr>
    </w:p>
    <w:p w14:paraId="3F76EB9C" w14:textId="28A42964" w:rsidR="001326F2" w:rsidRPr="003C5834" w:rsidRDefault="001326F2" w:rsidP="003C5834">
      <w:pPr>
        <w:jc w:val="both"/>
        <w:rPr>
          <w:szCs w:val="22"/>
        </w:rPr>
      </w:pPr>
      <w:r>
        <w:rPr>
          <w:szCs w:val="22"/>
        </w:rPr>
        <w:t xml:space="preserve">The objective was to undertake a </w:t>
      </w:r>
      <w:r w:rsidR="00B923D2">
        <w:rPr>
          <w:szCs w:val="22"/>
        </w:rPr>
        <w:t xml:space="preserve">Recognition of Prior Learning credentialing process </w:t>
      </w:r>
      <w:r>
        <w:rPr>
          <w:szCs w:val="22"/>
        </w:rPr>
        <w:t xml:space="preserve">for non-genetic pathologists expressing interest in supervising laboratories performing genetic and genomic testing within their scope of practice.  Suitably qualified panels of expert pathologists were formed to assess individual applicants based upon recognition of prior learning / experience who determined if certification was granted in discipline specific modules relevant to each Fellow’s scope of practice.  </w:t>
      </w:r>
      <w:r w:rsidRPr="001326F2">
        <w:rPr>
          <w:szCs w:val="22"/>
        </w:rPr>
        <w:t xml:space="preserve">The Project activities targeted the existing supervision workforce to assess individual competency, and as a result </w:t>
      </w:r>
      <w:r>
        <w:t>the Project increased the pathologist workforce by an additional 86 pathologists who were deemed competent to supervise genetic testing in their disciplines.</w:t>
      </w:r>
    </w:p>
    <w:p w14:paraId="2143AD7D" w14:textId="016F70E4" w:rsidR="009561E1" w:rsidRPr="00F30626" w:rsidRDefault="00B1445D" w:rsidP="004D1327">
      <w:pPr>
        <w:spacing w:after="60"/>
        <w:jc w:val="both"/>
        <w:rPr>
          <w:rFonts w:cs="Arial"/>
        </w:rPr>
      </w:pPr>
      <w:r>
        <w:rPr>
          <w:rFonts w:cs="Arial"/>
        </w:rPr>
        <w:t>The</w:t>
      </w:r>
      <w:r w:rsidR="009561E1" w:rsidRPr="00F30626">
        <w:rPr>
          <w:rFonts w:cs="Arial"/>
        </w:rPr>
        <w:t xml:space="preserve"> Project completed the following activities:</w:t>
      </w:r>
    </w:p>
    <w:p w14:paraId="3C636B67" w14:textId="3F969D77" w:rsidR="009561E1" w:rsidRPr="00BE1CDA" w:rsidRDefault="009561E1" w:rsidP="003C5834">
      <w:pPr>
        <w:pStyle w:val="ListParagraph"/>
        <w:jc w:val="both"/>
        <w:rPr>
          <w:lang w:eastAsia="en-AU"/>
        </w:rPr>
      </w:pPr>
    </w:p>
    <w:p w14:paraId="4D1C23D6" w14:textId="64EE7DAD" w:rsidR="009561E1" w:rsidRDefault="00191D59" w:rsidP="0018485A">
      <w:pPr>
        <w:pStyle w:val="ListParagraph"/>
        <w:numPr>
          <w:ilvl w:val="0"/>
          <w:numId w:val="46"/>
        </w:numPr>
        <w:spacing w:before="240"/>
        <w:jc w:val="both"/>
        <w:rPr>
          <w:lang w:eastAsia="en-AU"/>
        </w:rPr>
      </w:pPr>
      <w:r w:rsidRPr="00D65C12">
        <w:rPr>
          <w:lang w:eastAsia="en-AU"/>
        </w:rPr>
        <w:t xml:space="preserve">Formed </w:t>
      </w:r>
      <w:r w:rsidR="0084343A" w:rsidRPr="00D65C12">
        <w:rPr>
          <w:lang w:eastAsia="en-AU"/>
        </w:rPr>
        <w:t>Steering Committee</w:t>
      </w:r>
      <w:r w:rsidR="0084343A">
        <w:rPr>
          <w:lang w:eastAsia="en-AU"/>
        </w:rPr>
        <w:t xml:space="preserve"> to oversee the Project and </w:t>
      </w:r>
      <w:r w:rsidR="009561E1" w:rsidRPr="00D65C12">
        <w:rPr>
          <w:lang w:eastAsia="en-AU"/>
        </w:rPr>
        <w:t>Pathology Expert Group</w:t>
      </w:r>
      <w:r w:rsidR="00AB3875">
        <w:rPr>
          <w:lang w:eastAsia="en-AU"/>
        </w:rPr>
        <w:t>s</w:t>
      </w:r>
      <w:r w:rsidR="009561E1" w:rsidRPr="00D65C12">
        <w:rPr>
          <w:lang w:eastAsia="en-AU"/>
        </w:rPr>
        <w:t xml:space="preserve"> </w:t>
      </w:r>
      <w:r w:rsidR="0084343A">
        <w:rPr>
          <w:lang w:eastAsia="en-AU"/>
        </w:rPr>
        <w:t xml:space="preserve">to assess applicants </w:t>
      </w:r>
    </w:p>
    <w:p w14:paraId="2C58409F" w14:textId="77777777" w:rsidR="0018485A" w:rsidRPr="00D65C12" w:rsidRDefault="0018485A" w:rsidP="0018485A">
      <w:pPr>
        <w:pStyle w:val="ListParagraph"/>
        <w:spacing w:before="240"/>
        <w:jc w:val="both"/>
        <w:rPr>
          <w:lang w:eastAsia="en-AU"/>
        </w:rPr>
      </w:pPr>
    </w:p>
    <w:p w14:paraId="0FA32D4D" w14:textId="6C30EB1F" w:rsidR="0018485A" w:rsidRDefault="001C5950" w:rsidP="0018485A">
      <w:pPr>
        <w:pStyle w:val="ListParagraph"/>
        <w:numPr>
          <w:ilvl w:val="0"/>
          <w:numId w:val="46"/>
        </w:numPr>
        <w:spacing w:before="240" w:after="0"/>
        <w:jc w:val="both"/>
        <w:rPr>
          <w:lang w:eastAsia="en-AU"/>
        </w:rPr>
      </w:pPr>
      <w:r w:rsidRPr="00D65C12">
        <w:rPr>
          <w:lang w:eastAsia="en-AU"/>
        </w:rPr>
        <w:t xml:space="preserve">Established </w:t>
      </w:r>
      <w:r w:rsidR="00284F3F" w:rsidRPr="00D65C12">
        <w:rPr>
          <w:lang w:eastAsia="en-AU"/>
        </w:rPr>
        <w:t xml:space="preserve">Assessor Panels </w:t>
      </w:r>
      <w:r w:rsidRPr="00D65C12">
        <w:rPr>
          <w:lang w:eastAsia="en-AU"/>
        </w:rPr>
        <w:t xml:space="preserve">for </w:t>
      </w:r>
      <w:r w:rsidR="00284F3F" w:rsidRPr="00D65C12">
        <w:rPr>
          <w:lang w:eastAsia="en-AU"/>
        </w:rPr>
        <w:t xml:space="preserve">the five </w:t>
      </w:r>
      <w:r w:rsidR="002F5A7C" w:rsidRPr="00D65C12">
        <w:rPr>
          <w:lang w:eastAsia="en-AU"/>
        </w:rPr>
        <w:t xml:space="preserve">pathology </w:t>
      </w:r>
      <w:r w:rsidR="00284F3F" w:rsidRPr="00D65C12">
        <w:rPr>
          <w:lang w:eastAsia="en-AU"/>
        </w:rPr>
        <w:t xml:space="preserve">disciplines under assessment </w:t>
      </w:r>
      <w:r w:rsidR="006A7BD3" w:rsidRPr="00D65C12">
        <w:rPr>
          <w:lang w:eastAsia="en-AU"/>
        </w:rPr>
        <w:t>–</w:t>
      </w:r>
      <w:r w:rsidR="00284F3F" w:rsidRPr="00D65C12">
        <w:rPr>
          <w:lang w:eastAsia="en-AU"/>
        </w:rPr>
        <w:t xml:space="preserve"> </w:t>
      </w:r>
      <w:r w:rsidR="006A7BD3" w:rsidRPr="00D65C12">
        <w:rPr>
          <w:lang w:eastAsia="en-AU"/>
        </w:rPr>
        <w:t xml:space="preserve">Anatomical Pathology, </w:t>
      </w:r>
      <w:r w:rsidR="00284F3F" w:rsidRPr="008C6939">
        <w:rPr>
          <w:lang w:eastAsia="en-AU"/>
        </w:rPr>
        <w:t xml:space="preserve">Chemical Pathology, Haematology, Immunopathology and Microbiology. </w:t>
      </w:r>
      <w:r w:rsidR="00284F3F" w:rsidRPr="00B83EE2">
        <w:rPr>
          <w:lang w:eastAsia="en-AU"/>
        </w:rPr>
        <w:t>T</w:t>
      </w:r>
      <w:r w:rsidR="00F24249" w:rsidRPr="00B83EE2">
        <w:rPr>
          <w:lang w:eastAsia="en-AU"/>
        </w:rPr>
        <w:t xml:space="preserve">he Project </w:t>
      </w:r>
      <w:r w:rsidR="0023419A" w:rsidRPr="00B83EE2">
        <w:rPr>
          <w:lang w:eastAsia="en-AU"/>
        </w:rPr>
        <w:t>had a total of</w:t>
      </w:r>
      <w:r w:rsidR="00F24249" w:rsidRPr="00B83EE2">
        <w:rPr>
          <w:lang w:eastAsia="en-AU"/>
        </w:rPr>
        <w:t xml:space="preserve"> </w:t>
      </w:r>
      <w:r w:rsidR="009C3FED" w:rsidRPr="00B83EE2">
        <w:rPr>
          <w:lang w:eastAsia="en-AU"/>
        </w:rPr>
        <w:t xml:space="preserve">40 </w:t>
      </w:r>
      <w:r w:rsidR="00F24249" w:rsidRPr="00B83EE2">
        <w:rPr>
          <w:lang w:eastAsia="en-AU"/>
        </w:rPr>
        <w:t>Technical Assessors</w:t>
      </w:r>
      <w:r w:rsidRPr="00B83EE2">
        <w:rPr>
          <w:lang w:eastAsia="en-AU"/>
        </w:rPr>
        <w:t xml:space="preserve">, </w:t>
      </w:r>
      <w:r w:rsidR="009C3FED" w:rsidRPr="00B83EE2">
        <w:rPr>
          <w:lang w:eastAsia="en-AU"/>
        </w:rPr>
        <w:t xml:space="preserve">12 </w:t>
      </w:r>
      <w:r w:rsidRPr="00B83EE2">
        <w:rPr>
          <w:lang w:eastAsia="en-AU"/>
        </w:rPr>
        <w:t xml:space="preserve">of </w:t>
      </w:r>
      <w:r w:rsidR="00284F3F" w:rsidRPr="00B83EE2">
        <w:rPr>
          <w:lang w:eastAsia="en-AU"/>
        </w:rPr>
        <w:t xml:space="preserve">which </w:t>
      </w:r>
      <w:r w:rsidRPr="00B83EE2">
        <w:rPr>
          <w:lang w:eastAsia="en-AU"/>
        </w:rPr>
        <w:t xml:space="preserve">are </w:t>
      </w:r>
      <w:r w:rsidR="00284F3F" w:rsidRPr="00B83EE2">
        <w:rPr>
          <w:lang w:eastAsia="en-AU"/>
        </w:rPr>
        <w:t>genetic pathologists</w:t>
      </w:r>
      <w:r w:rsidRPr="00B83EE2">
        <w:rPr>
          <w:lang w:eastAsia="en-AU"/>
        </w:rPr>
        <w:t xml:space="preserve">.  [A genetic pathologist is </w:t>
      </w:r>
      <w:r w:rsidR="00284F3F" w:rsidRPr="00B83EE2">
        <w:rPr>
          <w:lang w:eastAsia="en-AU"/>
        </w:rPr>
        <w:t xml:space="preserve">required on </w:t>
      </w:r>
      <w:r w:rsidRPr="00B83EE2">
        <w:rPr>
          <w:lang w:eastAsia="en-AU"/>
        </w:rPr>
        <w:t xml:space="preserve">each </w:t>
      </w:r>
      <w:r w:rsidR="00284F3F" w:rsidRPr="00B83EE2">
        <w:rPr>
          <w:lang w:eastAsia="en-AU"/>
        </w:rPr>
        <w:t>Assessment Panel</w:t>
      </w:r>
      <w:r w:rsidRPr="00B83EE2">
        <w:rPr>
          <w:lang w:eastAsia="en-AU"/>
        </w:rPr>
        <w:t>]</w:t>
      </w:r>
      <w:r w:rsidR="00284F3F" w:rsidRPr="00B83EE2">
        <w:rPr>
          <w:lang w:eastAsia="en-AU"/>
        </w:rPr>
        <w:t>.</w:t>
      </w:r>
    </w:p>
    <w:p w14:paraId="2BB8F8DA" w14:textId="77777777" w:rsidR="0018485A" w:rsidRPr="00B83EE2" w:rsidRDefault="0018485A" w:rsidP="0018485A">
      <w:pPr>
        <w:pStyle w:val="ListParagraph"/>
        <w:spacing w:before="240" w:after="0"/>
        <w:jc w:val="both"/>
        <w:rPr>
          <w:lang w:eastAsia="en-AU"/>
        </w:rPr>
      </w:pPr>
    </w:p>
    <w:p w14:paraId="13AC7B26" w14:textId="5CBBE508" w:rsidR="009561E1" w:rsidRDefault="001C5950" w:rsidP="0018485A">
      <w:pPr>
        <w:pStyle w:val="ListParagraph"/>
        <w:numPr>
          <w:ilvl w:val="0"/>
          <w:numId w:val="46"/>
        </w:numPr>
        <w:spacing w:before="240" w:after="0"/>
        <w:jc w:val="both"/>
        <w:rPr>
          <w:lang w:eastAsia="en-AU"/>
        </w:rPr>
      </w:pPr>
      <w:r w:rsidRPr="00B83EE2">
        <w:rPr>
          <w:lang w:eastAsia="en-AU"/>
        </w:rPr>
        <w:t>P</w:t>
      </w:r>
      <w:r w:rsidR="00363F21" w:rsidRPr="00B83EE2">
        <w:rPr>
          <w:lang w:eastAsia="en-AU"/>
        </w:rPr>
        <w:t>romote</w:t>
      </w:r>
      <w:r w:rsidRPr="00B83EE2">
        <w:rPr>
          <w:lang w:eastAsia="en-AU"/>
        </w:rPr>
        <w:t>d</w:t>
      </w:r>
      <w:r w:rsidR="009561E1" w:rsidRPr="00B83EE2">
        <w:rPr>
          <w:lang w:eastAsia="en-AU"/>
        </w:rPr>
        <w:t xml:space="preserve"> the </w:t>
      </w:r>
      <w:r w:rsidR="00B923D2">
        <w:rPr>
          <w:lang w:eastAsia="en-AU"/>
        </w:rPr>
        <w:t>RPL</w:t>
      </w:r>
      <w:r w:rsidR="009561E1" w:rsidRPr="00B83EE2">
        <w:rPr>
          <w:lang w:eastAsia="en-AU"/>
        </w:rPr>
        <w:t xml:space="preserve"> </w:t>
      </w:r>
      <w:r w:rsidR="00B923D2">
        <w:rPr>
          <w:lang w:eastAsia="en-AU"/>
        </w:rPr>
        <w:t xml:space="preserve">credentialing process </w:t>
      </w:r>
      <w:r w:rsidRPr="00B83EE2">
        <w:rPr>
          <w:lang w:eastAsia="en-AU"/>
        </w:rPr>
        <w:t xml:space="preserve">amongst the RCPA Fellowship </w:t>
      </w:r>
      <w:r w:rsidR="00F24249" w:rsidRPr="00B83EE2">
        <w:rPr>
          <w:lang w:eastAsia="en-AU"/>
        </w:rPr>
        <w:t>via</w:t>
      </w:r>
      <w:r w:rsidR="009561E1" w:rsidRPr="00B83EE2">
        <w:rPr>
          <w:lang w:eastAsia="en-AU"/>
        </w:rPr>
        <w:t xml:space="preserve"> RCPA fortnightly newsletter </w:t>
      </w:r>
      <w:r w:rsidR="009561E1" w:rsidRPr="00B83EE2">
        <w:rPr>
          <w:i/>
          <w:lang w:eastAsia="en-AU"/>
        </w:rPr>
        <w:t>Pathology Today</w:t>
      </w:r>
      <w:r w:rsidR="00F24249" w:rsidRPr="00B83EE2">
        <w:rPr>
          <w:lang w:eastAsia="en-AU"/>
        </w:rPr>
        <w:t>, RCPA website, RCPA annual conference – Pathology Update, Supervisor workshops and RCPA short courses, and through stakeholders such as NATA, Australian Pathology and Public Pathology Australia.</w:t>
      </w:r>
    </w:p>
    <w:p w14:paraId="2F4E526D" w14:textId="77777777" w:rsidR="0018485A" w:rsidRPr="00B83EE2" w:rsidRDefault="0018485A" w:rsidP="0018485A">
      <w:pPr>
        <w:pStyle w:val="ListParagraph"/>
        <w:spacing w:before="240" w:after="0"/>
        <w:jc w:val="both"/>
        <w:rPr>
          <w:lang w:eastAsia="en-AU"/>
        </w:rPr>
      </w:pPr>
    </w:p>
    <w:p w14:paraId="5AFD18ED" w14:textId="4A4F13C1" w:rsidR="00363F21" w:rsidRDefault="00CA3B0A" w:rsidP="0018485A">
      <w:pPr>
        <w:pStyle w:val="ListParagraph"/>
        <w:numPr>
          <w:ilvl w:val="0"/>
          <w:numId w:val="46"/>
        </w:numPr>
        <w:spacing w:before="240"/>
        <w:jc w:val="both"/>
        <w:rPr>
          <w:lang w:eastAsia="en-AU"/>
        </w:rPr>
      </w:pPr>
      <w:r w:rsidRPr="00B83EE2">
        <w:rPr>
          <w:lang w:eastAsia="en-AU"/>
        </w:rPr>
        <w:t>Received</w:t>
      </w:r>
      <w:r w:rsidR="009561E1" w:rsidRPr="00B83EE2">
        <w:rPr>
          <w:lang w:eastAsia="en-AU"/>
        </w:rPr>
        <w:t xml:space="preserve"> and recorded </w:t>
      </w:r>
      <w:r w:rsidR="004D764C" w:rsidRPr="00B83EE2">
        <w:rPr>
          <w:lang w:eastAsia="en-AU"/>
        </w:rPr>
        <w:t>applications from</w:t>
      </w:r>
      <w:r w:rsidR="00356265" w:rsidRPr="00B83EE2">
        <w:rPr>
          <w:lang w:eastAsia="en-AU"/>
        </w:rPr>
        <w:t xml:space="preserve"> </w:t>
      </w:r>
      <w:r w:rsidR="0023419A" w:rsidRPr="00B83EE2">
        <w:rPr>
          <w:lang w:eastAsia="en-AU"/>
        </w:rPr>
        <w:t>12</w:t>
      </w:r>
      <w:r w:rsidR="00B83EE2" w:rsidRPr="00B83EE2">
        <w:rPr>
          <w:lang w:eastAsia="en-AU"/>
        </w:rPr>
        <w:t>5</w:t>
      </w:r>
      <w:r w:rsidR="009561E1" w:rsidRPr="00B83EE2">
        <w:rPr>
          <w:lang w:eastAsia="en-AU"/>
        </w:rPr>
        <w:t xml:space="preserve"> </w:t>
      </w:r>
      <w:r w:rsidRPr="00B83EE2">
        <w:rPr>
          <w:lang w:eastAsia="en-AU"/>
        </w:rPr>
        <w:t>individual</w:t>
      </w:r>
      <w:r w:rsidR="00363F21" w:rsidRPr="00B83EE2">
        <w:rPr>
          <w:lang w:eastAsia="en-AU"/>
        </w:rPr>
        <w:t>s</w:t>
      </w:r>
      <w:r w:rsidR="00355838" w:rsidRPr="00B83EE2">
        <w:rPr>
          <w:lang w:eastAsia="en-AU"/>
        </w:rPr>
        <w:t xml:space="preserve"> </w:t>
      </w:r>
      <w:r w:rsidR="00E02CA8" w:rsidRPr="00B83EE2">
        <w:rPr>
          <w:lang w:eastAsia="en-AU"/>
        </w:rPr>
        <w:t>(2</w:t>
      </w:r>
      <w:r w:rsidR="0023419A" w:rsidRPr="00B83EE2">
        <w:rPr>
          <w:lang w:eastAsia="en-AU"/>
        </w:rPr>
        <w:t>6</w:t>
      </w:r>
      <w:r w:rsidR="00B83EE2" w:rsidRPr="00B83EE2">
        <w:rPr>
          <w:lang w:eastAsia="en-AU"/>
        </w:rPr>
        <w:t>9</w:t>
      </w:r>
      <w:r w:rsidR="00E02CA8" w:rsidRPr="00B83EE2">
        <w:rPr>
          <w:lang w:eastAsia="en-AU"/>
        </w:rPr>
        <w:t xml:space="preserve"> Module applications) </w:t>
      </w:r>
      <w:r w:rsidR="00355838" w:rsidRPr="00B83EE2">
        <w:rPr>
          <w:lang w:eastAsia="en-AU"/>
        </w:rPr>
        <w:t xml:space="preserve">and </w:t>
      </w:r>
      <w:r w:rsidR="009C3FED" w:rsidRPr="00B83EE2">
        <w:rPr>
          <w:lang w:eastAsia="en-AU"/>
        </w:rPr>
        <w:t>1</w:t>
      </w:r>
      <w:r w:rsidR="00B83EE2" w:rsidRPr="00B83EE2">
        <w:rPr>
          <w:lang w:eastAsia="en-AU"/>
        </w:rPr>
        <w:t>9</w:t>
      </w:r>
      <w:r w:rsidR="009C3FED" w:rsidRPr="00B83EE2">
        <w:rPr>
          <w:lang w:eastAsia="en-AU"/>
        </w:rPr>
        <w:t xml:space="preserve"> </w:t>
      </w:r>
      <w:r w:rsidR="00355838" w:rsidRPr="00B83EE2">
        <w:rPr>
          <w:lang w:eastAsia="en-AU"/>
        </w:rPr>
        <w:t xml:space="preserve">Category S </w:t>
      </w:r>
      <w:r w:rsidR="00E02CA8" w:rsidRPr="00B83EE2">
        <w:rPr>
          <w:lang w:eastAsia="en-AU"/>
        </w:rPr>
        <w:t>L</w:t>
      </w:r>
      <w:r w:rsidR="00355838" w:rsidRPr="00B83EE2">
        <w:rPr>
          <w:lang w:eastAsia="en-AU"/>
        </w:rPr>
        <w:t>aborator</w:t>
      </w:r>
      <w:r w:rsidR="00E02CA8" w:rsidRPr="00B83EE2">
        <w:rPr>
          <w:lang w:eastAsia="en-AU"/>
        </w:rPr>
        <w:t>y applications</w:t>
      </w:r>
      <w:r w:rsidR="009561E1" w:rsidRPr="00B83EE2">
        <w:rPr>
          <w:lang w:eastAsia="en-AU"/>
        </w:rPr>
        <w:t xml:space="preserve"> for assessment</w:t>
      </w:r>
      <w:r w:rsidR="004D764C" w:rsidRPr="00B83EE2">
        <w:rPr>
          <w:lang w:eastAsia="en-AU"/>
        </w:rPr>
        <w:t>, of which over 95% applied</w:t>
      </w:r>
      <w:r w:rsidR="009F0DCB" w:rsidRPr="00B83EE2">
        <w:rPr>
          <w:lang w:eastAsia="en-AU"/>
        </w:rPr>
        <w:t xml:space="preserve"> </w:t>
      </w:r>
      <w:r w:rsidR="004D764C" w:rsidRPr="00B83EE2">
        <w:rPr>
          <w:lang w:eastAsia="en-AU"/>
        </w:rPr>
        <w:t>for assessment against multiple modules within the</w:t>
      </w:r>
      <w:r w:rsidR="002F5A7C" w:rsidRPr="00B83EE2">
        <w:rPr>
          <w:lang w:eastAsia="en-AU"/>
        </w:rPr>
        <w:t>ir</w:t>
      </w:r>
      <w:r w:rsidR="004D764C" w:rsidRPr="00B83EE2">
        <w:rPr>
          <w:lang w:eastAsia="en-AU"/>
        </w:rPr>
        <w:t xml:space="preserve"> relevant discipline. </w:t>
      </w:r>
    </w:p>
    <w:p w14:paraId="56B5BEA2" w14:textId="77777777" w:rsidR="0018485A" w:rsidRPr="00B83EE2" w:rsidRDefault="0018485A" w:rsidP="0018485A">
      <w:pPr>
        <w:pStyle w:val="ListParagraph"/>
        <w:spacing w:before="240"/>
        <w:jc w:val="both"/>
        <w:rPr>
          <w:lang w:eastAsia="en-AU"/>
        </w:rPr>
      </w:pPr>
    </w:p>
    <w:p w14:paraId="09E96F86" w14:textId="6ABCF65D" w:rsidR="00EC5433" w:rsidRDefault="00A42214" w:rsidP="0018485A">
      <w:pPr>
        <w:pStyle w:val="ListParagraph"/>
        <w:numPr>
          <w:ilvl w:val="0"/>
          <w:numId w:val="46"/>
        </w:numPr>
        <w:spacing w:before="240"/>
        <w:jc w:val="both"/>
        <w:rPr>
          <w:lang w:eastAsia="en-AU"/>
        </w:rPr>
      </w:pPr>
      <w:r w:rsidRPr="009F0DCB">
        <w:rPr>
          <w:lang w:eastAsia="en-AU"/>
        </w:rPr>
        <w:t xml:space="preserve">Of the Module applications assessed by </w:t>
      </w:r>
      <w:r>
        <w:rPr>
          <w:lang w:eastAsia="en-AU"/>
        </w:rPr>
        <w:t xml:space="preserve">the </w:t>
      </w:r>
      <w:r w:rsidRPr="009F0DCB">
        <w:rPr>
          <w:lang w:eastAsia="en-AU"/>
        </w:rPr>
        <w:t xml:space="preserve">Technical Assessors, approximately 50% of these </w:t>
      </w:r>
      <w:r>
        <w:rPr>
          <w:lang w:eastAsia="en-AU"/>
        </w:rPr>
        <w:t>were</w:t>
      </w:r>
      <w:r w:rsidRPr="009F0DCB">
        <w:rPr>
          <w:lang w:eastAsia="en-AU"/>
        </w:rPr>
        <w:t xml:space="preserve"> classified as “simple” assessments (i.e. assessment time up to one hour); and the remaining 50% </w:t>
      </w:r>
      <w:r>
        <w:rPr>
          <w:lang w:eastAsia="en-AU"/>
        </w:rPr>
        <w:t>were</w:t>
      </w:r>
      <w:r w:rsidRPr="009F0DCB">
        <w:rPr>
          <w:lang w:eastAsia="en-AU"/>
        </w:rPr>
        <w:t xml:space="preserve"> classified as “complex” (i.e. </w:t>
      </w:r>
      <w:r w:rsidRPr="008C6939">
        <w:rPr>
          <w:lang w:eastAsia="en-AU"/>
        </w:rPr>
        <w:t xml:space="preserve">assessment time up to 5 hours). </w:t>
      </w:r>
    </w:p>
    <w:p w14:paraId="6E4434A9" w14:textId="77777777" w:rsidR="0018485A" w:rsidRPr="002652E8" w:rsidRDefault="0018485A" w:rsidP="0018485A">
      <w:pPr>
        <w:pStyle w:val="ListParagraph"/>
        <w:spacing w:before="240"/>
        <w:jc w:val="both"/>
        <w:rPr>
          <w:lang w:eastAsia="en-AU"/>
        </w:rPr>
      </w:pPr>
    </w:p>
    <w:p w14:paraId="099B73B5" w14:textId="347D435A" w:rsidR="00924637" w:rsidRDefault="00A42214" w:rsidP="00045889">
      <w:pPr>
        <w:pStyle w:val="ListParagraph"/>
        <w:numPr>
          <w:ilvl w:val="0"/>
          <w:numId w:val="46"/>
        </w:numPr>
        <w:spacing w:before="240"/>
        <w:jc w:val="both"/>
        <w:rPr>
          <w:lang w:eastAsia="en-AU"/>
        </w:rPr>
      </w:pPr>
      <w:r>
        <w:lastRenderedPageBreak/>
        <w:t>The Project increased the pathologist workforce by an additional 86 pathologists who are competent to supervise genetic testing in their disciplines.</w:t>
      </w:r>
    </w:p>
    <w:p w14:paraId="2BB29297" w14:textId="77777777" w:rsidR="00924637" w:rsidRDefault="00924637" w:rsidP="00924637">
      <w:pPr>
        <w:pStyle w:val="ListParagraph"/>
      </w:pPr>
    </w:p>
    <w:p w14:paraId="67730CDA" w14:textId="41AFA00A" w:rsidR="00284F3F" w:rsidRPr="009F0DCB" w:rsidRDefault="00A42214" w:rsidP="00045889">
      <w:pPr>
        <w:pStyle w:val="ListParagraph"/>
        <w:numPr>
          <w:ilvl w:val="0"/>
          <w:numId w:val="46"/>
        </w:numPr>
        <w:spacing w:before="240"/>
        <w:jc w:val="both"/>
        <w:rPr>
          <w:lang w:eastAsia="en-AU"/>
        </w:rPr>
      </w:pPr>
      <w:r>
        <w:t xml:space="preserve">The Project also identified that not all applicants were suitable to supervise genetic testing and further to this Project, the RCPA has developed a </w:t>
      </w:r>
      <w:r w:rsidR="005D0A5F">
        <w:t>M</w:t>
      </w:r>
      <w:r>
        <w:t>odule</w:t>
      </w:r>
      <w:r w:rsidR="005D0A5F">
        <w:t>-</w:t>
      </w:r>
      <w:r>
        <w:t xml:space="preserve">based </w:t>
      </w:r>
      <w:r w:rsidR="005D0A5F">
        <w:t xml:space="preserve">training and </w:t>
      </w:r>
      <w:r>
        <w:t xml:space="preserve">assessment pathway for pathologists to obtain competencies. </w:t>
      </w:r>
    </w:p>
    <w:p w14:paraId="43C0F08B" w14:textId="5217C625" w:rsidR="009561E1" w:rsidRPr="00F93974" w:rsidRDefault="009561E1" w:rsidP="0018485A">
      <w:pPr>
        <w:spacing w:before="240"/>
        <w:jc w:val="both"/>
        <w:rPr>
          <w:lang w:eastAsia="en-AU"/>
        </w:rPr>
      </w:pPr>
      <w:r w:rsidRPr="00F93974">
        <w:rPr>
          <w:lang w:eastAsia="en-AU"/>
        </w:rPr>
        <w:t xml:space="preserve">A number of challenges </w:t>
      </w:r>
      <w:r w:rsidR="0023419A">
        <w:rPr>
          <w:lang w:eastAsia="en-AU"/>
        </w:rPr>
        <w:t>were</w:t>
      </w:r>
      <w:r w:rsidR="00704A33" w:rsidRPr="00F93974">
        <w:rPr>
          <w:lang w:eastAsia="en-AU"/>
        </w:rPr>
        <w:t xml:space="preserve"> encountered by the Project </w:t>
      </w:r>
      <w:r w:rsidR="0023419A">
        <w:rPr>
          <w:lang w:eastAsia="en-AU"/>
        </w:rPr>
        <w:t>which</w:t>
      </w:r>
      <w:r w:rsidR="00704A33" w:rsidRPr="00F93974">
        <w:rPr>
          <w:lang w:eastAsia="en-AU"/>
        </w:rPr>
        <w:t xml:space="preserve"> </w:t>
      </w:r>
      <w:r w:rsidRPr="00F93974">
        <w:rPr>
          <w:lang w:eastAsia="en-AU"/>
        </w:rPr>
        <w:t>include</w:t>
      </w:r>
      <w:r w:rsidR="0023419A">
        <w:rPr>
          <w:lang w:eastAsia="en-AU"/>
        </w:rPr>
        <w:t>d</w:t>
      </w:r>
      <w:r w:rsidRPr="00F93974">
        <w:rPr>
          <w:lang w:eastAsia="en-AU"/>
        </w:rPr>
        <w:t>:</w:t>
      </w:r>
    </w:p>
    <w:p w14:paraId="4CA66B16" w14:textId="49A5204B" w:rsidR="00235888" w:rsidRDefault="00235888" w:rsidP="0018485A">
      <w:pPr>
        <w:pStyle w:val="ListParagraph"/>
        <w:numPr>
          <w:ilvl w:val="0"/>
          <w:numId w:val="47"/>
        </w:numPr>
        <w:spacing w:before="240"/>
        <w:jc w:val="both"/>
      </w:pPr>
      <w:r w:rsidRPr="00F93974">
        <w:t>Slow receipt of applications from prospective applicants. Approximately 50</w:t>
      </w:r>
      <w:r w:rsidR="00285EC9">
        <w:t xml:space="preserve"> per cent</w:t>
      </w:r>
      <w:r w:rsidRPr="00F93974">
        <w:t xml:space="preserve"> of all applications were received in the week ending 31 May 2019</w:t>
      </w:r>
      <w:r w:rsidR="00B81298">
        <w:t xml:space="preserve"> (applications close date)</w:t>
      </w:r>
      <w:r w:rsidRPr="00F93974">
        <w:t>.</w:t>
      </w:r>
    </w:p>
    <w:p w14:paraId="5ED4C279" w14:textId="77777777" w:rsidR="0018485A" w:rsidRPr="00F93974" w:rsidRDefault="0018485A" w:rsidP="0018485A">
      <w:pPr>
        <w:pStyle w:val="ListParagraph"/>
        <w:spacing w:before="240"/>
        <w:jc w:val="both"/>
      </w:pPr>
    </w:p>
    <w:p w14:paraId="086CEC21" w14:textId="072F952B" w:rsidR="0018485A" w:rsidRPr="0018485A" w:rsidRDefault="00235888" w:rsidP="0018485A">
      <w:pPr>
        <w:pStyle w:val="ListParagraph"/>
        <w:numPr>
          <w:ilvl w:val="0"/>
          <w:numId w:val="47"/>
        </w:numPr>
        <w:spacing w:after="0"/>
        <w:jc w:val="both"/>
        <w:rPr>
          <w:rFonts w:eastAsia="Arial" w:cs="Arial"/>
        </w:rPr>
      </w:pPr>
      <w:r w:rsidRPr="008C6939">
        <w:t>Incomplete submissions where follow up caused delays in the assessment process.</w:t>
      </w:r>
    </w:p>
    <w:p w14:paraId="0135CFAE" w14:textId="77777777" w:rsidR="0018485A" w:rsidRPr="008C6939" w:rsidRDefault="0018485A" w:rsidP="0018485A">
      <w:pPr>
        <w:pStyle w:val="ListParagraph"/>
        <w:spacing w:after="0"/>
        <w:jc w:val="both"/>
        <w:rPr>
          <w:rFonts w:eastAsia="Arial" w:cs="Arial"/>
        </w:rPr>
      </w:pPr>
    </w:p>
    <w:p w14:paraId="5BD8ED2B" w14:textId="51CD27DF" w:rsidR="009561E1" w:rsidRDefault="009561E1" w:rsidP="0018485A">
      <w:pPr>
        <w:pStyle w:val="ListParagraph"/>
        <w:numPr>
          <w:ilvl w:val="0"/>
          <w:numId w:val="47"/>
        </w:numPr>
        <w:spacing w:after="0"/>
        <w:jc w:val="both"/>
      </w:pPr>
      <w:r w:rsidRPr="008C6939">
        <w:t xml:space="preserve">The number of Technical Assessors to efficiently undertake assessments </w:t>
      </w:r>
      <w:r w:rsidR="0023419A" w:rsidRPr="008C6939">
        <w:t>was</w:t>
      </w:r>
      <w:r w:rsidR="00F93974" w:rsidRPr="008C6939">
        <w:t xml:space="preserve"> limited</w:t>
      </w:r>
      <w:r w:rsidR="00704A33" w:rsidRPr="008C6939">
        <w:t>.  The Project continue</w:t>
      </w:r>
      <w:r w:rsidR="0023419A" w:rsidRPr="008C6939">
        <w:t>d</w:t>
      </w:r>
      <w:r w:rsidR="00704A33" w:rsidRPr="008C6939">
        <w:t xml:space="preserve"> to actively </w:t>
      </w:r>
      <w:r w:rsidR="00D7324E" w:rsidRPr="008C6939">
        <w:t xml:space="preserve">identify and </w:t>
      </w:r>
      <w:r w:rsidR="00704A33" w:rsidRPr="008C6939">
        <w:t xml:space="preserve">recruit new Technical Assessors to </w:t>
      </w:r>
      <w:r w:rsidR="00D7324E" w:rsidRPr="008C6939">
        <w:t>assist with</w:t>
      </w:r>
      <w:r w:rsidR="00704A33" w:rsidRPr="008C6939">
        <w:t xml:space="preserve"> </w:t>
      </w:r>
      <w:r w:rsidR="0023419A" w:rsidRPr="008C6939">
        <w:t xml:space="preserve">ongoing management of </w:t>
      </w:r>
      <w:r w:rsidR="00704A33" w:rsidRPr="008C6939">
        <w:t>this issue</w:t>
      </w:r>
      <w:r w:rsidRPr="008C6939">
        <w:t>.</w:t>
      </w:r>
    </w:p>
    <w:p w14:paraId="467F7F70" w14:textId="77777777" w:rsidR="0018485A" w:rsidRPr="008C6939" w:rsidRDefault="0018485A" w:rsidP="0018485A">
      <w:pPr>
        <w:pStyle w:val="ListParagraph"/>
        <w:spacing w:before="240"/>
        <w:jc w:val="both"/>
      </w:pPr>
    </w:p>
    <w:p w14:paraId="36BDD754" w14:textId="6E0D39C1" w:rsidR="0018485A" w:rsidRDefault="009561E1" w:rsidP="0018485A">
      <w:pPr>
        <w:pStyle w:val="ListParagraph"/>
        <w:numPr>
          <w:ilvl w:val="0"/>
          <w:numId w:val="47"/>
        </w:numPr>
        <w:spacing w:before="240" w:after="0"/>
        <w:jc w:val="both"/>
      </w:pPr>
      <w:r w:rsidRPr="008C6939">
        <w:t xml:space="preserve">Delayed turnaround times for assessment of </w:t>
      </w:r>
      <w:r w:rsidR="00D7324E" w:rsidRPr="008C6939">
        <w:t>Module</w:t>
      </w:r>
      <w:r w:rsidR="009F0DCB" w:rsidRPr="008C6939">
        <w:t xml:space="preserve"> applications</w:t>
      </w:r>
      <w:r w:rsidR="00D7324E" w:rsidRPr="008C6939">
        <w:t xml:space="preserve">.  This </w:t>
      </w:r>
      <w:r w:rsidR="00AA6A03">
        <w:t>wa</w:t>
      </w:r>
      <w:r w:rsidR="00D7324E" w:rsidRPr="008C6939">
        <w:t>s</w:t>
      </w:r>
      <w:r w:rsidRPr="008C6939">
        <w:t xml:space="preserve"> primarily due to the limited availability of the Technical Assessors </w:t>
      </w:r>
      <w:r w:rsidR="007B2CE4">
        <w:t>and their</w:t>
      </w:r>
      <w:r w:rsidR="00D7324E" w:rsidRPr="008C6939">
        <w:t xml:space="preserve"> </w:t>
      </w:r>
      <w:r w:rsidRPr="008C6939">
        <w:t>conflicting work and other professional commitments.</w:t>
      </w:r>
    </w:p>
    <w:p w14:paraId="0C6D9781" w14:textId="77777777" w:rsidR="0018485A" w:rsidRPr="008C6939" w:rsidRDefault="0018485A" w:rsidP="0018485A">
      <w:pPr>
        <w:pStyle w:val="ListParagraph"/>
        <w:spacing w:before="240" w:after="0"/>
        <w:jc w:val="both"/>
      </w:pPr>
    </w:p>
    <w:p w14:paraId="0261A111" w14:textId="2448B4F8" w:rsidR="00886C2A" w:rsidRDefault="00886C2A" w:rsidP="0018485A">
      <w:pPr>
        <w:pStyle w:val="ListParagraph"/>
        <w:numPr>
          <w:ilvl w:val="0"/>
          <w:numId w:val="47"/>
        </w:numPr>
        <w:spacing w:before="240" w:after="0"/>
        <w:jc w:val="both"/>
      </w:pPr>
      <w:r w:rsidRPr="008C6939">
        <w:t>Assessors requesting additional information add</w:t>
      </w:r>
      <w:r w:rsidR="007B2CE4">
        <w:t>ed</w:t>
      </w:r>
      <w:r w:rsidRPr="008C6939">
        <w:t xml:space="preserve"> to delays –</w:t>
      </w:r>
      <w:r w:rsidR="002B0606">
        <w:t xml:space="preserve"> which </w:t>
      </w:r>
      <w:r w:rsidRPr="008C6939">
        <w:t>result</w:t>
      </w:r>
      <w:r w:rsidR="002B0606">
        <w:t>ed</w:t>
      </w:r>
      <w:r w:rsidRPr="008C6939">
        <w:t xml:space="preserve"> in a “second round of waiting”</w:t>
      </w:r>
      <w:r w:rsidR="00F93974" w:rsidRPr="008C6939">
        <w:t>.</w:t>
      </w:r>
    </w:p>
    <w:p w14:paraId="14535A4C" w14:textId="77777777" w:rsidR="0018485A" w:rsidRDefault="0018485A" w:rsidP="0018485A">
      <w:pPr>
        <w:pStyle w:val="ListParagraph"/>
        <w:spacing w:before="240"/>
        <w:jc w:val="both"/>
      </w:pPr>
    </w:p>
    <w:p w14:paraId="57F95CF7" w14:textId="0C9CB8C1" w:rsidR="00DB7A33" w:rsidRDefault="00DB7A33" w:rsidP="0018485A">
      <w:pPr>
        <w:pStyle w:val="ListParagraph"/>
        <w:numPr>
          <w:ilvl w:val="0"/>
          <w:numId w:val="47"/>
        </w:numPr>
        <w:spacing w:before="240"/>
        <w:jc w:val="both"/>
      </w:pPr>
      <w:r>
        <w:t xml:space="preserve">Appeals and reassessments resulted in additional workloads for assessors as </w:t>
      </w:r>
      <w:r w:rsidR="00B81298">
        <w:t xml:space="preserve">recruitment of </w:t>
      </w:r>
      <w:r w:rsidR="00D045CE">
        <w:t xml:space="preserve">new assessors </w:t>
      </w:r>
      <w:r w:rsidR="00B81298">
        <w:t>was required</w:t>
      </w:r>
      <w:r w:rsidR="00D339A7">
        <w:t xml:space="preserve"> to undertake reassessments.</w:t>
      </w:r>
      <w:r w:rsidR="00D045CE">
        <w:t xml:space="preserve"> </w:t>
      </w:r>
    </w:p>
    <w:p w14:paraId="03FCFFF9" w14:textId="77777777" w:rsidR="00FF394F" w:rsidRDefault="00FF394F" w:rsidP="0018485A">
      <w:pPr>
        <w:spacing w:after="0"/>
        <w:jc w:val="both"/>
        <w:rPr>
          <w:rFonts w:eastAsia="Arial" w:cs="Arial"/>
        </w:rPr>
      </w:pPr>
    </w:p>
    <w:p w14:paraId="1BF4B21A" w14:textId="52A0EF04" w:rsidR="00B35371" w:rsidRPr="008C6939" w:rsidRDefault="00B61639" w:rsidP="0018485A">
      <w:pPr>
        <w:jc w:val="both"/>
        <w:rPr>
          <w:rFonts w:eastAsia="Arial" w:cs="Arial"/>
        </w:rPr>
      </w:pPr>
      <w:r w:rsidRPr="008C6939">
        <w:rPr>
          <w:rFonts w:eastAsia="Arial" w:cs="Arial"/>
        </w:rPr>
        <w:t xml:space="preserve">The assessment process highlighted the need for some applicants to undergo further training before proficiency </w:t>
      </w:r>
      <w:r w:rsidR="0023419A" w:rsidRPr="008C6939">
        <w:rPr>
          <w:rFonts w:eastAsia="Arial" w:cs="Arial"/>
        </w:rPr>
        <w:t xml:space="preserve">could </w:t>
      </w:r>
      <w:r w:rsidRPr="008C6939">
        <w:rPr>
          <w:rFonts w:eastAsia="Arial" w:cs="Arial"/>
        </w:rPr>
        <w:t xml:space="preserve">be granted and as at </w:t>
      </w:r>
      <w:r w:rsidR="00770C24">
        <w:rPr>
          <w:rFonts w:eastAsia="Arial" w:cs="Arial"/>
        </w:rPr>
        <w:t>20 December 2019</w:t>
      </w:r>
      <w:r w:rsidRPr="008C6939">
        <w:rPr>
          <w:rFonts w:eastAsia="Arial" w:cs="Arial"/>
        </w:rPr>
        <w:t xml:space="preserve">, approximately </w:t>
      </w:r>
      <w:r w:rsidR="0016468B" w:rsidRPr="00A934E7">
        <w:rPr>
          <w:rFonts w:eastAsia="Arial" w:cs="Arial"/>
        </w:rPr>
        <w:t>4</w:t>
      </w:r>
      <w:r w:rsidR="00A934E7" w:rsidRPr="00A934E7">
        <w:rPr>
          <w:rFonts w:eastAsia="Arial" w:cs="Arial"/>
        </w:rPr>
        <w:t>5</w:t>
      </w:r>
      <w:r w:rsidR="0016468B" w:rsidRPr="00A934E7">
        <w:rPr>
          <w:rFonts w:eastAsia="Arial" w:cs="Arial"/>
        </w:rPr>
        <w:t xml:space="preserve"> </w:t>
      </w:r>
      <w:r w:rsidR="00B96692" w:rsidRPr="00A934E7">
        <w:rPr>
          <w:rFonts w:eastAsia="Arial" w:cs="Arial"/>
        </w:rPr>
        <w:t>per cent</w:t>
      </w:r>
      <w:r w:rsidRPr="008C6939">
        <w:rPr>
          <w:rFonts w:eastAsia="Arial" w:cs="Arial"/>
        </w:rPr>
        <w:t xml:space="preserve"> of </w:t>
      </w:r>
      <w:r w:rsidR="00FB7A42" w:rsidRPr="008C6939">
        <w:rPr>
          <w:rFonts w:eastAsia="Arial" w:cs="Arial"/>
        </w:rPr>
        <w:t xml:space="preserve">individual </w:t>
      </w:r>
      <w:r w:rsidRPr="008C6939">
        <w:rPr>
          <w:rFonts w:eastAsia="Arial" w:cs="Arial"/>
        </w:rPr>
        <w:t xml:space="preserve">applicants </w:t>
      </w:r>
      <w:r w:rsidR="00770C24">
        <w:rPr>
          <w:rFonts w:eastAsia="Arial" w:cs="Arial"/>
        </w:rPr>
        <w:t>were</w:t>
      </w:r>
      <w:r w:rsidRPr="008C6939">
        <w:rPr>
          <w:rFonts w:eastAsia="Arial" w:cs="Arial"/>
        </w:rPr>
        <w:t xml:space="preserve"> certified as unsatisfactory by Technical Assessors</w:t>
      </w:r>
      <w:r w:rsidR="00A42214">
        <w:rPr>
          <w:rFonts w:eastAsia="Arial" w:cs="Arial"/>
        </w:rPr>
        <w:t xml:space="preserve">, and where appropriate pathologists can undertake the </w:t>
      </w:r>
      <w:r w:rsidR="006D0699">
        <w:rPr>
          <w:rFonts w:eastAsia="Arial" w:cs="Arial"/>
        </w:rPr>
        <w:t>M</w:t>
      </w:r>
      <w:r w:rsidR="00A42214">
        <w:rPr>
          <w:rFonts w:eastAsia="Arial" w:cs="Arial"/>
        </w:rPr>
        <w:t xml:space="preserve">odule </w:t>
      </w:r>
      <w:r w:rsidR="006D0699">
        <w:rPr>
          <w:rFonts w:eastAsia="Arial" w:cs="Arial"/>
        </w:rPr>
        <w:t xml:space="preserve">training and </w:t>
      </w:r>
      <w:r w:rsidR="00A42214">
        <w:rPr>
          <w:rFonts w:eastAsia="Arial" w:cs="Arial"/>
        </w:rPr>
        <w:t>assessment pathway to obtain competencies</w:t>
      </w:r>
      <w:r w:rsidR="003C0AA3">
        <w:rPr>
          <w:rFonts w:eastAsia="Arial" w:cs="Arial"/>
        </w:rPr>
        <w:t xml:space="preserve"> in the future</w:t>
      </w:r>
      <w:r w:rsidRPr="008C6939">
        <w:rPr>
          <w:rFonts w:eastAsia="Arial" w:cs="Arial"/>
        </w:rPr>
        <w:t xml:space="preserve">.  </w:t>
      </w:r>
    </w:p>
    <w:p w14:paraId="15613D3B" w14:textId="3391AB67" w:rsidR="009561E1" w:rsidRPr="009D4083" w:rsidRDefault="0023419A" w:rsidP="0018485A">
      <w:pPr>
        <w:jc w:val="both"/>
        <w:rPr>
          <w:rFonts w:cs="Arial"/>
        </w:rPr>
      </w:pPr>
      <w:r w:rsidRPr="008C6939">
        <w:rPr>
          <w:rFonts w:eastAsia="Arial" w:cs="Arial"/>
        </w:rPr>
        <w:t>This Final Report</w:t>
      </w:r>
      <w:r w:rsidR="009561E1" w:rsidRPr="008C6939">
        <w:rPr>
          <w:rFonts w:eastAsia="Arial" w:cs="Arial"/>
        </w:rPr>
        <w:t xml:space="preserve"> outlines the Project </w:t>
      </w:r>
      <w:r w:rsidR="00A54C86">
        <w:rPr>
          <w:rFonts w:eastAsia="Arial" w:cs="Arial"/>
        </w:rPr>
        <w:t xml:space="preserve">outcomes.  </w:t>
      </w:r>
    </w:p>
    <w:p w14:paraId="4E76B33C" w14:textId="77777777" w:rsidR="009561E1" w:rsidRPr="006C47F8" w:rsidRDefault="00ED171A" w:rsidP="00ED171A">
      <w:pPr>
        <w:spacing w:after="0" w:line="240" w:lineRule="auto"/>
        <w:rPr>
          <w:i/>
          <w:color w:val="FF0000"/>
          <w:sz w:val="20"/>
          <w:szCs w:val="20"/>
        </w:rPr>
      </w:pPr>
      <w:r>
        <w:rPr>
          <w:i/>
          <w:color w:val="FF0000"/>
          <w:sz w:val="20"/>
          <w:szCs w:val="20"/>
        </w:rPr>
        <w:br w:type="page"/>
      </w:r>
    </w:p>
    <w:p w14:paraId="3AC6E47B" w14:textId="77777777" w:rsidR="008E6820" w:rsidRPr="00645CAF" w:rsidRDefault="008E6820" w:rsidP="00CF2317">
      <w:pPr>
        <w:pStyle w:val="Heading1"/>
        <w:numPr>
          <w:ilvl w:val="0"/>
          <w:numId w:val="2"/>
        </w:numPr>
        <w:ind w:left="0" w:firstLine="0"/>
      </w:pPr>
      <w:bookmarkStart w:id="2" w:name="_Toc38613954"/>
      <w:r w:rsidRPr="00645CAF">
        <w:lastRenderedPageBreak/>
        <w:t>Project statement</w:t>
      </w:r>
      <w:bookmarkEnd w:id="2"/>
    </w:p>
    <w:p w14:paraId="7B381ACC" w14:textId="77777777" w:rsidR="00747AFF" w:rsidRPr="00645CAF" w:rsidRDefault="00747AFF" w:rsidP="00747AFF">
      <w:pPr>
        <w:pStyle w:val="Heading2"/>
        <w:rPr>
          <w:szCs w:val="24"/>
        </w:rPr>
      </w:pPr>
      <w:bookmarkStart w:id="3" w:name="_Toc38613955"/>
      <w:r w:rsidRPr="00645CAF">
        <w:rPr>
          <w:szCs w:val="24"/>
        </w:rPr>
        <w:t>3.1 Background</w:t>
      </w:r>
      <w:bookmarkEnd w:id="3"/>
    </w:p>
    <w:p w14:paraId="3CE8E0BA" w14:textId="7A4269A3" w:rsidR="00924637" w:rsidRDefault="00923BCE" w:rsidP="003C5834">
      <w:pPr>
        <w:jc w:val="both"/>
        <w:rPr>
          <w:szCs w:val="22"/>
        </w:rPr>
      </w:pPr>
      <w:r w:rsidRPr="00923BCE">
        <w:rPr>
          <w:szCs w:val="22"/>
        </w:rPr>
        <w:t xml:space="preserve">The </w:t>
      </w:r>
      <w:r w:rsidR="00AB3875" w:rsidRPr="00923BCE">
        <w:rPr>
          <w:szCs w:val="22"/>
        </w:rPr>
        <w:t xml:space="preserve">new NPAAC Requirements for Supervision in the clinical Governance of Medical Laboratories (NPAAC </w:t>
      </w:r>
      <w:r w:rsidR="00AB3875" w:rsidRPr="00923BCE">
        <w:rPr>
          <w:i/>
          <w:szCs w:val="22"/>
        </w:rPr>
        <w:t>Requirements</w:t>
      </w:r>
      <w:r w:rsidR="00AB3875" w:rsidRPr="00923BCE">
        <w:rPr>
          <w:szCs w:val="22"/>
        </w:rPr>
        <w:t xml:space="preserve">) due to take effect in </w:t>
      </w:r>
      <w:r w:rsidR="00AB3875">
        <w:rPr>
          <w:szCs w:val="22"/>
        </w:rPr>
        <w:t>0</w:t>
      </w:r>
      <w:r w:rsidR="00AB3875" w:rsidRPr="00923BCE">
        <w:rPr>
          <w:szCs w:val="22"/>
        </w:rPr>
        <w:t xml:space="preserve">1 </w:t>
      </w:r>
      <w:r w:rsidR="003C5EA2">
        <w:rPr>
          <w:szCs w:val="22"/>
        </w:rPr>
        <w:t>December</w:t>
      </w:r>
      <w:r w:rsidR="00AB3875" w:rsidRPr="00923BCE">
        <w:rPr>
          <w:szCs w:val="22"/>
        </w:rPr>
        <w:t xml:space="preserve"> 2019</w:t>
      </w:r>
      <w:r w:rsidR="00AB3875">
        <w:rPr>
          <w:szCs w:val="22"/>
        </w:rPr>
        <w:t xml:space="preserve"> highlighted the need for the </w:t>
      </w:r>
      <w:r w:rsidRPr="00923BCE">
        <w:rPr>
          <w:szCs w:val="22"/>
        </w:rPr>
        <w:t xml:space="preserve">RCPA </w:t>
      </w:r>
      <w:r w:rsidR="00AB3875">
        <w:rPr>
          <w:szCs w:val="22"/>
        </w:rPr>
        <w:t xml:space="preserve">to </w:t>
      </w:r>
      <w:r w:rsidRPr="00923BCE">
        <w:rPr>
          <w:szCs w:val="22"/>
        </w:rPr>
        <w:t>identif</w:t>
      </w:r>
      <w:r w:rsidR="00AB3875">
        <w:rPr>
          <w:szCs w:val="22"/>
        </w:rPr>
        <w:t>y</w:t>
      </w:r>
      <w:r w:rsidRPr="00923BCE">
        <w:rPr>
          <w:szCs w:val="22"/>
        </w:rPr>
        <w:t xml:space="preserve"> </w:t>
      </w:r>
      <w:r w:rsidR="003C5EA2">
        <w:rPr>
          <w:szCs w:val="22"/>
        </w:rPr>
        <w:t>pathways for</w:t>
      </w:r>
      <w:r w:rsidRPr="00923BCE">
        <w:rPr>
          <w:szCs w:val="22"/>
        </w:rPr>
        <w:t xml:space="preserve"> non-genetic pathologists who supervise laboratories to </w:t>
      </w:r>
      <w:r w:rsidR="003C5EA2">
        <w:rPr>
          <w:szCs w:val="22"/>
        </w:rPr>
        <w:t xml:space="preserve">obtain competencies and qualifications to meet these genetic and genomic requirements.  </w:t>
      </w:r>
      <w:r w:rsidR="003C5EA2" w:rsidRPr="00923BCE">
        <w:rPr>
          <w:szCs w:val="22"/>
        </w:rPr>
        <w:t xml:space="preserve">These new requirements </w:t>
      </w:r>
      <w:r w:rsidR="003C5EA2">
        <w:rPr>
          <w:szCs w:val="22"/>
        </w:rPr>
        <w:t>require</w:t>
      </w:r>
      <w:r w:rsidR="003C5EA2" w:rsidRPr="00923BCE">
        <w:rPr>
          <w:szCs w:val="22"/>
        </w:rPr>
        <w:t xml:space="preserve"> laboratories to upskill the existing </w:t>
      </w:r>
      <w:r w:rsidR="003C5EA2" w:rsidRPr="004D55F3">
        <w:rPr>
          <w:szCs w:val="22"/>
        </w:rPr>
        <w:t xml:space="preserve">non-genetic pathologists to be </w:t>
      </w:r>
      <w:r w:rsidR="003C5EA2">
        <w:rPr>
          <w:szCs w:val="22"/>
        </w:rPr>
        <w:t xml:space="preserve">certified and </w:t>
      </w:r>
      <w:r w:rsidR="003C5EA2" w:rsidRPr="004D55F3">
        <w:rPr>
          <w:szCs w:val="22"/>
        </w:rPr>
        <w:t xml:space="preserve">competent </w:t>
      </w:r>
      <w:r w:rsidR="003C5EA2">
        <w:rPr>
          <w:szCs w:val="22"/>
        </w:rPr>
        <w:t xml:space="preserve">to </w:t>
      </w:r>
      <w:r w:rsidR="003C5EA2" w:rsidRPr="004D55F3">
        <w:rPr>
          <w:szCs w:val="22"/>
        </w:rPr>
        <w:t xml:space="preserve">perform </w:t>
      </w:r>
      <w:r w:rsidR="003C5EA2">
        <w:rPr>
          <w:szCs w:val="22"/>
        </w:rPr>
        <w:t xml:space="preserve">limited </w:t>
      </w:r>
      <w:r w:rsidR="003C5EA2" w:rsidRPr="004D55F3">
        <w:rPr>
          <w:szCs w:val="22"/>
        </w:rPr>
        <w:t>genetic and genomic pathology testing within their current scope of practice</w:t>
      </w:r>
      <w:r w:rsidR="003C5EA2" w:rsidRPr="00923BCE">
        <w:rPr>
          <w:szCs w:val="22"/>
        </w:rPr>
        <w:t xml:space="preserve"> within a satisfactory timeframe. </w:t>
      </w:r>
      <w:r w:rsidRPr="00923BCE">
        <w:rPr>
          <w:szCs w:val="22"/>
        </w:rPr>
        <w:t xml:space="preserve">  </w:t>
      </w:r>
      <w:r w:rsidR="00C1086A">
        <w:rPr>
          <w:szCs w:val="22"/>
        </w:rPr>
        <w:t>I</w:t>
      </w:r>
      <w:r w:rsidRPr="00923BCE">
        <w:rPr>
          <w:szCs w:val="22"/>
        </w:rPr>
        <w:t xml:space="preserve">n Australia there </w:t>
      </w:r>
      <w:r w:rsidR="003C5EA2">
        <w:rPr>
          <w:szCs w:val="22"/>
        </w:rPr>
        <w:t>were</w:t>
      </w:r>
      <w:r w:rsidR="00C1086A">
        <w:rPr>
          <w:szCs w:val="22"/>
        </w:rPr>
        <w:t xml:space="preserve"> </w:t>
      </w:r>
      <w:r w:rsidR="006607F0">
        <w:rPr>
          <w:szCs w:val="22"/>
        </w:rPr>
        <w:t>22</w:t>
      </w:r>
      <w:r w:rsidRPr="00923BCE">
        <w:rPr>
          <w:szCs w:val="22"/>
        </w:rPr>
        <w:t xml:space="preserve"> qualified genetic pathologists and </w:t>
      </w:r>
      <w:r w:rsidR="006607F0">
        <w:rPr>
          <w:szCs w:val="22"/>
        </w:rPr>
        <w:t>8</w:t>
      </w:r>
      <w:r w:rsidRPr="00923BCE">
        <w:rPr>
          <w:szCs w:val="22"/>
        </w:rPr>
        <w:t xml:space="preserve"> registrars in training who are deemed competent to supervise laboratories performing genetic and genomic testing</w:t>
      </w:r>
      <w:r w:rsidR="00ED0274">
        <w:rPr>
          <w:szCs w:val="22"/>
        </w:rPr>
        <w:t xml:space="preserve">, and a likely </w:t>
      </w:r>
      <w:r w:rsidR="00C1086A" w:rsidRPr="00ED0274">
        <w:rPr>
          <w:szCs w:val="22"/>
        </w:rPr>
        <w:t xml:space="preserve">shortfall in the number of suitably qualified </w:t>
      </w:r>
      <w:r w:rsidR="0045612E" w:rsidRPr="00ED0274">
        <w:rPr>
          <w:szCs w:val="22"/>
        </w:rPr>
        <w:t>labo</w:t>
      </w:r>
      <w:r w:rsidR="002B16CC" w:rsidRPr="00ED0274">
        <w:rPr>
          <w:szCs w:val="22"/>
        </w:rPr>
        <w:t>r</w:t>
      </w:r>
      <w:r w:rsidR="0045612E" w:rsidRPr="00ED0274">
        <w:rPr>
          <w:szCs w:val="22"/>
        </w:rPr>
        <w:t>atory</w:t>
      </w:r>
      <w:r w:rsidR="002B16CC" w:rsidRPr="00ED0274">
        <w:rPr>
          <w:szCs w:val="22"/>
        </w:rPr>
        <w:t xml:space="preserve"> </w:t>
      </w:r>
      <w:r w:rsidRPr="00ED0274">
        <w:rPr>
          <w:szCs w:val="22"/>
        </w:rPr>
        <w:t xml:space="preserve">supervisors to meet quality and demand once the NPAAC </w:t>
      </w:r>
      <w:r w:rsidRPr="00ED0274">
        <w:rPr>
          <w:i/>
          <w:szCs w:val="22"/>
        </w:rPr>
        <w:t>Requirements</w:t>
      </w:r>
      <w:r w:rsidRPr="00ED0274">
        <w:rPr>
          <w:szCs w:val="22"/>
        </w:rPr>
        <w:t xml:space="preserve"> become effective.</w:t>
      </w:r>
      <w:r w:rsidRPr="00923BCE">
        <w:rPr>
          <w:szCs w:val="22"/>
        </w:rPr>
        <w:t xml:space="preserve"> </w:t>
      </w:r>
      <w:r w:rsidR="00C1086A">
        <w:rPr>
          <w:szCs w:val="22"/>
        </w:rPr>
        <w:t>The</w:t>
      </w:r>
      <w:r w:rsidRPr="00923BCE">
        <w:rPr>
          <w:szCs w:val="22"/>
        </w:rPr>
        <w:t xml:space="preserve"> RCPA </w:t>
      </w:r>
      <w:r w:rsidR="00C1086A">
        <w:rPr>
          <w:szCs w:val="22"/>
        </w:rPr>
        <w:t xml:space="preserve">identified the need </w:t>
      </w:r>
      <w:r w:rsidRPr="00923BCE">
        <w:rPr>
          <w:szCs w:val="22"/>
        </w:rPr>
        <w:t>to implement a process and program to assess</w:t>
      </w:r>
      <w:r w:rsidR="005C3A20">
        <w:rPr>
          <w:szCs w:val="22"/>
        </w:rPr>
        <w:t xml:space="preserve"> non</w:t>
      </w:r>
      <w:r w:rsidR="003007CA">
        <w:rPr>
          <w:szCs w:val="22"/>
        </w:rPr>
        <w:t>-</w:t>
      </w:r>
      <w:r w:rsidR="005C3A20">
        <w:rPr>
          <w:szCs w:val="22"/>
        </w:rPr>
        <w:t>genetic pathologists</w:t>
      </w:r>
      <w:r w:rsidR="0045612E">
        <w:rPr>
          <w:szCs w:val="22"/>
        </w:rPr>
        <w:t xml:space="preserve"> who currently supervise laboratories where genetic and genomic testing is performed</w:t>
      </w:r>
      <w:r w:rsidRPr="00923BCE">
        <w:rPr>
          <w:szCs w:val="22"/>
        </w:rPr>
        <w:t xml:space="preserve">, and where </w:t>
      </w:r>
      <w:r w:rsidR="005C3A20">
        <w:rPr>
          <w:szCs w:val="22"/>
        </w:rPr>
        <w:t>required</w:t>
      </w:r>
      <w:r w:rsidRPr="00923BCE">
        <w:rPr>
          <w:szCs w:val="22"/>
        </w:rPr>
        <w:t xml:space="preserve">, to upskill </w:t>
      </w:r>
      <w:r w:rsidR="0045612E">
        <w:rPr>
          <w:szCs w:val="22"/>
        </w:rPr>
        <w:t xml:space="preserve">individual </w:t>
      </w:r>
      <w:r w:rsidRPr="00923BCE">
        <w:rPr>
          <w:szCs w:val="22"/>
        </w:rPr>
        <w:t>supervising pathologist</w:t>
      </w:r>
      <w:r w:rsidR="005C3A20">
        <w:rPr>
          <w:szCs w:val="22"/>
        </w:rPr>
        <w:t>s</w:t>
      </w:r>
      <w:r w:rsidRPr="00923BCE">
        <w:rPr>
          <w:szCs w:val="22"/>
        </w:rPr>
        <w:t xml:space="preserve"> </w:t>
      </w:r>
      <w:r w:rsidR="0045612E">
        <w:rPr>
          <w:szCs w:val="22"/>
        </w:rPr>
        <w:t xml:space="preserve">within their scope of practice to </w:t>
      </w:r>
      <w:r w:rsidR="005C3A20">
        <w:rPr>
          <w:szCs w:val="22"/>
        </w:rPr>
        <w:t>comply with</w:t>
      </w:r>
      <w:r w:rsidR="005C3A20" w:rsidRPr="00923BCE">
        <w:rPr>
          <w:szCs w:val="22"/>
        </w:rPr>
        <w:t xml:space="preserve"> </w:t>
      </w:r>
      <w:r w:rsidRPr="00923BCE">
        <w:rPr>
          <w:szCs w:val="22"/>
        </w:rPr>
        <w:t xml:space="preserve">the </w:t>
      </w:r>
      <w:r w:rsidR="0045612E">
        <w:rPr>
          <w:szCs w:val="22"/>
        </w:rPr>
        <w:t xml:space="preserve">new </w:t>
      </w:r>
      <w:r w:rsidRPr="00923BCE">
        <w:rPr>
          <w:szCs w:val="22"/>
        </w:rPr>
        <w:t>NPAAC laboratory supervisory requirements</w:t>
      </w:r>
      <w:r w:rsidR="0045612E">
        <w:rPr>
          <w:szCs w:val="22"/>
        </w:rPr>
        <w:t>.</w:t>
      </w:r>
    </w:p>
    <w:p w14:paraId="4AD6B4A8" w14:textId="3F7D1705" w:rsidR="00AB3875" w:rsidRDefault="003C5EA2" w:rsidP="003C5834">
      <w:pPr>
        <w:jc w:val="both"/>
        <w:rPr>
          <w:i/>
          <w:szCs w:val="22"/>
        </w:rPr>
      </w:pPr>
      <w:r>
        <w:rPr>
          <w:szCs w:val="22"/>
        </w:rPr>
        <w:t>T</w:t>
      </w:r>
      <w:r w:rsidRPr="004D55F3">
        <w:rPr>
          <w:szCs w:val="22"/>
        </w:rPr>
        <w:t>he RCPA developed certification criteria to ensure appropriately trained and qualified pathologists</w:t>
      </w:r>
      <w:r w:rsidR="00AA79A0">
        <w:rPr>
          <w:szCs w:val="22"/>
        </w:rPr>
        <w:t xml:space="preserve"> are in place</w:t>
      </w:r>
      <w:r w:rsidRPr="004D55F3">
        <w:rPr>
          <w:szCs w:val="22"/>
        </w:rPr>
        <w:t xml:space="preserve"> who can advise the requesting pathologist, other specialist or general practitioner about the correct test.  </w:t>
      </w:r>
      <w:r w:rsidRPr="00270A3E">
        <w:rPr>
          <w:szCs w:val="22"/>
        </w:rPr>
        <w:t xml:space="preserve">This structure will provide the most current scientific foundation for treatment decisions by certified and competent laboratory supervisors </w:t>
      </w:r>
      <w:r w:rsidRPr="004D55F3">
        <w:rPr>
          <w:szCs w:val="22"/>
        </w:rPr>
        <w:t>using genetic and genomic information as the basis for this decision making</w:t>
      </w:r>
      <w:r w:rsidRPr="003C5EA2">
        <w:rPr>
          <w:szCs w:val="22"/>
        </w:rPr>
        <w:t xml:space="preserve"> </w:t>
      </w:r>
      <w:r w:rsidR="00AE41E9">
        <w:rPr>
          <w:szCs w:val="22"/>
        </w:rPr>
        <w:t>with the</w:t>
      </w:r>
      <w:r w:rsidR="00AA79A0">
        <w:rPr>
          <w:szCs w:val="22"/>
        </w:rPr>
        <w:t xml:space="preserve"> introduction of the </w:t>
      </w:r>
      <w:r w:rsidRPr="004D55F3">
        <w:rPr>
          <w:szCs w:val="22"/>
        </w:rPr>
        <w:t xml:space="preserve">new NPAAC </w:t>
      </w:r>
      <w:r w:rsidRPr="004D55F3">
        <w:rPr>
          <w:i/>
          <w:szCs w:val="22"/>
        </w:rPr>
        <w:t>Requirements</w:t>
      </w:r>
      <w:r w:rsidR="00AA79A0">
        <w:rPr>
          <w:i/>
          <w:szCs w:val="22"/>
        </w:rPr>
        <w:t>.</w:t>
      </w:r>
    </w:p>
    <w:p w14:paraId="73BD4003" w14:textId="3E4DB9F6" w:rsidR="003C5834" w:rsidRPr="003C5834" w:rsidRDefault="003C5834" w:rsidP="003C5834">
      <w:pPr>
        <w:spacing w:after="0" w:line="240" w:lineRule="auto"/>
        <w:rPr>
          <w:iCs/>
          <w:szCs w:val="22"/>
        </w:rPr>
      </w:pPr>
      <w:r>
        <w:rPr>
          <w:iCs/>
          <w:szCs w:val="22"/>
        </w:rPr>
        <w:br w:type="page"/>
      </w:r>
    </w:p>
    <w:p w14:paraId="1328256D" w14:textId="77777777" w:rsidR="000B03C3" w:rsidRPr="00645CAF" w:rsidRDefault="000B03C3" w:rsidP="00CF2317">
      <w:pPr>
        <w:pStyle w:val="Heading1"/>
        <w:numPr>
          <w:ilvl w:val="0"/>
          <w:numId w:val="2"/>
        </w:numPr>
        <w:ind w:left="0" w:firstLine="0"/>
      </w:pPr>
      <w:bookmarkStart w:id="4" w:name="_Toc38613956"/>
      <w:r w:rsidRPr="00645CAF">
        <w:lastRenderedPageBreak/>
        <w:t>Scope</w:t>
      </w:r>
      <w:bookmarkEnd w:id="4"/>
    </w:p>
    <w:p w14:paraId="063092A7" w14:textId="77777777" w:rsidR="000B03C3" w:rsidRPr="00645CAF" w:rsidRDefault="00A600CC" w:rsidP="00A600CC">
      <w:pPr>
        <w:pStyle w:val="Heading2"/>
        <w:rPr>
          <w:szCs w:val="24"/>
        </w:rPr>
      </w:pPr>
      <w:bookmarkStart w:id="5" w:name="_Toc38613957"/>
      <w:r w:rsidRPr="00645CAF">
        <w:rPr>
          <w:szCs w:val="24"/>
        </w:rPr>
        <w:t>4.1 Purpose</w:t>
      </w:r>
      <w:bookmarkEnd w:id="5"/>
    </w:p>
    <w:p w14:paraId="396918EE" w14:textId="46E3EA68" w:rsidR="00BD73AC" w:rsidRPr="003C5834" w:rsidRDefault="00923BCE" w:rsidP="003C5834">
      <w:pPr>
        <w:jc w:val="both"/>
        <w:rPr>
          <w:szCs w:val="22"/>
        </w:rPr>
      </w:pPr>
      <w:r>
        <w:rPr>
          <w:szCs w:val="22"/>
        </w:rPr>
        <w:t xml:space="preserve">To </w:t>
      </w:r>
      <w:r w:rsidR="0045612E">
        <w:rPr>
          <w:szCs w:val="22"/>
        </w:rPr>
        <w:t xml:space="preserve">implement a program and a process to identify and </w:t>
      </w:r>
      <w:r w:rsidR="009C61DA">
        <w:rPr>
          <w:szCs w:val="22"/>
        </w:rPr>
        <w:t xml:space="preserve">certify </w:t>
      </w:r>
      <w:r>
        <w:rPr>
          <w:szCs w:val="22"/>
        </w:rPr>
        <w:t xml:space="preserve">suitably qualified </w:t>
      </w:r>
      <w:r w:rsidR="0045612E">
        <w:rPr>
          <w:szCs w:val="22"/>
        </w:rPr>
        <w:t>non</w:t>
      </w:r>
      <w:r w:rsidR="001871A5">
        <w:rPr>
          <w:szCs w:val="22"/>
        </w:rPr>
        <w:t>-</w:t>
      </w:r>
      <w:r w:rsidR="0045612E">
        <w:rPr>
          <w:szCs w:val="22"/>
        </w:rPr>
        <w:t xml:space="preserve">genetic </w:t>
      </w:r>
      <w:r>
        <w:rPr>
          <w:szCs w:val="22"/>
        </w:rPr>
        <w:t xml:space="preserve">pathologists who can supervise </w:t>
      </w:r>
      <w:r w:rsidR="0045612E">
        <w:rPr>
          <w:szCs w:val="22"/>
        </w:rPr>
        <w:t xml:space="preserve">laboratories performing </w:t>
      </w:r>
      <w:r>
        <w:rPr>
          <w:szCs w:val="22"/>
        </w:rPr>
        <w:t>genetic and genomic testing services</w:t>
      </w:r>
      <w:r w:rsidR="0045612E">
        <w:rPr>
          <w:szCs w:val="22"/>
        </w:rPr>
        <w:t xml:space="preserve"> within their scope of practice</w:t>
      </w:r>
      <w:r>
        <w:rPr>
          <w:szCs w:val="22"/>
        </w:rPr>
        <w:t xml:space="preserve"> in accordance with the new NPAAC </w:t>
      </w:r>
      <w:r>
        <w:rPr>
          <w:i/>
          <w:szCs w:val="22"/>
        </w:rPr>
        <w:t>Requirements</w:t>
      </w:r>
      <w:r>
        <w:rPr>
          <w:szCs w:val="22"/>
        </w:rPr>
        <w:t xml:space="preserve">, without compromising quality and / or service delivery. </w:t>
      </w:r>
    </w:p>
    <w:p w14:paraId="0FEE387B" w14:textId="77777777" w:rsidR="00A600CC" w:rsidRDefault="00A600CC" w:rsidP="00A600CC">
      <w:pPr>
        <w:pStyle w:val="Heading2"/>
        <w:rPr>
          <w:szCs w:val="24"/>
        </w:rPr>
      </w:pPr>
      <w:bookmarkStart w:id="6" w:name="_Toc38613958"/>
      <w:r w:rsidRPr="00645CAF">
        <w:rPr>
          <w:szCs w:val="24"/>
        </w:rPr>
        <w:t xml:space="preserve">4.2 </w:t>
      </w:r>
      <w:r w:rsidR="00216C42">
        <w:rPr>
          <w:szCs w:val="24"/>
        </w:rPr>
        <w:t>Project</w:t>
      </w:r>
      <w:r w:rsidRPr="00645CAF">
        <w:rPr>
          <w:szCs w:val="24"/>
        </w:rPr>
        <w:t xml:space="preserve"> objectives</w:t>
      </w:r>
      <w:bookmarkEnd w:id="6"/>
    </w:p>
    <w:p w14:paraId="1427E334" w14:textId="407508A0" w:rsidR="008D6431" w:rsidRDefault="008D6431" w:rsidP="00923BCE">
      <w:pPr>
        <w:jc w:val="both"/>
        <w:rPr>
          <w:szCs w:val="22"/>
        </w:rPr>
      </w:pPr>
      <w:r>
        <w:rPr>
          <w:szCs w:val="22"/>
        </w:rPr>
        <w:t xml:space="preserve">To increase the number of suitably trained and qualified pathologists who can supervise laboratories performing genetic and genomic testing within their disciplines in accordance with the new NPAAC </w:t>
      </w:r>
      <w:r w:rsidRPr="003C5834">
        <w:rPr>
          <w:i/>
          <w:iCs/>
          <w:szCs w:val="22"/>
        </w:rPr>
        <w:t>Requirements</w:t>
      </w:r>
      <w:r>
        <w:rPr>
          <w:i/>
          <w:iCs/>
          <w:szCs w:val="22"/>
        </w:rPr>
        <w:t xml:space="preserve"> </w:t>
      </w:r>
      <w:r>
        <w:rPr>
          <w:szCs w:val="22"/>
        </w:rPr>
        <w:t xml:space="preserve">through </w:t>
      </w:r>
      <w:r w:rsidR="00B923D2">
        <w:rPr>
          <w:szCs w:val="22"/>
        </w:rPr>
        <w:t>RPL</w:t>
      </w:r>
      <w:r>
        <w:rPr>
          <w:szCs w:val="22"/>
        </w:rPr>
        <w:t>. The</w:t>
      </w:r>
      <w:r w:rsidR="003007CA">
        <w:rPr>
          <w:szCs w:val="22"/>
        </w:rPr>
        <w:t xml:space="preserve"> </w:t>
      </w:r>
      <w:r w:rsidR="001871A5">
        <w:rPr>
          <w:szCs w:val="22"/>
        </w:rPr>
        <w:t>credentialing process</w:t>
      </w:r>
      <w:r>
        <w:rPr>
          <w:szCs w:val="22"/>
        </w:rPr>
        <w:t xml:space="preserve">, </w:t>
      </w:r>
      <w:r w:rsidR="001871A5">
        <w:rPr>
          <w:szCs w:val="22"/>
        </w:rPr>
        <w:t>undertaken by a panel of suitably qualified expert pathologists</w:t>
      </w:r>
      <w:r>
        <w:rPr>
          <w:szCs w:val="22"/>
        </w:rPr>
        <w:t>, was</w:t>
      </w:r>
      <w:r w:rsidR="001871A5">
        <w:rPr>
          <w:szCs w:val="22"/>
        </w:rPr>
        <w:t xml:space="preserve"> </w:t>
      </w:r>
      <w:r w:rsidR="00AD2BDB">
        <w:rPr>
          <w:szCs w:val="22"/>
        </w:rPr>
        <w:t xml:space="preserve">based upon </w:t>
      </w:r>
      <w:r w:rsidR="00923BCE">
        <w:rPr>
          <w:szCs w:val="22"/>
        </w:rPr>
        <w:t xml:space="preserve">recognition of prior learning / experience </w:t>
      </w:r>
      <w:r>
        <w:rPr>
          <w:szCs w:val="22"/>
        </w:rPr>
        <w:t xml:space="preserve">to </w:t>
      </w:r>
      <w:r w:rsidR="001871A5">
        <w:rPr>
          <w:szCs w:val="22"/>
        </w:rPr>
        <w:t>determine</w:t>
      </w:r>
      <w:r>
        <w:rPr>
          <w:szCs w:val="22"/>
        </w:rPr>
        <w:t>\</w:t>
      </w:r>
      <w:r w:rsidR="001871A5">
        <w:rPr>
          <w:szCs w:val="22"/>
        </w:rPr>
        <w:t xml:space="preserve"> </w:t>
      </w:r>
      <w:r w:rsidR="00923BCE">
        <w:rPr>
          <w:szCs w:val="22"/>
        </w:rPr>
        <w:t>certification</w:t>
      </w:r>
      <w:r w:rsidR="001871A5">
        <w:rPr>
          <w:szCs w:val="22"/>
        </w:rPr>
        <w:t xml:space="preserve"> </w:t>
      </w:r>
      <w:r w:rsidR="00923BCE">
        <w:rPr>
          <w:szCs w:val="22"/>
        </w:rPr>
        <w:t>in discipline specific modules relevant to each Fellow’s scope of practice</w:t>
      </w:r>
      <w:r w:rsidR="001871A5">
        <w:rPr>
          <w:szCs w:val="22"/>
        </w:rPr>
        <w:t xml:space="preserve">.  </w:t>
      </w:r>
    </w:p>
    <w:p w14:paraId="40F98E3E" w14:textId="4CE54F81" w:rsidR="00923BCE" w:rsidRDefault="001871A5" w:rsidP="00923BCE">
      <w:pPr>
        <w:jc w:val="both"/>
        <w:rPr>
          <w:szCs w:val="22"/>
        </w:rPr>
      </w:pPr>
      <w:r>
        <w:rPr>
          <w:szCs w:val="22"/>
        </w:rPr>
        <w:t>Successful certification under this recognition of prior learning / experience enable</w:t>
      </w:r>
      <w:r w:rsidR="00DA3AD5">
        <w:rPr>
          <w:szCs w:val="22"/>
        </w:rPr>
        <w:t>s</w:t>
      </w:r>
      <w:r>
        <w:rPr>
          <w:szCs w:val="22"/>
        </w:rPr>
        <w:t xml:space="preserve"> non-genetic </w:t>
      </w:r>
      <w:r w:rsidR="008669CD">
        <w:rPr>
          <w:szCs w:val="22"/>
        </w:rPr>
        <w:t xml:space="preserve">pathologists supervising laboratories </w:t>
      </w:r>
      <w:r w:rsidR="00923BCE">
        <w:rPr>
          <w:szCs w:val="22"/>
        </w:rPr>
        <w:t xml:space="preserve">to fulfil NPAAC </w:t>
      </w:r>
      <w:r w:rsidR="00923BCE">
        <w:rPr>
          <w:i/>
          <w:szCs w:val="22"/>
        </w:rPr>
        <w:t xml:space="preserve">Requirements </w:t>
      </w:r>
      <w:r w:rsidR="00923BCE">
        <w:rPr>
          <w:szCs w:val="22"/>
        </w:rPr>
        <w:t>in relation to genetic and genomic pathology</w:t>
      </w:r>
      <w:r w:rsidR="003007CA">
        <w:rPr>
          <w:szCs w:val="22"/>
        </w:rPr>
        <w:t xml:space="preserve"> testing</w:t>
      </w:r>
      <w:r w:rsidR="00923BCE">
        <w:rPr>
          <w:szCs w:val="22"/>
        </w:rPr>
        <w:t>.</w:t>
      </w:r>
    </w:p>
    <w:p w14:paraId="2E290010" w14:textId="30A48208" w:rsidR="00802156" w:rsidRPr="003C5834" w:rsidRDefault="002A1FCB" w:rsidP="003C5834">
      <w:pPr>
        <w:jc w:val="both"/>
        <w:rPr>
          <w:i/>
          <w:sz w:val="24"/>
        </w:rPr>
      </w:pPr>
      <w:r>
        <w:rPr>
          <w:szCs w:val="22"/>
        </w:rPr>
        <w:t>M</w:t>
      </w:r>
      <w:r w:rsidR="00923BCE">
        <w:rPr>
          <w:szCs w:val="22"/>
        </w:rPr>
        <w:t>oving forward</w:t>
      </w:r>
      <w:r>
        <w:rPr>
          <w:szCs w:val="22"/>
        </w:rPr>
        <w:t xml:space="preserve">, </w:t>
      </w:r>
      <w:r w:rsidR="00923BCE">
        <w:rPr>
          <w:szCs w:val="22"/>
        </w:rPr>
        <w:t xml:space="preserve">the </w:t>
      </w:r>
      <w:r>
        <w:rPr>
          <w:szCs w:val="22"/>
        </w:rPr>
        <w:t xml:space="preserve">assessment process and program will provide a suitable pathway to determine </w:t>
      </w:r>
      <w:r w:rsidR="00923BCE">
        <w:rPr>
          <w:szCs w:val="22"/>
        </w:rPr>
        <w:t>individual</w:t>
      </w:r>
      <w:r>
        <w:rPr>
          <w:szCs w:val="22"/>
        </w:rPr>
        <w:t xml:space="preserve"> upskilling requirement</w:t>
      </w:r>
      <w:r w:rsidR="00923BCE">
        <w:rPr>
          <w:szCs w:val="22"/>
        </w:rPr>
        <w:t>s to ensure each laboratory supervisor is deemed to have the necessary scope of practice to meet the revised NPAAC</w:t>
      </w:r>
      <w:r w:rsidR="00923BCE">
        <w:t xml:space="preserve"> </w:t>
      </w:r>
      <w:r w:rsidR="00923BCE">
        <w:rPr>
          <w:i/>
          <w:szCs w:val="22"/>
        </w:rPr>
        <w:t>Requirements</w:t>
      </w:r>
      <w:r w:rsidR="00923BCE">
        <w:rPr>
          <w:i/>
        </w:rPr>
        <w:t>.</w:t>
      </w:r>
    </w:p>
    <w:p w14:paraId="75F433E3" w14:textId="77777777" w:rsidR="00A600CC" w:rsidRPr="00645CAF" w:rsidRDefault="00A600CC" w:rsidP="00A600CC">
      <w:pPr>
        <w:pStyle w:val="Heading2"/>
        <w:rPr>
          <w:szCs w:val="24"/>
        </w:rPr>
      </w:pPr>
      <w:bookmarkStart w:id="7" w:name="_Toc38613959"/>
      <w:r w:rsidRPr="00645CAF">
        <w:rPr>
          <w:szCs w:val="24"/>
        </w:rPr>
        <w:t>4.</w:t>
      </w:r>
      <w:r w:rsidR="009701C9">
        <w:rPr>
          <w:szCs w:val="24"/>
        </w:rPr>
        <w:t>3</w:t>
      </w:r>
      <w:r w:rsidRPr="00645CAF">
        <w:rPr>
          <w:szCs w:val="24"/>
        </w:rPr>
        <w:t xml:space="preserve"> Exclusions</w:t>
      </w:r>
      <w:bookmarkEnd w:id="7"/>
    </w:p>
    <w:p w14:paraId="34776FA5" w14:textId="77777777" w:rsidR="009D3EE3" w:rsidRDefault="009D3EE3" w:rsidP="00923BCE">
      <w:pPr>
        <w:jc w:val="both"/>
        <w:rPr>
          <w:szCs w:val="22"/>
        </w:rPr>
      </w:pPr>
      <w:r w:rsidRPr="009D3EE3">
        <w:rPr>
          <w:szCs w:val="22"/>
        </w:rPr>
        <w:t>The following are considered exclusions in delivering this Project:</w:t>
      </w:r>
    </w:p>
    <w:p w14:paraId="6502E13C" w14:textId="77777777" w:rsidR="00923BCE" w:rsidRPr="001F177E" w:rsidRDefault="00923BCE" w:rsidP="00F96366">
      <w:pPr>
        <w:pStyle w:val="ListParagraph"/>
        <w:numPr>
          <w:ilvl w:val="0"/>
          <w:numId w:val="24"/>
        </w:numPr>
        <w:rPr>
          <w:szCs w:val="22"/>
        </w:rPr>
      </w:pPr>
      <w:r w:rsidRPr="001F177E">
        <w:rPr>
          <w:szCs w:val="22"/>
        </w:rPr>
        <w:t>The development of any further certification modules</w:t>
      </w:r>
      <w:r w:rsidR="00FB0B3C" w:rsidRPr="001F177E">
        <w:rPr>
          <w:szCs w:val="22"/>
        </w:rPr>
        <w:t xml:space="preserve"> associated with</w:t>
      </w:r>
      <w:r w:rsidR="002A1FCB">
        <w:rPr>
          <w:szCs w:val="22"/>
        </w:rPr>
        <w:t xml:space="preserve"> </w:t>
      </w:r>
      <w:r w:rsidR="00FB0B3C" w:rsidRPr="001F177E">
        <w:rPr>
          <w:szCs w:val="22"/>
        </w:rPr>
        <w:t>genetic/</w:t>
      </w:r>
      <w:r w:rsidR="002A1FCB">
        <w:rPr>
          <w:szCs w:val="22"/>
        </w:rPr>
        <w:t xml:space="preserve"> </w:t>
      </w:r>
      <w:r w:rsidR="00FB0B3C" w:rsidRPr="001F177E">
        <w:rPr>
          <w:szCs w:val="22"/>
        </w:rPr>
        <w:t>genomic/</w:t>
      </w:r>
      <w:r w:rsidR="002A1FCB">
        <w:rPr>
          <w:szCs w:val="22"/>
        </w:rPr>
        <w:t xml:space="preserve"> </w:t>
      </w:r>
      <w:r w:rsidR="00FB0B3C" w:rsidRPr="001F177E">
        <w:rPr>
          <w:szCs w:val="22"/>
        </w:rPr>
        <w:t>molecular testing and microbial genomics.</w:t>
      </w:r>
    </w:p>
    <w:p w14:paraId="3A87A1E6" w14:textId="77777777" w:rsidR="00923BCE" w:rsidRPr="001F177E" w:rsidRDefault="00923BCE" w:rsidP="00CF2317">
      <w:pPr>
        <w:pStyle w:val="ListParagraph"/>
        <w:numPr>
          <w:ilvl w:val="0"/>
          <w:numId w:val="24"/>
        </w:numPr>
        <w:jc w:val="both"/>
        <w:rPr>
          <w:szCs w:val="22"/>
        </w:rPr>
      </w:pPr>
      <w:r w:rsidRPr="001F177E">
        <w:rPr>
          <w:szCs w:val="22"/>
        </w:rPr>
        <w:t xml:space="preserve">The review of any of the </w:t>
      </w:r>
      <w:r w:rsidR="00FB0B3C" w:rsidRPr="001F177E">
        <w:rPr>
          <w:szCs w:val="22"/>
        </w:rPr>
        <w:t xml:space="preserve">medical </w:t>
      </w:r>
      <w:r w:rsidRPr="001F177E">
        <w:rPr>
          <w:szCs w:val="22"/>
        </w:rPr>
        <w:t xml:space="preserve">pathology </w:t>
      </w:r>
      <w:r w:rsidR="00FB0B3C" w:rsidRPr="001F177E">
        <w:rPr>
          <w:szCs w:val="22"/>
        </w:rPr>
        <w:t xml:space="preserve">trainee and post fellowship </w:t>
      </w:r>
      <w:r w:rsidRPr="001F177E">
        <w:rPr>
          <w:szCs w:val="22"/>
        </w:rPr>
        <w:t xml:space="preserve">curricula </w:t>
      </w:r>
    </w:p>
    <w:p w14:paraId="005ACC00" w14:textId="77777777" w:rsidR="00923BCE" w:rsidRPr="001F177E" w:rsidRDefault="00923BCE" w:rsidP="00CF2317">
      <w:pPr>
        <w:pStyle w:val="ListParagraph"/>
        <w:numPr>
          <w:ilvl w:val="0"/>
          <w:numId w:val="24"/>
        </w:numPr>
        <w:jc w:val="both"/>
        <w:rPr>
          <w:szCs w:val="22"/>
        </w:rPr>
      </w:pPr>
      <w:r w:rsidRPr="001F177E">
        <w:rPr>
          <w:szCs w:val="22"/>
        </w:rPr>
        <w:t>The engagement of the disciplines of Forensic Pathology or the standard genetic pathology</w:t>
      </w:r>
      <w:r w:rsidR="00FB0B3C" w:rsidRPr="001F177E">
        <w:rPr>
          <w:szCs w:val="22"/>
        </w:rPr>
        <w:t xml:space="preserve"> </w:t>
      </w:r>
      <w:r w:rsidR="002A1FCB">
        <w:rPr>
          <w:szCs w:val="22"/>
        </w:rPr>
        <w:t>F</w:t>
      </w:r>
      <w:r w:rsidR="002A1FCB" w:rsidRPr="001F177E">
        <w:rPr>
          <w:szCs w:val="22"/>
        </w:rPr>
        <w:t xml:space="preserve">ellowship </w:t>
      </w:r>
      <w:r w:rsidR="00FB0B3C" w:rsidRPr="001F177E">
        <w:rPr>
          <w:szCs w:val="22"/>
        </w:rPr>
        <w:t>to review trainee curriculums or develop certification modules associated with genetic/</w:t>
      </w:r>
      <w:r w:rsidR="002A1FCB">
        <w:rPr>
          <w:szCs w:val="22"/>
        </w:rPr>
        <w:t xml:space="preserve"> </w:t>
      </w:r>
      <w:r w:rsidR="00FB0B3C" w:rsidRPr="001F177E">
        <w:rPr>
          <w:szCs w:val="22"/>
        </w:rPr>
        <w:t>genomic/</w:t>
      </w:r>
      <w:r w:rsidR="002A1FCB">
        <w:rPr>
          <w:szCs w:val="22"/>
        </w:rPr>
        <w:t xml:space="preserve"> </w:t>
      </w:r>
      <w:r w:rsidR="00FB0B3C" w:rsidRPr="001F177E">
        <w:rPr>
          <w:szCs w:val="22"/>
        </w:rPr>
        <w:t xml:space="preserve">molecular testing and microbial genomics.  </w:t>
      </w:r>
    </w:p>
    <w:p w14:paraId="3650CE81" w14:textId="77777777" w:rsidR="00A600CC" w:rsidRDefault="009561E1" w:rsidP="009561E1">
      <w:pPr>
        <w:spacing w:after="0" w:line="240" w:lineRule="auto"/>
      </w:pPr>
      <w:r>
        <w:br w:type="page"/>
      </w:r>
    </w:p>
    <w:p w14:paraId="550EEEAD" w14:textId="77777777" w:rsidR="00A600CC" w:rsidRPr="00645CAF" w:rsidRDefault="004B489D" w:rsidP="00CF2317">
      <w:pPr>
        <w:pStyle w:val="Heading1"/>
        <w:numPr>
          <w:ilvl w:val="0"/>
          <w:numId w:val="2"/>
        </w:numPr>
        <w:ind w:left="0" w:firstLine="0"/>
      </w:pPr>
      <w:bookmarkStart w:id="8" w:name="_Toc38613960"/>
      <w:r>
        <w:lastRenderedPageBreak/>
        <w:t>Governance</w:t>
      </w:r>
      <w:bookmarkEnd w:id="8"/>
    </w:p>
    <w:p w14:paraId="38E73379" w14:textId="124380C6" w:rsidR="00F673DD" w:rsidRDefault="004B489D" w:rsidP="00FB0B3C">
      <w:pPr>
        <w:jc w:val="both"/>
        <w:rPr>
          <w:szCs w:val="22"/>
        </w:rPr>
      </w:pPr>
      <w:r>
        <w:rPr>
          <w:szCs w:val="22"/>
        </w:rPr>
        <w:t xml:space="preserve">The governance model identified by the Project provides the </w:t>
      </w:r>
      <w:r w:rsidR="00F96366">
        <w:rPr>
          <w:szCs w:val="22"/>
        </w:rPr>
        <w:t>decision-making</w:t>
      </w:r>
      <w:r>
        <w:rPr>
          <w:szCs w:val="22"/>
        </w:rPr>
        <w:t xml:space="preserve"> framework for all levels of the Project allow</w:t>
      </w:r>
      <w:r w:rsidR="009938E8">
        <w:rPr>
          <w:szCs w:val="22"/>
        </w:rPr>
        <w:t>ed</w:t>
      </w:r>
      <w:r>
        <w:rPr>
          <w:szCs w:val="22"/>
        </w:rPr>
        <w:t xml:space="preserve"> interconnectivity between the </w:t>
      </w:r>
      <w:r w:rsidR="00F673DD">
        <w:rPr>
          <w:szCs w:val="22"/>
        </w:rPr>
        <w:t xml:space="preserve">Project Steering Committee, </w:t>
      </w:r>
      <w:r>
        <w:rPr>
          <w:szCs w:val="22"/>
        </w:rPr>
        <w:t xml:space="preserve">Pathology Expert </w:t>
      </w:r>
      <w:r w:rsidR="00926D74">
        <w:rPr>
          <w:szCs w:val="22"/>
        </w:rPr>
        <w:t>Group</w:t>
      </w:r>
      <w:r>
        <w:rPr>
          <w:szCs w:val="22"/>
        </w:rPr>
        <w:t xml:space="preserve">, </w:t>
      </w:r>
      <w:r w:rsidR="00AD2BDB">
        <w:rPr>
          <w:szCs w:val="22"/>
        </w:rPr>
        <w:t xml:space="preserve">Technical Assessors, </w:t>
      </w:r>
      <w:r>
        <w:rPr>
          <w:szCs w:val="22"/>
        </w:rPr>
        <w:t xml:space="preserve">the RCPA Board </w:t>
      </w:r>
      <w:r w:rsidR="00F673DD">
        <w:rPr>
          <w:szCs w:val="22"/>
        </w:rPr>
        <w:t xml:space="preserve">of Directors, RCPA Board </w:t>
      </w:r>
      <w:r>
        <w:rPr>
          <w:szCs w:val="22"/>
        </w:rPr>
        <w:t xml:space="preserve">of Education and Assessment, </w:t>
      </w:r>
      <w:r w:rsidR="00924637">
        <w:rPr>
          <w:szCs w:val="22"/>
        </w:rPr>
        <w:t xml:space="preserve">and the Project Team. </w:t>
      </w:r>
      <w:r w:rsidR="00F82246">
        <w:rPr>
          <w:szCs w:val="22"/>
        </w:rPr>
        <w:t xml:space="preserve">The </w:t>
      </w:r>
      <w:r w:rsidR="00AD2BDB">
        <w:rPr>
          <w:szCs w:val="22"/>
        </w:rPr>
        <w:t xml:space="preserve">RCPA </w:t>
      </w:r>
      <w:r w:rsidR="00F82246">
        <w:rPr>
          <w:szCs w:val="22"/>
        </w:rPr>
        <w:t>Board of Director</w:t>
      </w:r>
      <w:r w:rsidR="00F673DD">
        <w:rPr>
          <w:szCs w:val="22"/>
        </w:rPr>
        <w:t>s</w:t>
      </w:r>
      <w:r w:rsidR="00F82246">
        <w:rPr>
          <w:szCs w:val="22"/>
        </w:rPr>
        <w:t xml:space="preserve"> approved the strategic intent of this </w:t>
      </w:r>
      <w:r w:rsidR="00F673DD">
        <w:rPr>
          <w:szCs w:val="22"/>
        </w:rPr>
        <w:t xml:space="preserve">Project </w:t>
      </w:r>
      <w:r w:rsidR="00F82246">
        <w:rPr>
          <w:szCs w:val="22"/>
        </w:rPr>
        <w:t xml:space="preserve">and </w:t>
      </w:r>
      <w:r w:rsidR="00F673DD">
        <w:rPr>
          <w:szCs w:val="22"/>
        </w:rPr>
        <w:t xml:space="preserve">the Project Steering Committee </w:t>
      </w:r>
      <w:r w:rsidR="00F82246">
        <w:rPr>
          <w:szCs w:val="22"/>
        </w:rPr>
        <w:t xml:space="preserve">developed a </w:t>
      </w:r>
      <w:r w:rsidR="00F673DD">
        <w:rPr>
          <w:szCs w:val="22"/>
        </w:rPr>
        <w:t>Project P</w:t>
      </w:r>
      <w:r w:rsidR="00F82246">
        <w:rPr>
          <w:szCs w:val="22"/>
        </w:rPr>
        <w:t>lan</w:t>
      </w:r>
      <w:r w:rsidR="00F673DD">
        <w:rPr>
          <w:szCs w:val="22"/>
        </w:rPr>
        <w:t xml:space="preserve"> to manage the deliverables.</w:t>
      </w:r>
    </w:p>
    <w:p w14:paraId="18AE6D85" w14:textId="77777777" w:rsidR="008523AB" w:rsidRDefault="008523AB" w:rsidP="00FB0B3C">
      <w:pPr>
        <w:jc w:val="both"/>
        <w:rPr>
          <w:szCs w:val="22"/>
        </w:rPr>
      </w:pPr>
    </w:p>
    <w:p w14:paraId="76AC4282" w14:textId="77777777" w:rsidR="00F673DD" w:rsidRPr="00F673DD" w:rsidRDefault="00F673DD" w:rsidP="00F96366">
      <w:pPr>
        <w:pStyle w:val="Heading2"/>
      </w:pPr>
      <w:bookmarkStart w:id="9" w:name="_Toc38613961"/>
      <w:r w:rsidRPr="00F673DD">
        <w:rPr>
          <w:szCs w:val="24"/>
        </w:rPr>
        <w:t>5.1 Steering Committee</w:t>
      </w:r>
      <w:bookmarkEnd w:id="9"/>
    </w:p>
    <w:p w14:paraId="49806219" w14:textId="6CF6CD43" w:rsidR="007A08DD" w:rsidRDefault="00F673DD" w:rsidP="00985202">
      <w:pPr>
        <w:jc w:val="both"/>
        <w:rPr>
          <w:szCs w:val="22"/>
        </w:rPr>
      </w:pPr>
      <w:r>
        <w:rPr>
          <w:szCs w:val="22"/>
        </w:rPr>
        <w:t>The Project Steering Committee report</w:t>
      </w:r>
      <w:r w:rsidR="00CE14AC">
        <w:rPr>
          <w:szCs w:val="22"/>
        </w:rPr>
        <w:t>ed</w:t>
      </w:r>
      <w:r>
        <w:rPr>
          <w:szCs w:val="22"/>
        </w:rPr>
        <w:t xml:space="preserve"> to the RCPA Board of Directors and include</w:t>
      </w:r>
      <w:r w:rsidR="00DB50D2">
        <w:rPr>
          <w:szCs w:val="22"/>
        </w:rPr>
        <w:t>d</w:t>
      </w:r>
      <w:r>
        <w:rPr>
          <w:szCs w:val="22"/>
        </w:rPr>
        <w:t xml:space="preserve"> </w:t>
      </w:r>
      <w:r w:rsidR="004C1487">
        <w:rPr>
          <w:szCs w:val="22"/>
        </w:rPr>
        <w:t xml:space="preserve">RCPA Genetic Pathology Chief Examiner, and </w:t>
      </w:r>
      <w:r>
        <w:rPr>
          <w:szCs w:val="22"/>
        </w:rPr>
        <w:t>representatives from the RCPA Management Team</w:t>
      </w:r>
      <w:r w:rsidR="004C1487">
        <w:rPr>
          <w:szCs w:val="22"/>
        </w:rPr>
        <w:t>.</w:t>
      </w:r>
      <w:r w:rsidR="00F82246">
        <w:rPr>
          <w:szCs w:val="22"/>
        </w:rPr>
        <w:t xml:space="preserve">  </w:t>
      </w:r>
      <w:bookmarkStart w:id="10" w:name="_Hlk5796390"/>
      <w:r w:rsidR="00F82246">
        <w:rPr>
          <w:szCs w:val="22"/>
        </w:rPr>
        <w:t xml:space="preserve">The Steering Committee </w:t>
      </w:r>
      <w:r w:rsidR="00926D74">
        <w:rPr>
          <w:szCs w:val="22"/>
        </w:rPr>
        <w:t>comprise</w:t>
      </w:r>
      <w:r w:rsidR="00DB50D2">
        <w:rPr>
          <w:szCs w:val="22"/>
        </w:rPr>
        <w:t>d</w:t>
      </w:r>
      <w:r w:rsidR="00985202">
        <w:rPr>
          <w:szCs w:val="22"/>
        </w:rPr>
        <w:t>: -</w:t>
      </w:r>
    </w:p>
    <w:p w14:paraId="5D403013" w14:textId="77777777" w:rsidR="00FB0B3C" w:rsidRDefault="00926D74" w:rsidP="00985202">
      <w:pPr>
        <w:pStyle w:val="ListParagraph"/>
        <w:numPr>
          <w:ilvl w:val="0"/>
          <w:numId w:val="27"/>
        </w:numPr>
        <w:jc w:val="both"/>
        <w:rPr>
          <w:szCs w:val="22"/>
        </w:rPr>
      </w:pPr>
      <w:r>
        <w:rPr>
          <w:szCs w:val="22"/>
        </w:rPr>
        <w:t xml:space="preserve">RCPA </w:t>
      </w:r>
      <w:r w:rsidR="007A08DD">
        <w:rPr>
          <w:szCs w:val="22"/>
        </w:rPr>
        <w:t>Chief Executive Officer</w:t>
      </w:r>
    </w:p>
    <w:p w14:paraId="02811E53" w14:textId="77777777" w:rsidR="00926D74" w:rsidRDefault="00926D74" w:rsidP="00985202">
      <w:pPr>
        <w:pStyle w:val="ListParagraph"/>
        <w:numPr>
          <w:ilvl w:val="0"/>
          <w:numId w:val="27"/>
        </w:numPr>
        <w:jc w:val="both"/>
        <w:rPr>
          <w:szCs w:val="22"/>
        </w:rPr>
      </w:pPr>
      <w:r>
        <w:rPr>
          <w:szCs w:val="22"/>
        </w:rPr>
        <w:t>RCPA Chief Examiner – Genetic Pathology</w:t>
      </w:r>
    </w:p>
    <w:p w14:paraId="2E750C54" w14:textId="77777777" w:rsidR="007A08DD" w:rsidRDefault="00926D74" w:rsidP="00985202">
      <w:pPr>
        <w:pStyle w:val="ListParagraph"/>
        <w:numPr>
          <w:ilvl w:val="0"/>
          <w:numId w:val="27"/>
        </w:numPr>
        <w:jc w:val="both"/>
        <w:rPr>
          <w:szCs w:val="22"/>
        </w:rPr>
      </w:pPr>
      <w:r>
        <w:rPr>
          <w:szCs w:val="22"/>
        </w:rPr>
        <w:t xml:space="preserve">RCPA </w:t>
      </w:r>
      <w:r w:rsidR="007A08DD">
        <w:rPr>
          <w:szCs w:val="22"/>
        </w:rPr>
        <w:t>General Manager – Operations</w:t>
      </w:r>
    </w:p>
    <w:p w14:paraId="5B66B281" w14:textId="77777777" w:rsidR="007A08DD" w:rsidRDefault="00926D74" w:rsidP="00985202">
      <w:pPr>
        <w:pStyle w:val="ListParagraph"/>
        <w:numPr>
          <w:ilvl w:val="0"/>
          <w:numId w:val="27"/>
        </w:numPr>
        <w:jc w:val="both"/>
        <w:rPr>
          <w:szCs w:val="22"/>
        </w:rPr>
      </w:pPr>
      <w:r>
        <w:rPr>
          <w:szCs w:val="22"/>
        </w:rPr>
        <w:t xml:space="preserve">RCPA Manager, </w:t>
      </w:r>
      <w:r w:rsidR="007A08DD">
        <w:rPr>
          <w:szCs w:val="22"/>
        </w:rPr>
        <w:t>Project Management Office</w:t>
      </w:r>
    </w:p>
    <w:p w14:paraId="0DDAF45B" w14:textId="77777777" w:rsidR="007A08DD" w:rsidRDefault="00926D74" w:rsidP="00985202">
      <w:pPr>
        <w:pStyle w:val="ListParagraph"/>
        <w:numPr>
          <w:ilvl w:val="0"/>
          <w:numId w:val="27"/>
        </w:numPr>
        <w:jc w:val="both"/>
        <w:rPr>
          <w:szCs w:val="22"/>
        </w:rPr>
      </w:pPr>
      <w:r>
        <w:rPr>
          <w:szCs w:val="22"/>
        </w:rPr>
        <w:t>RCPA Project</w:t>
      </w:r>
      <w:r w:rsidR="001B3936">
        <w:rPr>
          <w:szCs w:val="22"/>
        </w:rPr>
        <w:t xml:space="preserve"> Officer</w:t>
      </w:r>
    </w:p>
    <w:p w14:paraId="6E7037DB" w14:textId="321D361D" w:rsidR="009561E1" w:rsidRPr="009561E1" w:rsidRDefault="004C1487" w:rsidP="009561E1">
      <w:pPr>
        <w:jc w:val="both"/>
        <w:rPr>
          <w:szCs w:val="22"/>
        </w:rPr>
      </w:pPr>
      <w:r>
        <w:rPr>
          <w:szCs w:val="22"/>
        </w:rPr>
        <w:t>The Steering Committee is responsible for the coordination and oversight of the Project</w:t>
      </w:r>
      <w:r w:rsidR="009513B1">
        <w:rPr>
          <w:szCs w:val="22"/>
        </w:rPr>
        <w:t xml:space="preserve">, including the assessment process for individual applicants under the </w:t>
      </w:r>
      <w:r w:rsidR="00B923D2">
        <w:rPr>
          <w:szCs w:val="22"/>
        </w:rPr>
        <w:t>RPL</w:t>
      </w:r>
      <w:r w:rsidR="00926D74">
        <w:rPr>
          <w:szCs w:val="22"/>
        </w:rPr>
        <w:t>.</w:t>
      </w:r>
      <w:r>
        <w:rPr>
          <w:szCs w:val="22"/>
        </w:rPr>
        <w:t xml:space="preserve"> </w:t>
      </w:r>
      <w:r w:rsidR="00926D74" w:rsidRPr="00F73E99">
        <w:t>This include</w:t>
      </w:r>
      <w:r w:rsidR="00883601">
        <w:t>d</w:t>
      </w:r>
      <w:r w:rsidR="00926D74" w:rsidRPr="00F73E99">
        <w:t xml:space="preserve"> project deliverables, meeting the key performance indicators and management of the financial budget. </w:t>
      </w:r>
      <w:r w:rsidR="00926D74">
        <w:t xml:space="preserve">The Steering Committee </w:t>
      </w:r>
      <w:r w:rsidR="00883601">
        <w:t>were</w:t>
      </w:r>
      <w:r w:rsidR="00926D74">
        <w:t xml:space="preserve"> also responsible for </w:t>
      </w:r>
      <w:r>
        <w:rPr>
          <w:szCs w:val="22"/>
        </w:rPr>
        <w:t xml:space="preserve">promoting all Project activities regarding the </w:t>
      </w:r>
      <w:r w:rsidR="00B602A0">
        <w:rPr>
          <w:szCs w:val="22"/>
        </w:rPr>
        <w:t xml:space="preserve">application and </w:t>
      </w:r>
      <w:r>
        <w:rPr>
          <w:szCs w:val="22"/>
        </w:rPr>
        <w:t>credentialing process, assessment panel</w:t>
      </w:r>
      <w:r w:rsidR="00B602A0">
        <w:rPr>
          <w:szCs w:val="22"/>
        </w:rPr>
        <w:t xml:space="preserve"> composition</w:t>
      </w:r>
      <w:r>
        <w:rPr>
          <w:szCs w:val="22"/>
        </w:rPr>
        <w:t xml:space="preserve">, timeframe for assessment, </w:t>
      </w:r>
      <w:r w:rsidR="00B602A0">
        <w:rPr>
          <w:szCs w:val="22"/>
        </w:rPr>
        <w:t xml:space="preserve">outcomes of assessment and other relevant material or timeframes regarding the </w:t>
      </w:r>
      <w:r w:rsidRPr="00F96366">
        <w:rPr>
          <w:i/>
          <w:szCs w:val="22"/>
        </w:rPr>
        <w:t>N</w:t>
      </w:r>
      <w:r w:rsidR="00B602A0" w:rsidRPr="00F96366">
        <w:rPr>
          <w:i/>
          <w:szCs w:val="22"/>
        </w:rPr>
        <w:t>PAAC Requirements</w:t>
      </w:r>
      <w:r w:rsidR="00B602A0">
        <w:rPr>
          <w:szCs w:val="22"/>
        </w:rPr>
        <w:t xml:space="preserve">.  </w:t>
      </w:r>
      <w:r w:rsidR="001B3936">
        <w:rPr>
          <w:szCs w:val="22"/>
        </w:rPr>
        <w:t xml:space="preserve">The Steering Committee met </w:t>
      </w:r>
      <w:r w:rsidR="00B602A0">
        <w:rPr>
          <w:szCs w:val="22"/>
        </w:rPr>
        <w:t xml:space="preserve">regularly </w:t>
      </w:r>
      <w:r w:rsidR="001B3936">
        <w:rPr>
          <w:szCs w:val="22"/>
        </w:rPr>
        <w:t xml:space="preserve">and </w:t>
      </w:r>
      <w:r w:rsidR="00B602A0">
        <w:rPr>
          <w:szCs w:val="22"/>
        </w:rPr>
        <w:t>receive</w:t>
      </w:r>
      <w:r w:rsidR="00883601">
        <w:rPr>
          <w:szCs w:val="22"/>
        </w:rPr>
        <w:t>d</w:t>
      </w:r>
      <w:r w:rsidR="00B602A0">
        <w:rPr>
          <w:szCs w:val="22"/>
        </w:rPr>
        <w:t xml:space="preserve"> formal recommendations from </w:t>
      </w:r>
      <w:r w:rsidR="001B3936">
        <w:rPr>
          <w:szCs w:val="22"/>
        </w:rPr>
        <w:t xml:space="preserve">the </w:t>
      </w:r>
      <w:r w:rsidR="00210609">
        <w:rPr>
          <w:szCs w:val="22"/>
        </w:rPr>
        <w:t>Technical Assessors</w:t>
      </w:r>
      <w:r w:rsidR="008F6D6D">
        <w:rPr>
          <w:szCs w:val="22"/>
        </w:rPr>
        <w:t xml:space="preserve"> </w:t>
      </w:r>
      <w:r w:rsidR="00926D74">
        <w:rPr>
          <w:szCs w:val="22"/>
        </w:rPr>
        <w:t>when</w:t>
      </w:r>
      <w:r w:rsidR="00B602A0">
        <w:rPr>
          <w:szCs w:val="22"/>
        </w:rPr>
        <w:t xml:space="preserve"> assessments </w:t>
      </w:r>
      <w:r w:rsidR="00883601">
        <w:rPr>
          <w:szCs w:val="22"/>
        </w:rPr>
        <w:t>were</w:t>
      </w:r>
      <w:r w:rsidR="00B602A0">
        <w:rPr>
          <w:szCs w:val="22"/>
        </w:rPr>
        <w:t xml:space="preserve"> </w:t>
      </w:r>
      <w:r w:rsidR="00926D74">
        <w:rPr>
          <w:szCs w:val="22"/>
        </w:rPr>
        <w:t>finalised</w:t>
      </w:r>
      <w:r w:rsidR="00B602A0">
        <w:rPr>
          <w:szCs w:val="22"/>
        </w:rPr>
        <w:t xml:space="preserve">.  </w:t>
      </w:r>
      <w:r w:rsidR="00926D74">
        <w:rPr>
          <w:szCs w:val="22"/>
        </w:rPr>
        <w:t xml:space="preserve">The </w:t>
      </w:r>
      <w:r w:rsidR="00210609">
        <w:rPr>
          <w:szCs w:val="22"/>
        </w:rPr>
        <w:t>Technical Assessors</w:t>
      </w:r>
      <w:r w:rsidR="00F96366">
        <w:rPr>
          <w:szCs w:val="22"/>
        </w:rPr>
        <w:t xml:space="preserve"> </w:t>
      </w:r>
      <w:r w:rsidR="00926D74">
        <w:rPr>
          <w:szCs w:val="22"/>
        </w:rPr>
        <w:t>provide</w:t>
      </w:r>
      <w:r w:rsidR="001929D0">
        <w:rPr>
          <w:szCs w:val="22"/>
        </w:rPr>
        <w:t>d</w:t>
      </w:r>
      <w:r w:rsidR="00926D74">
        <w:rPr>
          <w:szCs w:val="22"/>
        </w:rPr>
        <w:t xml:space="preserve"> the </w:t>
      </w:r>
      <w:r w:rsidR="00B602A0">
        <w:rPr>
          <w:szCs w:val="22"/>
        </w:rPr>
        <w:t xml:space="preserve">Steering Committee </w:t>
      </w:r>
      <w:r w:rsidR="00926D74">
        <w:rPr>
          <w:szCs w:val="22"/>
        </w:rPr>
        <w:t>with the recommendations from the formal assessments</w:t>
      </w:r>
      <w:r w:rsidR="00210609">
        <w:rPr>
          <w:szCs w:val="22"/>
        </w:rPr>
        <w:t xml:space="preserve">.  </w:t>
      </w:r>
      <w:r w:rsidR="00F96366">
        <w:rPr>
          <w:szCs w:val="22"/>
        </w:rPr>
        <w:t xml:space="preserve">The Steering Committee </w:t>
      </w:r>
      <w:r w:rsidR="001929D0">
        <w:rPr>
          <w:szCs w:val="22"/>
        </w:rPr>
        <w:t>submitted recommendations</w:t>
      </w:r>
      <w:r w:rsidR="00926D74">
        <w:rPr>
          <w:szCs w:val="22"/>
        </w:rPr>
        <w:t xml:space="preserve"> to the RCPA Board of Education and Assessment</w:t>
      </w:r>
      <w:r w:rsidR="00F96366">
        <w:rPr>
          <w:szCs w:val="22"/>
        </w:rPr>
        <w:t xml:space="preserve"> for endorsement</w:t>
      </w:r>
      <w:r w:rsidR="00926D74">
        <w:rPr>
          <w:szCs w:val="22"/>
        </w:rPr>
        <w:t xml:space="preserve">, and finally to the </w:t>
      </w:r>
      <w:r w:rsidR="00B602A0">
        <w:rPr>
          <w:szCs w:val="22"/>
        </w:rPr>
        <w:t xml:space="preserve">RCPA Board of Directors for </w:t>
      </w:r>
      <w:r w:rsidR="00926D74">
        <w:rPr>
          <w:szCs w:val="22"/>
        </w:rPr>
        <w:t xml:space="preserve">final </w:t>
      </w:r>
      <w:r w:rsidR="00B602A0">
        <w:rPr>
          <w:szCs w:val="22"/>
        </w:rPr>
        <w:t>approval.</w:t>
      </w:r>
      <w:r w:rsidR="00F96366">
        <w:rPr>
          <w:szCs w:val="22"/>
        </w:rPr>
        <w:t xml:space="preserve">  If the assessment outcome </w:t>
      </w:r>
      <w:r w:rsidR="001929D0">
        <w:rPr>
          <w:szCs w:val="22"/>
        </w:rPr>
        <w:t>wa</w:t>
      </w:r>
      <w:r w:rsidR="00F96366">
        <w:rPr>
          <w:szCs w:val="22"/>
        </w:rPr>
        <w:t>s unfavourable, the Steering Committee work</w:t>
      </w:r>
      <w:r w:rsidR="001929D0">
        <w:rPr>
          <w:szCs w:val="22"/>
        </w:rPr>
        <w:t>ed</w:t>
      </w:r>
      <w:r w:rsidR="00F96366">
        <w:rPr>
          <w:szCs w:val="22"/>
        </w:rPr>
        <w:t xml:space="preserve"> with the </w:t>
      </w:r>
      <w:r w:rsidR="00F96366" w:rsidRPr="00464583">
        <w:rPr>
          <w:szCs w:val="22"/>
        </w:rPr>
        <w:t>Pathology Expert Group</w:t>
      </w:r>
      <w:r w:rsidR="00F96366">
        <w:rPr>
          <w:szCs w:val="22"/>
        </w:rPr>
        <w:t xml:space="preserve"> to provide adequate feedback to the applicants</w:t>
      </w:r>
      <w:r w:rsidR="00B602A0" w:rsidRPr="00F96366">
        <w:rPr>
          <w:szCs w:val="22"/>
        </w:rPr>
        <w:t>.</w:t>
      </w:r>
      <w:r w:rsidR="00B602A0">
        <w:rPr>
          <w:szCs w:val="22"/>
        </w:rPr>
        <w:t xml:space="preserve"> </w:t>
      </w:r>
    </w:p>
    <w:p w14:paraId="621BB1EF" w14:textId="77777777" w:rsidR="002B16CC" w:rsidRPr="00F673DD" w:rsidRDefault="002B16CC" w:rsidP="002B16CC">
      <w:pPr>
        <w:pStyle w:val="Heading2"/>
        <w:rPr>
          <w:szCs w:val="24"/>
        </w:rPr>
      </w:pPr>
      <w:bookmarkStart w:id="11" w:name="_Toc38613962"/>
      <w:r w:rsidRPr="00F673DD">
        <w:rPr>
          <w:szCs w:val="24"/>
        </w:rPr>
        <w:t>5.</w:t>
      </w:r>
      <w:r>
        <w:rPr>
          <w:szCs w:val="24"/>
        </w:rPr>
        <w:t>2</w:t>
      </w:r>
      <w:r w:rsidRPr="00F673DD">
        <w:rPr>
          <w:szCs w:val="24"/>
        </w:rPr>
        <w:t xml:space="preserve"> </w:t>
      </w:r>
      <w:r w:rsidR="00CE192F">
        <w:rPr>
          <w:szCs w:val="24"/>
        </w:rPr>
        <w:t>Pathology</w:t>
      </w:r>
      <w:r>
        <w:rPr>
          <w:szCs w:val="24"/>
        </w:rPr>
        <w:t xml:space="preserve"> Expert Group</w:t>
      </w:r>
      <w:bookmarkEnd w:id="11"/>
    </w:p>
    <w:p w14:paraId="5B8614E2" w14:textId="685BDDCB" w:rsidR="00985202" w:rsidRDefault="00F96366" w:rsidP="00985202">
      <w:pPr>
        <w:jc w:val="both"/>
      </w:pPr>
      <w:r>
        <w:t xml:space="preserve">The </w:t>
      </w:r>
      <w:r w:rsidR="00985202">
        <w:t>Pathology Expert Group report</w:t>
      </w:r>
      <w:r w:rsidR="001929D0">
        <w:t>ed</w:t>
      </w:r>
      <w:r w:rsidR="00985202">
        <w:t xml:space="preserve"> to the Steering Committee and </w:t>
      </w:r>
      <w:r w:rsidR="00985202" w:rsidRPr="00464583">
        <w:t>provide</w:t>
      </w:r>
      <w:r w:rsidR="001929D0">
        <w:t>d</w:t>
      </w:r>
      <w:r w:rsidR="00985202" w:rsidRPr="00464583">
        <w:t xml:space="preserve"> </w:t>
      </w:r>
      <w:r w:rsidR="009513B1" w:rsidRPr="00267F99">
        <w:t xml:space="preserve">expert technical and professional </w:t>
      </w:r>
      <w:r w:rsidR="00985202" w:rsidRPr="00464583">
        <w:t xml:space="preserve">advice </w:t>
      </w:r>
      <w:r w:rsidR="008F6D6D" w:rsidRPr="00464583">
        <w:t xml:space="preserve">regarding genetic and genomic </w:t>
      </w:r>
      <w:r w:rsidR="00985202" w:rsidRPr="00464583">
        <w:t>pathology kn</w:t>
      </w:r>
      <w:r w:rsidR="00985202">
        <w:t xml:space="preserve">owledge and understanding associated with </w:t>
      </w:r>
      <w:r w:rsidR="00B170B2">
        <w:t xml:space="preserve">certification </w:t>
      </w:r>
      <w:r w:rsidR="009513B1">
        <w:t xml:space="preserve">assessment process undertaken by </w:t>
      </w:r>
      <w:r w:rsidR="00985202">
        <w:t xml:space="preserve">this </w:t>
      </w:r>
      <w:r w:rsidR="008F6D6D">
        <w:t>Project</w:t>
      </w:r>
      <w:r w:rsidR="00985202">
        <w:t xml:space="preserve">. The </w:t>
      </w:r>
      <w:r w:rsidR="008F6D6D">
        <w:t xml:space="preserve">Pathology Expert </w:t>
      </w:r>
      <w:r w:rsidR="00985202">
        <w:t>Group work</w:t>
      </w:r>
      <w:r w:rsidR="001929D0">
        <w:t>ed</w:t>
      </w:r>
      <w:r w:rsidR="00985202">
        <w:t xml:space="preserve"> with the Steering Committee to ensure the principles of the </w:t>
      </w:r>
      <w:r w:rsidR="00B923D2">
        <w:t>RPL</w:t>
      </w:r>
      <w:r w:rsidR="00985202">
        <w:t xml:space="preserve"> </w:t>
      </w:r>
      <w:r w:rsidR="001929D0">
        <w:t>were</w:t>
      </w:r>
      <w:r w:rsidR="00E4637C">
        <w:t xml:space="preserve"> upheld and </w:t>
      </w:r>
      <w:r w:rsidR="00B170B2">
        <w:t xml:space="preserve">the assessment of </w:t>
      </w:r>
      <w:r w:rsidR="00E4637C">
        <w:t xml:space="preserve">each application </w:t>
      </w:r>
      <w:r w:rsidR="001929D0">
        <w:t>wa</w:t>
      </w:r>
      <w:r w:rsidR="00E4637C">
        <w:t xml:space="preserve">s conducted with the highest level of integrity.  </w:t>
      </w:r>
      <w:r w:rsidR="00985202">
        <w:t xml:space="preserve">The Pathology </w:t>
      </w:r>
      <w:r w:rsidR="00985202" w:rsidRPr="00985202">
        <w:rPr>
          <w:szCs w:val="22"/>
        </w:rPr>
        <w:t>Expert</w:t>
      </w:r>
      <w:r w:rsidR="00985202">
        <w:t xml:space="preserve"> Group comprise</w:t>
      </w:r>
      <w:r w:rsidR="001929D0">
        <w:t>d</w:t>
      </w:r>
      <w:r w:rsidR="00985202">
        <w:t>: -</w:t>
      </w:r>
    </w:p>
    <w:p w14:paraId="41DC13FE" w14:textId="77777777" w:rsidR="00985202" w:rsidRDefault="00985202" w:rsidP="00985202">
      <w:pPr>
        <w:pStyle w:val="ListParagraph"/>
        <w:numPr>
          <w:ilvl w:val="0"/>
          <w:numId w:val="39"/>
        </w:numPr>
        <w:jc w:val="both"/>
        <w:rPr>
          <w:szCs w:val="22"/>
        </w:rPr>
      </w:pPr>
      <w:r>
        <w:rPr>
          <w:szCs w:val="22"/>
        </w:rPr>
        <w:t>RCPA Chief Examiner – Genetic Pathology</w:t>
      </w:r>
    </w:p>
    <w:p w14:paraId="32F7D4B6" w14:textId="77777777" w:rsidR="00985202" w:rsidRPr="004A1F98" w:rsidRDefault="00985202" w:rsidP="00985202">
      <w:pPr>
        <w:pStyle w:val="ListParagraph"/>
        <w:numPr>
          <w:ilvl w:val="0"/>
          <w:numId w:val="39"/>
        </w:numPr>
        <w:jc w:val="both"/>
        <w:rPr>
          <w:szCs w:val="22"/>
        </w:rPr>
      </w:pPr>
      <w:r w:rsidRPr="004A1F98">
        <w:t xml:space="preserve">Former </w:t>
      </w:r>
      <w:r w:rsidRPr="004A1F98">
        <w:rPr>
          <w:szCs w:val="22"/>
        </w:rPr>
        <w:t>RCPA Chief Examiner – Genetic Pathology</w:t>
      </w:r>
    </w:p>
    <w:p w14:paraId="68A810FF" w14:textId="1271A1E4" w:rsidR="00E4637C" w:rsidRPr="00E4637C" w:rsidRDefault="00E4637C" w:rsidP="00267F99">
      <w:pPr>
        <w:jc w:val="both"/>
        <w:rPr>
          <w:szCs w:val="22"/>
        </w:rPr>
      </w:pPr>
      <w:r w:rsidRPr="004A1F98">
        <w:rPr>
          <w:szCs w:val="22"/>
        </w:rPr>
        <w:t>The Pathology Expert Group provide</w:t>
      </w:r>
      <w:r w:rsidR="00D222E1">
        <w:rPr>
          <w:szCs w:val="22"/>
        </w:rPr>
        <w:t>d</w:t>
      </w:r>
      <w:r w:rsidRPr="004A1F98">
        <w:rPr>
          <w:szCs w:val="22"/>
        </w:rPr>
        <w:t xml:space="preserve"> valuable support</w:t>
      </w:r>
      <w:r w:rsidR="004A1F98">
        <w:rPr>
          <w:szCs w:val="22"/>
        </w:rPr>
        <w:t xml:space="preserve"> and </w:t>
      </w:r>
      <w:r w:rsidR="00A65FDC" w:rsidRPr="004A1F98">
        <w:rPr>
          <w:szCs w:val="22"/>
        </w:rPr>
        <w:t xml:space="preserve">advice </w:t>
      </w:r>
      <w:r w:rsidRPr="004A1F98">
        <w:rPr>
          <w:szCs w:val="22"/>
        </w:rPr>
        <w:t>to the Technical Assessors / Assessment Panel</w:t>
      </w:r>
      <w:r w:rsidR="00B170B2">
        <w:rPr>
          <w:szCs w:val="22"/>
        </w:rPr>
        <w:t>s</w:t>
      </w:r>
      <w:r w:rsidRPr="004A1F98">
        <w:rPr>
          <w:szCs w:val="22"/>
        </w:rPr>
        <w:t xml:space="preserve"> where </w:t>
      </w:r>
      <w:r w:rsidR="00A65FDC" w:rsidRPr="004A1F98">
        <w:rPr>
          <w:szCs w:val="22"/>
        </w:rPr>
        <w:t xml:space="preserve">complex determinations </w:t>
      </w:r>
      <w:r w:rsidR="00D222E1">
        <w:rPr>
          <w:szCs w:val="22"/>
        </w:rPr>
        <w:t>were</w:t>
      </w:r>
      <w:r w:rsidR="009513B1" w:rsidRPr="00267F99">
        <w:rPr>
          <w:szCs w:val="22"/>
        </w:rPr>
        <w:t xml:space="preserve"> </w:t>
      </w:r>
      <w:r w:rsidR="00A65FDC" w:rsidRPr="004A1F98">
        <w:rPr>
          <w:szCs w:val="22"/>
        </w:rPr>
        <w:t>require</w:t>
      </w:r>
      <w:r w:rsidR="009513B1" w:rsidRPr="00267F99">
        <w:rPr>
          <w:szCs w:val="22"/>
        </w:rPr>
        <w:t>d.</w:t>
      </w:r>
      <w:r w:rsidR="004A1F98">
        <w:rPr>
          <w:szCs w:val="22"/>
        </w:rPr>
        <w:t xml:space="preserve"> In the event of appeals, the Pathology Expert Group determine</w:t>
      </w:r>
      <w:r w:rsidR="00D222E1">
        <w:rPr>
          <w:szCs w:val="22"/>
        </w:rPr>
        <w:t>d</w:t>
      </w:r>
      <w:r w:rsidR="004A1F98">
        <w:rPr>
          <w:szCs w:val="22"/>
        </w:rPr>
        <w:t xml:space="preserve"> final outcomes</w:t>
      </w:r>
      <w:r w:rsidR="00A65FDC" w:rsidRPr="004A1F98">
        <w:rPr>
          <w:szCs w:val="22"/>
        </w:rPr>
        <w:t>.</w:t>
      </w:r>
    </w:p>
    <w:p w14:paraId="12A10066" w14:textId="77777777" w:rsidR="00CE192F" w:rsidRDefault="00F96366" w:rsidP="00F96366">
      <w:pPr>
        <w:pStyle w:val="Heading2"/>
      </w:pPr>
      <w:bookmarkStart w:id="12" w:name="_Toc38613963"/>
      <w:r>
        <w:lastRenderedPageBreak/>
        <w:t xml:space="preserve">5.3 </w:t>
      </w:r>
      <w:r w:rsidR="00CE192F">
        <w:t>Assessment Panel</w:t>
      </w:r>
      <w:bookmarkEnd w:id="12"/>
    </w:p>
    <w:p w14:paraId="459902E6" w14:textId="756053C2" w:rsidR="00CE192F" w:rsidRDefault="00CE192F" w:rsidP="00CE62BA">
      <w:pPr>
        <w:spacing w:after="0"/>
        <w:jc w:val="both"/>
      </w:pPr>
      <w:r>
        <w:t xml:space="preserve">The </w:t>
      </w:r>
      <w:r w:rsidR="00B170B2">
        <w:t xml:space="preserve">Project </w:t>
      </w:r>
      <w:r>
        <w:t xml:space="preserve">determined there </w:t>
      </w:r>
      <w:r w:rsidR="00D222E1">
        <w:t>were</w:t>
      </w:r>
      <w:r>
        <w:t xml:space="preserve"> five pathology disciplines which require</w:t>
      </w:r>
      <w:r w:rsidR="00D222E1">
        <w:t>d</w:t>
      </w:r>
      <w:r>
        <w:t xml:space="preserve"> individual non-genetic pathologists to participate in the </w:t>
      </w:r>
      <w:r w:rsidR="00B923D2">
        <w:t>RPL</w:t>
      </w:r>
      <w:r>
        <w:t xml:space="preserve"> to supervise laboratories performing genetic and genomic testing within their scope of practice.</w:t>
      </w:r>
    </w:p>
    <w:p w14:paraId="1A111417" w14:textId="77777777" w:rsidR="00CE192F" w:rsidRDefault="00CE192F" w:rsidP="00CE62BA">
      <w:pPr>
        <w:spacing w:after="0"/>
        <w:jc w:val="both"/>
      </w:pPr>
    </w:p>
    <w:p w14:paraId="1C3C645D" w14:textId="77777777" w:rsidR="00CE192F" w:rsidRDefault="00CE192F" w:rsidP="00CE62BA">
      <w:pPr>
        <w:pStyle w:val="ListParagraph"/>
        <w:numPr>
          <w:ilvl w:val="0"/>
          <w:numId w:val="37"/>
        </w:numPr>
        <w:spacing w:after="0"/>
        <w:jc w:val="both"/>
      </w:pPr>
      <w:r>
        <w:t>Anatomical Pathology</w:t>
      </w:r>
    </w:p>
    <w:p w14:paraId="53E30B7E" w14:textId="77777777" w:rsidR="00CE192F" w:rsidRDefault="00CE192F" w:rsidP="00CE62BA">
      <w:pPr>
        <w:pStyle w:val="ListParagraph"/>
        <w:numPr>
          <w:ilvl w:val="0"/>
          <w:numId w:val="37"/>
        </w:numPr>
        <w:spacing w:after="0"/>
        <w:jc w:val="both"/>
      </w:pPr>
      <w:r>
        <w:t>Haematology</w:t>
      </w:r>
    </w:p>
    <w:p w14:paraId="483CB418" w14:textId="77777777" w:rsidR="00CE192F" w:rsidRDefault="00CE192F" w:rsidP="00CE62BA">
      <w:pPr>
        <w:pStyle w:val="ListParagraph"/>
        <w:numPr>
          <w:ilvl w:val="0"/>
          <w:numId w:val="37"/>
        </w:numPr>
        <w:spacing w:after="0"/>
        <w:jc w:val="both"/>
      </w:pPr>
      <w:r>
        <w:t>Chemical Pathology</w:t>
      </w:r>
    </w:p>
    <w:p w14:paraId="5BD5D5F5" w14:textId="77777777" w:rsidR="00CE192F" w:rsidRDefault="00CE192F" w:rsidP="00CE62BA">
      <w:pPr>
        <w:pStyle w:val="ListParagraph"/>
        <w:numPr>
          <w:ilvl w:val="0"/>
          <w:numId w:val="37"/>
        </w:numPr>
        <w:spacing w:after="0"/>
        <w:jc w:val="both"/>
      </w:pPr>
      <w:r>
        <w:t>Immuno</w:t>
      </w:r>
      <w:r w:rsidR="00985202">
        <w:t>pathology</w:t>
      </w:r>
    </w:p>
    <w:p w14:paraId="357DFEA8" w14:textId="77777777" w:rsidR="00CE192F" w:rsidRDefault="00CE192F" w:rsidP="00CE62BA">
      <w:pPr>
        <w:pStyle w:val="ListParagraph"/>
        <w:numPr>
          <w:ilvl w:val="0"/>
          <w:numId w:val="37"/>
        </w:numPr>
        <w:spacing w:after="0"/>
        <w:jc w:val="both"/>
      </w:pPr>
      <w:r>
        <w:t>Microbiology</w:t>
      </w:r>
    </w:p>
    <w:p w14:paraId="3D9F4707" w14:textId="77777777" w:rsidR="00CE192F" w:rsidRDefault="00CE192F" w:rsidP="00CE62BA">
      <w:pPr>
        <w:spacing w:after="0"/>
        <w:jc w:val="both"/>
      </w:pPr>
    </w:p>
    <w:p w14:paraId="2274A2C6" w14:textId="1EDF0544" w:rsidR="00CE192F" w:rsidRDefault="00CE192F" w:rsidP="00CE62BA">
      <w:pPr>
        <w:spacing w:after="0"/>
        <w:jc w:val="both"/>
      </w:pPr>
      <w:r>
        <w:t>The Project identified the assessment of each module require</w:t>
      </w:r>
      <w:r w:rsidR="00D222E1">
        <w:t>d</w:t>
      </w:r>
      <w:r>
        <w:t xml:space="preserve"> a minimum of two </w:t>
      </w:r>
      <w:r w:rsidR="00E4637C">
        <w:t>Technical Assessors</w:t>
      </w:r>
      <w:r>
        <w:t xml:space="preserve">, “the Panel” (Chief Examiner – Genetic Pathology or delegate; Chief Examiner – relevant discipline or delegate).  The </w:t>
      </w:r>
      <w:r w:rsidR="00A65FDC">
        <w:t>Assessment Panel</w:t>
      </w:r>
      <w:r>
        <w:t xml:space="preserve"> </w:t>
      </w:r>
      <w:r w:rsidR="00A65FDC">
        <w:t xml:space="preserve">for each discipline </w:t>
      </w:r>
      <w:r>
        <w:t>comprise</w:t>
      </w:r>
      <w:r w:rsidR="00D222E1">
        <w:t>d</w:t>
      </w:r>
      <w:r>
        <w:t xml:space="preserve"> of </w:t>
      </w:r>
      <w:r w:rsidR="00A65FDC">
        <w:t xml:space="preserve">Technical Assessors </w:t>
      </w:r>
      <w:r>
        <w:t xml:space="preserve">as above who </w:t>
      </w:r>
      <w:r w:rsidR="00D222E1">
        <w:t xml:space="preserve">were </w:t>
      </w:r>
      <w:r>
        <w:t xml:space="preserve">responsible for assessing </w:t>
      </w:r>
      <w:r w:rsidRPr="00464583">
        <w:t xml:space="preserve">each </w:t>
      </w:r>
      <w:r w:rsidR="00B170B2" w:rsidRPr="00464583">
        <w:t>Module</w:t>
      </w:r>
      <w:r w:rsidR="00B170B2">
        <w:t xml:space="preserve"> </w:t>
      </w:r>
      <w:r w:rsidR="00A65FDC">
        <w:t>relevant to the applicants</w:t>
      </w:r>
      <w:r w:rsidR="008523AB">
        <w:t>’</w:t>
      </w:r>
      <w:r w:rsidR="00A65FDC">
        <w:t xml:space="preserve"> discipline </w:t>
      </w:r>
      <w:r>
        <w:t xml:space="preserve">for all non-genetic pathologists </w:t>
      </w:r>
      <w:r w:rsidR="00D222E1">
        <w:t>who sought</w:t>
      </w:r>
      <w:r>
        <w:t xml:space="preserve"> certification through the </w:t>
      </w:r>
      <w:r w:rsidR="00B923D2">
        <w:t>RPL</w:t>
      </w:r>
      <w:r>
        <w:t>.</w:t>
      </w:r>
    </w:p>
    <w:p w14:paraId="6F95477D" w14:textId="77777777" w:rsidR="002B16CC" w:rsidRDefault="002B16CC" w:rsidP="00CE62BA">
      <w:pPr>
        <w:spacing w:after="0"/>
      </w:pPr>
    </w:p>
    <w:p w14:paraId="75AE2B1F" w14:textId="77777777" w:rsidR="00A600CC" w:rsidRPr="00645CAF" w:rsidRDefault="00A600CC" w:rsidP="00A600CC">
      <w:pPr>
        <w:pStyle w:val="Heading2"/>
        <w:rPr>
          <w:szCs w:val="24"/>
        </w:rPr>
      </w:pPr>
      <w:bookmarkStart w:id="13" w:name="_Toc38613964"/>
      <w:bookmarkEnd w:id="10"/>
      <w:r w:rsidRPr="00645CAF">
        <w:rPr>
          <w:szCs w:val="24"/>
        </w:rPr>
        <w:lastRenderedPageBreak/>
        <w:t>5.</w:t>
      </w:r>
      <w:r w:rsidR="00985202">
        <w:rPr>
          <w:szCs w:val="24"/>
        </w:rPr>
        <w:t>4</w:t>
      </w:r>
      <w:r w:rsidR="001A4B9D" w:rsidRPr="00645CAF">
        <w:rPr>
          <w:szCs w:val="24"/>
        </w:rPr>
        <w:t xml:space="preserve"> </w:t>
      </w:r>
      <w:r w:rsidR="008D1D9B">
        <w:rPr>
          <w:szCs w:val="24"/>
        </w:rPr>
        <w:t xml:space="preserve">Governance </w:t>
      </w:r>
      <w:r w:rsidR="001247DB" w:rsidRPr="00645CAF">
        <w:rPr>
          <w:szCs w:val="24"/>
        </w:rPr>
        <w:t>Structure</w:t>
      </w:r>
      <w:bookmarkEnd w:id="13"/>
    </w:p>
    <w:p w14:paraId="35B9407E" w14:textId="77777777" w:rsidR="00923BCE" w:rsidRDefault="00923BCE" w:rsidP="001247DB">
      <w:pPr>
        <w:pStyle w:val="Heading3"/>
        <w:rPr>
          <w:sz w:val="24"/>
        </w:rPr>
      </w:pPr>
      <w:bookmarkStart w:id="14" w:name="_Toc6213603"/>
      <w:bookmarkStart w:id="15" w:name="_Toc6225218"/>
      <w:bookmarkStart w:id="16" w:name="_Toc38613965"/>
      <w:r>
        <w:rPr>
          <w:noProof/>
          <w:lang w:eastAsia="en-AU"/>
        </w:rPr>
        <w:drawing>
          <wp:inline distT="0" distB="0" distL="0" distR="0" wp14:anchorId="2C2D15DC" wp14:editId="397584F2">
            <wp:extent cx="6188710" cy="6377049"/>
            <wp:effectExtent l="0" t="0" r="2540" b="5080"/>
            <wp:docPr id="18" name="Picture 18" descr="Diagram showing the governance structure of the project&#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stretch>
                      <a:fillRect/>
                    </a:stretch>
                  </pic:blipFill>
                  <pic:spPr>
                    <a:xfrm>
                      <a:off x="0" y="0"/>
                      <a:ext cx="6208134" cy="6397064"/>
                    </a:xfrm>
                    <a:prstGeom prst="rect">
                      <a:avLst/>
                    </a:prstGeom>
                  </pic:spPr>
                </pic:pic>
              </a:graphicData>
            </a:graphic>
          </wp:inline>
        </w:drawing>
      </w:r>
      <w:bookmarkEnd w:id="14"/>
      <w:bookmarkEnd w:id="15"/>
      <w:bookmarkEnd w:id="16"/>
    </w:p>
    <w:p w14:paraId="1EEC01E9" w14:textId="77777777" w:rsidR="001247DB" w:rsidRPr="00645CAF" w:rsidRDefault="001247DB" w:rsidP="001247DB">
      <w:pPr>
        <w:pStyle w:val="Heading3"/>
        <w:rPr>
          <w:sz w:val="24"/>
        </w:rPr>
      </w:pPr>
      <w:bookmarkStart w:id="17" w:name="_Toc6213604"/>
      <w:bookmarkStart w:id="18" w:name="_Toc6225219"/>
      <w:bookmarkStart w:id="19" w:name="_Toc38613966"/>
      <w:r w:rsidRPr="00645CAF">
        <w:rPr>
          <w:sz w:val="24"/>
        </w:rPr>
        <w:t xml:space="preserve">Figure 1: </w:t>
      </w:r>
      <w:r w:rsidR="00923BCE">
        <w:rPr>
          <w:i/>
          <w:sz w:val="24"/>
        </w:rPr>
        <w:t>Project Governance Structure</w:t>
      </w:r>
      <w:bookmarkEnd w:id="17"/>
      <w:bookmarkEnd w:id="18"/>
      <w:bookmarkEnd w:id="19"/>
    </w:p>
    <w:p w14:paraId="32C361C5" w14:textId="77777777" w:rsidR="00D20F84" w:rsidRDefault="00D20F84">
      <w:pPr>
        <w:spacing w:after="0" w:line="240" w:lineRule="auto"/>
      </w:pPr>
      <w:r>
        <w:br w:type="page"/>
      </w:r>
    </w:p>
    <w:p w14:paraId="781F8FDE" w14:textId="6B7E95C0" w:rsidR="00D23FB1" w:rsidRPr="00E73A3C" w:rsidRDefault="00D23FB1" w:rsidP="00F948F0">
      <w:pPr>
        <w:pStyle w:val="Heading1"/>
        <w:numPr>
          <w:ilvl w:val="0"/>
          <w:numId w:val="2"/>
        </w:numPr>
        <w:ind w:left="0" w:firstLine="0"/>
      </w:pPr>
      <w:bookmarkStart w:id="20" w:name="_Toc38613967"/>
      <w:r w:rsidRPr="00E73A3C">
        <w:lastRenderedPageBreak/>
        <w:t>Project Activities</w:t>
      </w:r>
      <w:bookmarkEnd w:id="20"/>
    </w:p>
    <w:p w14:paraId="38D9D2FA" w14:textId="14C6C08E" w:rsidR="00E14005" w:rsidRDefault="00EB4EB7" w:rsidP="00EB4EB7">
      <w:r>
        <w:t>There were two key parts to the Project approach – call for expressions of interest, and the assessment and certification of applicants.</w:t>
      </w:r>
    </w:p>
    <w:p w14:paraId="7322DC0B" w14:textId="77777777" w:rsidR="00EB4EB7" w:rsidRDefault="00EB4EB7" w:rsidP="003C5834"/>
    <w:p w14:paraId="7469520B" w14:textId="3EFD236E" w:rsidR="00F81B4F" w:rsidRDefault="00F81B4F" w:rsidP="003C5834">
      <w:pPr>
        <w:pStyle w:val="Heading2"/>
      </w:pPr>
      <w:r>
        <w:t xml:space="preserve"> </w:t>
      </w:r>
      <w:bookmarkStart w:id="21" w:name="_Toc38613968"/>
      <w:r w:rsidR="003C5834">
        <w:t xml:space="preserve">6.1 </w:t>
      </w:r>
      <w:r>
        <w:t xml:space="preserve">Work Activity (Phase 1 – </w:t>
      </w:r>
      <w:r w:rsidR="00EB4EB7">
        <w:t>Expressions of Interest</w:t>
      </w:r>
      <w:r w:rsidR="000E023D">
        <w:t>)</w:t>
      </w:r>
      <w:bookmarkEnd w:id="21"/>
    </w:p>
    <w:p w14:paraId="750B6E27" w14:textId="0D39EA39" w:rsidR="00EB4EB7" w:rsidRDefault="00EB4EB7" w:rsidP="00F81B4F"/>
    <w:p w14:paraId="6FD0F4E7" w14:textId="583AFCD2" w:rsidR="00942FDC" w:rsidRPr="0079436C" w:rsidRDefault="00942FDC" w:rsidP="00942FDC">
      <w:pPr>
        <w:pStyle w:val="ListParagraph"/>
        <w:numPr>
          <w:ilvl w:val="0"/>
          <w:numId w:val="36"/>
        </w:numPr>
        <w:jc w:val="both"/>
      </w:pPr>
      <w:r>
        <w:t xml:space="preserve">The Project called for Expressions of interest for </w:t>
      </w:r>
      <w:r w:rsidR="00B923D2">
        <w:t>RPL</w:t>
      </w:r>
      <w:r>
        <w:t xml:space="preserve"> from the RCPA membership for </w:t>
      </w:r>
      <w:r>
        <w:rPr>
          <w:rFonts w:cs="Arial"/>
          <w:szCs w:val="22"/>
        </w:rPr>
        <w:t>individuals who already had the expertise required to supervise a restricted range of testing</w:t>
      </w:r>
      <w:r w:rsidR="003B3F16">
        <w:rPr>
          <w:rFonts w:cs="Arial"/>
          <w:szCs w:val="22"/>
        </w:rPr>
        <w:t>,</w:t>
      </w:r>
      <w:r w:rsidR="003C5834">
        <w:rPr>
          <w:rFonts w:cs="Arial"/>
          <w:szCs w:val="22"/>
        </w:rPr>
        <w:t xml:space="preserve"> </w:t>
      </w:r>
      <w:r>
        <w:rPr>
          <w:rFonts w:cs="Arial"/>
          <w:szCs w:val="22"/>
        </w:rPr>
        <w:t>who are doing so in a NATA/RCPA-accredited environment, and who have a sound performance record in relevant external quality assurance programs</w:t>
      </w:r>
      <w:r w:rsidR="0079436C">
        <w:rPr>
          <w:rFonts w:cs="Arial"/>
          <w:szCs w:val="22"/>
        </w:rPr>
        <w:t>.</w:t>
      </w:r>
    </w:p>
    <w:p w14:paraId="318383A7" w14:textId="77777777" w:rsidR="0079436C" w:rsidRDefault="0079436C" w:rsidP="003C5834">
      <w:pPr>
        <w:pStyle w:val="ListParagraph"/>
        <w:spacing w:line="240" w:lineRule="auto"/>
        <w:contextualSpacing w:val="0"/>
        <w:jc w:val="both"/>
        <w:rPr>
          <w:rFonts w:cs="Arial"/>
          <w:szCs w:val="22"/>
        </w:rPr>
      </w:pPr>
    </w:p>
    <w:p w14:paraId="298AB8AD" w14:textId="5B8289E0" w:rsidR="0079436C" w:rsidRPr="0079436C" w:rsidRDefault="00942FDC" w:rsidP="0079436C">
      <w:pPr>
        <w:pStyle w:val="ListParagraph"/>
        <w:numPr>
          <w:ilvl w:val="0"/>
          <w:numId w:val="36"/>
        </w:numPr>
        <w:spacing w:after="0" w:line="240" w:lineRule="auto"/>
        <w:contextualSpacing w:val="0"/>
        <w:jc w:val="both"/>
        <w:rPr>
          <w:rFonts w:cs="Arial"/>
          <w:szCs w:val="22"/>
        </w:rPr>
      </w:pPr>
      <w:r>
        <w:rPr>
          <w:rFonts w:cs="Arial"/>
          <w:szCs w:val="22"/>
        </w:rPr>
        <w:t xml:space="preserve">Applicants were required to complete the application form together with the template addressing the assessment criteria (relevant to the applicant’s discipline). The completed template required endorsement by the head of department/service/medical director. </w:t>
      </w:r>
      <w:r w:rsidR="0079436C">
        <w:rPr>
          <w:rFonts w:cs="Arial"/>
          <w:szCs w:val="22"/>
        </w:rPr>
        <w:t xml:space="preserve">  </w:t>
      </w:r>
      <w:r w:rsidR="0079436C">
        <w:t>Applicants were required to submit evidence of the following:</w:t>
      </w:r>
    </w:p>
    <w:p w14:paraId="39F04D96" w14:textId="77777777" w:rsidR="0079436C" w:rsidRPr="0079436C" w:rsidRDefault="0079436C" w:rsidP="003C5834">
      <w:pPr>
        <w:pStyle w:val="ListParagraph"/>
        <w:spacing w:after="0" w:line="240" w:lineRule="auto"/>
        <w:jc w:val="both"/>
        <w:rPr>
          <w:rFonts w:cs="Arial"/>
          <w:szCs w:val="22"/>
        </w:rPr>
      </w:pPr>
    </w:p>
    <w:p w14:paraId="0F6B3991" w14:textId="77777777" w:rsidR="0079436C" w:rsidRPr="0007747C" w:rsidRDefault="0079436C" w:rsidP="003C5834">
      <w:pPr>
        <w:widowControl w:val="0"/>
        <w:numPr>
          <w:ilvl w:val="0"/>
          <w:numId w:val="62"/>
        </w:numPr>
        <w:suppressAutoHyphens/>
        <w:spacing w:after="0" w:line="240" w:lineRule="auto"/>
        <w:ind w:left="1440"/>
        <w:contextualSpacing/>
        <w:rPr>
          <w:rFonts w:cs="Arial"/>
          <w:szCs w:val="22"/>
        </w:rPr>
      </w:pPr>
      <w:r w:rsidRPr="0007747C">
        <w:rPr>
          <w:rFonts w:cs="Arial"/>
          <w:szCs w:val="22"/>
        </w:rPr>
        <w:t>Covering Letter addressing the recognition of prior learning criteria</w:t>
      </w:r>
    </w:p>
    <w:p w14:paraId="1F8C2EFE" w14:textId="77777777" w:rsidR="0079436C" w:rsidRPr="0007747C" w:rsidRDefault="0079436C" w:rsidP="003C5834">
      <w:pPr>
        <w:pStyle w:val="ListParagraph"/>
        <w:spacing w:after="0" w:line="240" w:lineRule="auto"/>
        <w:ind w:left="2160"/>
        <w:rPr>
          <w:rFonts w:cs="Arial"/>
          <w:szCs w:val="22"/>
        </w:rPr>
      </w:pPr>
    </w:p>
    <w:p w14:paraId="5FF38C68" w14:textId="77777777" w:rsidR="0079436C" w:rsidRPr="0007747C" w:rsidRDefault="0079436C" w:rsidP="003C5834">
      <w:pPr>
        <w:widowControl w:val="0"/>
        <w:numPr>
          <w:ilvl w:val="0"/>
          <w:numId w:val="62"/>
        </w:numPr>
        <w:suppressAutoHyphens/>
        <w:spacing w:after="0" w:line="240" w:lineRule="auto"/>
        <w:ind w:left="1440"/>
        <w:contextualSpacing/>
        <w:rPr>
          <w:rFonts w:cs="Arial"/>
          <w:szCs w:val="22"/>
        </w:rPr>
      </w:pPr>
      <w:r w:rsidRPr="0007747C">
        <w:rPr>
          <w:rFonts w:cs="Arial"/>
          <w:noProof/>
          <w:szCs w:val="22"/>
          <w:lang w:eastAsia="en-AU"/>
        </w:rPr>
        <w:t>CV (including a list of your previous employment &amp; relevant publications)</w:t>
      </w:r>
    </w:p>
    <w:p w14:paraId="1D5E4C39" w14:textId="77777777" w:rsidR="0079436C" w:rsidRPr="0007747C" w:rsidRDefault="0079436C" w:rsidP="003C5834">
      <w:pPr>
        <w:pStyle w:val="ListParagraph"/>
        <w:spacing w:after="0" w:line="240" w:lineRule="auto"/>
        <w:ind w:left="2160"/>
        <w:rPr>
          <w:rFonts w:cs="Arial"/>
          <w:szCs w:val="22"/>
        </w:rPr>
      </w:pPr>
    </w:p>
    <w:p w14:paraId="459EE366" w14:textId="77777777" w:rsidR="0079436C" w:rsidRPr="0007747C" w:rsidRDefault="0079436C" w:rsidP="003C5834">
      <w:pPr>
        <w:pStyle w:val="ListParagraph"/>
        <w:widowControl w:val="0"/>
        <w:numPr>
          <w:ilvl w:val="0"/>
          <w:numId w:val="62"/>
        </w:numPr>
        <w:suppressAutoHyphens/>
        <w:spacing w:after="0" w:line="240" w:lineRule="auto"/>
        <w:ind w:left="1440" w:right="-46"/>
        <w:rPr>
          <w:rFonts w:cs="Arial"/>
          <w:szCs w:val="22"/>
        </w:rPr>
      </w:pPr>
      <w:r w:rsidRPr="0007747C">
        <w:rPr>
          <w:rFonts w:cs="Arial"/>
          <w:szCs w:val="22"/>
        </w:rPr>
        <w:t>Certified copies of Qualification (primary, additional and specialist)</w:t>
      </w:r>
    </w:p>
    <w:p w14:paraId="7B869ED6" w14:textId="77777777" w:rsidR="0079436C" w:rsidRPr="0007747C" w:rsidRDefault="0079436C" w:rsidP="003C5834">
      <w:pPr>
        <w:pStyle w:val="ListParagraph"/>
        <w:spacing w:after="0" w:line="240" w:lineRule="auto"/>
        <w:ind w:left="2160"/>
        <w:rPr>
          <w:rFonts w:cs="Arial"/>
          <w:szCs w:val="22"/>
        </w:rPr>
      </w:pPr>
    </w:p>
    <w:p w14:paraId="76886F53" w14:textId="77777777" w:rsidR="0079436C" w:rsidRPr="0007747C" w:rsidRDefault="0079436C" w:rsidP="003C5834">
      <w:pPr>
        <w:pStyle w:val="ListParagraph"/>
        <w:widowControl w:val="0"/>
        <w:numPr>
          <w:ilvl w:val="0"/>
          <w:numId w:val="62"/>
        </w:numPr>
        <w:suppressAutoHyphens/>
        <w:spacing w:after="0" w:line="240" w:lineRule="auto"/>
        <w:ind w:left="1440" w:right="-46"/>
        <w:rPr>
          <w:rFonts w:cs="Arial"/>
          <w:szCs w:val="22"/>
        </w:rPr>
      </w:pPr>
      <w:r w:rsidRPr="0007747C">
        <w:rPr>
          <w:rFonts w:cs="Arial"/>
          <w:szCs w:val="22"/>
        </w:rPr>
        <w:t>Certified copies of Medical and Specialist Registration</w:t>
      </w:r>
    </w:p>
    <w:p w14:paraId="6B23BF75" w14:textId="77777777" w:rsidR="0079436C" w:rsidRPr="0007747C" w:rsidRDefault="0079436C" w:rsidP="003C5834">
      <w:pPr>
        <w:pStyle w:val="ListParagraph"/>
        <w:spacing w:after="0" w:line="240" w:lineRule="auto"/>
        <w:ind w:left="2160"/>
        <w:rPr>
          <w:rFonts w:cs="Arial"/>
          <w:szCs w:val="22"/>
        </w:rPr>
      </w:pPr>
    </w:p>
    <w:p w14:paraId="5574D288" w14:textId="77777777" w:rsidR="0079436C" w:rsidRPr="0007747C" w:rsidRDefault="0079436C" w:rsidP="003C5834">
      <w:pPr>
        <w:pStyle w:val="ListParagraph"/>
        <w:widowControl w:val="0"/>
        <w:numPr>
          <w:ilvl w:val="0"/>
          <w:numId w:val="62"/>
        </w:numPr>
        <w:suppressAutoHyphens/>
        <w:spacing w:after="0" w:line="240" w:lineRule="auto"/>
        <w:ind w:left="1440" w:right="-46"/>
        <w:rPr>
          <w:rFonts w:cs="Arial"/>
          <w:szCs w:val="22"/>
        </w:rPr>
      </w:pPr>
      <w:r w:rsidRPr="0007747C">
        <w:rPr>
          <w:rFonts w:cs="Arial"/>
          <w:szCs w:val="22"/>
        </w:rPr>
        <w:t xml:space="preserve">List of tests (applied to enable supervision) </w:t>
      </w:r>
    </w:p>
    <w:p w14:paraId="7DBD7BF3" w14:textId="77777777" w:rsidR="0079436C" w:rsidRPr="0007747C" w:rsidRDefault="0079436C" w:rsidP="003C5834">
      <w:pPr>
        <w:pStyle w:val="ListParagraph"/>
        <w:spacing w:after="0" w:line="240" w:lineRule="auto"/>
        <w:ind w:left="2160"/>
        <w:rPr>
          <w:rFonts w:cs="Arial"/>
          <w:szCs w:val="22"/>
        </w:rPr>
      </w:pPr>
    </w:p>
    <w:p w14:paraId="69492398" w14:textId="40E0F0F7" w:rsidR="0079436C" w:rsidRDefault="0079436C" w:rsidP="003C5834">
      <w:pPr>
        <w:pStyle w:val="ListParagraph"/>
        <w:widowControl w:val="0"/>
        <w:numPr>
          <w:ilvl w:val="0"/>
          <w:numId w:val="62"/>
        </w:numPr>
        <w:suppressAutoHyphens/>
        <w:spacing w:after="0" w:line="240" w:lineRule="auto"/>
        <w:ind w:left="1440" w:right="-46"/>
        <w:rPr>
          <w:rFonts w:cs="Arial"/>
          <w:szCs w:val="22"/>
        </w:rPr>
      </w:pPr>
      <w:r w:rsidRPr="0007747C">
        <w:rPr>
          <w:rFonts w:cs="Arial"/>
          <w:szCs w:val="22"/>
        </w:rPr>
        <w:t>Quality assurance program reports</w:t>
      </w:r>
    </w:p>
    <w:p w14:paraId="72620829" w14:textId="77777777" w:rsidR="007B47BF" w:rsidRPr="003B3F16" w:rsidRDefault="007B47BF" w:rsidP="003C5834">
      <w:pPr>
        <w:pStyle w:val="ListParagraph"/>
        <w:spacing w:line="240" w:lineRule="auto"/>
        <w:rPr>
          <w:rFonts w:cs="Arial"/>
          <w:szCs w:val="22"/>
        </w:rPr>
      </w:pPr>
    </w:p>
    <w:p w14:paraId="17B11851" w14:textId="7A40711A" w:rsidR="0079436C" w:rsidRPr="003C5834" w:rsidRDefault="007B47BF" w:rsidP="003C5834">
      <w:pPr>
        <w:pStyle w:val="ListParagraph"/>
        <w:numPr>
          <w:ilvl w:val="1"/>
          <w:numId w:val="62"/>
        </w:numPr>
        <w:spacing w:line="240" w:lineRule="auto"/>
        <w:jc w:val="both"/>
      </w:pPr>
      <w:r w:rsidRPr="003C5834">
        <w:rPr>
          <w:rFonts w:cstheme="minorHAnsi"/>
          <w:szCs w:val="20"/>
        </w:rPr>
        <w:t>Continuing professional development requirements met</w:t>
      </w:r>
    </w:p>
    <w:p w14:paraId="7FFE9C3C" w14:textId="77777777" w:rsidR="0079436C" w:rsidRDefault="0079436C" w:rsidP="003C5834">
      <w:pPr>
        <w:pStyle w:val="ListParagraph"/>
        <w:rPr>
          <w:rFonts w:cs="Arial"/>
          <w:szCs w:val="22"/>
        </w:rPr>
      </w:pPr>
    </w:p>
    <w:p w14:paraId="19FE755C" w14:textId="42E818AC" w:rsidR="00942FDC" w:rsidRDefault="00942FDC" w:rsidP="0079436C">
      <w:pPr>
        <w:pStyle w:val="PlainText"/>
        <w:numPr>
          <w:ilvl w:val="0"/>
          <w:numId w:val="36"/>
        </w:numPr>
        <w:jc w:val="both"/>
        <w:rPr>
          <w:rFonts w:ascii="Arial" w:hAnsi="Arial" w:cs="Arial"/>
          <w:szCs w:val="22"/>
        </w:rPr>
      </w:pPr>
      <w:r>
        <w:rPr>
          <w:rFonts w:ascii="Arial" w:hAnsi="Arial" w:cs="Arial"/>
          <w:szCs w:val="22"/>
        </w:rPr>
        <w:t xml:space="preserve">The EOI process sought to prioritise those applicants who required immediate assessment to allow the medical practitioners to comply with NPAAC’s supervision requirements. </w:t>
      </w:r>
      <w:r w:rsidR="0079436C">
        <w:rPr>
          <w:rFonts w:ascii="Arial" w:hAnsi="Arial" w:cs="Arial"/>
          <w:szCs w:val="22"/>
        </w:rPr>
        <w:t xml:space="preserve"> This was to address short term supervision </w:t>
      </w:r>
      <w:r w:rsidR="00453B91">
        <w:rPr>
          <w:rFonts w:ascii="Arial" w:hAnsi="Arial" w:cs="Arial"/>
          <w:szCs w:val="22"/>
        </w:rPr>
        <w:t>requirements, however</w:t>
      </w:r>
      <w:r w:rsidR="0079436C">
        <w:rPr>
          <w:rFonts w:ascii="Arial" w:hAnsi="Arial" w:cs="Arial"/>
          <w:szCs w:val="22"/>
        </w:rPr>
        <w:t xml:space="preserve"> this pathway will remain open for future applicants. </w:t>
      </w:r>
      <w:r w:rsidR="007B47BF">
        <w:rPr>
          <w:rFonts w:ascii="Arial" w:hAnsi="Arial" w:cs="Arial"/>
          <w:szCs w:val="22"/>
        </w:rPr>
        <w:t xml:space="preserve"> Assessment priority was as follows:</w:t>
      </w:r>
    </w:p>
    <w:p w14:paraId="53AB173C" w14:textId="77777777" w:rsidR="0079436C" w:rsidRDefault="0079436C" w:rsidP="003C5834">
      <w:pPr>
        <w:pStyle w:val="PlainText"/>
        <w:jc w:val="both"/>
        <w:rPr>
          <w:rFonts w:ascii="Arial" w:hAnsi="Arial" w:cs="Arial"/>
          <w:szCs w:val="22"/>
        </w:rPr>
      </w:pPr>
    </w:p>
    <w:p w14:paraId="53D03C75" w14:textId="77777777" w:rsidR="007B47BF" w:rsidRPr="0090312C" w:rsidRDefault="007B47BF" w:rsidP="003C5834">
      <w:pPr>
        <w:pStyle w:val="ListParagraph"/>
        <w:numPr>
          <w:ilvl w:val="0"/>
          <w:numId w:val="63"/>
        </w:numPr>
        <w:spacing w:after="160" w:line="252" w:lineRule="auto"/>
        <w:rPr>
          <w:szCs w:val="22"/>
        </w:rPr>
      </w:pPr>
      <w:r w:rsidRPr="0090312C">
        <w:rPr>
          <w:szCs w:val="22"/>
        </w:rPr>
        <w:t>Must be currently supervising molecular testing with a clinical governance role within a pathology service in any Australian State or Territory;</w:t>
      </w:r>
    </w:p>
    <w:p w14:paraId="76AC269F" w14:textId="77777777" w:rsidR="007B47BF" w:rsidRDefault="007B47BF" w:rsidP="003C5834">
      <w:pPr>
        <w:pStyle w:val="ListParagraph"/>
        <w:numPr>
          <w:ilvl w:val="0"/>
          <w:numId w:val="63"/>
        </w:numPr>
        <w:spacing w:after="160" w:line="252" w:lineRule="auto"/>
        <w:rPr>
          <w:szCs w:val="22"/>
        </w:rPr>
      </w:pPr>
      <w:r w:rsidRPr="0090312C">
        <w:rPr>
          <w:szCs w:val="22"/>
        </w:rPr>
        <w:t xml:space="preserve">Will be deemed to become the </w:t>
      </w:r>
      <w:r>
        <w:rPr>
          <w:szCs w:val="22"/>
        </w:rPr>
        <w:t xml:space="preserve">‘Primary’ </w:t>
      </w:r>
      <w:r w:rsidRPr="0090312C">
        <w:rPr>
          <w:szCs w:val="22"/>
        </w:rPr>
        <w:t xml:space="preserve">Designated Person as of </w:t>
      </w:r>
      <w:r>
        <w:rPr>
          <w:szCs w:val="22"/>
        </w:rPr>
        <w:t>0</w:t>
      </w:r>
      <w:r w:rsidRPr="0090312C">
        <w:rPr>
          <w:szCs w:val="22"/>
        </w:rPr>
        <w:t>1 December 2018.</w:t>
      </w:r>
    </w:p>
    <w:p w14:paraId="4552A4F6" w14:textId="77777777" w:rsidR="007B47BF" w:rsidRDefault="007B47BF" w:rsidP="003C5834">
      <w:pPr>
        <w:pStyle w:val="ListParagraph"/>
        <w:numPr>
          <w:ilvl w:val="0"/>
          <w:numId w:val="63"/>
        </w:numPr>
        <w:spacing w:after="160" w:line="252" w:lineRule="auto"/>
        <w:rPr>
          <w:szCs w:val="22"/>
        </w:rPr>
      </w:pPr>
      <w:r>
        <w:rPr>
          <w:szCs w:val="22"/>
        </w:rPr>
        <w:t xml:space="preserve">Be considered a ‘Secondary’ Designated Person in an institution that will/may require coverage of a ‘Primary’ Designated Person due to leave requirements </w:t>
      </w:r>
    </w:p>
    <w:p w14:paraId="00E9CE0A" w14:textId="3D101AC4" w:rsidR="0079436C" w:rsidRPr="007B47BF" w:rsidRDefault="007B47BF" w:rsidP="003C5834">
      <w:pPr>
        <w:pStyle w:val="ListParagraph"/>
        <w:numPr>
          <w:ilvl w:val="0"/>
          <w:numId w:val="63"/>
        </w:numPr>
        <w:spacing w:after="0" w:line="240" w:lineRule="auto"/>
        <w:rPr>
          <w:szCs w:val="22"/>
        </w:rPr>
      </w:pPr>
      <w:r w:rsidRPr="00C036D7">
        <w:rPr>
          <w:szCs w:val="22"/>
        </w:rPr>
        <w:t>All other applicants</w:t>
      </w:r>
      <w:r w:rsidR="00924637">
        <w:rPr>
          <w:szCs w:val="22"/>
        </w:rPr>
        <w:t>.</w:t>
      </w:r>
    </w:p>
    <w:p w14:paraId="58A35322" w14:textId="77777777" w:rsidR="00942FDC" w:rsidRDefault="00942FDC" w:rsidP="003C5834">
      <w:pPr>
        <w:jc w:val="both"/>
      </w:pPr>
    </w:p>
    <w:p w14:paraId="738E6A6C" w14:textId="453034A7" w:rsidR="007B47BF" w:rsidRPr="00E52B44" w:rsidRDefault="0079436C" w:rsidP="007B47BF">
      <w:pPr>
        <w:pStyle w:val="ListParagraph"/>
        <w:numPr>
          <w:ilvl w:val="0"/>
          <w:numId w:val="36"/>
        </w:numPr>
        <w:jc w:val="both"/>
      </w:pPr>
      <w:r>
        <w:t xml:space="preserve">The </w:t>
      </w:r>
      <w:r w:rsidRPr="00704663">
        <w:t>formal closing date for applications was 31 May 2019</w:t>
      </w:r>
      <w:r w:rsidR="007B47BF">
        <w:t>, however a</w:t>
      </w:r>
      <w:r w:rsidR="007B47BF" w:rsidRPr="00E52B44">
        <w:t>s at 20 December 2019, the Project received and recorded submissions from 125 individual applicants (269 Module applications) for assessment, and 19 Category S Laboratory applications.</w:t>
      </w:r>
    </w:p>
    <w:p w14:paraId="319725B7" w14:textId="77777777" w:rsidR="003C5834" w:rsidRDefault="00F81B4F" w:rsidP="00082552">
      <w:pPr>
        <w:jc w:val="both"/>
      </w:pPr>
      <w:r>
        <w:t xml:space="preserve">. </w:t>
      </w:r>
    </w:p>
    <w:p w14:paraId="436BFE84" w14:textId="685BF6FA" w:rsidR="00563507" w:rsidRDefault="003C5834" w:rsidP="003C5834">
      <w:pPr>
        <w:pStyle w:val="Heading2"/>
      </w:pPr>
      <w:bookmarkStart w:id="22" w:name="_Toc38613969"/>
      <w:r>
        <w:lastRenderedPageBreak/>
        <w:t xml:space="preserve">6.2 </w:t>
      </w:r>
      <w:r w:rsidR="00F81B4F">
        <w:t>Work Activity (Phase 2 – Review and Assessment)</w:t>
      </w:r>
      <w:bookmarkEnd w:id="22"/>
    </w:p>
    <w:p w14:paraId="02110178" w14:textId="77777777" w:rsidR="000E023D" w:rsidRPr="00E52B44" w:rsidRDefault="000E023D" w:rsidP="000E023D">
      <w:pPr>
        <w:pStyle w:val="ListParagraph"/>
        <w:numPr>
          <w:ilvl w:val="0"/>
          <w:numId w:val="36"/>
        </w:numPr>
        <w:jc w:val="both"/>
      </w:pPr>
      <w:r w:rsidRPr="00E52B44">
        <w:t xml:space="preserve">Of the 125 individual applicants (269 Module applications) received for assessment, over thirty percent of these required requests for further information during the </w:t>
      </w:r>
      <w:r>
        <w:t xml:space="preserve">initial </w:t>
      </w:r>
      <w:r w:rsidRPr="00E52B44">
        <w:t>desk audit phase. Requests included: missing RCPAQAP reports, noncompletion of the application form, no authorised sign off from Department Head/Directors on application form, applicant not a financially compliant Fellow of the College and noncompliance with current RCPA Continuous Professional Development Program (CPDP).</w:t>
      </w:r>
    </w:p>
    <w:p w14:paraId="6172082C" w14:textId="77777777" w:rsidR="000E023D" w:rsidRPr="0013722F" w:rsidRDefault="000E023D" w:rsidP="000E023D">
      <w:pPr>
        <w:pStyle w:val="ListParagraph"/>
        <w:ind w:left="709"/>
        <w:jc w:val="both"/>
      </w:pPr>
    </w:p>
    <w:p w14:paraId="6EB066F0" w14:textId="4BE16C47" w:rsidR="000E023D" w:rsidRDefault="000E023D" w:rsidP="003C5834">
      <w:pPr>
        <w:pStyle w:val="ListParagraph"/>
        <w:numPr>
          <w:ilvl w:val="0"/>
          <w:numId w:val="36"/>
        </w:numPr>
        <w:spacing w:after="0" w:line="240" w:lineRule="auto"/>
        <w:jc w:val="both"/>
      </w:pPr>
      <w:r w:rsidRPr="00FF3051">
        <w:t>Of the 125 individual applicants (269 Module applications), the Project assigned these to Technical Assessors in order of priority.  Primary designated persons were allocated the highest priority for assessment which was approximately 48 per cent of individual applications received.</w:t>
      </w:r>
    </w:p>
    <w:p w14:paraId="5AC8FF2B" w14:textId="77777777" w:rsidR="000E023D" w:rsidRPr="00FF3051" w:rsidRDefault="000E023D" w:rsidP="003C5834">
      <w:pPr>
        <w:spacing w:after="0" w:line="240" w:lineRule="auto"/>
        <w:jc w:val="both"/>
      </w:pPr>
    </w:p>
    <w:p w14:paraId="7B221E12" w14:textId="070B30CE" w:rsidR="00225BAF" w:rsidRPr="00FF3051" w:rsidRDefault="00FF00B5" w:rsidP="003C5834">
      <w:pPr>
        <w:pStyle w:val="ListParagraph"/>
        <w:numPr>
          <w:ilvl w:val="0"/>
          <w:numId w:val="36"/>
        </w:numPr>
        <w:spacing w:after="0" w:line="240" w:lineRule="auto"/>
        <w:jc w:val="both"/>
      </w:pPr>
      <w:r w:rsidRPr="0013722F">
        <w:t>Asses</w:t>
      </w:r>
      <w:r w:rsidR="009561E1" w:rsidRPr="0013722F">
        <w:t>sment</w:t>
      </w:r>
      <w:r w:rsidRPr="0013722F">
        <w:t xml:space="preserve"> Panels (comprising two Technical Assessors as outlined </w:t>
      </w:r>
      <w:r w:rsidRPr="000E023D">
        <w:t xml:space="preserve">in Section </w:t>
      </w:r>
      <w:r w:rsidR="009561E1" w:rsidRPr="00B764AD">
        <w:t>5.3</w:t>
      </w:r>
      <w:r w:rsidRPr="00B764AD">
        <w:t>)</w:t>
      </w:r>
      <w:r w:rsidRPr="0013722F">
        <w:t xml:space="preserve"> established for </w:t>
      </w:r>
      <w:r w:rsidR="009110DD" w:rsidRPr="0013722F">
        <w:t xml:space="preserve">all </w:t>
      </w:r>
      <w:r w:rsidR="00225BAF" w:rsidRPr="0013722F">
        <w:t xml:space="preserve">five </w:t>
      </w:r>
      <w:r w:rsidRPr="0013722F">
        <w:t xml:space="preserve">disciplines to undertake </w:t>
      </w:r>
      <w:r w:rsidR="00B764AD">
        <w:t xml:space="preserve">RPL </w:t>
      </w:r>
      <w:r w:rsidRPr="00FF3051">
        <w:t xml:space="preserve">against RCPA Modules.  </w:t>
      </w:r>
      <w:r w:rsidR="00225BAF" w:rsidRPr="00FF3051">
        <w:rPr>
          <w:lang w:eastAsia="en-AU"/>
        </w:rPr>
        <w:t>The</w:t>
      </w:r>
      <w:r w:rsidR="002D04EB" w:rsidRPr="00FF3051">
        <w:rPr>
          <w:lang w:eastAsia="en-AU"/>
        </w:rPr>
        <w:t xml:space="preserve">re were </w:t>
      </w:r>
      <w:r w:rsidR="007D6233" w:rsidRPr="00FF3051">
        <w:rPr>
          <w:lang w:eastAsia="en-AU"/>
        </w:rPr>
        <w:t xml:space="preserve">40 </w:t>
      </w:r>
      <w:r w:rsidR="00225BAF" w:rsidRPr="00FF3051">
        <w:rPr>
          <w:lang w:eastAsia="en-AU"/>
        </w:rPr>
        <w:t>Technical Assessors confirmed</w:t>
      </w:r>
      <w:r w:rsidR="00CD641B" w:rsidRPr="00FF3051">
        <w:rPr>
          <w:lang w:eastAsia="en-AU"/>
        </w:rPr>
        <w:t xml:space="preserve"> </w:t>
      </w:r>
      <w:r w:rsidR="002D04EB" w:rsidRPr="00FF3051">
        <w:rPr>
          <w:lang w:eastAsia="en-AU"/>
        </w:rPr>
        <w:t>throughout the Project</w:t>
      </w:r>
      <w:r w:rsidR="00225BAF" w:rsidRPr="00FF3051">
        <w:rPr>
          <w:lang w:eastAsia="en-AU"/>
        </w:rPr>
        <w:t xml:space="preserve">, </w:t>
      </w:r>
      <w:r w:rsidR="007D6233" w:rsidRPr="00FF3051">
        <w:rPr>
          <w:lang w:eastAsia="en-AU"/>
        </w:rPr>
        <w:t xml:space="preserve">12 </w:t>
      </w:r>
      <w:r w:rsidR="00225BAF" w:rsidRPr="00FF3051">
        <w:rPr>
          <w:lang w:eastAsia="en-AU"/>
        </w:rPr>
        <w:t xml:space="preserve">of which </w:t>
      </w:r>
      <w:r w:rsidR="00CD641B" w:rsidRPr="00FF3051">
        <w:rPr>
          <w:lang w:eastAsia="en-AU"/>
        </w:rPr>
        <w:t>were</w:t>
      </w:r>
      <w:r w:rsidR="00225BAF" w:rsidRPr="00FF3051">
        <w:rPr>
          <w:lang w:eastAsia="en-AU"/>
        </w:rPr>
        <w:t xml:space="preserve"> genetic pathologists.  [A genetic pathologist </w:t>
      </w:r>
      <w:r w:rsidR="007D6233" w:rsidRPr="00FF3051">
        <w:rPr>
          <w:lang w:eastAsia="en-AU"/>
        </w:rPr>
        <w:t>was</w:t>
      </w:r>
      <w:r w:rsidR="00225BAF" w:rsidRPr="00FF3051">
        <w:rPr>
          <w:lang w:eastAsia="en-AU"/>
        </w:rPr>
        <w:t xml:space="preserve"> required on each Assessment Panel].</w:t>
      </w:r>
      <w:r w:rsidR="000E13C9" w:rsidRPr="00FF3051">
        <w:rPr>
          <w:lang w:eastAsia="en-AU"/>
        </w:rPr>
        <w:t xml:space="preserve"> </w:t>
      </w:r>
    </w:p>
    <w:p w14:paraId="03B2003F" w14:textId="77777777" w:rsidR="008D5511" w:rsidRPr="0013722F" w:rsidRDefault="008D5511" w:rsidP="008D5511">
      <w:pPr>
        <w:pStyle w:val="ListParagraph"/>
        <w:spacing w:after="0"/>
        <w:jc w:val="both"/>
      </w:pPr>
    </w:p>
    <w:p w14:paraId="4CA63EA2" w14:textId="09D14734" w:rsidR="00B21576" w:rsidRPr="0013722F" w:rsidRDefault="00CF6B56" w:rsidP="005E3D0C">
      <w:pPr>
        <w:pStyle w:val="ListParagraph"/>
        <w:numPr>
          <w:ilvl w:val="0"/>
          <w:numId w:val="36"/>
        </w:numPr>
        <w:spacing w:after="0"/>
        <w:jc w:val="both"/>
      </w:pPr>
      <w:r w:rsidRPr="0013722F">
        <w:t xml:space="preserve">A quality benchmarking teleconference with the Pathology Expert Group was held on 30 April 2019.  The Group agreed on the requirement to undertake spot check audits to ensure a level of consistency in the quality and rigour of the </w:t>
      </w:r>
      <w:r w:rsidR="00B923D2">
        <w:t>RPL</w:t>
      </w:r>
      <w:r w:rsidRPr="0013722F">
        <w:t xml:space="preserve"> being undertaken</w:t>
      </w:r>
      <w:r w:rsidR="00780429">
        <w:t xml:space="preserve"> across all assessors</w:t>
      </w:r>
    </w:p>
    <w:p w14:paraId="76210780" w14:textId="77777777" w:rsidR="00B21576" w:rsidRPr="0013722F" w:rsidRDefault="00B21576" w:rsidP="00B21576">
      <w:pPr>
        <w:spacing w:after="0" w:line="240" w:lineRule="auto"/>
        <w:jc w:val="both"/>
      </w:pPr>
    </w:p>
    <w:p w14:paraId="692DE647" w14:textId="5DC016F5" w:rsidR="00EB7FA3" w:rsidRPr="00EB7FA3" w:rsidRDefault="00EB7FA3" w:rsidP="00EB7FA3">
      <w:pPr>
        <w:numPr>
          <w:ilvl w:val="0"/>
          <w:numId w:val="36"/>
        </w:numPr>
        <w:spacing w:after="0"/>
        <w:rPr>
          <w:rFonts w:ascii="Calibri" w:eastAsia="Times New Roman" w:hAnsi="Calibri"/>
          <w:color w:val="auto"/>
        </w:rPr>
      </w:pPr>
      <w:bookmarkStart w:id="23" w:name="_Hlk16250041"/>
      <w:r w:rsidRPr="00476B50">
        <w:t xml:space="preserve">Technical Assessors requested additional information from </w:t>
      </w:r>
      <w:r w:rsidRPr="00041B14">
        <w:t xml:space="preserve">over sixty five percent of individual applicants, primarily for missing information or </w:t>
      </w:r>
      <w:r w:rsidR="00453B91">
        <w:t>for inadequate</w:t>
      </w:r>
      <w:bookmarkStart w:id="24" w:name="_GoBack"/>
      <w:bookmarkEnd w:id="24"/>
      <w:r w:rsidRPr="00041B14">
        <w:t xml:space="preserve"> examples</w:t>
      </w:r>
      <w:r w:rsidRPr="00476B50">
        <w:t xml:space="preserve"> and evidence</w:t>
      </w:r>
      <w:r w:rsidR="00780429">
        <w:t xml:space="preserve"> provided</w:t>
      </w:r>
      <w:r w:rsidR="00924637">
        <w:t>.</w:t>
      </w:r>
    </w:p>
    <w:p w14:paraId="3A063D1C" w14:textId="77777777" w:rsidR="00712F89" w:rsidRPr="00476B50" w:rsidRDefault="00712F89" w:rsidP="00712F89">
      <w:pPr>
        <w:spacing w:after="0"/>
        <w:jc w:val="both"/>
      </w:pPr>
    </w:p>
    <w:p w14:paraId="5B6FB9E4" w14:textId="48D1ADAF" w:rsidR="00F31F78" w:rsidRDefault="00893399" w:rsidP="003C5834">
      <w:pPr>
        <w:pStyle w:val="ListParagraph"/>
        <w:numPr>
          <w:ilvl w:val="0"/>
          <w:numId w:val="36"/>
        </w:numPr>
        <w:spacing w:after="0" w:line="240" w:lineRule="auto"/>
        <w:jc w:val="both"/>
      </w:pPr>
      <w:r w:rsidRPr="00FD3C04">
        <w:t>14</w:t>
      </w:r>
      <w:r w:rsidR="00FD3C04" w:rsidRPr="00FD3C04">
        <w:t>4</w:t>
      </w:r>
      <w:r w:rsidRPr="00FD3C04">
        <w:t xml:space="preserve"> </w:t>
      </w:r>
      <w:r w:rsidR="00225BAF" w:rsidRPr="00FD3C04">
        <w:t>applica</w:t>
      </w:r>
      <w:r w:rsidR="001859D8" w:rsidRPr="00FD3C04">
        <w:t xml:space="preserve">tions </w:t>
      </w:r>
      <w:r w:rsidR="00046288">
        <w:t>completed</w:t>
      </w:r>
      <w:r w:rsidR="006B6AA1" w:rsidRPr="00FD3C04">
        <w:t xml:space="preserve"> in total</w:t>
      </w:r>
      <w:r w:rsidR="001859D8" w:rsidRPr="00FD3C04">
        <w:t xml:space="preserve">, </w:t>
      </w:r>
      <w:r w:rsidR="00476B50" w:rsidRPr="00FD3C04">
        <w:t xml:space="preserve">of which </w:t>
      </w:r>
      <w:r w:rsidR="00BF0CD9" w:rsidRPr="00FD3C04">
        <w:t>12</w:t>
      </w:r>
      <w:r w:rsidR="00FD3C04" w:rsidRPr="00FD3C04">
        <w:t>5 were</w:t>
      </w:r>
      <w:r w:rsidR="001859D8" w:rsidRPr="00FD3C04">
        <w:t xml:space="preserve"> individuals</w:t>
      </w:r>
      <w:r w:rsidR="000E13C9" w:rsidRPr="00FD3C04">
        <w:t xml:space="preserve"> </w:t>
      </w:r>
      <w:r w:rsidR="001859D8" w:rsidRPr="00FD3C04">
        <w:t>(</w:t>
      </w:r>
      <w:r w:rsidR="00BF0CD9" w:rsidRPr="00FD3C04">
        <w:t>26</w:t>
      </w:r>
      <w:r w:rsidR="00FD3C04" w:rsidRPr="00FD3C04">
        <w:t>9</w:t>
      </w:r>
      <w:r w:rsidR="00BF0CD9" w:rsidRPr="00FD3C04">
        <w:t xml:space="preserve"> </w:t>
      </w:r>
      <w:r w:rsidR="000E13C9" w:rsidRPr="00FD3C04">
        <w:t>Module applications)</w:t>
      </w:r>
      <w:r w:rsidR="001859D8" w:rsidRPr="00FD3C04">
        <w:t xml:space="preserve">, and </w:t>
      </w:r>
      <w:r w:rsidRPr="00FD3C04">
        <w:t>1</w:t>
      </w:r>
      <w:r w:rsidR="00FD3C04" w:rsidRPr="00FD3C04">
        <w:t>9</w:t>
      </w:r>
      <w:r w:rsidRPr="00FD3C04">
        <w:t xml:space="preserve"> </w:t>
      </w:r>
      <w:r w:rsidR="00FD3C04" w:rsidRPr="00FD3C04">
        <w:t>were</w:t>
      </w:r>
      <w:r w:rsidR="001859D8" w:rsidRPr="00FD3C04">
        <w:t xml:space="preserve"> individuals from Category S </w:t>
      </w:r>
      <w:r w:rsidR="0080773F" w:rsidRPr="00FD3C04">
        <w:t>L</w:t>
      </w:r>
      <w:r w:rsidR="001859D8" w:rsidRPr="00FD3C04">
        <w:t xml:space="preserve">aboratories.  </w:t>
      </w:r>
      <w:r w:rsidR="00225BAF" w:rsidRPr="00FD3C04">
        <w:t xml:space="preserve"> </w:t>
      </w:r>
      <w:r w:rsidR="001554C6" w:rsidRPr="00FD3C04">
        <w:t xml:space="preserve">Of these, </w:t>
      </w:r>
      <w:r w:rsidR="00225BAF" w:rsidRPr="00FD3C04">
        <w:t>over 95% applied for multiple assessments against different modules within the disciplines</w:t>
      </w:r>
      <w:r w:rsidR="00D614CA">
        <w:t>, 86 indiv</w:t>
      </w:r>
      <w:r w:rsidR="00E27167">
        <w:t xml:space="preserve">idual applicants </w:t>
      </w:r>
      <w:r w:rsidR="0087125A">
        <w:t>(133 Module applicati</w:t>
      </w:r>
      <w:r w:rsidR="00CE7092">
        <w:t xml:space="preserve">ons) </w:t>
      </w:r>
      <w:r w:rsidR="00E27167">
        <w:t xml:space="preserve">and six Category S laboratory applicants were </w:t>
      </w:r>
      <w:r w:rsidR="0087125A">
        <w:t>successful and formally ratified by the RCPA Board of Directors</w:t>
      </w:r>
      <w:r w:rsidR="0080773F" w:rsidRPr="00FD3C04">
        <w:t>.</w:t>
      </w:r>
    </w:p>
    <w:p w14:paraId="2F99EAB5" w14:textId="77777777" w:rsidR="003C5834" w:rsidRDefault="003C5834" w:rsidP="003C5834">
      <w:pPr>
        <w:pStyle w:val="ListParagraph"/>
        <w:spacing w:line="240" w:lineRule="auto"/>
      </w:pPr>
    </w:p>
    <w:p w14:paraId="07911920" w14:textId="5FEE1959" w:rsidR="00C02626" w:rsidRDefault="00C02626" w:rsidP="003C5834">
      <w:pPr>
        <w:pStyle w:val="ListParagraph"/>
        <w:numPr>
          <w:ilvl w:val="0"/>
          <w:numId w:val="46"/>
        </w:numPr>
        <w:spacing w:after="0" w:line="240" w:lineRule="auto"/>
        <w:jc w:val="both"/>
      </w:pPr>
      <w:r w:rsidRPr="00704663">
        <w:t>Limited scope of practice credentialing was discussed and supported by NPAAC and NATA at the stakeholder meeting held on 12 June 2019.  This approach enabled pathologists who did not meet the full competency standard of an entire Module to obtain limited scope certification.  The pathologist</w:t>
      </w:r>
      <w:r w:rsidR="00780429">
        <w:t xml:space="preserve">s falling into this category were </w:t>
      </w:r>
      <w:r w:rsidRPr="00704663">
        <w:t>certified to practice with a limited additional scope to support</w:t>
      </w:r>
      <w:r w:rsidRPr="0088229B">
        <w:t xml:space="preserve"> the current service delivery of their laboratory, and as at </w:t>
      </w:r>
      <w:r>
        <w:t>20 December 2019</w:t>
      </w:r>
      <w:r w:rsidR="00780429">
        <w:t>,</w:t>
      </w:r>
      <w:r w:rsidRPr="0088229B">
        <w:t xml:space="preserve"> </w:t>
      </w:r>
      <w:r w:rsidRPr="00704663">
        <w:t xml:space="preserve">13 pathologists </w:t>
      </w:r>
      <w:r w:rsidR="00780429">
        <w:t>were</w:t>
      </w:r>
      <w:r w:rsidRPr="00704663">
        <w:t xml:space="preserve"> granted limited scope of practice. </w:t>
      </w:r>
    </w:p>
    <w:p w14:paraId="7227B56E" w14:textId="7B148CB6" w:rsidR="00C02626" w:rsidRDefault="00C02626" w:rsidP="003C5834">
      <w:pPr>
        <w:spacing w:line="240" w:lineRule="auto"/>
      </w:pPr>
    </w:p>
    <w:p w14:paraId="7DB965D1" w14:textId="087579D6" w:rsidR="00F31F78" w:rsidRDefault="00F31F78" w:rsidP="00F948F0">
      <w:pPr>
        <w:pStyle w:val="ListParagraph"/>
        <w:numPr>
          <w:ilvl w:val="0"/>
          <w:numId w:val="46"/>
        </w:numPr>
        <w:spacing w:line="240" w:lineRule="auto"/>
        <w:jc w:val="both"/>
      </w:pPr>
      <w:r w:rsidRPr="00476B50">
        <w:t>As already evidenced</w:t>
      </w:r>
      <w:r w:rsidR="00476B50">
        <w:t>,</w:t>
      </w:r>
      <w:r w:rsidRPr="00476B50">
        <w:t xml:space="preserve"> there </w:t>
      </w:r>
      <w:r w:rsidR="00476B50">
        <w:t>were</w:t>
      </w:r>
      <w:r w:rsidRPr="00476B50">
        <w:t xml:space="preserve"> applicants who </w:t>
      </w:r>
      <w:r w:rsidR="00476B50">
        <w:t>did</w:t>
      </w:r>
      <w:r w:rsidRPr="00476B50">
        <w:t xml:space="preserve"> not meet the competency standard to obtain certification of one or more Modules.  Unsatisfactory applicants have received formal notification detailing the Module criteria which </w:t>
      </w:r>
      <w:r w:rsidR="00780429">
        <w:t>was not</w:t>
      </w:r>
      <w:r w:rsidRPr="00476B50">
        <w:t xml:space="preserve"> met and where applicable how these can be satisfied through the training and assessment pathway.  </w:t>
      </w:r>
      <w:r w:rsidR="00780429">
        <w:t>Of the u</w:t>
      </w:r>
      <w:r w:rsidR="00780429" w:rsidRPr="00476B50">
        <w:t xml:space="preserve">nsatisfactory </w:t>
      </w:r>
      <w:r w:rsidRPr="00476B50">
        <w:t xml:space="preserve">applicants </w:t>
      </w:r>
      <w:r w:rsidR="00780429">
        <w:t xml:space="preserve">who </w:t>
      </w:r>
      <w:r w:rsidRPr="00476B50">
        <w:t>appeal</w:t>
      </w:r>
      <w:r w:rsidR="00457512">
        <w:t>ed</w:t>
      </w:r>
      <w:r w:rsidRPr="00476B50">
        <w:t xml:space="preserve"> to the Technical Assessors’ ruling through the established RCPA appeal processes</w:t>
      </w:r>
      <w:r w:rsidR="00695F75">
        <w:t xml:space="preserve">, </w:t>
      </w:r>
      <w:r w:rsidR="009C13C4">
        <w:t>29 Module application appeal</w:t>
      </w:r>
      <w:r w:rsidR="00F16221">
        <w:t xml:space="preserve"> outcome</w:t>
      </w:r>
      <w:r w:rsidR="009C13C4">
        <w:t xml:space="preserve">s </w:t>
      </w:r>
      <w:r w:rsidR="00822D7A">
        <w:t>are yet to be finalised</w:t>
      </w:r>
      <w:r w:rsidR="00494014">
        <w:t xml:space="preserve">.  These </w:t>
      </w:r>
      <w:r w:rsidR="00F16221">
        <w:t xml:space="preserve">will form part of RCPA ongoing assessment activities.  </w:t>
      </w:r>
    </w:p>
    <w:p w14:paraId="218DB5B2" w14:textId="2D691C70" w:rsidR="00225BAF" w:rsidRDefault="00F31F78" w:rsidP="00F31F78">
      <w:pPr>
        <w:spacing w:after="0" w:line="240" w:lineRule="auto"/>
      </w:pPr>
      <w:r>
        <w:br w:type="page"/>
      </w:r>
    </w:p>
    <w:bookmarkEnd w:id="23"/>
    <w:p w14:paraId="5A85D253" w14:textId="301D95A2" w:rsidR="00B21576" w:rsidRDefault="00B21576" w:rsidP="00B21576">
      <w:pPr>
        <w:pStyle w:val="ListParagraph"/>
        <w:numPr>
          <w:ilvl w:val="0"/>
          <w:numId w:val="36"/>
        </w:numPr>
        <w:spacing w:after="0"/>
        <w:jc w:val="both"/>
      </w:pPr>
      <w:r w:rsidRPr="00A214BE">
        <w:rPr>
          <w:u w:val="single"/>
        </w:rPr>
        <w:lastRenderedPageBreak/>
        <w:t xml:space="preserve">Table </w:t>
      </w:r>
      <w:r w:rsidR="00B03142">
        <w:rPr>
          <w:u w:val="single"/>
        </w:rPr>
        <w:t>1</w:t>
      </w:r>
      <w:r w:rsidR="00B03142" w:rsidRPr="00A214BE">
        <w:t xml:space="preserve"> </w:t>
      </w:r>
      <w:r w:rsidRPr="00A214BE">
        <w:t>below</w:t>
      </w:r>
      <w:r w:rsidRPr="001554C6">
        <w:t xml:space="preserve"> shows the number of individual applicants to the number of Module applications received for each discipline, and from Category s Laboratories</w:t>
      </w:r>
    </w:p>
    <w:p w14:paraId="42F23653" w14:textId="7A0238D9" w:rsidR="00B21576" w:rsidRPr="0080773F" w:rsidRDefault="00B21576" w:rsidP="0080773F">
      <w:pPr>
        <w:spacing w:after="0"/>
        <w:jc w:val="both"/>
        <w:rPr>
          <w:b/>
        </w:rPr>
      </w:pPr>
      <w:bookmarkStart w:id="25" w:name="_Hlk25682468"/>
      <w:r w:rsidRPr="0080773F">
        <w:rPr>
          <w:b/>
        </w:rPr>
        <w:t xml:space="preserve">Table </w:t>
      </w:r>
      <w:r w:rsidR="00B03142">
        <w:rPr>
          <w:b/>
        </w:rPr>
        <w:t>1</w:t>
      </w:r>
      <w:r w:rsidRPr="0080773F">
        <w:rPr>
          <w:b/>
        </w:rPr>
        <w:t>:</w:t>
      </w:r>
    </w:p>
    <w:tbl>
      <w:tblPr>
        <w:tblW w:w="5533" w:type="pct"/>
        <w:jc w:val="center"/>
        <w:tblLayout w:type="fixed"/>
        <w:tblCellMar>
          <w:left w:w="0" w:type="dxa"/>
          <w:right w:w="0" w:type="dxa"/>
        </w:tblCellMar>
        <w:tblLook w:val="04A0" w:firstRow="1" w:lastRow="0" w:firstColumn="1" w:lastColumn="0" w:noHBand="0" w:noVBand="1"/>
      </w:tblPr>
      <w:tblGrid>
        <w:gridCol w:w="1826"/>
        <w:gridCol w:w="1473"/>
        <w:gridCol w:w="1512"/>
        <w:gridCol w:w="1275"/>
        <w:gridCol w:w="1416"/>
        <w:gridCol w:w="1703"/>
        <w:gridCol w:w="1558"/>
      </w:tblGrid>
      <w:tr w:rsidR="00B21576" w:rsidRPr="003551F9" w14:paraId="50503151" w14:textId="77777777" w:rsidTr="00D65C12">
        <w:trPr>
          <w:trHeight w:val="935"/>
          <w:jc w:val="center"/>
        </w:trPr>
        <w:tc>
          <w:tcPr>
            <w:tcW w:w="8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611AD58F" w14:textId="77777777" w:rsidR="00B21576" w:rsidRPr="00F62411" w:rsidRDefault="00B21576" w:rsidP="00D65C12">
            <w:pPr>
              <w:spacing w:after="0"/>
              <w:rPr>
                <w:b/>
                <w:bCs/>
                <w:sz w:val="20"/>
                <w:szCs w:val="20"/>
              </w:rPr>
            </w:pPr>
            <w:r w:rsidRPr="00F62411">
              <w:rPr>
                <w:b/>
                <w:bCs/>
                <w:sz w:val="20"/>
                <w:szCs w:val="20"/>
              </w:rPr>
              <w:t>Discipline</w:t>
            </w:r>
          </w:p>
          <w:p w14:paraId="5D7FACC2" w14:textId="77777777" w:rsidR="00B21576" w:rsidRPr="00F62411" w:rsidRDefault="00B21576" w:rsidP="00D65C12">
            <w:pPr>
              <w:spacing w:after="0"/>
              <w:rPr>
                <w:sz w:val="20"/>
                <w:szCs w:val="20"/>
              </w:rPr>
            </w:pPr>
            <w:r w:rsidRPr="00F62411">
              <w:rPr>
                <w:sz w:val="20"/>
                <w:szCs w:val="20"/>
              </w:rPr>
              <w:t>(Individual Applicants)</w:t>
            </w:r>
          </w:p>
        </w:tc>
        <w:tc>
          <w:tcPr>
            <w:tcW w:w="684"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6137834" w14:textId="77777777" w:rsidR="00B21576" w:rsidRPr="00F62411" w:rsidRDefault="00B21576" w:rsidP="00D65C12">
            <w:pPr>
              <w:spacing w:after="0"/>
              <w:jc w:val="center"/>
              <w:rPr>
                <w:b/>
                <w:bCs/>
                <w:sz w:val="20"/>
                <w:szCs w:val="20"/>
              </w:rPr>
            </w:pPr>
            <w:r w:rsidRPr="00F62411">
              <w:rPr>
                <w:b/>
                <w:bCs/>
                <w:sz w:val="20"/>
                <w:szCs w:val="20"/>
              </w:rPr>
              <w:t>Submitted Individual Applicants</w:t>
            </w:r>
          </w:p>
        </w:tc>
        <w:tc>
          <w:tcPr>
            <w:tcW w:w="702" w:type="pct"/>
            <w:tcBorders>
              <w:top w:val="single" w:sz="8" w:space="0" w:color="000000"/>
              <w:left w:val="single" w:sz="8" w:space="0" w:color="000000"/>
              <w:right w:val="single" w:sz="8" w:space="0" w:color="000000"/>
            </w:tcBorders>
            <w:shd w:val="clear" w:color="auto" w:fill="D9D9D9"/>
          </w:tcPr>
          <w:p w14:paraId="33F721AE" w14:textId="77777777" w:rsidR="00B21576" w:rsidRPr="00F62411" w:rsidRDefault="00B21576" w:rsidP="00D65C12">
            <w:pPr>
              <w:spacing w:after="0"/>
              <w:jc w:val="center"/>
              <w:rPr>
                <w:bCs/>
                <w:sz w:val="20"/>
                <w:szCs w:val="20"/>
              </w:rPr>
            </w:pPr>
            <w:r w:rsidRPr="00F62411">
              <w:rPr>
                <w:b/>
                <w:bCs/>
                <w:sz w:val="20"/>
                <w:szCs w:val="20"/>
              </w:rPr>
              <w:t xml:space="preserve">Submitted Module Applications </w:t>
            </w:r>
          </w:p>
        </w:tc>
        <w:tc>
          <w:tcPr>
            <w:tcW w:w="592" w:type="pct"/>
            <w:tcBorders>
              <w:top w:val="single" w:sz="8" w:space="0" w:color="000000"/>
              <w:left w:val="single" w:sz="8" w:space="0" w:color="000000"/>
              <w:right w:val="single" w:sz="8" w:space="0" w:color="000000"/>
            </w:tcBorders>
            <w:shd w:val="clear" w:color="auto" w:fill="D9D9D9"/>
          </w:tcPr>
          <w:p w14:paraId="2AD3F24B" w14:textId="77777777" w:rsidR="00B21576" w:rsidRPr="00F62411" w:rsidRDefault="00B21576" w:rsidP="00D65C12">
            <w:pPr>
              <w:spacing w:after="0"/>
              <w:jc w:val="center"/>
              <w:rPr>
                <w:b/>
                <w:bCs/>
                <w:sz w:val="20"/>
                <w:szCs w:val="20"/>
              </w:rPr>
            </w:pPr>
          </w:p>
          <w:p w14:paraId="2002F82C" w14:textId="77777777" w:rsidR="00B21576" w:rsidRPr="00F62411" w:rsidRDefault="00B21576" w:rsidP="00D65C12">
            <w:pPr>
              <w:spacing w:after="0"/>
              <w:jc w:val="center"/>
              <w:rPr>
                <w:b/>
                <w:bCs/>
                <w:sz w:val="20"/>
                <w:szCs w:val="20"/>
              </w:rPr>
            </w:pPr>
          </w:p>
          <w:p w14:paraId="2CF76A0E" w14:textId="77777777" w:rsidR="00B21576" w:rsidRPr="00F62411" w:rsidRDefault="00B21576" w:rsidP="00D65C12">
            <w:pPr>
              <w:spacing w:after="0"/>
              <w:jc w:val="center"/>
              <w:rPr>
                <w:b/>
                <w:bCs/>
                <w:sz w:val="20"/>
                <w:szCs w:val="20"/>
              </w:rPr>
            </w:pPr>
            <w:r w:rsidRPr="00F62411">
              <w:rPr>
                <w:b/>
                <w:bCs/>
                <w:sz w:val="20"/>
                <w:szCs w:val="20"/>
              </w:rPr>
              <w:t>Withdrawn Modules</w:t>
            </w:r>
          </w:p>
        </w:tc>
        <w:tc>
          <w:tcPr>
            <w:tcW w:w="658" w:type="pct"/>
            <w:tcBorders>
              <w:top w:val="single" w:sz="8" w:space="0" w:color="000000"/>
              <w:left w:val="single" w:sz="8" w:space="0" w:color="000000"/>
              <w:right w:val="single" w:sz="8" w:space="0" w:color="000000"/>
            </w:tcBorders>
            <w:shd w:val="clear" w:color="auto" w:fill="D9D9D9"/>
          </w:tcPr>
          <w:p w14:paraId="2AAC6C29" w14:textId="01E399C7" w:rsidR="00B21576" w:rsidRPr="009C3FED" w:rsidRDefault="001236E8" w:rsidP="00D65C12">
            <w:pPr>
              <w:spacing w:after="0"/>
              <w:jc w:val="center"/>
              <w:rPr>
                <w:b/>
                <w:bCs/>
                <w:sz w:val="20"/>
                <w:szCs w:val="20"/>
              </w:rPr>
            </w:pPr>
            <w:r>
              <w:rPr>
                <w:b/>
                <w:bCs/>
                <w:sz w:val="20"/>
                <w:szCs w:val="20"/>
              </w:rPr>
              <w:t>Appeal</w:t>
            </w:r>
          </w:p>
          <w:p w14:paraId="33BE28E7" w14:textId="1D2124D7" w:rsidR="00B21576" w:rsidRPr="009C3FED" w:rsidRDefault="00B21576" w:rsidP="00D65C12">
            <w:pPr>
              <w:spacing w:after="0"/>
              <w:jc w:val="center"/>
              <w:rPr>
                <w:bCs/>
                <w:sz w:val="20"/>
                <w:szCs w:val="20"/>
              </w:rPr>
            </w:pPr>
            <w:r w:rsidRPr="009C3FED">
              <w:rPr>
                <w:bCs/>
                <w:sz w:val="20"/>
                <w:szCs w:val="20"/>
              </w:rPr>
              <w:t>(</w:t>
            </w:r>
            <w:r w:rsidR="001236E8">
              <w:rPr>
                <w:bCs/>
                <w:sz w:val="20"/>
                <w:szCs w:val="20"/>
              </w:rPr>
              <w:t>Re-a</w:t>
            </w:r>
            <w:r w:rsidRPr="009C3FED">
              <w:rPr>
                <w:bCs/>
                <w:sz w:val="20"/>
                <w:szCs w:val="20"/>
              </w:rPr>
              <w:t>ssigned to Technical Assessor)</w:t>
            </w:r>
          </w:p>
        </w:tc>
        <w:tc>
          <w:tcPr>
            <w:tcW w:w="791" w:type="pct"/>
            <w:tcBorders>
              <w:top w:val="single" w:sz="8" w:space="0" w:color="000000"/>
              <w:left w:val="single" w:sz="8" w:space="0" w:color="000000"/>
              <w:right w:val="single" w:sz="8" w:space="0" w:color="000000"/>
            </w:tcBorders>
            <w:shd w:val="clear" w:color="auto" w:fill="D9D9D9"/>
          </w:tcPr>
          <w:p w14:paraId="2133EEC0" w14:textId="77777777" w:rsidR="00B21576" w:rsidRPr="009C3FED" w:rsidRDefault="00B21576" w:rsidP="00D65C12">
            <w:pPr>
              <w:spacing w:after="0"/>
              <w:jc w:val="center"/>
              <w:rPr>
                <w:b/>
                <w:bCs/>
                <w:sz w:val="20"/>
                <w:szCs w:val="20"/>
              </w:rPr>
            </w:pPr>
            <w:r w:rsidRPr="009C3FED">
              <w:rPr>
                <w:b/>
                <w:bCs/>
                <w:sz w:val="20"/>
                <w:szCs w:val="20"/>
              </w:rPr>
              <w:t>Certified - Satisfactory</w:t>
            </w:r>
          </w:p>
          <w:p w14:paraId="605B0481" w14:textId="77777777" w:rsidR="00B21576" w:rsidRPr="009C3FED" w:rsidRDefault="00B21576" w:rsidP="00D65C12">
            <w:pPr>
              <w:spacing w:after="0"/>
              <w:jc w:val="center"/>
              <w:rPr>
                <w:bCs/>
                <w:sz w:val="20"/>
                <w:szCs w:val="20"/>
              </w:rPr>
            </w:pPr>
            <w:r w:rsidRPr="009C3FED">
              <w:rPr>
                <w:bCs/>
                <w:sz w:val="20"/>
                <w:szCs w:val="20"/>
              </w:rPr>
              <w:t>(Endorsed by the BOD)</w:t>
            </w:r>
          </w:p>
        </w:tc>
        <w:tc>
          <w:tcPr>
            <w:tcW w:w="724" w:type="pct"/>
            <w:tcBorders>
              <w:top w:val="single" w:sz="8" w:space="0" w:color="000000"/>
              <w:left w:val="single" w:sz="8" w:space="0" w:color="000000"/>
              <w:right w:val="single" w:sz="8" w:space="0" w:color="000000"/>
            </w:tcBorders>
            <w:shd w:val="clear" w:color="auto" w:fill="D9D9D9"/>
          </w:tcPr>
          <w:p w14:paraId="1EC8B104" w14:textId="77777777" w:rsidR="00B21576" w:rsidRPr="009C3FED" w:rsidRDefault="00B21576" w:rsidP="00D65C12">
            <w:pPr>
              <w:spacing w:after="0"/>
              <w:jc w:val="center"/>
              <w:rPr>
                <w:b/>
                <w:bCs/>
                <w:sz w:val="20"/>
                <w:szCs w:val="20"/>
              </w:rPr>
            </w:pPr>
            <w:r w:rsidRPr="009C3FED">
              <w:rPr>
                <w:b/>
                <w:bCs/>
                <w:sz w:val="20"/>
                <w:szCs w:val="20"/>
              </w:rPr>
              <w:t>Certified</w:t>
            </w:r>
          </w:p>
          <w:p w14:paraId="143BAC5D" w14:textId="77777777" w:rsidR="00B21576" w:rsidRPr="009C3FED" w:rsidRDefault="00B21576" w:rsidP="00D65C12">
            <w:pPr>
              <w:spacing w:after="0"/>
              <w:jc w:val="center"/>
              <w:rPr>
                <w:b/>
                <w:bCs/>
                <w:sz w:val="20"/>
                <w:szCs w:val="20"/>
              </w:rPr>
            </w:pPr>
            <w:r w:rsidRPr="009C3FED">
              <w:rPr>
                <w:b/>
                <w:bCs/>
                <w:sz w:val="20"/>
                <w:szCs w:val="20"/>
              </w:rPr>
              <w:t>Unsatisfactory</w:t>
            </w:r>
          </w:p>
        </w:tc>
      </w:tr>
      <w:tr w:rsidR="00B21576" w:rsidRPr="00F62411" w14:paraId="28E96867" w14:textId="77777777" w:rsidTr="00D65C12">
        <w:trPr>
          <w:trHeight w:val="454"/>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80DFD8" w14:textId="77777777" w:rsidR="00B21576" w:rsidRPr="00F62411" w:rsidRDefault="00B21576" w:rsidP="00D65C12">
            <w:pPr>
              <w:spacing w:after="0"/>
              <w:jc w:val="center"/>
              <w:rPr>
                <w:bCs/>
                <w:i/>
                <w:sz w:val="20"/>
                <w:szCs w:val="20"/>
              </w:rPr>
            </w:pP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183F20" w14:textId="77777777" w:rsidR="00B21576" w:rsidRPr="00F62411" w:rsidRDefault="00B21576" w:rsidP="00D65C12">
            <w:pPr>
              <w:spacing w:after="0"/>
              <w:jc w:val="center"/>
              <w:rPr>
                <w:b/>
                <w:bCs/>
                <w:i/>
                <w:sz w:val="20"/>
                <w:szCs w:val="20"/>
              </w:rPr>
            </w:pPr>
            <w:r w:rsidRPr="00F62411">
              <w:rPr>
                <w:i/>
                <w:sz w:val="20"/>
                <w:szCs w:val="20"/>
              </w:rPr>
              <w:t>Individual</w:t>
            </w:r>
          </w:p>
        </w:tc>
        <w:tc>
          <w:tcPr>
            <w:tcW w:w="702" w:type="pct"/>
            <w:tcBorders>
              <w:top w:val="single" w:sz="8" w:space="0" w:color="000000"/>
              <w:left w:val="single" w:sz="8" w:space="0" w:color="000000"/>
              <w:right w:val="single" w:sz="8" w:space="0" w:color="000000"/>
            </w:tcBorders>
            <w:vAlign w:val="center"/>
          </w:tcPr>
          <w:p w14:paraId="033AB0C8" w14:textId="77777777" w:rsidR="00B21576" w:rsidRPr="00F62411" w:rsidRDefault="00B21576" w:rsidP="00D65C12">
            <w:pPr>
              <w:spacing w:after="0"/>
              <w:jc w:val="center"/>
              <w:rPr>
                <w:bCs/>
                <w:i/>
                <w:sz w:val="20"/>
                <w:szCs w:val="20"/>
              </w:rPr>
            </w:pPr>
            <w:r w:rsidRPr="00F62411">
              <w:rPr>
                <w:i/>
                <w:sz w:val="20"/>
                <w:szCs w:val="20"/>
              </w:rPr>
              <w:t xml:space="preserve">Modules </w:t>
            </w:r>
          </w:p>
        </w:tc>
        <w:tc>
          <w:tcPr>
            <w:tcW w:w="592" w:type="pct"/>
            <w:tcBorders>
              <w:top w:val="single" w:sz="8" w:space="0" w:color="000000"/>
              <w:left w:val="single" w:sz="8" w:space="0" w:color="000000"/>
              <w:right w:val="single" w:sz="8" w:space="0" w:color="000000"/>
            </w:tcBorders>
            <w:vAlign w:val="center"/>
          </w:tcPr>
          <w:p w14:paraId="7D9C8966" w14:textId="77777777" w:rsidR="00B21576" w:rsidRPr="00F62411" w:rsidRDefault="00B21576" w:rsidP="00D65C12">
            <w:pPr>
              <w:spacing w:after="0"/>
              <w:jc w:val="center"/>
              <w:rPr>
                <w:bCs/>
                <w:i/>
                <w:sz w:val="20"/>
                <w:szCs w:val="20"/>
              </w:rPr>
            </w:pPr>
            <w:r w:rsidRPr="00F62411">
              <w:rPr>
                <w:i/>
                <w:sz w:val="20"/>
                <w:szCs w:val="20"/>
              </w:rPr>
              <w:t xml:space="preserve">Modules </w:t>
            </w:r>
          </w:p>
        </w:tc>
        <w:tc>
          <w:tcPr>
            <w:tcW w:w="658" w:type="pct"/>
            <w:tcBorders>
              <w:top w:val="single" w:sz="8" w:space="0" w:color="000000"/>
              <w:left w:val="single" w:sz="8" w:space="0" w:color="000000"/>
              <w:right w:val="single" w:sz="8" w:space="0" w:color="000000"/>
            </w:tcBorders>
            <w:shd w:val="clear" w:color="auto" w:fill="auto"/>
            <w:vAlign w:val="center"/>
          </w:tcPr>
          <w:p w14:paraId="794FF65B" w14:textId="77777777" w:rsidR="00B21576" w:rsidRPr="009C3FED" w:rsidRDefault="00B21576" w:rsidP="00D65C12">
            <w:pPr>
              <w:spacing w:after="0"/>
              <w:jc w:val="center"/>
              <w:rPr>
                <w:bCs/>
                <w:i/>
                <w:sz w:val="20"/>
                <w:szCs w:val="20"/>
              </w:rPr>
            </w:pPr>
            <w:r w:rsidRPr="009C3FED">
              <w:rPr>
                <w:bCs/>
                <w:i/>
                <w:sz w:val="20"/>
                <w:szCs w:val="20"/>
              </w:rPr>
              <w:t>Individual (Modules)</w:t>
            </w:r>
          </w:p>
        </w:tc>
        <w:tc>
          <w:tcPr>
            <w:tcW w:w="791" w:type="pct"/>
            <w:tcBorders>
              <w:top w:val="single" w:sz="8" w:space="0" w:color="000000"/>
              <w:left w:val="single" w:sz="8" w:space="0" w:color="000000"/>
              <w:right w:val="single" w:sz="8" w:space="0" w:color="000000"/>
            </w:tcBorders>
            <w:shd w:val="clear" w:color="auto" w:fill="auto"/>
            <w:vAlign w:val="center"/>
          </w:tcPr>
          <w:p w14:paraId="0BAAEBFC" w14:textId="77777777" w:rsidR="00B21576" w:rsidRPr="009C3FED" w:rsidRDefault="00B21576" w:rsidP="00D65C12">
            <w:pPr>
              <w:spacing w:after="0"/>
              <w:jc w:val="center"/>
              <w:rPr>
                <w:b/>
                <w:bCs/>
                <w:i/>
                <w:sz w:val="20"/>
                <w:szCs w:val="20"/>
              </w:rPr>
            </w:pPr>
            <w:r w:rsidRPr="009C3FED">
              <w:rPr>
                <w:bCs/>
                <w:i/>
                <w:sz w:val="20"/>
                <w:szCs w:val="20"/>
              </w:rPr>
              <w:t>Individual (Modules)</w:t>
            </w:r>
          </w:p>
        </w:tc>
        <w:tc>
          <w:tcPr>
            <w:tcW w:w="724" w:type="pct"/>
            <w:tcBorders>
              <w:top w:val="single" w:sz="8" w:space="0" w:color="000000"/>
              <w:left w:val="single" w:sz="8" w:space="0" w:color="000000"/>
              <w:right w:val="single" w:sz="8" w:space="0" w:color="000000"/>
            </w:tcBorders>
            <w:shd w:val="clear" w:color="auto" w:fill="auto"/>
            <w:vAlign w:val="center"/>
          </w:tcPr>
          <w:p w14:paraId="372BDDD1" w14:textId="77777777" w:rsidR="00B21576" w:rsidRPr="009C3FED" w:rsidRDefault="00B21576" w:rsidP="00D65C12">
            <w:pPr>
              <w:spacing w:after="0"/>
              <w:jc w:val="center"/>
              <w:rPr>
                <w:b/>
                <w:bCs/>
                <w:i/>
                <w:sz w:val="20"/>
                <w:szCs w:val="20"/>
              </w:rPr>
            </w:pPr>
            <w:r w:rsidRPr="009C3FED">
              <w:rPr>
                <w:bCs/>
                <w:i/>
                <w:sz w:val="20"/>
                <w:szCs w:val="20"/>
              </w:rPr>
              <w:t>Individual (Modules)</w:t>
            </w:r>
          </w:p>
        </w:tc>
      </w:tr>
      <w:tr w:rsidR="00B21576" w:rsidRPr="00F62411" w14:paraId="43A6770C" w14:textId="77777777" w:rsidTr="00D65C12">
        <w:trPr>
          <w:trHeight w:val="491"/>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70A37" w14:textId="77777777" w:rsidR="00B21576" w:rsidRPr="00F62411" w:rsidRDefault="00B21576" w:rsidP="00D65C12">
            <w:pPr>
              <w:spacing w:after="0"/>
              <w:rPr>
                <w:sz w:val="20"/>
                <w:szCs w:val="20"/>
              </w:rPr>
            </w:pPr>
            <w:r w:rsidRPr="00F62411">
              <w:rPr>
                <w:sz w:val="20"/>
                <w:szCs w:val="20"/>
              </w:rPr>
              <w:t>Anatomical 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FAECE" w14:textId="1F65A960" w:rsidR="00B21576" w:rsidRPr="00F62411" w:rsidRDefault="002134A9" w:rsidP="00D65C12">
            <w:pPr>
              <w:spacing w:after="0"/>
              <w:jc w:val="center"/>
              <w:rPr>
                <w:sz w:val="20"/>
                <w:szCs w:val="20"/>
              </w:rPr>
            </w:pPr>
            <w:r>
              <w:rPr>
                <w:sz w:val="20"/>
                <w:szCs w:val="20"/>
              </w:rPr>
              <w:t>27</w:t>
            </w:r>
          </w:p>
        </w:tc>
        <w:tc>
          <w:tcPr>
            <w:tcW w:w="702" w:type="pct"/>
            <w:tcBorders>
              <w:top w:val="single" w:sz="8" w:space="0" w:color="000000"/>
              <w:left w:val="single" w:sz="8" w:space="0" w:color="000000"/>
              <w:bottom w:val="single" w:sz="8" w:space="0" w:color="000000"/>
              <w:right w:val="single" w:sz="8" w:space="0" w:color="000000"/>
            </w:tcBorders>
            <w:vAlign w:val="center"/>
          </w:tcPr>
          <w:p w14:paraId="5351F1F9" w14:textId="1A1F78CE" w:rsidR="00B21576" w:rsidRPr="00F62411" w:rsidRDefault="00B21576" w:rsidP="00D65C12">
            <w:pPr>
              <w:spacing w:after="0"/>
              <w:jc w:val="center"/>
              <w:rPr>
                <w:sz w:val="20"/>
                <w:szCs w:val="20"/>
              </w:rPr>
            </w:pPr>
            <w:r w:rsidRPr="00F62411">
              <w:rPr>
                <w:sz w:val="20"/>
                <w:szCs w:val="20"/>
              </w:rPr>
              <w:t>4</w:t>
            </w:r>
            <w:r w:rsidR="006249E1">
              <w:rPr>
                <w:sz w:val="20"/>
                <w:szCs w:val="20"/>
              </w:rPr>
              <w:t>4</w:t>
            </w:r>
          </w:p>
        </w:tc>
        <w:tc>
          <w:tcPr>
            <w:tcW w:w="592" w:type="pct"/>
            <w:tcBorders>
              <w:top w:val="single" w:sz="8" w:space="0" w:color="000000"/>
              <w:left w:val="single" w:sz="8" w:space="0" w:color="000000"/>
              <w:bottom w:val="single" w:sz="8" w:space="0" w:color="000000"/>
              <w:right w:val="single" w:sz="8" w:space="0" w:color="000000"/>
            </w:tcBorders>
            <w:vAlign w:val="center"/>
          </w:tcPr>
          <w:p w14:paraId="09BCAED5" w14:textId="2B198867" w:rsidR="00B21576" w:rsidRPr="00F62411" w:rsidRDefault="00B21576" w:rsidP="00D65C12">
            <w:pPr>
              <w:spacing w:after="0"/>
              <w:jc w:val="center"/>
              <w:rPr>
                <w:sz w:val="20"/>
                <w:szCs w:val="20"/>
              </w:rPr>
            </w:pPr>
            <w:r w:rsidRPr="00F62411">
              <w:rPr>
                <w:sz w:val="20"/>
                <w:szCs w:val="20"/>
              </w:rPr>
              <w:t>0</w:t>
            </w:r>
            <w:r w:rsidR="006249E1">
              <w:rPr>
                <w:sz w:val="20"/>
                <w:szCs w:val="20"/>
              </w:rPr>
              <w:t xml:space="preserve"> (0)</w:t>
            </w:r>
          </w:p>
        </w:tc>
        <w:tc>
          <w:tcPr>
            <w:tcW w:w="658" w:type="pct"/>
            <w:tcBorders>
              <w:top w:val="single" w:sz="8" w:space="0" w:color="000000"/>
              <w:left w:val="single" w:sz="8" w:space="0" w:color="000000"/>
              <w:bottom w:val="single" w:sz="8" w:space="0" w:color="000000"/>
              <w:right w:val="single" w:sz="8" w:space="0" w:color="000000"/>
            </w:tcBorders>
            <w:vAlign w:val="center"/>
          </w:tcPr>
          <w:p w14:paraId="268BDEE6" w14:textId="3B69C842" w:rsidR="00B21576" w:rsidRPr="009C3FED" w:rsidRDefault="006249E1" w:rsidP="00D65C12">
            <w:pPr>
              <w:spacing w:after="0"/>
              <w:jc w:val="center"/>
              <w:rPr>
                <w:sz w:val="20"/>
                <w:szCs w:val="20"/>
              </w:rPr>
            </w:pPr>
            <w:r w:rsidRPr="009C3FED">
              <w:rPr>
                <w:sz w:val="20"/>
                <w:szCs w:val="20"/>
              </w:rPr>
              <w:t>4</w:t>
            </w:r>
            <w:r w:rsidR="00B21576" w:rsidRPr="009C3FED">
              <w:rPr>
                <w:sz w:val="20"/>
                <w:szCs w:val="20"/>
              </w:rPr>
              <w:t xml:space="preserve"> (</w:t>
            </w:r>
            <w:r w:rsidRPr="009C3FED">
              <w:rPr>
                <w:sz w:val="20"/>
                <w:szCs w:val="20"/>
              </w:rPr>
              <w:t>8</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5EF2D5E6" w14:textId="2CAF3FF1" w:rsidR="00B21576" w:rsidRPr="009C3FED" w:rsidRDefault="00E12FC2" w:rsidP="00D65C12">
            <w:pPr>
              <w:spacing w:after="0"/>
              <w:jc w:val="center"/>
              <w:rPr>
                <w:sz w:val="20"/>
                <w:szCs w:val="20"/>
              </w:rPr>
            </w:pPr>
            <w:r>
              <w:rPr>
                <w:sz w:val="20"/>
                <w:szCs w:val="20"/>
              </w:rPr>
              <w:t>19</w:t>
            </w:r>
            <w:r w:rsidR="000B4075" w:rsidRPr="009C3FED">
              <w:rPr>
                <w:sz w:val="20"/>
                <w:szCs w:val="20"/>
              </w:rPr>
              <w:t xml:space="preserve"> </w:t>
            </w:r>
            <w:r w:rsidR="00B21576" w:rsidRPr="009C3FED">
              <w:rPr>
                <w:sz w:val="20"/>
                <w:szCs w:val="20"/>
              </w:rPr>
              <w:t>(</w:t>
            </w:r>
            <w:r w:rsidR="006249E1" w:rsidRPr="009C3FED">
              <w:rPr>
                <w:sz w:val="20"/>
                <w:szCs w:val="20"/>
              </w:rPr>
              <w:t>24</w:t>
            </w:r>
            <w:r w:rsidR="00B21576" w:rsidRPr="009C3FED">
              <w:rPr>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2504C92D" w14:textId="421FAEC9" w:rsidR="00B21576" w:rsidRPr="009C3FED" w:rsidRDefault="006249E1" w:rsidP="00D65C12">
            <w:pPr>
              <w:spacing w:after="0"/>
              <w:jc w:val="center"/>
              <w:rPr>
                <w:sz w:val="20"/>
                <w:szCs w:val="20"/>
              </w:rPr>
            </w:pPr>
            <w:r w:rsidRPr="009C3FED">
              <w:rPr>
                <w:sz w:val="20"/>
                <w:szCs w:val="20"/>
              </w:rPr>
              <w:t xml:space="preserve">10 </w:t>
            </w:r>
            <w:r w:rsidR="00B21576" w:rsidRPr="009C3FED">
              <w:rPr>
                <w:sz w:val="20"/>
                <w:szCs w:val="20"/>
              </w:rPr>
              <w:t>(</w:t>
            </w:r>
            <w:r w:rsidRPr="009C3FED">
              <w:rPr>
                <w:sz w:val="20"/>
                <w:szCs w:val="20"/>
              </w:rPr>
              <w:t>12</w:t>
            </w:r>
            <w:r w:rsidR="00B21576" w:rsidRPr="009C3FED">
              <w:rPr>
                <w:sz w:val="20"/>
                <w:szCs w:val="20"/>
              </w:rPr>
              <w:t>)</w:t>
            </w:r>
          </w:p>
        </w:tc>
      </w:tr>
      <w:tr w:rsidR="00B21576" w:rsidRPr="00F62411" w14:paraId="01B88248" w14:textId="77777777" w:rsidTr="00D65C12">
        <w:trPr>
          <w:trHeight w:val="712"/>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31EDEF" w14:textId="77777777" w:rsidR="00B21576" w:rsidRPr="00F62411" w:rsidRDefault="00B21576" w:rsidP="00D65C12">
            <w:pPr>
              <w:spacing w:after="0"/>
              <w:rPr>
                <w:sz w:val="20"/>
                <w:szCs w:val="20"/>
              </w:rPr>
            </w:pPr>
            <w:r w:rsidRPr="00F62411">
              <w:rPr>
                <w:sz w:val="20"/>
                <w:szCs w:val="20"/>
              </w:rPr>
              <w:t>Chemical 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81DD36" w14:textId="77777777" w:rsidR="00B21576" w:rsidRPr="00F62411" w:rsidRDefault="00B21576" w:rsidP="00D65C12">
            <w:pPr>
              <w:spacing w:after="0"/>
              <w:jc w:val="center"/>
              <w:rPr>
                <w:sz w:val="20"/>
                <w:szCs w:val="20"/>
              </w:rPr>
            </w:pPr>
            <w:r w:rsidRPr="00F62411">
              <w:rPr>
                <w:sz w:val="20"/>
                <w:szCs w:val="20"/>
              </w:rPr>
              <w:t>8</w:t>
            </w:r>
          </w:p>
        </w:tc>
        <w:tc>
          <w:tcPr>
            <w:tcW w:w="702" w:type="pct"/>
            <w:tcBorders>
              <w:top w:val="single" w:sz="8" w:space="0" w:color="000000"/>
              <w:left w:val="single" w:sz="8" w:space="0" w:color="000000"/>
              <w:bottom w:val="single" w:sz="8" w:space="0" w:color="000000"/>
              <w:right w:val="single" w:sz="8" w:space="0" w:color="000000"/>
            </w:tcBorders>
            <w:vAlign w:val="center"/>
          </w:tcPr>
          <w:p w14:paraId="13105655" w14:textId="77777777" w:rsidR="00B21576" w:rsidRPr="00F62411" w:rsidRDefault="00B21576" w:rsidP="00D65C12">
            <w:pPr>
              <w:spacing w:after="0"/>
              <w:jc w:val="center"/>
              <w:rPr>
                <w:sz w:val="20"/>
                <w:szCs w:val="20"/>
              </w:rPr>
            </w:pPr>
            <w:r w:rsidRPr="00F62411">
              <w:rPr>
                <w:sz w:val="20"/>
                <w:szCs w:val="20"/>
              </w:rPr>
              <w:t>16</w:t>
            </w:r>
          </w:p>
        </w:tc>
        <w:tc>
          <w:tcPr>
            <w:tcW w:w="592" w:type="pct"/>
            <w:tcBorders>
              <w:top w:val="single" w:sz="8" w:space="0" w:color="000000"/>
              <w:left w:val="single" w:sz="8" w:space="0" w:color="000000"/>
              <w:bottom w:val="single" w:sz="8" w:space="0" w:color="000000"/>
              <w:right w:val="single" w:sz="8" w:space="0" w:color="000000"/>
            </w:tcBorders>
            <w:vAlign w:val="center"/>
          </w:tcPr>
          <w:p w14:paraId="74CCBC10" w14:textId="577A9143" w:rsidR="00B21576" w:rsidRPr="00F62411" w:rsidRDefault="00B21576" w:rsidP="00D65C12">
            <w:pPr>
              <w:spacing w:after="0"/>
              <w:jc w:val="center"/>
              <w:rPr>
                <w:sz w:val="20"/>
                <w:szCs w:val="20"/>
              </w:rPr>
            </w:pPr>
            <w:r w:rsidRPr="00F62411">
              <w:rPr>
                <w:sz w:val="20"/>
                <w:szCs w:val="20"/>
              </w:rPr>
              <w:t>1</w:t>
            </w:r>
            <w:r w:rsidR="006249E1">
              <w:rPr>
                <w:sz w:val="20"/>
                <w:szCs w:val="20"/>
              </w:rPr>
              <w:t xml:space="preserve"> (1)</w:t>
            </w:r>
          </w:p>
        </w:tc>
        <w:tc>
          <w:tcPr>
            <w:tcW w:w="658" w:type="pct"/>
            <w:tcBorders>
              <w:top w:val="single" w:sz="8" w:space="0" w:color="000000"/>
              <w:left w:val="single" w:sz="8" w:space="0" w:color="000000"/>
              <w:bottom w:val="single" w:sz="8" w:space="0" w:color="000000"/>
              <w:right w:val="single" w:sz="8" w:space="0" w:color="000000"/>
            </w:tcBorders>
            <w:vAlign w:val="center"/>
          </w:tcPr>
          <w:p w14:paraId="6D57B310" w14:textId="77DEC2E6" w:rsidR="00B21576" w:rsidRPr="009C3FED" w:rsidRDefault="006249E1" w:rsidP="00D65C12">
            <w:pPr>
              <w:spacing w:after="0"/>
              <w:jc w:val="center"/>
              <w:rPr>
                <w:sz w:val="20"/>
                <w:szCs w:val="20"/>
              </w:rPr>
            </w:pPr>
            <w:r w:rsidRPr="009C3FED">
              <w:rPr>
                <w:sz w:val="20"/>
                <w:szCs w:val="20"/>
              </w:rPr>
              <w:t xml:space="preserve">1 </w:t>
            </w:r>
            <w:r w:rsidR="00B21576" w:rsidRPr="009C3FED">
              <w:rPr>
                <w:sz w:val="20"/>
                <w:szCs w:val="20"/>
              </w:rPr>
              <w:t>(</w:t>
            </w:r>
            <w:r w:rsidRPr="009C3FED">
              <w:rPr>
                <w:sz w:val="20"/>
                <w:szCs w:val="20"/>
              </w:rPr>
              <w:t>3</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587D5363" w14:textId="54417E8A" w:rsidR="00B21576" w:rsidRPr="009C3FED" w:rsidRDefault="006249E1" w:rsidP="00D65C12">
            <w:pPr>
              <w:spacing w:after="0"/>
              <w:jc w:val="center"/>
              <w:rPr>
                <w:sz w:val="20"/>
                <w:szCs w:val="20"/>
              </w:rPr>
            </w:pPr>
            <w:r w:rsidRPr="009C3FED">
              <w:rPr>
                <w:sz w:val="20"/>
                <w:szCs w:val="20"/>
              </w:rPr>
              <w:t xml:space="preserve">4 </w:t>
            </w:r>
            <w:r w:rsidR="00B21576" w:rsidRPr="009C3FED">
              <w:rPr>
                <w:sz w:val="20"/>
                <w:szCs w:val="20"/>
              </w:rPr>
              <w:t>(</w:t>
            </w:r>
            <w:r w:rsidRPr="009C3FED">
              <w:rPr>
                <w:sz w:val="20"/>
                <w:szCs w:val="20"/>
              </w:rPr>
              <w:t>5</w:t>
            </w:r>
            <w:r w:rsidR="00B21576" w:rsidRPr="009C3FED">
              <w:rPr>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5AF4F06E" w14:textId="77D88D37" w:rsidR="00B21576" w:rsidRPr="009C3FED" w:rsidRDefault="006249E1" w:rsidP="00D65C12">
            <w:pPr>
              <w:spacing w:after="0"/>
              <w:jc w:val="center"/>
              <w:rPr>
                <w:sz w:val="20"/>
                <w:szCs w:val="20"/>
              </w:rPr>
            </w:pPr>
            <w:r w:rsidRPr="009C3FED">
              <w:rPr>
                <w:sz w:val="20"/>
                <w:szCs w:val="20"/>
              </w:rPr>
              <w:t xml:space="preserve">4 </w:t>
            </w:r>
            <w:r w:rsidR="00B21576" w:rsidRPr="009C3FED">
              <w:rPr>
                <w:sz w:val="20"/>
                <w:szCs w:val="20"/>
              </w:rPr>
              <w:t>(</w:t>
            </w:r>
            <w:r w:rsidRPr="009C3FED">
              <w:rPr>
                <w:sz w:val="20"/>
                <w:szCs w:val="20"/>
              </w:rPr>
              <w:t>7</w:t>
            </w:r>
            <w:r w:rsidR="00B21576" w:rsidRPr="009C3FED">
              <w:rPr>
                <w:sz w:val="20"/>
                <w:szCs w:val="20"/>
              </w:rPr>
              <w:t>)</w:t>
            </w:r>
          </w:p>
        </w:tc>
      </w:tr>
      <w:tr w:rsidR="00B21576" w:rsidRPr="00F62411" w14:paraId="5D70DD27" w14:textId="77777777" w:rsidTr="00D65C12">
        <w:trPr>
          <w:trHeight w:val="62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6AC13A" w14:textId="77777777" w:rsidR="00B21576" w:rsidRPr="00F62411" w:rsidRDefault="00B21576" w:rsidP="00D65C12">
            <w:pPr>
              <w:spacing w:after="0"/>
              <w:rPr>
                <w:sz w:val="20"/>
                <w:szCs w:val="20"/>
              </w:rPr>
            </w:pPr>
            <w:r w:rsidRPr="00F62411">
              <w:rPr>
                <w:sz w:val="20"/>
                <w:szCs w:val="20"/>
              </w:rPr>
              <w:t>Haematology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382FA" w14:textId="49AE71A3" w:rsidR="00B21576" w:rsidRPr="00F62411" w:rsidRDefault="00B21576" w:rsidP="00D65C12">
            <w:pPr>
              <w:spacing w:after="0"/>
              <w:jc w:val="center"/>
              <w:rPr>
                <w:sz w:val="20"/>
                <w:szCs w:val="20"/>
              </w:rPr>
            </w:pPr>
            <w:r w:rsidRPr="00F62411">
              <w:rPr>
                <w:sz w:val="20"/>
                <w:szCs w:val="20"/>
              </w:rPr>
              <w:t>3</w:t>
            </w:r>
            <w:r w:rsidR="006249E1">
              <w:rPr>
                <w:sz w:val="20"/>
                <w:szCs w:val="20"/>
              </w:rPr>
              <w:t>5</w:t>
            </w:r>
          </w:p>
        </w:tc>
        <w:tc>
          <w:tcPr>
            <w:tcW w:w="702" w:type="pct"/>
            <w:tcBorders>
              <w:top w:val="single" w:sz="8" w:space="0" w:color="000000"/>
              <w:left w:val="single" w:sz="8" w:space="0" w:color="000000"/>
              <w:bottom w:val="single" w:sz="8" w:space="0" w:color="000000"/>
              <w:right w:val="single" w:sz="8" w:space="0" w:color="000000"/>
            </w:tcBorders>
            <w:vAlign w:val="center"/>
          </w:tcPr>
          <w:p w14:paraId="50445E14" w14:textId="444A6164" w:rsidR="00B21576" w:rsidRPr="00F62411" w:rsidRDefault="00B21576" w:rsidP="00D65C12">
            <w:pPr>
              <w:spacing w:after="0"/>
              <w:jc w:val="center"/>
              <w:rPr>
                <w:sz w:val="20"/>
                <w:szCs w:val="20"/>
              </w:rPr>
            </w:pPr>
            <w:r w:rsidRPr="00F62411">
              <w:rPr>
                <w:sz w:val="20"/>
                <w:szCs w:val="20"/>
              </w:rPr>
              <w:t>8</w:t>
            </w:r>
            <w:r w:rsidR="006249E1">
              <w:rPr>
                <w:sz w:val="20"/>
                <w:szCs w:val="20"/>
              </w:rPr>
              <w:t>8</w:t>
            </w:r>
          </w:p>
        </w:tc>
        <w:tc>
          <w:tcPr>
            <w:tcW w:w="592" w:type="pct"/>
            <w:tcBorders>
              <w:top w:val="single" w:sz="8" w:space="0" w:color="000000"/>
              <w:left w:val="single" w:sz="8" w:space="0" w:color="000000"/>
              <w:bottom w:val="single" w:sz="8" w:space="0" w:color="000000"/>
              <w:right w:val="single" w:sz="8" w:space="0" w:color="000000"/>
            </w:tcBorders>
            <w:vAlign w:val="center"/>
          </w:tcPr>
          <w:p w14:paraId="69D9F404" w14:textId="748717BC" w:rsidR="00B21576" w:rsidRPr="00F62411" w:rsidRDefault="00B21576" w:rsidP="00D65C12">
            <w:pPr>
              <w:spacing w:after="0"/>
              <w:jc w:val="center"/>
              <w:rPr>
                <w:sz w:val="20"/>
                <w:szCs w:val="20"/>
              </w:rPr>
            </w:pPr>
            <w:r w:rsidRPr="00F62411">
              <w:rPr>
                <w:sz w:val="20"/>
                <w:szCs w:val="20"/>
              </w:rPr>
              <w:t>1</w:t>
            </w:r>
            <w:r w:rsidR="006249E1">
              <w:rPr>
                <w:sz w:val="20"/>
                <w:szCs w:val="20"/>
              </w:rPr>
              <w:t>8 (19)</w:t>
            </w:r>
          </w:p>
        </w:tc>
        <w:tc>
          <w:tcPr>
            <w:tcW w:w="658" w:type="pct"/>
            <w:tcBorders>
              <w:top w:val="single" w:sz="8" w:space="0" w:color="000000"/>
              <w:left w:val="single" w:sz="8" w:space="0" w:color="000000"/>
              <w:bottom w:val="single" w:sz="8" w:space="0" w:color="000000"/>
              <w:right w:val="single" w:sz="8" w:space="0" w:color="000000"/>
            </w:tcBorders>
            <w:vAlign w:val="center"/>
          </w:tcPr>
          <w:p w14:paraId="69731F15" w14:textId="77E5940A" w:rsidR="00B21576" w:rsidRPr="009C3FED" w:rsidRDefault="006249E1" w:rsidP="00D65C12">
            <w:pPr>
              <w:spacing w:after="0"/>
              <w:jc w:val="center"/>
              <w:rPr>
                <w:sz w:val="20"/>
                <w:szCs w:val="20"/>
              </w:rPr>
            </w:pPr>
            <w:r w:rsidRPr="009C3FED">
              <w:rPr>
                <w:sz w:val="20"/>
                <w:szCs w:val="20"/>
              </w:rPr>
              <w:t xml:space="preserve">2 </w:t>
            </w:r>
            <w:r w:rsidR="00B21576" w:rsidRPr="009C3FED">
              <w:rPr>
                <w:sz w:val="20"/>
                <w:szCs w:val="20"/>
              </w:rPr>
              <w:t>(</w:t>
            </w:r>
            <w:r w:rsidRPr="009C3FED">
              <w:rPr>
                <w:sz w:val="20"/>
                <w:szCs w:val="20"/>
              </w:rPr>
              <w:t>7</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007C5C79" w14:textId="366BB07C" w:rsidR="00B21576" w:rsidRPr="009C3FED" w:rsidRDefault="000B4075" w:rsidP="00D65C12">
            <w:pPr>
              <w:spacing w:after="0"/>
              <w:jc w:val="center"/>
              <w:rPr>
                <w:sz w:val="20"/>
                <w:szCs w:val="20"/>
              </w:rPr>
            </w:pPr>
            <w:r>
              <w:rPr>
                <w:sz w:val="20"/>
                <w:szCs w:val="20"/>
              </w:rPr>
              <w:t>25</w:t>
            </w:r>
            <w:r w:rsidRPr="009C3FED">
              <w:rPr>
                <w:sz w:val="20"/>
                <w:szCs w:val="20"/>
              </w:rPr>
              <w:t xml:space="preserve"> </w:t>
            </w:r>
            <w:r w:rsidR="00B21576" w:rsidRPr="009C3FED">
              <w:rPr>
                <w:sz w:val="20"/>
                <w:szCs w:val="20"/>
              </w:rPr>
              <w:t>(</w:t>
            </w:r>
            <w:r w:rsidR="006249E1" w:rsidRPr="009C3FED">
              <w:rPr>
                <w:sz w:val="20"/>
                <w:szCs w:val="20"/>
              </w:rPr>
              <w:t>38</w:t>
            </w:r>
            <w:r w:rsidR="00B21576" w:rsidRPr="009C3FED">
              <w:rPr>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3DF43A64" w14:textId="52133254" w:rsidR="00B21576" w:rsidRPr="009C3FED" w:rsidRDefault="006249E1" w:rsidP="00D65C12">
            <w:pPr>
              <w:spacing w:after="0"/>
              <w:jc w:val="center"/>
              <w:rPr>
                <w:sz w:val="20"/>
                <w:szCs w:val="20"/>
              </w:rPr>
            </w:pPr>
            <w:r w:rsidRPr="009C3FED">
              <w:rPr>
                <w:sz w:val="20"/>
                <w:szCs w:val="20"/>
              </w:rPr>
              <w:t xml:space="preserve">16 </w:t>
            </w:r>
            <w:r w:rsidR="00B21576" w:rsidRPr="009C3FED">
              <w:rPr>
                <w:sz w:val="20"/>
                <w:szCs w:val="20"/>
              </w:rPr>
              <w:t>(</w:t>
            </w:r>
            <w:r w:rsidRPr="009C3FED">
              <w:rPr>
                <w:sz w:val="20"/>
                <w:szCs w:val="20"/>
              </w:rPr>
              <w:t>24</w:t>
            </w:r>
            <w:r w:rsidR="00B21576" w:rsidRPr="009C3FED">
              <w:rPr>
                <w:sz w:val="20"/>
                <w:szCs w:val="20"/>
              </w:rPr>
              <w:t>)</w:t>
            </w:r>
          </w:p>
        </w:tc>
      </w:tr>
      <w:tr w:rsidR="00B21576" w:rsidRPr="00F62411" w14:paraId="40EA746D" w14:textId="77777777" w:rsidTr="00D65C12">
        <w:trPr>
          <w:trHeight w:val="62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109C4" w14:textId="77777777" w:rsidR="00B21576" w:rsidRPr="00F62411" w:rsidRDefault="00B21576" w:rsidP="00D65C12">
            <w:pPr>
              <w:spacing w:after="0"/>
              <w:rPr>
                <w:sz w:val="20"/>
                <w:szCs w:val="20"/>
              </w:rPr>
            </w:pPr>
            <w:r w:rsidRPr="00F62411">
              <w:rPr>
                <w:sz w:val="20"/>
                <w:szCs w:val="20"/>
              </w:rPr>
              <w:t>Immunopathology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4093EC" w14:textId="457EA3B8" w:rsidR="00B21576" w:rsidRPr="00F62411" w:rsidRDefault="00B21576" w:rsidP="00D65C12">
            <w:pPr>
              <w:spacing w:after="0"/>
              <w:jc w:val="center"/>
              <w:rPr>
                <w:sz w:val="20"/>
                <w:szCs w:val="20"/>
              </w:rPr>
            </w:pPr>
            <w:r w:rsidRPr="00F62411">
              <w:rPr>
                <w:sz w:val="20"/>
                <w:szCs w:val="20"/>
              </w:rPr>
              <w:t>2</w:t>
            </w:r>
            <w:r w:rsidR="006249E1">
              <w:rPr>
                <w:sz w:val="20"/>
                <w:szCs w:val="20"/>
              </w:rPr>
              <w:t>2</w:t>
            </w:r>
          </w:p>
        </w:tc>
        <w:tc>
          <w:tcPr>
            <w:tcW w:w="702" w:type="pct"/>
            <w:tcBorders>
              <w:top w:val="single" w:sz="8" w:space="0" w:color="000000"/>
              <w:left w:val="single" w:sz="8" w:space="0" w:color="000000"/>
              <w:bottom w:val="single" w:sz="8" w:space="0" w:color="000000"/>
              <w:right w:val="single" w:sz="8" w:space="0" w:color="000000"/>
            </w:tcBorders>
            <w:vAlign w:val="center"/>
          </w:tcPr>
          <w:p w14:paraId="417797E8" w14:textId="265BB691" w:rsidR="00B21576" w:rsidRPr="00F62411" w:rsidRDefault="00B21576" w:rsidP="00D65C12">
            <w:pPr>
              <w:spacing w:after="0"/>
              <w:jc w:val="center"/>
              <w:rPr>
                <w:sz w:val="20"/>
                <w:szCs w:val="20"/>
              </w:rPr>
            </w:pPr>
            <w:r w:rsidRPr="00F62411">
              <w:rPr>
                <w:sz w:val="20"/>
                <w:szCs w:val="20"/>
              </w:rPr>
              <w:t>3</w:t>
            </w:r>
            <w:r w:rsidR="006249E1">
              <w:rPr>
                <w:sz w:val="20"/>
                <w:szCs w:val="20"/>
              </w:rPr>
              <w:t>5</w:t>
            </w:r>
          </w:p>
        </w:tc>
        <w:tc>
          <w:tcPr>
            <w:tcW w:w="592" w:type="pct"/>
            <w:tcBorders>
              <w:top w:val="single" w:sz="8" w:space="0" w:color="000000"/>
              <w:left w:val="single" w:sz="8" w:space="0" w:color="000000"/>
              <w:bottom w:val="single" w:sz="8" w:space="0" w:color="000000"/>
              <w:right w:val="single" w:sz="8" w:space="0" w:color="000000"/>
            </w:tcBorders>
            <w:vAlign w:val="center"/>
          </w:tcPr>
          <w:p w14:paraId="240B6A96" w14:textId="1A95EC3F" w:rsidR="00B21576" w:rsidRPr="00F62411" w:rsidRDefault="00B21576" w:rsidP="00D65C12">
            <w:pPr>
              <w:spacing w:after="0"/>
              <w:jc w:val="center"/>
              <w:rPr>
                <w:sz w:val="20"/>
                <w:szCs w:val="20"/>
              </w:rPr>
            </w:pPr>
            <w:r w:rsidRPr="00F62411">
              <w:rPr>
                <w:sz w:val="20"/>
                <w:szCs w:val="20"/>
              </w:rPr>
              <w:t>0</w:t>
            </w:r>
            <w:r w:rsidR="006249E1">
              <w:rPr>
                <w:sz w:val="20"/>
                <w:szCs w:val="20"/>
              </w:rPr>
              <w:t xml:space="preserve"> (0)</w:t>
            </w:r>
          </w:p>
        </w:tc>
        <w:tc>
          <w:tcPr>
            <w:tcW w:w="658" w:type="pct"/>
            <w:tcBorders>
              <w:top w:val="single" w:sz="8" w:space="0" w:color="000000"/>
              <w:left w:val="single" w:sz="8" w:space="0" w:color="000000"/>
              <w:bottom w:val="single" w:sz="8" w:space="0" w:color="000000"/>
              <w:right w:val="single" w:sz="8" w:space="0" w:color="000000"/>
            </w:tcBorders>
            <w:vAlign w:val="center"/>
          </w:tcPr>
          <w:p w14:paraId="6504C505" w14:textId="338180B9" w:rsidR="00B21576" w:rsidRPr="009C3FED" w:rsidRDefault="006249E1" w:rsidP="00D65C12">
            <w:pPr>
              <w:spacing w:after="0"/>
              <w:jc w:val="center"/>
              <w:rPr>
                <w:sz w:val="20"/>
                <w:szCs w:val="20"/>
              </w:rPr>
            </w:pPr>
            <w:r w:rsidRPr="009C3FED">
              <w:rPr>
                <w:sz w:val="20"/>
                <w:szCs w:val="20"/>
              </w:rPr>
              <w:t xml:space="preserve">3 </w:t>
            </w:r>
            <w:r w:rsidR="00B21576" w:rsidRPr="009C3FED">
              <w:rPr>
                <w:sz w:val="20"/>
                <w:szCs w:val="20"/>
              </w:rPr>
              <w:t>(</w:t>
            </w:r>
            <w:r w:rsidRPr="009C3FED">
              <w:rPr>
                <w:sz w:val="20"/>
                <w:szCs w:val="20"/>
              </w:rPr>
              <w:t>4</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03074A6E" w14:textId="0FDA85B1" w:rsidR="00B21576" w:rsidRPr="009C3FED" w:rsidRDefault="00E12FC2" w:rsidP="00D65C12">
            <w:pPr>
              <w:spacing w:after="0"/>
              <w:jc w:val="center"/>
              <w:rPr>
                <w:sz w:val="20"/>
                <w:szCs w:val="20"/>
              </w:rPr>
            </w:pPr>
            <w:r>
              <w:rPr>
                <w:sz w:val="20"/>
                <w:szCs w:val="20"/>
              </w:rPr>
              <w:t>19</w:t>
            </w:r>
            <w:r w:rsidR="006249E1" w:rsidRPr="009C3FED">
              <w:rPr>
                <w:sz w:val="20"/>
                <w:szCs w:val="20"/>
              </w:rPr>
              <w:t xml:space="preserve"> </w:t>
            </w:r>
            <w:r w:rsidR="00B21576" w:rsidRPr="009C3FED">
              <w:rPr>
                <w:sz w:val="20"/>
                <w:szCs w:val="20"/>
              </w:rPr>
              <w:t>(</w:t>
            </w:r>
            <w:r w:rsidR="006249E1" w:rsidRPr="009C3FED">
              <w:rPr>
                <w:sz w:val="20"/>
                <w:szCs w:val="20"/>
              </w:rPr>
              <w:t>22</w:t>
            </w:r>
            <w:r w:rsidR="00B21576" w:rsidRPr="009C3FED">
              <w:rPr>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49BF09DE" w14:textId="74119288" w:rsidR="00B21576" w:rsidRPr="009C3FED" w:rsidRDefault="006249E1" w:rsidP="00D65C12">
            <w:pPr>
              <w:spacing w:after="0"/>
              <w:jc w:val="center"/>
              <w:rPr>
                <w:sz w:val="20"/>
                <w:szCs w:val="20"/>
              </w:rPr>
            </w:pPr>
            <w:r w:rsidRPr="009C3FED">
              <w:rPr>
                <w:sz w:val="20"/>
                <w:szCs w:val="20"/>
              </w:rPr>
              <w:t xml:space="preserve">6 </w:t>
            </w:r>
            <w:r w:rsidR="00B21576" w:rsidRPr="009C3FED">
              <w:rPr>
                <w:sz w:val="20"/>
                <w:szCs w:val="20"/>
              </w:rPr>
              <w:t>(</w:t>
            </w:r>
            <w:r w:rsidRPr="009C3FED">
              <w:rPr>
                <w:sz w:val="20"/>
                <w:szCs w:val="20"/>
              </w:rPr>
              <w:t>9</w:t>
            </w:r>
            <w:r w:rsidR="00B21576" w:rsidRPr="009C3FED">
              <w:rPr>
                <w:sz w:val="20"/>
                <w:szCs w:val="20"/>
              </w:rPr>
              <w:t>)</w:t>
            </w:r>
          </w:p>
        </w:tc>
      </w:tr>
      <w:tr w:rsidR="00B21576" w:rsidRPr="00F62411" w14:paraId="5575918D" w14:textId="77777777" w:rsidTr="00D65C12">
        <w:trPr>
          <w:trHeight w:val="62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13DDB" w14:textId="77777777" w:rsidR="00B21576" w:rsidRPr="00F62411" w:rsidRDefault="00B21576" w:rsidP="00D65C12">
            <w:pPr>
              <w:spacing w:after="0"/>
              <w:rPr>
                <w:sz w:val="20"/>
                <w:szCs w:val="20"/>
              </w:rPr>
            </w:pPr>
            <w:r w:rsidRPr="00F62411">
              <w:rPr>
                <w:sz w:val="20"/>
                <w:szCs w:val="20"/>
              </w:rPr>
              <w:t>Microbiology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2EE69A" w14:textId="383871BF" w:rsidR="00B21576" w:rsidRPr="00F62411" w:rsidRDefault="00B21576" w:rsidP="00D65C12">
            <w:pPr>
              <w:spacing w:after="0"/>
              <w:jc w:val="center"/>
              <w:rPr>
                <w:sz w:val="20"/>
                <w:szCs w:val="20"/>
              </w:rPr>
            </w:pPr>
            <w:r w:rsidRPr="00F62411">
              <w:rPr>
                <w:sz w:val="20"/>
                <w:szCs w:val="20"/>
              </w:rPr>
              <w:t>2</w:t>
            </w:r>
            <w:r w:rsidR="001236E8">
              <w:rPr>
                <w:sz w:val="20"/>
                <w:szCs w:val="20"/>
              </w:rPr>
              <w:t>6</w:t>
            </w:r>
          </w:p>
        </w:tc>
        <w:tc>
          <w:tcPr>
            <w:tcW w:w="702" w:type="pct"/>
            <w:tcBorders>
              <w:top w:val="single" w:sz="8" w:space="0" w:color="000000"/>
              <w:left w:val="single" w:sz="8" w:space="0" w:color="000000"/>
              <w:bottom w:val="single" w:sz="8" w:space="0" w:color="000000"/>
              <w:right w:val="single" w:sz="8" w:space="0" w:color="000000"/>
            </w:tcBorders>
            <w:vAlign w:val="center"/>
          </w:tcPr>
          <w:p w14:paraId="3C519F73" w14:textId="739FF600" w:rsidR="00B21576" w:rsidRPr="00F62411" w:rsidRDefault="00B21576" w:rsidP="00D65C12">
            <w:pPr>
              <w:spacing w:after="0"/>
              <w:jc w:val="center"/>
              <w:rPr>
                <w:sz w:val="20"/>
                <w:szCs w:val="20"/>
              </w:rPr>
            </w:pPr>
            <w:r w:rsidRPr="00F62411">
              <w:rPr>
                <w:sz w:val="20"/>
                <w:szCs w:val="20"/>
              </w:rPr>
              <w:t>4</w:t>
            </w:r>
            <w:r w:rsidR="009E6884">
              <w:rPr>
                <w:sz w:val="20"/>
                <w:szCs w:val="20"/>
              </w:rPr>
              <w:t>7</w:t>
            </w:r>
          </w:p>
        </w:tc>
        <w:tc>
          <w:tcPr>
            <w:tcW w:w="592" w:type="pct"/>
            <w:tcBorders>
              <w:top w:val="single" w:sz="8" w:space="0" w:color="000000"/>
              <w:left w:val="single" w:sz="8" w:space="0" w:color="000000"/>
              <w:bottom w:val="single" w:sz="8" w:space="0" w:color="000000"/>
              <w:right w:val="single" w:sz="8" w:space="0" w:color="000000"/>
            </w:tcBorders>
            <w:vAlign w:val="center"/>
          </w:tcPr>
          <w:p w14:paraId="225EE222" w14:textId="31F13871" w:rsidR="00B21576" w:rsidRPr="00F62411" w:rsidRDefault="00B21576" w:rsidP="00D65C12">
            <w:pPr>
              <w:spacing w:after="0"/>
              <w:jc w:val="center"/>
              <w:rPr>
                <w:sz w:val="20"/>
                <w:szCs w:val="20"/>
              </w:rPr>
            </w:pPr>
            <w:r w:rsidRPr="00F62411">
              <w:rPr>
                <w:sz w:val="20"/>
                <w:szCs w:val="20"/>
              </w:rPr>
              <w:t>3</w:t>
            </w:r>
            <w:r w:rsidR="006249E1">
              <w:rPr>
                <w:sz w:val="20"/>
                <w:szCs w:val="20"/>
              </w:rPr>
              <w:t xml:space="preserve"> (3)</w:t>
            </w:r>
          </w:p>
        </w:tc>
        <w:tc>
          <w:tcPr>
            <w:tcW w:w="658" w:type="pct"/>
            <w:tcBorders>
              <w:top w:val="single" w:sz="8" w:space="0" w:color="000000"/>
              <w:left w:val="single" w:sz="8" w:space="0" w:color="000000"/>
              <w:bottom w:val="single" w:sz="8" w:space="0" w:color="000000"/>
              <w:right w:val="single" w:sz="8" w:space="0" w:color="000000"/>
            </w:tcBorders>
            <w:vAlign w:val="center"/>
          </w:tcPr>
          <w:p w14:paraId="2D1606A6" w14:textId="5108CDA6" w:rsidR="00B21576" w:rsidRPr="009C3FED" w:rsidRDefault="00D547EE" w:rsidP="00D65C12">
            <w:pPr>
              <w:spacing w:after="0"/>
              <w:jc w:val="center"/>
              <w:rPr>
                <w:sz w:val="20"/>
                <w:szCs w:val="20"/>
              </w:rPr>
            </w:pPr>
            <w:r>
              <w:rPr>
                <w:sz w:val="20"/>
                <w:szCs w:val="20"/>
              </w:rPr>
              <w:t>5</w:t>
            </w:r>
            <w:r w:rsidR="006249E1" w:rsidRPr="009C3FED">
              <w:rPr>
                <w:sz w:val="20"/>
                <w:szCs w:val="20"/>
              </w:rPr>
              <w:t xml:space="preserve"> </w:t>
            </w:r>
            <w:r w:rsidR="00B21576" w:rsidRPr="009C3FED">
              <w:rPr>
                <w:sz w:val="20"/>
                <w:szCs w:val="20"/>
              </w:rPr>
              <w:t>(</w:t>
            </w:r>
            <w:r>
              <w:rPr>
                <w:sz w:val="20"/>
                <w:szCs w:val="20"/>
              </w:rPr>
              <w:t>7</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4109CF0B" w14:textId="5C5E4915" w:rsidR="00B21576" w:rsidRPr="009C3FED" w:rsidRDefault="005E34CB" w:rsidP="00D65C12">
            <w:pPr>
              <w:spacing w:after="0"/>
              <w:jc w:val="center"/>
              <w:rPr>
                <w:sz w:val="20"/>
                <w:szCs w:val="20"/>
              </w:rPr>
            </w:pPr>
            <w:r>
              <w:rPr>
                <w:sz w:val="20"/>
                <w:szCs w:val="20"/>
              </w:rPr>
              <w:t>18</w:t>
            </w:r>
            <w:r w:rsidRPr="009C3FED">
              <w:rPr>
                <w:sz w:val="20"/>
                <w:szCs w:val="20"/>
              </w:rPr>
              <w:t xml:space="preserve"> </w:t>
            </w:r>
            <w:r w:rsidR="00B21576" w:rsidRPr="009C3FED">
              <w:rPr>
                <w:sz w:val="20"/>
                <w:szCs w:val="20"/>
              </w:rPr>
              <w:t>(</w:t>
            </w:r>
            <w:r w:rsidR="006249E1" w:rsidRPr="009C3FED">
              <w:rPr>
                <w:sz w:val="20"/>
                <w:szCs w:val="20"/>
              </w:rPr>
              <w:t>28</w:t>
            </w:r>
            <w:r w:rsidR="00B21576" w:rsidRPr="009C3FED">
              <w:rPr>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3058B070" w14:textId="2315BBAB" w:rsidR="00B21576" w:rsidRPr="009C3FED" w:rsidRDefault="006249E1" w:rsidP="00D65C12">
            <w:pPr>
              <w:spacing w:after="0"/>
              <w:jc w:val="center"/>
              <w:rPr>
                <w:sz w:val="20"/>
                <w:szCs w:val="20"/>
              </w:rPr>
            </w:pPr>
            <w:r w:rsidRPr="009C3FED">
              <w:rPr>
                <w:sz w:val="20"/>
                <w:szCs w:val="20"/>
              </w:rPr>
              <w:t xml:space="preserve">7 </w:t>
            </w:r>
            <w:r w:rsidR="00B21576" w:rsidRPr="009C3FED">
              <w:rPr>
                <w:sz w:val="20"/>
                <w:szCs w:val="20"/>
              </w:rPr>
              <w:t>(9)</w:t>
            </w:r>
          </w:p>
        </w:tc>
      </w:tr>
      <w:tr w:rsidR="00B21576" w:rsidRPr="00F62411" w14:paraId="6DD52807"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5DB866" w14:textId="77777777" w:rsidR="00B21576" w:rsidRPr="00F62411" w:rsidRDefault="00B21576" w:rsidP="00D65C12">
            <w:pPr>
              <w:spacing w:after="0"/>
              <w:rPr>
                <w:sz w:val="20"/>
                <w:szCs w:val="20"/>
              </w:rPr>
            </w:pPr>
            <w:r w:rsidRPr="00F62411">
              <w:rPr>
                <w:sz w:val="20"/>
                <w:szCs w:val="20"/>
              </w:rPr>
              <w:t>General 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7E34B" w14:textId="4F0EBC95" w:rsidR="00B21576" w:rsidRPr="00F62411" w:rsidRDefault="00B21576" w:rsidP="00D65C12">
            <w:pPr>
              <w:spacing w:after="0"/>
              <w:jc w:val="center"/>
              <w:rPr>
                <w:sz w:val="20"/>
                <w:szCs w:val="20"/>
              </w:rPr>
            </w:pPr>
            <w:r w:rsidRPr="00F62411">
              <w:rPr>
                <w:sz w:val="20"/>
                <w:szCs w:val="20"/>
              </w:rPr>
              <w:t>7</w:t>
            </w:r>
          </w:p>
        </w:tc>
        <w:tc>
          <w:tcPr>
            <w:tcW w:w="702" w:type="pct"/>
            <w:tcBorders>
              <w:top w:val="single" w:sz="8" w:space="0" w:color="000000"/>
              <w:left w:val="single" w:sz="8" w:space="0" w:color="000000"/>
              <w:bottom w:val="single" w:sz="8" w:space="0" w:color="000000"/>
              <w:right w:val="single" w:sz="8" w:space="0" w:color="000000"/>
            </w:tcBorders>
            <w:vAlign w:val="center"/>
          </w:tcPr>
          <w:p w14:paraId="4A577D9A" w14:textId="77777777" w:rsidR="00B21576" w:rsidRPr="00F62411" w:rsidRDefault="00B21576" w:rsidP="00D65C12">
            <w:pPr>
              <w:spacing w:after="0"/>
              <w:jc w:val="center"/>
              <w:rPr>
                <w:sz w:val="20"/>
                <w:szCs w:val="20"/>
              </w:rPr>
            </w:pPr>
            <w:r w:rsidRPr="00F62411">
              <w:rPr>
                <w:sz w:val="20"/>
                <w:szCs w:val="20"/>
              </w:rPr>
              <w:t>39</w:t>
            </w:r>
          </w:p>
        </w:tc>
        <w:tc>
          <w:tcPr>
            <w:tcW w:w="592" w:type="pct"/>
            <w:tcBorders>
              <w:top w:val="single" w:sz="8" w:space="0" w:color="000000"/>
              <w:left w:val="single" w:sz="8" w:space="0" w:color="000000"/>
              <w:bottom w:val="single" w:sz="8" w:space="0" w:color="000000"/>
              <w:right w:val="single" w:sz="8" w:space="0" w:color="000000"/>
            </w:tcBorders>
            <w:vAlign w:val="center"/>
          </w:tcPr>
          <w:p w14:paraId="197A501E" w14:textId="13CD49CB" w:rsidR="00B21576" w:rsidRPr="00F62411" w:rsidRDefault="006249E1" w:rsidP="00D65C12">
            <w:pPr>
              <w:spacing w:after="0"/>
              <w:jc w:val="center"/>
              <w:rPr>
                <w:sz w:val="20"/>
                <w:szCs w:val="20"/>
              </w:rPr>
            </w:pPr>
            <w:r>
              <w:rPr>
                <w:sz w:val="20"/>
                <w:szCs w:val="20"/>
              </w:rPr>
              <w:t>1 (2)</w:t>
            </w:r>
          </w:p>
        </w:tc>
        <w:tc>
          <w:tcPr>
            <w:tcW w:w="658" w:type="pct"/>
            <w:tcBorders>
              <w:top w:val="single" w:sz="8" w:space="0" w:color="000000"/>
              <w:left w:val="single" w:sz="8" w:space="0" w:color="000000"/>
              <w:bottom w:val="single" w:sz="8" w:space="0" w:color="000000"/>
              <w:right w:val="single" w:sz="8" w:space="0" w:color="000000"/>
            </w:tcBorders>
            <w:vAlign w:val="center"/>
          </w:tcPr>
          <w:p w14:paraId="04605A35" w14:textId="4943EB90" w:rsidR="00B21576" w:rsidRPr="009C3FED" w:rsidRDefault="002B6D39" w:rsidP="00D65C12">
            <w:pPr>
              <w:spacing w:after="0"/>
              <w:jc w:val="center"/>
              <w:rPr>
                <w:sz w:val="20"/>
                <w:szCs w:val="20"/>
              </w:rPr>
            </w:pPr>
            <w:r w:rsidRPr="009C3FED">
              <w:rPr>
                <w:sz w:val="20"/>
                <w:szCs w:val="20"/>
              </w:rPr>
              <w:t xml:space="preserve">0 </w:t>
            </w:r>
            <w:r w:rsidR="00B21576" w:rsidRPr="009C3FED">
              <w:rPr>
                <w:sz w:val="20"/>
                <w:szCs w:val="20"/>
              </w:rPr>
              <w:t>(</w:t>
            </w:r>
            <w:r w:rsidRPr="009C3FED">
              <w:rPr>
                <w:sz w:val="20"/>
                <w:szCs w:val="20"/>
              </w:rPr>
              <w:t>0</w:t>
            </w:r>
            <w:r w:rsidR="00B21576" w:rsidRPr="009C3FED">
              <w:rPr>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7F71456B" w14:textId="4DB0E25B" w:rsidR="00B21576" w:rsidRPr="009C3FED" w:rsidRDefault="002B6D39" w:rsidP="00D65C12">
            <w:pPr>
              <w:spacing w:after="0"/>
              <w:jc w:val="center"/>
              <w:rPr>
                <w:sz w:val="20"/>
                <w:szCs w:val="20"/>
              </w:rPr>
            </w:pPr>
            <w:r w:rsidRPr="009C3FED">
              <w:rPr>
                <w:sz w:val="20"/>
                <w:szCs w:val="20"/>
              </w:rPr>
              <w:t>1 (16)</w:t>
            </w:r>
          </w:p>
        </w:tc>
        <w:tc>
          <w:tcPr>
            <w:tcW w:w="724" w:type="pct"/>
            <w:tcBorders>
              <w:top w:val="single" w:sz="8" w:space="0" w:color="000000"/>
              <w:left w:val="single" w:sz="8" w:space="0" w:color="000000"/>
              <w:bottom w:val="single" w:sz="8" w:space="0" w:color="000000"/>
              <w:right w:val="single" w:sz="8" w:space="0" w:color="000000"/>
            </w:tcBorders>
            <w:vAlign w:val="center"/>
          </w:tcPr>
          <w:p w14:paraId="3781137B" w14:textId="32A20FAB" w:rsidR="00B21576" w:rsidRPr="009C3FED" w:rsidRDefault="006249E1" w:rsidP="00D65C12">
            <w:pPr>
              <w:spacing w:after="0"/>
              <w:jc w:val="center"/>
              <w:rPr>
                <w:sz w:val="20"/>
                <w:szCs w:val="20"/>
              </w:rPr>
            </w:pPr>
            <w:r w:rsidRPr="009C3FED">
              <w:rPr>
                <w:sz w:val="20"/>
                <w:szCs w:val="20"/>
              </w:rPr>
              <w:t xml:space="preserve">6 </w:t>
            </w:r>
            <w:r w:rsidR="00B21576" w:rsidRPr="009C3FED">
              <w:rPr>
                <w:sz w:val="20"/>
                <w:szCs w:val="20"/>
              </w:rPr>
              <w:t>(</w:t>
            </w:r>
            <w:r w:rsidRPr="009C3FED">
              <w:rPr>
                <w:sz w:val="20"/>
                <w:szCs w:val="20"/>
              </w:rPr>
              <w:t>21</w:t>
            </w:r>
            <w:r w:rsidR="00B21576" w:rsidRPr="009C3FED">
              <w:rPr>
                <w:sz w:val="20"/>
                <w:szCs w:val="20"/>
              </w:rPr>
              <w:t>)</w:t>
            </w:r>
          </w:p>
        </w:tc>
      </w:tr>
      <w:tr w:rsidR="00B21576" w:rsidRPr="00F62411" w14:paraId="1FEE22F7"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6D8649" w14:textId="77777777" w:rsidR="00B21576" w:rsidRPr="00F62411" w:rsidRDefault="00B21576" w:rsidP="00D65C12">
            <w:pPr>
              <w:spacing w:after="0"/>
              <w:rPr>
                <w:b/>
                <w:sz w:val="20"/>
                <w:szCs w:val="20"/>
              </w:rPr>
            </w:pPr>
            <w:r w:rsidRPr="00F62411">
              <w:rPr>
                <w:b/>
                <w:sz w:val="20"/>
                <w:szCs w:val="20"/>
              </w:rPr>
              <w:t>TOTAL</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5C56E2A" w14:textId="3F787524" w:rsidR="00B21576" w:rsidRPr="00F62411" w:rsidRDefault="00B21576" w:rsidP="00D65C12">
            <w:pPr>
              <w:spacing w:after="0"/>
              <w:jc w:val="center"/>
              <w:rPr>
                <w:b/>
                <w:sz w:val="20"/>
                <w:szCs w:val="20"/>
              </w:rPr>
            </w:pPr>
            <w:r w:rsidRPr="00F62411">
              <w:rPr>
                <w:b/>
                <w:sz w:val="20"/>
                <w:szCs w:val="20"/>
              </w:rPr>
              <w:t>1</w:t>
            </w:r>
            <w:r w:rsidR="006249E1">
              <w:rPr>
                <w:b/>
                <w:sz w:val="20"/>
                <w:szCs w:val="20"/>
              </w:rPr>
              <w:t>2</w:t>
            </w:r>
            <w:r w:rsidR="001236E8">
              <w:rPr>
                <w:b/>
                <w:sz w:val="20"/>
                <w:szCs w:val="20"/>
              </w:rPr>
              <w:t>5</w:t>
            </w:r>
          </w:p>
        </w:tc>
        <w:tc>
          <w:tcPr>
            <w:tcW w:w="702" w:type="pct"/>
            <w:tcBorders>
              <w:top w:val="single" w:sz="8" w:space="0" w:color="000000"/>
              <w:left w:val="single" w:sz="8" w:space="0" w:color="000000"/>
              <w:bottom w:val="single" w:sz="8" w:space="0" w:color="000000"/>
              <w:right w:val="single" w:sz="8" w:space="0" w:color="000000"/>
            </w:tcBorders>
            <w:vAlign w:val="center"/>
          </w:tcPr>
          <w:p w14:paraId="322044AF" w14:textId="4690F365" w:rsidR="00B21576" w:rsidRPr="00F62411" w:rsidRDefault="00B21576" w:rsidP="00D65C12">
            <w:pPr>
              <w:spacing w:after="0"/>
              <w:jc w:val="center"/>
              <w:rPr>
                <w:b/>
                <w:sz w:val="20"/>
                <w:szCs w:val="20"/>
              </w:rPr>
            </w:pPr>
            <w:r w:rsidRPr="00F62411">
              <w:rPr>
                <w:b/>
                <w:sz w:val="20"/>
                <w:szCs w:val="20"/>
              </w:rPr>
              <w:t>2</w:t>
            </w:r>
            <w:r w:rsidR="006249E1">
              <w:rPr>
                <w:b/>
                <w:sz w:val="20"/>
                <w:szCs w:val="20"/>
              </w:rPr>
              <w:t>6</w:t>
            </w:r>
            <w:r w:rsidR="009E6884">
              <w:rPr>
                <w:b/>
                <w:sz w:val="20"/>
                <w:szCs w:val="20"/>
              </w:rPr>
              <w:t>9</w:t>
            </w:r>
          </w:p>
        </w:tc>
        <w:tc>
          <w:tcPr>
            <w:tcW w:w="592" w:type="pct"/>
            <w:tcBorders>
              <w:top w:val="single" w:sz="8" w:space="0" w:color="000000"/>
              <w:left w:val="single" w:sz="8" w:space="0" w:color="000000"/>
              <w:bottom w:val="single" w:sz="8" w:space="0" w:color="000000"/>
              <w:right w:val="single" w:sz="8" w:space="0" w:color="000000"/>
            </w:tcBorders>
            <w:vAlign w:val="center"/>
          </w:tcPr>
          <w:p w14:paraId="1AF7B821" w14:textId="6359EB3D" w:rsidR="00B21576" w:rsidRPr="00F62411" w:rsidRDefault="00B21576" w:rsidP="00D65C12">
            <w:pPr>
              <w:spacing w:after="0"/>
              <w:jc w:val="center"/>
              <w:rPr>
                <w:b/>
                <w:sz w:val="20"/>
                <w:szCs w:val="20"/>
              </w:rPr>
            </w:pPr>
            <w:r w:rsidRPr="00F62411">
              <w:rPr>
                <w:b/>
                <w:sz w:val="20"/>
                <w:szCs w:val="20"/>
              </w:rPr>
              <w:t>2</w:t>
            </w:r>
            <w:r w:rsidR="006249E1">
              <w:rPr>
                <w:b/>
                <w:sz w:val="20"/>
                <w:szCs w:val="20"/>
              </w:rPr>
              <w:t>3 (25)</w:t>
            </w:r>
          </w:p>
        </w:tc>
        <w:tc>
          <w:tcPr>
            <w:tcW w:w="658" w:type="pct"/>
            <w:tcBorders>
              <w:top w:val="single" w:sz="8" w:space="0" w:color="000000"/>
              <w:left w:val="single" w:sz="8" w:space="0" w:color="000000"/>
              <w:bottom w:val="single" w:sz="8" w:space="0" w:color="000000"/>
              <w:right w:val="single" w:sz="8" w:space="0" w:color="000000"/>
            </w:tcBorders>
            <w:vAlign w:val="center"/>
          </w:tcPr>
          <w:p w14:paraId="2C5F9990" w14:textId="2684C302" w:rsidR="00B21576" w:rsidRPr="009C3FED" w:rsidRDefault="009C3FED" w:rsidP="00D65C12">
            <w:pPr>
              <w:spacing w:after="0"/>
              <w:jc w:val="center"/>
              <w:rPr>
                <w:b/>
                <w:sz w:val="20"/>
                <w:szCs w:val="20"/>
              </w:rPr>
            </w:pPr>
            <w:r w:rsidRPr="009C3FED">
              <w:rPr>
                <w:b/>
                <w:sz w:val="20"/>
                <w:szCs w:val="20"/>
              </w:rPr>
              <w:t>1</w:t>
            </w:r>
            <w:r w:rsidR="00D71549">
              <w:rPr>
                <w:b/>
                <w:sz w:val="20"/>
                <w:szCs w:val="20"/>
              </w:rPr>
              <w:t>5</w:t>
            </w:r>
            <w:r w:rsidRPr="009C3FED">
              <w:rPr>
                <w:b/>
                <w:sz w:val="20"/>
                <w:szCs w:val="20"/>
              </w:rPr>
              <w:t xml:space="preserve"> </w:t>
            </w:r>
            <w:r w:rsidR="00B21576" w:rsidRPr="009C3FED">
              <w:rPr>
                <w:b/>
                <w:sz w:val="20"/>
                <w:szCs w:val="20"/>
              </w:rPr>
              <w:t>(</w:t>
            </w:r>
            <w:r w:rsidRPr="009C3FED">
              <w:rPr>
                <w:b/>
                <w:sz w:val="20"/>
                <w:szCs w:val="20"/>
              </w:rPr>
              <w:t>2</w:t>
            </w:r>
            <w:r w:rsidR="00D547EE">
              <w:rPr>
                <w:b/>
                <w:sz w:val="20"/>
                <w:szCs w:val="20"/>
              </w:rPr>
              <w:t>9</w:t>
            </w:r>
            <w:r w:rsidR="00B21576" w:rsidRPr="009C3FED">
              <w:rPr>
                <w:b/>
                <w:sz w:val="20"/>
                <w:szCs w:val="20"/>
              </w:rPr>
              <w:t>)</w:t>
            </w:r>
          </w:p>
        </w:tc>
        <w:tc>
          <w:tcPr>
            <w:tcW w:w="791" w:type="pct"/>
            <w:tcBorders>
              <w:top w:val="single" w:sz="8" w:space="0" w:color="000000"/>
              <w:left w:val="single" w:sz="8" w:space="0" w:color="000000"/>
              <w:bottom w:val="single" w:sz="8" w:space="0" w:color="000000"/>
              <w:right w:val="single" w:sz="8" w:space="0" w:color="000000"/>
            </w:tcBorders>
            <w:vAlign w:val="center"/>
          </w:tcPr>
          <w:p w14:paraId="6A92FF67" w14:textId="638B20AF" w:rsidR="00B21576" w:rsidRPr="009C3FED" w:rsidRDefault="005E34CB" w:rsidP="00D65C12">
            <w:pPr>
              <w:spacing w:after="0"/>
              <w:jc w:val="center"/>
              <w:rPr>
                <w:b/>
                <w:sz w:val="20"/>
                <w:szCs w:val="20"/>
              </w:rPr>
            </w:pPr>
            <w:r>
              <w:rPr>
                <w:b/>
                <w:sz w:val="20"/>
                <w:szCs w:val="20"/>
              </w:rPr>
              <w:t>8</w:t>
            </w:r>
            <w:r w:rsidR="006D58AF">
              <w:rPr>
                <w:b/>
                <w:sz w:val="20"/>
                <w:szCs w:val="20"/>
              </w:rPr>
              <w:t>6</w:t>
            </w:r>
            <w:r w:rsidRPr="009C3FED">
              <w:rPr>
                <w:b/>
                <w:sz w:val="20"/>
                <w:szCs w:val="20"/>
              </w:rPr>
              <w:t xml:space="preserve"> </w:t>
            </w:r>
            <w:r w:rsidR="00B21576" w:rsidRPr="009C3FED">
              <w:rPr>
                <w:b/>
                <w:sz w:val="20"/>
                <w:szCs w:val="20"/>
              </w:rPr>
              <w:t>(</w:t>
            </w:r>
            <w:r w:rsidR="009C3FED" w:rsidRPr="009C3FED">
              <w:rPr>
                <w:b/>
                <w:sz w:val="20"/>
                <w:szCs w:val="20"/>
              </w:rPr>
              <w:t>133</w:t>
            </w:r>
            <w:r w:rsidR="00B21576" w:rsidRPr="009C3FED">
              <w:rPr>
                <w:b/>
                <w:sz w:val="20"/>
                <w:szCs w:val="20"/>
              </w:rPr>
              <w:t>)</w:t>
            </w:r>
          </w:p>
        </w:tc>
        <w:tc>
          <w:tcPr>
            <w:tcW w:w="724" w:type="pct"/>
            <w:tcBorders>
              <w:top w:val="single" w:sz="8" w:space="0" w:color="000000"/>
              <w:left w:val="single" w:sz="8" w:space="0" w:color="000000"/>
              <w:bottom w:val="single" w:sz="8" w:space="0" w:color="000000"/>
              <w:right w:val="single" w:sz="8" w:space="0" w:color="000000"/>
            </w:tcBorders>
            <w:vAlign w:val="center"/>
          </w:tcPr>
          <w:p w14:paraId="245D074F" w14:textId="539C0B54" w:rsidR="00B21576" w:rsidRPr="009C3FED" w:rsidRDefault="006249E1" w:rsidP="00D65C12">
            <w:pPr>
              <w:spacing w:after="0"/>
              <w:jc w:val="center"/>
              <w:rPr>
                <w:b/>
                <w:sz w:val="20"/>
                <w:szCs w:val="20"/>
              </w:rPr>
            </w:pPr>
            <w:r w:rsidRPr="009C3FED">
              <w:rPr>
                <w:b/>
                <w:sz w:val="20"/>
                <w:szCs w:val="20"/>
              </w:rPr>
              <w:t xml:space="preserve">49 </w:t>
            </w:r>
            <w:r w:rsidR="00B21576" w:rsidRPr="009C3FED">
              <w:rPr>
                <w:b/>
                <w:sz w:val="20"/>
                <w:szCs w:val="20"/>
              </w:rPr>
              <w:t>(</w:t>
            </w:r>
            <w:r w:rsidRPr="009C3FED">
              <w:rPr>
                <w:b/>
                <w:sz w:val="20"/>
                <w:szCs w:val="20"/>
              </w:rPr>
              <w:t>82</w:t>
            </w:r>
            <w:r w:rsidR="00B21576" w:rsidRPr="009C3FED">
              <w:rPr>
                <w:b/>
                <w:sz w:val="20"/>
                <w:szCs w:val="20"/>
              </w:rPr>
              <w:t>)</w:t>
            </w:r>
          </w:p>
        </w:tc>
      </w:tr>
      <w:tr w:rsidR="00B21576" w:rsidRPr="00F62411" w14:paraId="5925C967" w14:textId="77777777" w:rsidTr="00D65C12">
        <w:trPr>
          <w:trHeight w:val="997"/>
          <w:jc w:val="center"/>
        </w:trPr>
        <w:tc>
          <w:tcPr>
            <w:tcW w:w="84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0DC0193A" w14:textId="77777777" w:rsidR="00B21576" w:rsidRPr="00F62411" w:rsidRDefault="00B21576" w:rsidP="00D65C12">
            <w:pPr>
              <w:spacing w:after="0"/>
              <w:rPr>
                <w:sz w:val="20"/>
                <w:szCs w:val="20"/>
              </w:rPr>
            </w:pPr>
            <w:r w:rsidRPr="00F62411">
              <w:rPr>
                <w:b/>
                <w:bCs/>
                <w:sz w:val="20"/>
                <w:szCs w:val="20"/>
              </w:rPr>
              <w:t>Discipline (</w:t>
            </w:r>
            <w:r w:rsidRPr="00F62411">
              <w:rPr>
                <w:bCs/>
                <w:sz w:val="20"/>
                <w:szCs w:val="20"/>
              </w:rPr>
              <w:t>Category S Laboratory</w:t>
            </w:r>
            <w:r w:rsidRPr="00F62411">
              <w:rPr>
                <w:b/>
                <w:bCs/>
                <w:sz w:val="20"/>
                <w:szCs w:val="20"/>
              </w:rPr>
              <w:t>)</w:t>
            </w:r>
          </w:p>
        </w:tc>
        <w:tc>
          <w:tcPr>
            <w:tcW w:w="684"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hideMark/>
          </w:tcPr>
          <w:p w14:paraId="1D948217" w14:textId="77777777" w:rsidR="00B21576" w:rsidRPr="00F62411" w:rsidRDefault="00B21576" w:rsidP="00D65C12">
            <w:pPr>
              <w:spacing w:after="0"/>
              <w:jc w:val="center"/>
              <w:rPr>
                <w:b/>
                <w:bCs/>
                <w:sz w:val="20"/>
                <w:szCs w:val="20"/>
              </w:rPr>
            </w:pPr>
            <w:r>
              <w:rPr>
                <w:b/>
                <w:bCs/>
                <w:sz w:val="20"/>
                <w:szCs w:val="20"/>
              </w:rPr>
              <w:t>Category S</w:t>
            </w:r>
            <w:r w:rsidRPr="00F62411">
              <w:rPr>
                <w:b/>
                <w:bCs/>
                <w:sz w:val="20"/>
                <w:szCs w:val="20"/>
              </w:rPr>
              <w:t xml:space="preserve"> Applicants</w:t>
            </w:r>
          </w:p>
        </w:tc>
        <w:tc>
          <w:tcPr>
            <w:tcW w:w="702" w:type="pct"/>
            <w:tcBorders>
              <w:top w:val="single" w:sz="8" w:space="0" w:color="000000"/>
              <w:left w:val="single" w:sz="8" w:space="0" w:color="000000"/>
              <w:right w:val="single" w:sz="8" w:space="0" w:color="000000"/>
            </w:tcBorders>
            <w:shd w:val="clear" w:color="auto" w:fill="D9D9D9"/>
          </w:tcPr>
          <w:p w14:paraId="654F72C9" w14:textId="77777777" w:rsidR="00B21576" w:rsidRPr="00F62411" w:rsidRDefault="00B21576" w:rsidP="00D65C12">
            <w:pPr>
              <w:spacing w:after="0"/>
              <w:jc w:val="center"/>
              <w:rPr>
                <w:bCs/>
                <w:sz w:val="20"/>
                <w:szCs w:val="20"/>
              </w:rPr>
            </w:pPr>
          </w:p>
        </w:tc>
        <w:tc>
          <w:tcPr>
            <w:tcW w:w="592" w:type="pct"/>
            <w:tcBorders>
              <w:top w:val="single" w:sz="8" w:space="0" w:color="000000"/>
              <w:left w:val="single" w:sz="8" w:space="0" w:color="000000"/>
              <w:right w:val="single" w:sz="8" w:space="0" w:color="000000"/>
            </w:tcBorders>
            <w:shd w:val="clear" w:color="auto" w:fill="D9D9D9"/>
          </w:tcPr>
          <w:p w14:paraId="33F37F55" w14:textId="77777777" w:rsidR="00B21576" w:rsidRPr="00F62411" w:rsidRDefault="00B21576" w:rsidP="00D65C12">
            <w:pPr>
              <w:spacing w:after="0"/>
              <w:jc w:val="center"/>
              <w:rPr>
                <w:b/>
                <w:bCs/>
                <w:sz w:val="20"/>
                <w:szCs w:val="20"/>
              </w:rPr>
            </w:pPr>
          </w:p>
          <w:p w14:paraId="1F68B274" w14:textId="77777777" w:rsidR="00B21576" w:rsidRPr="00F62411" w:rsidRDefault="00B21576" w:rsidP="00D65C12">
            <w:pPr>
              <w:spacing w:after="0"/>
              <w:jc w:val="center"/>
              <w:rPr>
                <w:b/>
                <w:bCs/>
                <w:sz w:val="20"/>
                <w:szCs w:val="20"/>
              </w:rPr>
            </w:pPr>
          </w:p>
          <w:p w14:paraId="0E92C610" w14:textId="77777777" w:rsidR="00B21576" w:rsidRPr="00F62411" w:rsidRDefault="00B21576" w:rsidP="00D65C12">
            <w:pPr>
              <w:spacing w:after="0"/>
              <w:jc w:val="center"/>
              <w:rPr>
                <w:b/>
                <w:bCs/>
                <w:sz w:val="20"/>
                <w:szCs w:val="20"/>
              </w:rPr>
            </w:pPr>
            <w:r w:rsidRPr="00F62411">
              <w:rPr>
                <w:b/>
                <w:bCs/>
                <w:sz w:val="20"/>
                <w:szCs w:val="20"/>
              </w:rPr>
              <w:t>Withdrawn</w:t>
            </w:r>
          </w:p>
          <w:p w14:paraId="2FC516F3" w14:textId="77777777" w:rsidR="00B21576" w:rsidRPr="00F62411" w:rsidRDefault="00B21576" w:rsidP="00D65C12">
            <w:pPr>
              <w:spacing w:after="0"/>
              <w:jc w:val="center"/>
              <w:rPr>
                <w:b/>
                <w:bCs/>
                <w:sz w:val="20"/>
                <w:szCs w:val="20"/>
              </w:rPr>
            </w:pPr>
          </w:p>
        </w:tc>
        <w:tc>
          <w:tcPr>
            <w:tcW w:w="658" w:type="pct"/>
            <w:tcBorders>
              <w:top w:val="single" w:sz="8" w:space="0" w:color="000000"/>
              <w:left w:val="single" w:sz="8" w:space="0" w:color="000000"/>
              <w:right w:val="single" w:sz="8" w:space="0" w:color="000000"/>
            </w:tcBorders>
            <w:shd w:val="clear" w:color="auto" w:fill="D9D9D9"/>
          </w:tcPr>
          <w:p w14:paraId="370E3887" w14:textId="77777777" w:rsidR="00B21576" w:rsidRPr="009C3FED" w:rsidRDefault="00B21576" w:rsidP="00D65C12">
            <w:pPr>
              <w:spacing w:after="0"/>
              <w:jc w:val="center"/>
              <w:rPr>
                <w:b/>
                <w:bCs/>
                <w:sz w:val="20"/>
                <w:szCs w:val="20"/>
              </w:rPr>
            </w:pPr>
            <w:r w:rsidRPr="009C3FED">
              <w:rPr>
                <w:b/>
                <w:bCs/>
                <w:sz w:val="20"/>
                <w:szCs w:val="20"/>
              </w:rPr>
              <w:t>Delayed Assessment /</w:t>
            </w:r>
          </w:p>
          <w:p w14:paraId="379B5B20" w14:textId="77777777" w:rsidR="00B21576" w:rsidRPr="009C3FED" w:rsidRDefault="00B21576" w:rsidP="00D65C12">
            <w:pPr>
              <w:spacing w:after="0"/>
              <w:jc w:val="center"/>
              <w:rPr>
                <w:bCs/>
                <w:sz w:val="20"/>
                <w:szCs w:val="20"/>
              </w:rPr>
            </w:pPr>
            <w:r w:rsidRPr="009C3FED">
              <w:rPr>
                <w:b/>
                <w:bCs/>
                <w:sz w:val="20"/>
                <w:szCs w:val="20"/>
              </w:rPr>
              <w:t>Under Review</w:t>
            </w:r>
          </w:p>
        </w:tc>
        <w:tc>
          <w:tcPr>
            <w:tcW w:w="791" w:type="pct"/>
            <w:tcBorders>
              <w:top w:val="single" w:sz="8" w:space="0" w:color="000000"/>
              <w:left w:val="single" w:sz="8" w:space="0" w:color="000000"/>
              <w:right w:val="single" w:sz="8" w:space="0" w:color="000000"/>
            </w:tcBorders>
            <w:shd w:val="clear" w:color="auto" w:fill="D9D9D9"/>
          </w:tcPr>
          <w:p w14:paraId="5E03AA6C" w14:textId="77777777" w:rsidR="00B21576" w:rsidRPr="009C3FED" w:rsidRDefault="00B21576" w:rsidP="00D65C12">
            <w:pPr>
              <w:spacing w:after="0"/>
              <w:jc w:val="center"/>
              <w:rPr>
                <w:b/>
                <w:bCs/>
                <w:sz w:val="20"/>
                <w:szCs w:val="20"/>
              </w:rPr>
            </w:pPr>
            <w:r w:rsidRPr="009C3FED">
              <w:rPr>
                <w:b/>
                <w:bCs/>
                <w:sz w:val="20"/>
                <w:szCs w:val="20"/>
              </w:rPr>
              <w:t>Certified - Satisfactory</w:t>
            </w:r>
          </w:p>
          <w:p w14:paraId="4DADDC3B" w14:textId="77777777" w:rsidR="00B21576" w:rsidRPr="009C3FED" w:rsidRDefault="00B21576" w:rsidP="00D65C12">
            <w:pPr>
              <w:spacing w:after="0"/>
              <w:jc w:val="center"/>
              <w:rPr>
                <w:bCs/>
                <w:sz w:val="20"/>
                <w:szCs w:val="20"/>
              </w:rPr>
            </w:pPr>
            <w:r w:rsidRPr="009C3FED">
              <w:rPr>
                <w:bCs/>
                <w:sz w:val="20"/>
                <w:szCs w:val="20"/>
              </w:rPr>
              <w:t>(Endorsed by the BOD)</w:t>
            </w:r>
          </w:p>
        </w:tc>
        <w:tc>
          <w:tcPr>
            <w:tcW w:w="724" w:type="pct"/>
            <w:tcBorders>
              <w:top w:val="single" w:sz="8" w:space="0" w:color="000000"/>
              <w:left w:val="single" w:sz="8" w:space="0" w:color="000000"/>
              <w:right w:val="single" w:sz="8" w:space="0" w:color="000000"/>
            </w:tcBorders>
            <w:shd w:val="clear" w:color="auto" w:fill="D9D9D9"/>
          </w:tcPr>
          <w:p w14:paraId="21E6ABF6" w14:textId="77777777" w:rsidR="00B21576" w:rsidRPr="009C3FED" w:rsidRDefault="00B21576" w:rsidP="00D65C12">
            <w:pPr>
              <w:spacing w:after="0"/>
              <w:jc w:val="center"/>
              <w:rPr>
                <w:b/>
                <w:bCs/>
                <w:sz w:val="20"/>
                <w:szCs w:val="20"/>
              </w:rPr>
            </w:pPr>
            <w:r w:rsidRPr="009C3FED">
              <w:rPr>
                <w:b/>
                <w:bCs/>
                <w:sz w:val="20"/>
                <w:szCs w:val="20"/>
              </w:rPr>
              <w:t>Certified</w:t>
            </w:r>
          </w:p>
          <w:p w14:paraId="295FBEC1" w14:textId="77777777" w:rsidR="00B21576" w:rsidRPr="009C3FED" w:rsidRDefault="00B21576" w:rsidP="00D65C12">
            <w:pPr>
              <w:spacing w:after="0"/>
              <w:jc w:val="center"/>
              <w:rPr>
                <w:b/>
                <w:bCs/>
                <w:sz w:val="20"/>
                <w:szCs w:val="20"/>
              </w:rPr>
            </w:pPr>
            <w:r w:rsidRPr="009C3FED">
              <w:rPr>
                <w:b/>
                <w:bCs/>
                <w:sz w:val="20"/>
                <w:szCs w:val="20"/>
              </w:rPr>
              <w:t>Unsatisfactory</w:t>
            </w:r>
          </w:p>
        </w:tc>
      </w:tr>
      <w:tr w:rsidR="00B21576" w:rsidRPr="00F62411" w14:paraId="1A6363C1"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9AC65B6" w14:textId="77777777" w:rsidR="00B21576" w:rsidRPr="00F62411" w:rsidRDefault="00B21576" w:rsidP="00D65C12">
            <w:pPr>
              <w:spacing w:after="0"/>
              <w:rPr>
                <w:sz w:val="20"/>
                <w:szCs w:val="20"/>
              </w:rPr>
            </w:pPr>
            <w:r w:rsidRPr="00F62411">
              <w:rPr>
                <w:sz w:val="20"/>
                <w:szCs w:val="20"/>
              </w:rPr>
              <w:t>Chemical 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5C6C32C" w14:textId="21FA2CC5" w:rsidR="00B21576" w:rsidRPr="009C3FED" w:rsidRDefault="009C3FED" w:rsidP="00D65C12">
            <w:pPr>
              <w:spacing w:after="0"/>
              <w:jc w:val="center"/>
              <w:rPr>
                <w:sz w:val="20"/>
                <w:szCs w:val="20"/>
              </w:rPr>
            </w:pPr>
            <w:r w:rsidRPr="009C3FED">
              <w:rPr>
                <w:sz w:val="20"/>
                <w:szCs w:val="20"/>
              </w:rPr>
              <w:t>3</w:t>
            </w:r>
          </w:p>
        </w:tc>
        <w:tc>
          <w:tcPr>
            <w:tcW w:w="702" w:type="pct"/>
            <w:tcBorders>
              <w:top w:val="single" w:sz="8" w:space="0" w:color="000000"/>
              <w:left w:val="single" w:sz="8" w:space="0" w:color="000000"/>
              <w:bottom w:val="single" w:sz="8" w:space="0" w:color="000000"/>
              <w:right w:val="single" w:sz="8" w:space="0" w:color="000000"/>
            </w:tcBorders>
            <w:vAlign w:val="center"/>
          </w:tcPr>
          <w:p w14:paraId="353A3079" w14:textId="77777777" w:rsidR="00B21576" w:rsidRPr="009C3FED"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1462625C" w14:textId="77777777" w:rsidR="00B21576" w:rsidRPr="009C3FED" w:rsidRDefault="00B21576" w:rsidP="00D65C12">
            <w:pPr>
              <w:spacing w:after="0"/>
              <w:jc w:val="center"/>
              <w:rPr>
                <w:sz w:val="20"/>
                <w:szCs w:val="20"/>
              </w:rPr>
            </w:pPr>
            <w:r w:rsidRPr="009C3FED">
              <w:rPr>
                <w:sz w:val="20"/>
                <w:szCs w:val="20"/>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1D641314" w14:textId="77777777" w:rsidR="00B21576" w:rsidRPr="009C3FED" w:rsidRDefault="00B21576" w:rsidP="00D65C12">
            <w:pPr>
              <w:spacing w:after="0"/>
              <w:jc w:val="center"/>
              <w:rPr>
                <w:sz w:val="20"/>
                <w:szCs w:val="20"/>
              </w:rPr>
            </w:pPr>
            <w:r w:rsidRPr="009C3FED">
              <w:rPr>
                <w:sz w:val="20"/>
                <w:szCs w:val="20"/>
              </w:rPr>
              <w:t>1</w:t>
            </w:r>
          </w:p>
        </w:tc>
        <w:tc>
          <w:tcPr>
            <w:tcW w:w="791" w:type="pct"/>
            <w:tcBorders>
              <w:top w:val="single" w:sz="8" w:space="0" w:color="000000"/>
              <w:left w:val="single" w:sz="8" w:space="0" w:color="000000"/>
              <w:bottom w:val="single" w:sz="8" w:space="0" w:color="000000"/>
              <w:right w:val="single" w:sz="8" w:space="0" w:color="000000"/>
            </w:tcBorders>
            <w:vAlign w:val="center"/>
          </w:tcPr>
          <w:p w14:paraId="233CADD3" w14:textId="1EE8B980" w:rsidR="00B21576" w:rsidRPr="009C3FED" w:rsidRDefault="00424D88" w:rsidP="00D65C12">
            <w:pPr>
              <w:spacing w:after="0"/>
              <w:jc w:val="center"/>
              <w:rPr>
                <w:sz w:val="20"/>
                <w:szCs w:val="20"/>
              </w:rPr>
            </w:pPr>
            <w:r>
              <w:rPr>
                <w:sz w:val="20"/>
                <w:szCs w:val="20"/>
              </w:rPr>
              <w:t>3</w:t>
            </w:r>
          </w:p>
        </w:tc>
        <w:tc>
          <w:tcPr>
            <w:tcW w:w="724" w:type="pct"/>
            <w:tcBorders>
              <w:top w:val="single" w:sz="8" w:space="0" w:color="000000"/>
              <w:left w:val="single" w:sz="8" w:space="0" w:color="000000"/>
              <w:bottom w:val="single" w:sz="8" w:space="0" w:color="000000"/>
              <w:right w:val="single" w:sz="8" w:space="0" w:color="000000"/>
            </w:tcBorders>
            <w:vAlign w:val="center"/>
          </w:tcPr>
          <w:p w14:paraId="69E53D09" w14:textId="77777777" w:rsidR="00B21576" w:rsidRPr="009C3FED" w:rsidRDefault="00B21576" w:rsidP="00D65C12">
            <w:pPr>
              <w:spacing w:after="0"/>
              <w:jc w:val="center"/>
              <w:rPr>
                <w:sz w:val="20"/>
                <w:szCs w:val="20"/>
              </w:rPr>
            </w:pPr>
            <w:r w:rsidRPr="009C3FED">
              <w:rPr>
                <w:sz w:val="20"/>
                <w:szCs w:val="20"/>
              </w:rPr>
              <w:t>0</w:t>
            </w:r>
          </w:p>
        </w:tc>
      </w:tr>
      <w:tr w:rsidR="00B21576" w:rsidRPr="00F62411" w14:paraId="31AB8E36"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1F6A2A6" w14:textId="77777777" w:rsidR="00B21576" w:rsidRPr="00F62411" w:rsidRDefault="00B21576" w:rsidP="00D65C12">
            <w:pPr>
              <w:spacing w:after="0"/>
              <w:rPr>
                <w:sz w:val="20"/>
                <w:szCs w:val="20"/>
              </w:rPr>
            </w:pPr>
            <w:r w:rsidRPr="00F62411">
              <w:rPr>
                <w:sz w:val="20"/>
                <w:szCs w:val="20"/>
              </w:rPr>
              <w:t>Genetic Pathology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CABBB5" w14:textId="2CAEBAE1" w:rsidR="00B21576" w:rsidRPr="00D662EF" w:rsidRDefault="003D6569" w:rsidP="00D65C12">
            <w:pPr>
              <w:spacing w:after="0"/>
              <w:jc w:val="center"/>
              <w:rPr>
                <w:sz w:val="20"/>
                <w:szCs w:val="20"/>
              </w:rPr>
            </w:pPr>
            <w:r w:rsidRPr="00D662EF">
              <w:rPr>
                <w:sz w:val="20"/>
                <w:szCs w:val="20"/>
              </w:rPr>
              <w:t>6</w:t>
            </w:r>
          </w:p>
        </w:tc>
        <w:tc>
          <w:tcPr>
            <w:tcW w:w="702" w:type="pct"/>
            <w:tcBorders>
              <w:top w:val="single" w:sz="8" w:space="0" w:color="000000"/>
              <w:left w:val="single" w:sz="8" w:space="0" w:color="000000"/>
              <w:bottom w:val="single" w:sz="8" w:space="0" w:color="000000"/>
              <w:right w:val="single" w:sz="8" w:space="0" w:color="000000"/>
            </w:tcBorders>
            <w:vAlign w:val="center"/>
          </w:tcPr>
          <w:p w14:paraId="058FDCE8" w14:textId="77777777" w:rsidR="00B21576" w:rsidRPr="00D662EF"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7B1A7510" w14:textId="77777777" w:rsidR="00B21576" w:rsidRPr="00D662EF" w:rsidRDefault="00B21576" w:rsidP="00D65C12">
            <w:pPr>
              <w:spacing w:after="0"/>
              <w:jc w:val="center"/>
              <w:rPr>
                <w:sz w:val="20"/>
                <w:szCs w:val="20"/>
              </w:rPr>
            </w:pPr>
            <w:r w:rsidRPr="00D662EF">
              <w:rPr>
                <w:sz w:val="20"/>
                <w:szCs w:val="20"/>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4109DD46" w14:textId="19E2EF69" w:rsidR="00B21576" w:rsidRPr="00D662EF" w:rsidRDefault="009C3FED" w:rsidP="00D65C12">
            <w:pPr>
              <w:spacing w:after="0"/>
              <w:jc w:val="center"/>
              <w:rPr>
                <w:sz w:val="20"/>
                <w:szCs w:val="20"/>
              </w:rPr>
            </w:pPr>
            <w:r w:rsidRPr="00D662EF">
              <w:rPr>
                <w:sz w:val="20"/>
                <w:szCs w:val="20"/>
              </w:rPr>
              <w:t>1</w:t>
            </w:r>
          </w:p>
        </w:tc>
        <w:tc>
          <w:tcPr>
            <w:tcW w:w="791" w:type="pct"/>
            <w:tcBorders>
              <w:top w:val="single" w:sz="8" w:space="0" w:color="000000"/>
              <w:left w:val="single" w:sz="8" w:space="0" w:color="000000"/>
              <w:bottom w:val="single" w:sz="8" w:space="0" w:color="000000"/>
              <w:right w:val="single" w:sz="8" w:space="0" w:color="000000"/>
            </w:tcBorders>
            <w:vAlign w:val="center"/>
          </w:tcPr>
          <w:p w14:paraId="327AA703" w14:textId="77777777" w:rsidR="00B21576" w:rsidRPr="00D662EF" w:rsidRDefault="00B21576" w:rsidP="00D65C12">
            <w:pPr>
              <w:spacing w:after="0"/>
              <w:jc w:val="center"/>
              <w:rPr>
                <w:sz w:val="20"/>
                <w:szCs w:val="20"/>
              </w:rPr>
            </w:pPr>
            <w:r w:rsidRPr="00D662EF">
              <w:rPr>
                <w:sz w:val="20"/>
                <w:szCs w:val="20"/>
              </w:rPr>
              <w:t>0</w:t>
            </w:r>
          </w:p>
        </w:tc>
        <w:tc>
          <w:tcPr>
            <w:tcW w:w="724" w:type="pct"/>
            <w:tcBorders>
              <w:top w:val="single" w:sz="8" w:space="0" w:color="000000"/>
              <w:left w:val="single" w:sz="8" w:space="0" w:color="000000"/>
              <w:bottom w:val="single" w:sz="8" w:space="0" w:color="000000"/>
              <w:right w:val="single" w:sz="8" w:space="0" w:color="000000"/>
            </w:tcBorders>
            <w:vAlign w:val="center"/>
          </w:tcPr>
          <w:p w14:paraId="2665FD1A" w14:textId="41DA3848" w:rsidR="00B21576" w:rsidRPr="00D662EF" w:rsidRDefault="00FA6A4F" w:rsidP="00D65C12">
            <w:pPr>
              <w:spacing w:after="0"/>
              <w:jc w:val="center"/>
              <w:rPr>
                <w:sz w:val="20"/>
                <w:szCs w:val="20"/>
              </w:rPr>
            </w:pPr>
            <w:r w:rsidRPr="00D662EF">
              <w:rPr>
                <w:sz w:val="20"/>
                <w:szCs w:val="20"/>
              </w:rPr>
              <w:t>5</w:t>
            </w:r>
          </w:p>
        </w:tc>
      </w:tr>
      <w:tr w:rsidR="00B21576" w:rsidRPr="00F62411" w14:paraId="3B15D0B1"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D7B7733" w14:textId="77777777" w:rsidR="00B21576" w:rsidRPr="00F62411" w:rsidRDefault="00B21576" w:rsidP="00D65C12">
            <w:pPr>
              <w:spacing w:after="0"/>
              <w:rPr>
                <w:sz w:val="20"/>
                <w:szCs w:val="20"/>
              </w:rPr>
            </w:pPr>
            <w:r w:rsidRPr="00F62411">
              <w:rPr>
                <w:sz w:val="20"/>
                <w:szCs w:val="20"/>
              </w:rPr>
              <w:t>Microbiology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98A13E" w14:textId="77777777" w:rsidR="00B21576" w:rsidRPr="00D662EF" w:rsidRDefault="00B21576" w:rsidP="00D65C12">
            <w:pPr>
              <w:spacing w:after="0"/>
              <w:jc w:val="center"/>
              <w:rPr>
                <w:sz w:val="20"/>
                <w:szCs w:val="20"/>
              </w:rPr>
            </w:pPr>
            <w:r w:rsidRPr="00D662EF">
              <w:rPr>
                <w:sz w:val="20"/>
                <w:szCs w:val="20"/>
              </w:rPr>
              <w:t>1</w:t>
            </w:r>
          </w:p>
        </w:tc>
        <w:tc>
          <w:tcPr>
            <w:tcW w:w="702" w:type="pct"/>
            <w:tcBorders>
              <w:top w:val="single" w:sz="8" w:space="0" w:color="000000"/>
              <w:left w:val="single" w:sz="8" w:space="0" w:color="000000"/>
              <w:bottom w:val="single" w:sz="8" w:space="0" w:color="000000"/>
              <w:right w:val="single" w:sz="8" w:space="0" w:color="000000"/>
            </w:tcBorders>
            <w:vAlign w:val="center"/>
          </w:tcPr>
          <w:p w14:paraId="0E6E8677" w14:textId="77777777" w:rsidR="00B21576" w:rsidRPr="00D662EF"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41294CE3" w14:textId="77777777" w:rsidR="00B21576" w:rsidRPr="00D662EF" w:rsidRDefault="00B21576" w:rsidP="00D65C12">
            <w:pPr>
              <w:spacing w:after="0"/>
              <w:jc w:val="center"/>
              <w:rPr>
                <w:sz w:val="20"/>
                <w:szCs w:val="20"/>
              </w:rPr>
            </w:pPr>
            <w:r w:rsidRPr="00D662EF">
              <w:rPr>
                <w:sz w:val="20"/>
                <w:szCs w:val="20"/>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68776925" w14:textId="77777777" w:rsidR="00B21576" w:rsidRPr="00D662EF" w:rsidRDefault="00B21576" w:rsidP="00D65C12">
            <w:pPr>
              <w:spacing w:after="0"/>
              <w:jc w:val="center"/>
              <w:rPr>
                <w:sz w:val="20"/>
                <w:szCs w:val="20"/>
              </w:rPr>
            </w:pPr>
            <w:r w:rsidRPr="00D662EF">
              <w:rPr>
                <w:sz w:val="20"/>
                <w:szCs w:val="20"/>
              </w:rPr>
              <w:t>0</w:t>
            </w:r>
          </w:p>
        </w:tc>
        <w:tc>
          <w:tcPr>
            <w:tcW w:w="791" w:type="pct"/>
            <w:tcBorders>
              <w:top w:val="single" w:sz="8" w:space="0" w:color="000000"/>
              <w:left w:val="single" w:sz="8" w:space="0" w:color="000000"/>
              <w:bottom w:val="single" w:sz="8" w:space="0" w:color="000000"/>
              <w:right w:val="single" w:sz="8" w:space="0" w:color="000000"/>
            </w:tcBorders>
            <w:vAlign w:val="center"/>
          </w:tcPr>
          <w:p w14:paraId="480991A0" w14:textId="77777777" w:rsidR="00B21576" w:rsidRPr="00D662EF" w:rsidRDefault="00B21576" w:rsidP="00D65C12">
            <w:pPr>
              <w:spacing w:after="0"/>
              <w:jc w:val="center"/>
              <w:rPr>
                <w:sz w:val="20"/>
                <w:szCs w:val="20"/>
              </w:rPr>
            </w:pPr>
            <w:r w:rsidRPr="00D662EF">
              <w:rPr>
                <w:sz w:val="20"/>
                <w:szCs w:val="20"/>
              </w:rPr>
              <w:t>0</w:t>
            </w:r>
          </w:p>
        </w:tc>
        <w:tc>
          <w:tcPr>
            <w:tcW w:w="724" w:type="pct"/>
            <w:tcBorders>
              <w:top w:val="single" w:sz="8" w:space="0" w:color="000000"/>
              <w:left w:val="single" w:sz="8" w:space="0" w:color="000000"/>
              <w:bottom w:val="single" w:sz="8" w:space="0" w:color="000000"/>
              <w:right w:val="single" w:sz="8" w:space="0" w:color="000000"/>
            </w:tcBorders>
            <w:vAlign w:val="center"/>
          </w:tcPr>
          <w:p w14:paraId="32247128" w14:textId="77777777" w:rsidR="00B21576" w:rsidRPr="00D662EF" w:rsidRDefault="00B21576" w:rsidP="00D65C12">
            <w:pPr>
              <w:spacing w:after="0"/>
              <w:jc w:val="center"/>
              <w:rPr>
                <w:sz w:val="20"/>
                <w:szCs w:val="20"/>
              </w:rPr>
            </w:pPr>
            <w:r w:rsidRPr="00D662EF">
              <w:rPr>
                <w:sz w:val="20"/>
                <w:szCs w:val="20"/>
              </w:rPr>
              <w:t>1</w:t>
            </w:r>
          </w:p>
        </w:tc>
      </w:tr>
      <w:tr w:rsidR="00B21576" w:rsidRPr="00F62411" w14:paraId="0B376CF9"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EF3E2E0" w14:textId="77777777" w:rsidR="00B21576" w:rsidRPr="00F62411" w:rsidRDefault="00B21576" w:rsidP="00D65C12">
            <w:pPr>
              <w:spacing w:after="0"/>
              <w:rPr>
                <w:sz w:val="20"/>
                <w:szCs w:val="20"/>
              </w:rPr>
            </w:pPr>
            <w:r w:rsidRPr="00F62411">
              <w:rPr>
                <w:sz w:val="20"/>
                <w:szCs w:val="20"/>
              </w:rPr>
              <w:t>Other –</w:t>
            </w:r>
            <w:r>
              <w:rPr>
                <w:sz w:val="20"/>
                <w:szCs w:val="20"/>
              </w:rPr>
              <w:t xml:space="preserve"> </w:t>
            </w:r>
            <w:r w:rsidRPr="00F62411">
              <w:rPr>
                <w:sz w:val="20"/>
                <w:szCs w:val="20"/>
              </w:rPr>
              <w:t xml:space="preserve">genetic </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539DA3" w14:textId="575BEF1D" w:rsidR="00B21576" w:rsidRPr="00D662EF" w:rsidRDefault="00A214BE" w:rsidP="00D65C12">
            <w:pPr>
              <w:spacing w:after="0"/>
              <w:jc w:val="center"/>
              <w:rPr>
                <w:sz w:val="20"/>
                <w:szCs w:val="20"/>
              </w:rPr>
            </w:pPr>
            <w:r w:rsidRPr="00D662EF">
              <w:rPr>
                <w:sz w:val="20"/>
                <w:szCs w:val="20"/>
              </w:rPr>
              <w:t>4</w:t>
            </w:r>
          </w:p>
        </w:tc>
        <w:tc>
          <w:tcPr>
            <w:tcW w:w="702" w:type="pct"/>
            <w:tcBorders>
              <w:top w:val="single" w:sz="8" w:space="0" w:color="000000"/>
              <w:left w:val="single" w:sz="8" w:space="0" w:color="000000"/>
              <w:bottom w:val="single" w:sz="8" w:space="0" w:color="000000"/>
              <w:right w:val="single" w:sz="8" w:space="0" w:color="000000"/>
            </w:tcBorders>
            <w:vAlign w:val="center"/>
          </w:tcPr>
          <w:p w14:paraId="0BD3767F" w14:textId="77777777" w:rsidR="00B21576" w:rsidRPr="00D662EF"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4A75986A" w14:textId="77777777" w:rsidR="00B21576" w:rsidRPr="00D662EF" w:rsidRDefault="00B21576" w:rsidP="00D65C12">
            <w:pPr>
              <w:spacing w:after="0"/>
              <w:jc w:val="center"/>
              <w:rPr>
                <w:sz w:val="20"/>
                <w:szCs w:val="20"/>
              </w:rPr>
            </w:pPr>
            <w:r w:rsidRPr="00D662EF">
              <w:rPr>
                <w:sz w:val="20"/>
                <w:szCs w:val="20"/>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1C64EFC7" w14:textId="488441B9" w:rsidR="00B21576" w:rsidRPr="00D662EF" w:rsidRDefault="00A214BE" w:rsidP="00D65C12">
            <w:pPr>
              <w:spacing w:after="0"/>
              <w:jc w:val="center"/>
              <w:rPr>
                <w:sz w:val="20"/>
                <w:szCs w:val="20"/>
              </w:rPr>
            </w:pPr>
            <w:r w:rsidRPr="00D662EF">
              <w:rPr>
                <w:sz w:val="20"/>
                <w:szCs w:val="20"/>
              </w:rPr>
              <w:t>3</w:t>
            </w:r>
          </w:p>
        </w:tc>
        <w:tc>
          <w:tcPr>
            <w:tcW w:w="791" w:type="pct"/>
            <w:tcBorders>
              <w:top w:val="single" w:sz="8" w:space="0" w:color="000000"/>
              <w:left w:val="single" w:sz="8" w:space="0" w:color="000000"/>
              <w:bottom w:val="single" w:sz="8" w:space="0" w:color="000000"/>
              <w:right w:val="single" w:sz="8" w:space="0" w:color="000000"/>
            </w:tcBorders>
            <w:vAlign w:val="center"/>
          </w:tcPr>
          <w:p w14:paraId="674F73E4" w14:textId="77777777" w:rsidR="00B21576" w:rsidRPr="00D662EF" w:rsidRDefault="00B21576" w:rsidP="00D65C12">
            <w:pPr>
              <w:spacing w:after="0"/>
              <w:jc w:val="center"/>
              <w:rPr>
                <w:sz w:val="20"/>
                <w:szCs w:val="20"/>
              </w:rPr>
            </w:pPr>
            <w:r w:rsidRPr="00D662EF">
              <w:rPr>
                <w:sz w:val="20"/>
                <w:szCs w:val="20"/>
              </w:rPr>
              <w:t>1</w:t>
            </w:r>
          </w:p>
        </w:tc>
        <w:tc>
          <w:tcPr>
            <w:tcW w:w="724" w:type="pct"/>
            <w:tcBorders>
              <w:top w:val="single" w:sz="8" w:space="0" w:color="000000"/>
              <w:left w:val="single" w:sz="8" w:space="0" w:color="000000"/>
              <w:bottom w:val="single" w:sz="8" w:space="0" w:color="000000"/>
              <w:right w:val="single" w:sz="8" w:space="0" w:color="000000"/>
            </w:tcBorders>
            <w:vAlign w:val="center"/>
          </w:tcPr>
          <w:p w14:paraId="6E1DE06B" w14:textId="5EC3FAB4" w:rsidR="00B21576" w:rsidRPr="00D662EF" w:rsidRDefault="009C3FED" w:rsidP="00D65C12">
            <w:pPr>
              <w:spacing w:after="0"/>
              <w:jc w:val="center"/>
              <w:rPr>
                <w:sz w:val="20"/>
                <w:szCs w:val="20"/>
              </w:rPr>
            </w:pPr>
            <w:r w:rsidRPr="00D662EF">
              <w:rPr>
                <w:sz w:val="20"/>
                <w:szCs w:val="20"/>
              </w:rPr>
              <w:t>0</w:t>
            </w:r>
          </w:p>
        </w:tc>
      </w:tr>
      <w:tr w:rsidR="00B21576" w:rsidRPr="00F62411" w14:paraId="4F153BC8"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5C48EC" w14:textId="77777777" w:rsidR="00B21576" w:rsidRPr="00F62411" w:rsidRDefault="00B21576" w:rsidP="00D65C12">
            <w:pPr>
              <w:spacing w:after="0"/>
              <w:rPr>
                <w:sz w:val="20"/>
                <w:szCs w:val="20"/>
              </w:rPr>
            </w:pPr>
            <w:r w:rsidRPr="00F62411">
              <w:rPr>
                <w:sz w:val="20"/>
                <w:szCs w:val="20"/>
              </w:rPr>
              <w:t>IVF – Andrology</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76675FA" w14:textId="77777777" w:rsidR="00B21576" w:rsidRPr="009C3FED" w:rsidRDefault="00B21576" w:rsidP="00D65C12">
            <w:pPr>
              <w:spacing w:after="0"/>
              <w:jc w:val="center"/>
              <w:rPr>
                <w:sz w:val="20"/>
                <w:szCs w:val="20"/>
              </w:rPr>
            </w:pPr>
            <w:r w:rsidRPr="009C3FED">
              <w:rPr>
                <w:sz w:val="20"/>
                <w:szCs w:val="20"/>
              </w:rPr>
              <w:t>2</w:t>
            </w:r>
          </w:p>
        </w:tc>
        <w:tc>
          <w:tcPr>
            <w:tcW w:w="702" w:type="pct"/>
            <w:tcBorders>
              <w:top w:val="single" w:sz="8" w:space="0" w:color="000000"/>
              <w:left w:val="single" w:sz="8" w:space="0" w:color="000000"/>
              <w:bottom w:val="single" w:sz="8" w:space="0" w:color="000000"/>
              <w:right w:val="single" w:sz="8" w:space="0" w:color="000000"/>
            </w:tcBorders>
            <w:vAlign w:val="center"/>
          </w:tcPr>
          <w:p w14:paraId="70C8D567" w14:textId="77777777" w:rsidR="00B21576" w:rsidRPr="009C3FED"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63AFCB99" w14:textId="77777777" w:rsidR="00B21576" w:rsidRPr="009C3FED" w:rsidRDefault="00B21576" w:rsidP="00D65C12">
            <w:pPr>
              <w:spacing w:after="0"/>
              <w:jc w:val="center"/>
              <w:rPr>
                <w:sz w:val="20"/>
                <w:szCs w:val="20"/>
              </w:rPr>
            </w:pPr>
            <w:r w:rsidRPr="009C3FED">
              <w:rPr>
                <w:sz w:val="20"/>
                <w:szCs w:val="20"/>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6A229E19" w14:textId="77777777" w:rsidR="00B21576" w:rsidRPr="009C3FED" w:rsidRDefault="00B21576" w:rsidP="00D65C12">
            <w:pPr>
              <w:spacing w:after="0"/>
              <w:jc w:val="center"/>
              <w:rPr>
                <w:sz w:val="20"/>
                <w:szCs w:val="20"/>
              </w:rPr>
            </w:pPr>
            <w:r w:rsidRPr="009C3FED">
              <w:rPr>
                <w:sz w:val="20"/>
                <w:szCs w:val="20"/>
              </w:rPr>
              <w:t>0</w:t>
            </w:r>
          </w:p>
        </w:tc>
        <w:tc>
          <w:tcPr>
            <w:tcW w:w="791" w:type="pct"/>
            <w:tcBorders>
              <w:top w:val="single" w:sz="8" w:space="0" w:color="000000"/>
              <w:left w:val="single" w:sz="8" w:space="0" w:color="000000"/>
              <w:bottom w:val="single" w:sz="8" w:space="0" w:color="000000"/>
              <w:right w:val="single" w:sz="8" w:space="0" w:color="000000"/>
            </w:tcBorders>
            <w:vAlign w:val="center"/>
          </w:tcPr>
          <w:p w14:paraId="4D18060A" w14:textId="77777777" w:rsidR="00B21576" w:rsidRPr="009C3FED" w:rsidRDefault="00B21576" w:rsidP="00D65C12">
            <w:pPr>
              <w:spacing w:after="0"/>
              <w:jc w:val="center"/>
              <w:rPr>
                <w:sz w:val="20"/>
                <w:szCs w:val="20"/>
              </w:rPr>
            </w:pPr>
            <w:r w:rsidRPr="009C3FED">
              <w:rPr>
                <w:sz w:val="20"/>
                <w:szCs w:val="20"/>
              </w:rPr>
              <w:t>2</w:t>
            </w:r>
          </w:p>
        </w:tc>
        <w:tc>
          <w:tcPr>
            <w:tcW w:w="724" w:type="pct"/>
            <w:tcBorders>
              <w:top w:val="single" w:sz="8" w:space="0" w:color="000000"/>
              <w:left w:val="single" w:sz="8" w:space="0" w:color="000000"/>
              <w:bottom w:val="single" w:sz="8" w:space="0" w:color="000000"/>
              <w:right w:val="single" w:sz="8" w:space="0" w:color="000000"/>
            </w:tcBorders>
            <w:vAlign w:val="center"/>
          </w:tcPr>
          <w:p w14:paraId="2DAC891F" w14:textId="77777777" w:rsidR="00B21576" w:rsidRPr="009C3FED" w:rsidRDefault="00B21576" w:rsidP="00D65C12">
            <w:pPr>
              <w:spacing w:after="0"/>
              <w:jc w:val="center"/>
              <w:rPr>
                <w:sz w:val="20"/>
                <w:szCs w:val="20"/>
              </w:rPr>
            </w:pPr>
            <w:r w:rsidRPr="009C3FED">
              <w:rPr>
                <w:sz w:val="20"/>
                <w:szCs w:val="20"/>
              </w:rPr>
              <w:t>0</w:t>
            </w:r>
          </w:p>
        </w:tc>
      </w:tr>
      <w:tr w:rsidR="00B21576" w:rsidRPr="00F62411" w14:paraId="6F6F6B1A"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A35978" w14:textId="77777777" w:rsidR="00B21576" w:rsidRPr="00F62411" w:rsidRDefault="00B21576" w:rsidP="00D65C12">
            <w:pPr>
              <w:spacing w:after="0"/>
              <w:rPr>
                <w:sz w:val="20"/>
                <w:szCs w:val="20"/>
              </w:rPr>
            </w:pPr>
            <w:r w:rsidRPr="00F62411">
              <w:rPr>
                <w:sz w:val="20"/>
                <w:szCs w:val="20"/>
              </w:rPr>
              <w:t>IVF – Genetics</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AC4D6D" w14:textId="1D64890D" w:rsidR="00B21576" w:rsidRPr="009C3FED" w:rsidRDefault="00B71820" w:rsidP="00D65C12">
            <w:pPr>
              <w:spacing w:after="0"/>
              <w:jc w:val="center"/>
              <w:rPr>
                <w:sz w:val="20"/>
                <w:szCs w:val="20"/>
              </w:rPr>
            </w:pPr>
            <w:r>
              <w:rPr>
                <w:sz w:val="20"/>
                <w:szCs w:val="20"/>
              </w:rPr>
              <w:t>3</w:t>
            </w:r>
          </w:p>
        </w:tc>
        <w:tc>
          <w:tcPr>
            <w:tcW w:w="702" w:type="pct"/>
            <w:tcBorders>
              <w:top w:val="single" w:sz="8" w:space="0" w:color="000000"/>
              <w:left w:val="single" w:sz="8" w:space="0" w:color="000000"/>
              <w:bottom w:val="single" w:sz="8" w:space="0" w:color="000000"/>
              <w:right w:val="single" w:sz="8" w:space="0" w:color="000000"/>
            </w:tcBorders>
            <w:vAlign w:val="center"/>
          </w:tcPr>
          <w:p w14:paraId="6A2319C0" w14:textId="77777777" w:rsidR="00B21576" w:rsidRPr="009C3FED" w:rsidRDefault="00B21576" w:rsidP="00D65C12">
            <w:pPr>
              <w:spacing w:after="0"/>
              <w:jc w:val="center"/>
              <w:rPr>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5F9FBBB5" w14:textId="77777777" w:rsidR="00B21576" w:rsidRPr="009C3FED" w:rsidRDefault="00B21576" w:rsidP="00D65C12">
            <w:pPr>
              <w:spacing w:after="0"/>
              <w:jc w:val="center"/>
              <w:rPr>
                <w:sz w:val="20"/>
                <w:szCs w:val="20"/>
              </w:rPr>
            </w:pPr>
            <w:r w:rsidRPr="009C3FED">
              <w:rPr>
                <w:sz w:val="20"/>
                <w:szCs w:val="20"/>
              </w:rPr>
              <w:t>1</w:t>
            </w:r>
          </w:p>
        </w:tc>
        <w:tc>
          <w:tcPr>
            <w:tcW w:w="658" w:type="pct"/>
            <w:tcBorders>
              <w:top w:val="single" w:sz="8" w:space="0" w:color="000000"/>
              <w:left w:val="single" w:sz="8" w:space="0" w:color="000000"/>
              <w:bottom w:val="single" w:sz="8" w:space="0" w:color="000000"/>
              <w:right w:val="single" w:sz="8" w:space="0" w:color="000000"/>
            </w:tcBorders>
            <w:vAlign w:val="center"/>
          </w:tcPr>
          <w:p w14:paraId="0DF0EA3F" w14:textId="77777777" w:rsidR="00B21576" w:rsidRPr="009C3FED" w:rsidRDefault="00B21576" w:rsidP="00D65C12">
            <w:pPr>
              <w:spacing w:after="0"/>
              <w:jc w:val="center"/>
              <w:rPr>
                <w:sz w:val="20"/>
                <w:szCs w:val="20"/>
              </w:rPr>
            </w:pPr>
            <w:r w:rsidRPr="009C3FED">
              <w:rPr>
                <w:sz w:val="20"/>
                <w:szCs w:val="20"/>
              </w:rPr>
              <w:t>0</w:t>
            </w:r>
          </w:p>
        </w:tc>
        <w:tc>
          <w:tcPr>
            <w:tcW w:w="791" w:type="pct"/>
            <w:tcBorders>
              <w:top w:val="single" w:sz="8" w:space="0" w:color="000000"/>
              <w:left w:val="single" w:sz="8" w:space="0" w:color="000000"/>
              <w:bottom w:val="single" w:sz="8" w:space="0" w:color="000000"/>
              <w:right w:val="single" w:sz="8" w:space="0" w:color="000000"/>
            </w:tcBorders>
            <w:vAlign w:val="center"/>
          </w:tcPr>
          <w:p w14:paraId="6E571E0B" w14:textId="77777777" w:rsidR="00B21576" w:rsidRPr="009C3FED" w:rsidRDefault="00B21576" w:rsidP="00D65C12">
            <w:pPr>
              <w:spacing w:after="0"/>
              <w:jc w:val="center"/>
              <w:rPr>
                <w:sz w:val="20"/>
                <w:szCs w:val="20"/>
              </w:rPr>
            </w:pPr>
            <w:r w:rsidRPr="009C3FED">
              <w:rPr>
                <w:sz w:val="20"/>
                <w:szCs w:val="20"/>
              </w:rPr>
              <w:t>0</w:t>
            </w:r>
          </w:p>
        </w:tc>
        <w:tc>
          <w:tcPr>
            <w:tcW w:w="724" w:type="pct"/>
            <w:tcBorders>
              <w:top w:val="single" w:sz="8" w:space="0" w:color="000000"/>
              <w:left w:val="single" w:sz="8" w:space="0" w:color="000000"/>
              <w:bottom w:val="single" w:sz="8" w:space="0" w:color="000000"/>
              <w:right w:val="single" w:sz="8" w:space="0" w:color="000000"/>
            </w:tcBorders>
            <w:vAlign w:val="center"/>
          </w:tcPr>
          <w:p w14:paraId="1F287DD1" w14:textId="4F752FBB" w:rsidR="00B21576" w:rsidRPr="009C3FED" w:rsidRDefault="00424D88" w:rsidP="00D65C12">
            <w:pPr>
              <w:spacing w:after="0"/>
              <w:jc w:val="center"/>
              <w:rPr>
                <w:sz w:val="20"/>
                <w:szCs w:val="20"/>
              </w:rPr>
            </w:pPr>
            <w:r>
              <w:rPr>
                <w:sz w:val="20"/>
                <w:szCs w:val="20"/>
              </w:rPr>
              <w:t>1</w:t>
            </w:r>
          </w:p>
        </w:tc>
      </w:tr>
      <w:tr w:rsidR="00B21576" w:rsidRPr="00F62411" w14:paraId="29471C8F" w14:textId="77777777" w:rsidTr="00D65C12">
        <w:trPr>
          <w:trHeight w:val="593"/>
          <w:jc w:val="center"/>
        </w:trPr>
        <w:tc>
          <w:tcPr>
            <w:tcW w:w="84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06CBCC8" w14:textId="77777777" w:rsidR="00B21576" w:rsidRPr="00F62411" w:rsidRDefault="00B21576" w:rsidP="00D65C12">
            <w:pPr>
              <w:spacing w:after="0"/>
              <w:rPr>
                <w:b/>
                <w:sz w:val="20"/>
                <w:szCs w:val="20"/>
              </w:rPr>
            </w:pPr>
            <w:r w:rsidRPr="00F62411">
              <w:rPr>
                <w:b/>
                <w:sz w:val="20"/>
                <w:szCs w:val="20"/>
              </w:rPr>
              <w:t>TOTAL</w:t>
            </w:r>
          </w:p>
        </w:tc>
        <w:tc>
          <w:tcPr>
            <w:tcW w:w="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69313B6" w14:textId="3CF66EE1" w:rsidR="00B21576" w:rsidRPr="009C3FED" w:rsidRDefault="00B71820" w:rsidP="00D65C12">
            <w:pPr>
              <w:spacing w:after="0"/>
              <w:jc w:val="center"/>
              <w:rPr>
                <w:b/>
                <w:sz w:val="20"/>
                <w:szCs w:val="20"/>
              </w:rPr>
            </w:pPr>
            <w:r w:rsidRPr="009C3FED">
              <w:rPr>
                <w:b/>
                <w:sz w:val="20"/>
                <w:szCs w:val="20"/>
              </w:rPr>
              <w:t>1</w:t>
            </w:r>
            <w:r w:rsidR="003D6569">
              <w:rPr>
                <w:b/>
                <w:sz w:val="20"/>
                <w:szCs w:val="20"/>
              </w:rPr>
              <w:t>9</w:t>
            </w:r>
          </w:p>
        </w:tc>
        <w:tc>
          <w:tcPr>
            <w:tcW w:w="702" w:type="pct"/>
            <w:tcBorders>
              <w:top w:val="single" w:sz="8" w:space="0" w:color="000000"/>
              <w:left w:val="single" w:sz="8" w:space="0" w:color="000000"/>
              <w:bottom w:val="single" w:sz="8" w:space="0" w:color="000000"/>
              <w:right w:val="single" w:sz="8" w:space="0" w:color="000000"/>
            </w:tcBorders>
            <w:vAlign w:val="center"/>
          </w:tcPr>
          <w:p w14:paraId="5367D26E" w14:textId="77777777" w:rsidR="00B21576" w:rsidRPr="009C3FED" w:rsidRDefault="00B21576" w:rsidP="00D65C12">
            <w:pPr>
              <w:spacing w:after="0"/>
              <w:jc w:val="center"/>
              <w:rPr>
                <w:b/>
                <w:sz w:val="20"/>
                <w:szCs w:val="20"/>
              </w:rPr>
            </w:pPr>
          </w:p>
        </w:tc>
        <w:tc>
          <w:tcPr>
            <w:tcW w:w="592" w:type="pct"/>
            <w:tcBorders>
              <w:top w:val="single" w:sz="8" w:space="0" w:color="000000"/>
              <w:left w:val="single" w:sz="8" w:space="0" w:color="000000"/>
              <w:bottom w:val="single" w:sz="8" w:space="0" w:color="000000"/>
              <w:right w:val="single" w:sz="8" w:space="0" w:color="000000"/>
            </w:tcBorders>
            <w:vAlign w:val="center"/>
          </w:tcPr>
          <w:p w14:paraId="5100B155" w14:textId="77777777" w:rsidR="00B21576" w:rsidRPr="009C3FED" w:rsidRDefault="00B21576" w:rsidP="00D65C12">
            <w:pPr>
              <w:spacing w:after="0"/>
              <w:jc w:val="center"/>
              <w:rPr>
                <w:b/>
                <w:sz w:val="20"/>
                <w:szCs w:val="20"/>
              </w:rPr>
            </w:pPr>
            <w:r w:rsidRPr="009C3FED">
              <w:rPr>
                <w:b/>
                <w:sz w:val="20"/>
                <w:szCs w:val="20"/>
              </w:rPr>
              <w:t>1</w:t>
            </w:r>
          </w:p>
        </w:tc>
        <w:tc>
          <w:tcPr>
            <w:tcW w:w="658" w:type="pct"/>
            <w:tcBorders>
              <w:top w:val="single" w:sz="8" w:space="0" w:color="000000"/>
              <w:left w:val="single" w:sz="8" w:space="0" w:color="000000"/>
              <w:bottom w:val="single" w:sz="8" w:space="0" w:color="000000"/>
              <w:right w:val="single" w:sz="8" w:space="0" w:color="000000"/>
            </w:tcBorders>
            <w:vAlign w:val="center"/>
          </w:tcPr>
          <w:p w14:paraId="229FEEE2" w14:textId="2B5B6612" w:rsidR="00B21576" w:rsidRPr="009C3FED" w:rsidRDefault="007765C3" w:rsidP="00D65C12">
            <w:pPr>
              <w:spacing w:after="0"/>
              <w:jc w:val="center"/>
              <w:rPr>
                <w:b/>
                <w:sz w:val="20"/>
                <w:szCs w:val="20"/>
              </w:rPr>
            </w:pPr>
            <w:r>
              <w:rPr>
                <w:b/>
                <w:sz w:val="20"/>
                <w:szCs w:val="20"/>
              </w:rPr>
              <w:t>5</w:t>
            </w:r>
          </w:p>
        </w:tc>
        <w:tc>
          <w:tcPr>
            <w:tcW w:w="791" w:type="pct"/>
            <w:tcBorders>
              <w:top w:val="single" w:sz="8" w:space="0" w:color="000000"/>
              <w:left w:val="single" w:sz="8" w:space="0" w:color="000000"/>
              <w:bottom w:val="single" w:sz="8" w:space="0" w:color="000000"/>
              <w:right w:val="single" w:sz="8" w:space="0" w:color="000000"/>
            </w:tcBorders>
            <w:vAlign w:val="center"/>
          </w:tcPr>
          <w:p w14:paraId="6C9C283E" w14:textId="2CF790AE" w:rsidR="00B21576" w:rsidRPr="009C3FED" w:rsidRDefault="00424D88" w:rsidP="00D65C12">
            <w:pPr>
              <w:spacing w:after="0"/>
              <w:jc w:val="center"/>
              <w:rPr>
                <w:b/>
                <w:sz w:val="20"/>
                <w:szCs w:val="20"/>
              </w:rPr>
            </w:pPr>
            <w:r>
              <w:rPr>
                <w:b/>
                <w:sz w:val="20"/>
                <w:szCs w:val="20"/>
              </w:rPr>
              <w:t>6</w:t>
            </w:r>
          </w:p>
        </w:tc>
        <w:tc>
          <w:tcPr>
            <w:tcW w:w="724" w:type="pct"/>
            <w:tcBorders>
              <w:top w:val="single" w:sz="8" w:space="0" w:color="000000"/>
              <w:left w:val="single" w:sz="8" w:space="0" w:color="000000"/>
              <w:bottom w:val="single" w:sz="8" w:space="0" w:color="000000"/>
              <w:right w:val="single" w:sz="8" w:space="0" w:color="000000"/>
            </w:tcBorders>
            <w:vAlign w:val="center"/>
          </w:tcPr>
          <w:p w14:paraId="3DC0D20D" w14:textId="5A1F3500" w:rsidR="00B21576" w:rsidRPr="009C3FED" w:rsidRDefault="007765C3" w:rsidP="00D65C12">
            <w:pPr>
              <w:spacing w:after="0"/>
              <w:jc w:val="center"/>
              <w:rPr>
                <w:b/>
                <w:sz w:val="20"/>
                <w:szCs w:val="20"/>
              </w:rPr>
            </w:pPr>
            <w:r>
              <w:rPr>
                <w:b/>
                <w:sz w:val="20"/>
                <w:szCs w:val="20"/>
              </w:rPr>
              <w:t>7</w:t>
            </w:r>
          </w:p>
        </w:tc>
      </w:tr>
    </w:tbl>
    <w:p w14:paraId="4ACC4E83" w14:textId="45FE6185" w:rsidR="006249E1" w:rsidRPr="00F948F0" w:rsidRDefault="006249E1" w:rsidP="001F7E2B">
      <w:pPr>
        <w:rPr>
          <w:i/>
          <w:sz w:val="16"/>
          <w:szCs w:val="16"/>
        </w:rPr>
      </w:pPr>
      <w:r w:rsidRPr="009C3FED">
        <w:rPr>
          <w:i/>
          <w:sz w:val="16"/>
          <w:szCs w:val="16"/>
        </w:rPr>
        <w:t>NB:  An Individual can be included in any of the 4 columns – Withdrawn; Under Review; Certified Satisfactory; Certified Unsatisfactory – therefore the total number of Modules assessed is most relevant</w:t>
      </w:r>
      <w:r w:rsidR="00476B50">
        <w:rPr>
          <w:i/>
          <w:sz w:val="16"/>
          <w:szCs w:val="16"/>
        </w:rPr>
        <w:t xml:space="preserve"> and tallies to the total in column “Submitted Module Applications”.</w:t>
      </w:r>
      <w:bookmarkEnd w:id="25"/>
    </w:p>
    <w:p w14:paraId="7063D985" w14:textId="77777777" w:rsidR="002E38E9" w:rsidRPr="00E73A3C" w:rsidRDefault="002E38E9" w:rsidP="009C4990">
      <w:pPr>
        <w:pStyle w:val="Heading1"/>
        <w:numPr>
          <w:ilvl w:val="0"/>
          <w:numId w:val="2"/>
        </w:numPr>
        <w:ind w:left="0" w:firstLine="0"/>
      </w:pPr>
      <w:bookmarkStart w:id="26" w:name="_Toc38613970"/>
      <w:r w:rsidRPr="00E73A3C">
        <w:lastRenderedPageBreak/>
        <w:t>Project Challenges</w:t>
      </w:r>
      <w:bookmarkEnd w:id="26"/>
    </w:p>
    <w:p w14:paraId="419CAADE" w14:textId="5106345F" w:rsidR="001F20C5" w:rsidRPr="00992459" w:rsidRDefault="005212E5" w:rsidP="004D6E5B">
      <w:pPr>
        <w:jc w:val="both"/>
      </w:pPr>
      <w:r w:rsidRPr="00992459">
        <w:t xml:space="preserve">The </w:t>
      </w:r>
      <w:r w:rsidR="00580BEF" w:rsidRPr="00992459">
        <w:t xml:space="preserve">short time frame </w:t>
      </w:r>
      <w:r w:rsidR="00661100" w:rsidRPr="00992459">
        <w:t xml:space="preserve">in which </w:t>
      </w:r>
      <w:r w:rsidR="00580BEF" w:rsidRPr="00992459">
        <w:t xml:space="preserve">to undertake and deliver this Project predictably </w:t>
      </w:r>
      <w:r w:rsidR="00182B60" w:rsidRPr="00992459">
        <w:t>create</w:t>
      </w:r>
      <w:r w:rsidR="001829A4">
        <w:t>d</w:t>
      </w:r>
      <w:r w:rsidR="004F55A1">
        <w:t xml:space="preserve"> some</w:t>
      </w:r>
      <w:r w:rsidR="00182B60" w:rsidRPr="00992459">
        <w:t xml:space="preserve"> </w:t>
      </w:r>
      <w:r w:rsidR="00580BEF" w:rsidRPr="00992459">
        <w:t xml:space="preserve">challenges.  The new NPAAC Requirements </w:t>
      </w:r>
      <w:r w:rsidR="00896C47" w:rsidRPr="00992459">
        <w:t>which took</w:t>
      </w:r>
      <w:r w:rsidR="00580BEF" w:rsidRPr="00992459">
        <w:t xml:space="preserve"> effect on 01 August 2019 placed </w:t>
      </w:r>
      <w:r w:rsidR="001829A4">
        <w:t xml:space="preserve">additional workload </w:t>
      </w:r>
      <w:r w:rsidR="00580BEF" w:rsidRPr="00992459">
        <w:t xml:space="preserve">pressure on </w:t>
      </w:r>
      <w:r w:rsidR="00896C47" w:rsidRPr="00992459">
        <w:t xml:space="preserve">the </w:t>
      </w:r>
      <w:r w:rsidR="00580BEF" w:rsidRPr="00992459">
        <w:t xml:space="preserve">small number of pathologists </w:t>
      </w:r>
      <w:r w:rsidR="00133891" w:rsidRPr="00992459">
        <w:t xml:space="preserve">who </w:t>
      </w:r>
      <w:r w:rsidR="00896C47" w:rsidRPr="00992459">
        <w:t xml:space="preserve">were </w:t>
      </w:r>
      <w:r w:rsidR="00133891" w:rsidRPr="00992459">
        <w:t xml:space="preserve">technically </w:t>
      </w:r>
      <w:r w:rsidR="00580BEF" w:rsidRPr="00992459">
        <w:t xml:space="preserve">qualified to undertake the development of the </w:t>
      </w:r>
      <w:r w:rsidR="00661100" w:rsidRPr="00992459">
        <w:t>Modules</w:t>
      </w:r>
      <w:r w:rsidR="00580BEF" w:rsidRPr="00992459">
        <w:t xml:space="preserve"> in five disciplines.  In addition, there </w:t>
      </w:r>
      <w:r w:rsidR="00896C47" w:rsidRPr="00992459">
        <w:t xml:space="preserve">was </w:t>
      </w:r>
      <w:r w:rsidR="00580BEF" w:rsidRPr="00992459">
        <w:t>a small number of technical</w:t>
      </w:r>
      <w:r w:rsidR="00133891" w:rsidRPr="00992459">
        <w:t>ly</w:t>
      </w:r>
      <w:r w:rsidR="00580BEF" w:rsidRPr="00992459">
        <w:t xml:space="preserve"> qualified assessors </w:t>
      </w:r>
      <w:r w:rsidR="00896C47" w:rsidRPr="00992459">
        <w:t>with</w:t>
      </w:r>
      <w:r w:rsidR="00580BEF" w:rsidRPr="00992459">
        <w:t xml:space="preserve"> competing work priorities </w:t>
      </w:r>
      <w:r w:rsidR="00133891" w:rsidRPr="00992459">
        <w:t xml:space="preserve">and other professional commitments </w:t>
      </w:r>
      <w:r w:rsidR="001829A4">
        <w:t xml:space="preserve">who were </w:t>
      </w:r>
      <w:r w:rsidR="00580BEF" w:rsidRPr="00992459">
        <w:t>required to assess individual applicants within th</w:t>
      </w:r>
      <w:r w:rsidR="00896C47" w:rsidRPr="00992459">
        <w:t>e</w:t>
      </w:r>
      <w:r w:rsidR="00580BEF" w:rsidRPr="00992459">
        <w:t xml:space="preserve"> short timeframe.  </w:t>
      </w:r>
    </w:p>
    <w:p w14:paraId="3253E1B0" w14:textId="14402C62" w:rsidR="00580BEF" w:rsidRPr="00992459" w:rsidRDefault="00133891" w:rsidP="004D6E5B">
      <w:pPr>
        <w:jc w:val="both"/>
      </w:pPr>
      <w:r w:rsidRPr="00992459">
        <w:t>Notably the challenges experienced include</w:t>
      </w:r>
      <w:r w:rsidR="00854557">
        <w:t>d</w:t>
      </w:r>
      <w:r w:rsidRPr="00992459">
        <w:t>:</w:t>
      </w:r>
      <w:r w:rsidR="00082552" w:rsidRPr="00992459">
        <w:t xml:space="preserve"> </w:t>
      </w:r>
    </w:p>
    <w:p w14:paraId="1915B646" w14:textId="77777777" w:rsidR="00626F85" w:rsidRPr="00992459" w:rsidRDefault="00626F85" w:rsidP="00626F85">
      <w:pPr>
        <w:pStyle w:val="ListParagraph"/>
      </w:pPr>
    </w:p>
    <w:p w14:paraId="70FE4948" w14:textId="18ECDB62" w:rsidR="00133891" w:rsidRPr="00992459" w:rsidRDefault="00133891" w:rsidP="002B0C2A">
      <w:pPr>
        <w:pStyle w:val="ListParagraph"/>
        <w:numPr>
          <w:ilvl w:val="0"/>
          <w:numId w:val="44"/>
        </w:numPr>
        <w:jc w:val="both"/>
      </w:pPr>
      <w:r w:rsidRPr="00992459">
        <w:t xml:space="preserve">Managing the availability of </w:t>
      </w:r>
      <w:r w:rsidR="00661100" w:rsidRPr="00992459">
        <w:t xml:space="preserve">the </w:t>
      </w:r>
      <w:r w:rsidRPr="00992459">
        <w:t xml:space="preserve">Pathology Expert Panel from within the small pool of </w:t>
      </w:r>
      <w:r w:rsidR="00082552" w:rsidRPr="00992459">
        <w:t>22</w:t>
      </w:r>
      <w:r w:rsidRPr="00992459">
        <w:t xml:space="preserve"> qualified Australian genetic pathologists</w:t>
      </w:r>
      <w:r w:rsidR="00082552" w:rsidRPr="00992459">
        <w:t>.</w:t>
      </w:r>
      <w:r w:rsidR="00661100" w:rsidRPr="00992459">
        <w:t xml:space="preserve">  There </w:t>
      </w:r>
      <w:r w:rsidR="00640626">
        <w:t>continues to be</w:t>
      </w:r>
      <w:r w:rsidR="00661100" w:rsidRPr="00992459">
        <w:t xml:space="preserve"> a high demand for the services provided by genetic pathologists</w:t>
      </w:r>
      <w:r w:rsidR="00640626">
        <w:t xml:space="preserve">, </w:t>
      </w:r>
      <w:r w:rsidR="00661100" w:rsidRPr="00992459">
        <w:t xml:space="preserve">and work and other professional commitments unfortunately </w:t>
      </w:r>
      <w:r w:rsidR="006A6AFA">
        <w:t>often took</w:t>
      </w:r>
      <w:r w:rsidR="00661100" w:rsidRPr="00992459">
        <w:t xml:space="preserve"> priority over the activities of this Project.  The Project </w:t>
      </w:r>
      <w:r w:rsidR="001829A4">
        <w:t xml:space="preserve">navigated </w:t>
      </w:r>
      <w:r w:rsidR="00661100" w:rsidRPr="00992459">
        <w:t>these conflicts and provide</w:t>
      </w:r>
      <w:r w:rsidR="00CB041E" w:rsidRPr="00992459">
        <w:t>d</w:t>
      </w:r>
      <w:r w:rsidR="00661100" w:rsidRPr="00992459">
        <w:t xml:space="preserve"> work arounds where possible to meet </w:t>
      </w:r>
      <w:r w:rsidR="001829A4">
        <w:t>Project timelines</w:t>
      </w:r>
    </w:p>
    <w:p w14:paraId="664E55A7" w14:textId="77777777" w:rsidR="00464583" w:rsidRPr="00992459" w:rsidRDefault="00464583" w:rsidP="00267F99">
      <w:pPr>
        <w:pStyle w:val="ListParagraph"/>
        <w:jc w:val="both"/>
      </w:pPr>
    </w:p>
    <w:p w14:paraId="3FD96352" w14:textId="0883B6FF" w:rsidR="003A0D0F" w:rsidRPr="00992459" w:rsidRDefault="003A0D0F" w:rsidP="003A0D0F">
      <w:pPr>
        <w:pStyle w:val="ListParagraph"/>
        <w:numPr>
          <w:ilvl w:val="0"/>
          <w:numId w:val="54"/>
        </w:numPr>
        <w:jc w:val="both"/>
      </w:pPr>
      <w:r w:rsidRPr="00992459">
        <w:t xml:space="preserve">Applicants </w:t>
      </w:r>
      <w:r w:rsidR="00896C47" w:rsidRPr="00992459">
        <w:t>were</w:t>
      </w:r>
      <w:r w:rsidRPr="00992459">
        <w:t xml:space="preserve"> slow in submitting applications to be assessed through the </w:t>
      </w:r>
      <w:r w:rsidR="00B923D2">
        <w:t>RPL</w:t>
      </w:r>
      <w:r w:rsidRPr="00992459">
        <w:t>.  A cumulative total of applications received by month below:</w:t>
      </w:r>
    </w:p>
    <w:p w14:paraId="11C41802" w14:textId="77777777" w:rsidR="003A0D0F" w:rsidRPr="00992459" w:rsidRDefault="003A0D0F" w:rsidP="003A0D0F">
      <w:pPr>
        <w:pStyle w:val="ListParagraph"/>
      </w:pPr>
    </w:p>
    <w:p w14:paraId="2AD9C8B0" w14:textId="2FC2FFF5" w:rsidR="003A0D0F" w:rsidRPr="00992459" w:rsidRDefault="003A0D0F" w:rsidP="003A0D0F">
      <w:pPr>
        <w:pStyle w:val="ListParagraph"/>
        <w:numPr>
          <w:ilvl w:val="1"/>
          <w:numId w:val="54"/>
        </w:numPr>
        <w:jc w:val="both"/>
      </w:pPr>
      <w:r w:rsidRPr="00992459">
        <w:t xml:space="preserve">As at 15 April 2019 </w:t>
      </w:r>
      <w:r w:rsidRPr="00992459">
        <w:tab/>
      </w:r>
      <w:r w:rsidR="006C26C6" w:rsidRPr="00992459">
        <w:tab/>
      </w:r>
      <w:r w:rsidRPr="00992459">
        <w:t>38 applications received</w:t>
      </w:r>
    </w:p>
    <w:p w14:paraId="7FF4D81B" w14:textId="66E21DA9" w:rsidR="003A0D0F" w:rsidRPr="00992459" w:rsidRDefault="003A0D0F" w:rsidP="003A0D0F">
      <w:pPr>
        <w:pStyle w:val="ListParagraph"/>
        <w:numPr>
          <w:ilvl w:val="1"/>
          <w:numId w:val="54"/>
        </w:numPr>
        <w:jc w:val="both"/>
      </w:pPr>
      <w:r w:rsidRPr="00992459">
        <w:t>As at 17 May 2019</w:t>
      </w:r>
      <w:r w:rsidRPr="00992459">
        <w:tab/>
      </w:r>
      <w:r w:rsidR="006C26C6" w:rsidRPr="00992459">
        <w:tab/>
      </w:r>
      <w:r w:rsidRPr="00992459">
        <w:t>48 applications received</w:t>
      </w:r>
    </w:p>
    <w:p w14:paraId="6F1391A5" w14:textId="0B98DD6D" w:rsidR="003A0D0F" w:rsidRPr="00992459" w:rsidRDefault="003A0D0F" w:rsidP="003A0D0F">
      <w:pPr>
        <w:pStyle w:val="ListParagraph"/>
        <w:numPr>
          <w:ilvl w:val="1"/>
          <w:numId w:val="54"/>
        </w:numPr>
        <w:jc w:val="both"/>
      </w:pPr>
      <w:r w:rsidRPr="00992459">
        <w:t xml:space="preserve">As at 24 May 2019 </w:t>
      </w:r>
      <w:r w:rsidRPr="00992459">
        <w:tab/>
      </w:r>
      <w:r w:rsidR="006C26C6" w:rsidRPr="00992459">
        <w:tab/>
      </w:r>
      <w:r w:rsidRPr="00992459">
        <w:t xml:space="preserve">58 applications received </w:t>
      </w:r>
    </w:p>
    <w:p w14:paraId="0EA9D6B5" w14:textId="027349D6" w:rsidR="00CB041E" w:rsidRPr="00536860" w:rsidRDefault="003A0D0F" w:rsidP="00CB041E">
      <w:pPr>
        <w:pStyle w:val="ListParagraph"/>
        <w:numPr>
          <w:ilvl w:val="1"/>
          <w:numId w:val="54"/>
        </w:numPr>
        <w:jc w:val="both"/>
      </w:pPr>
      <w:r w:rsidRPr="00992459">
        <w:t>As at 31 May 2019</w:t>
      </w:r>
      <w:r w:rsidRPr="00992459">
        <w:tab/>
      </w:r>
      <w:r w:rsidR="006C26C6" w:rsidRPr="00992459">
        <w:tab/>
      </w:r>
      <w:r w:rsidRPr="00536860">
        <w:t>118 applications received</w:t>
      </w:r>
    </w:p>
    <w:p w14:paraId="024C8E8F" w14:textId="1F3BA26C" w:rsidR="006C26C6" w:rsidRPr="00536860" w:rsidRDefault="006C26C6" w:rsidP="00CB041E">
      <w:pPr>
        <w:pStyle w:val="ListParagraph"/>
        <w:numPr>
          <w:ilvl w:val="1"/>
          <w:numId w:val="54"/>
        </w:numPr>
        <w:jc w:val="both"/>
      </w:pPr>
      <w:r w:rsidRPr="00536860">
        <w:t xml:space="preserve">As at </w:t>
      </w:r>
      <w:r w:rsidR="00661875" w:rsidRPr="00536860">
        <w:t>2</w:t>
      </w:r>
      <w:r w:rsidR="0075075D" w:rsidRPr="00536860">
        <w:t xml:space="preserve">0 </w:t>
      </w:r>
      <w:r w:rsidR="00661875" w:rsidRPr="00536860">
        <w:t xml:space="preserve">December </w:t>
      </w:r>
      <w:r w:rsidRPr="00536860">
        <w:t>2019</w:t>
      </w:r>
      <w:r w:rsidRPr="00536860">
        <w:tab/>
        <w:t>12</w:t>
      </w:r>
      <w:r w:rsidR="00536860" w:rsidRPr="00536860">
        <w:t>5</w:t>
      </w:r>
      <w:r w:rsidRPr="00536860">
        <w:t xml:space="preserve"> applications received</w:t>
      </w:r>
    </w:p>
    <w:p w14:paraId="67EC9246" w14:textId="77777777" w:rsidR="003A0D0F" w:rsidRDefault="003A0D0F" w:rsidP="003A0D0F">
      <w:pPr>
        <w:pStyle w:val="ListParagraph"/>
        <w:jc w:val="both"/>
      </w:pPr>
    </w:p>
    <w:p w14:paraId="79B47652" w14:textId="0782A353" w:rsidR="003A0D0F" w:rsidRDefault="003A0D0F" w:rsidP="003C5834">
      <w:pPr>
        <w:pStyle w:val="ListParagraph"/>
        <w:numPr>
          <w:ilvl w:val="0"/>
          <w:numId w:val="54"/>
        </w:numPr>
        <w:jc w:val="both"/>
      </w:pPr>
      <w:r>
        <w:t>The application process prioritised primary designated persons over secondary and/or aspirational applicants.  For this reason, the Project established that many secondary applicants delayed submitting their applications until there was an outcome determined for their laboratory primary designated person.</w:t>
      </w:r>
    </w:p>
    <w:p w14:paraId="1B2C2166" w14:textId="77777777" w:rsidR="003A0D0F" w:rsidRDefault="003A0D0F" w:rsidP="003A0D0F">
      <w:pPr>
        <w:pStyle w:val="ListParagraph"/>
        <w:jc w:val="both"/>
      </w:pPr>
    </w:p>
    <w:p w14:paraId="2EF9FA26" w14:textId="1092CDDA" w:rsidR="003A0D0F" w:rsidRDefault="003A0D0F" w:rsidP="003A0D0F">
      <w:pPr>
        <w:pStyle w:val="ListParagraph"/>
        <w:numPr>
          <w:ilvl w:val="0"/>
          <w:numId w:val="44"/>
        </w:numPr>
        <w:jc w:val="both"/>
      </w:pPr>
      <w:r>
        <w:t>Technical Assessors assess</w:t>
      </w:r>
      <w:r w:rsidR="00D235FF">
        <w:t>ed</w:t>
      </w:r>
      <w:r>
        <w:t xml:space="preserve"> </w:t>
      </w:r>
      <w:r w:rsidRPr="003C6511">
        <w:t>each applicant independently and the return rate of assessment show</w:t>
      </w:r>
      <w:r w:rsidR="00D235FF" w:rsidRPr="003C6511">
        <w:t>ed</w:t>
      </w:r>
      <w:r w:rsidRPr="003C6511">
        <w:t xml:space="preserve"> approximately 50</w:t>
      </w:r>
      <w:r w:rsidR="00DB1F13" w:rsidRPr="003C6511">
        <w:t xml:space="preserve"> per cent</w:t>
      </w:r>
      <w:r w:rsidRPr="003C6511">
        <w:t xml:space="preserve"> of Technical Assessors agree with their co-assessor in deeming an applicant satisfactory for certification. The remaining </w:t>
      </w:r>
      <w:r w:rsidR="00992459" w:rsidRPr="003C6511">
        <w:t>fifty</w:t>
      </w:r>
      <w:r w:rsidR="00DB1F13" w:rsidRPr="003C6511">
        <w:t xml:space="preserve"> per cent</w:t>
      </w:r>
      <w:r w:rsidRPr="003C6511">
        <w:t>, require</w:t>
      </w:r>
      <w:r w:rsidR="00896C47" w:rsidRPr="003C6511">
        <w:t>d</w:t>
      </w:r>
      <w:r w:rsidRPr="003C6511">
        <w:t xml:space="preserve"> harmonisation and consensus assessment teleconferences with Assessment Panels</w:t>
      </w:r>
      <w:r>
        <w:t xml:space="preserve"> </w:t>
      </w:r>
      <w:r w:rsidR="00780429">
        <w:t xml:space="preserve">which </w:t>
      </w:r>
      <w:r>
        <w:t>impact</w:t>
      </w:r>
      <w:r w:rsidR="00B96692">
        <w:t>ed</w:t>
      </w:r>
      <w:r>
        <w:t xml:space="preserve"> the </w:t>
      </w:r>
      <w:r w:rsidR="00780429">
        <w:t>time taken to complete</w:t>
      </w:r>
      <w:r>
        <w:t xml:space="preserve"> assessment</w:t>
      </w:r>
      <w:r w:rsidR="00115213">
        <w:t xml:space="preserve">s.  However, this was the agreed </w:t>
      </w:r>
      <w:r w:rsidR="00535A8C">
        <w:t xml:space="preserve">assessment harmonisation and consensus </w:t>
      </w:r>
      <w:r w:rsidR="00115213">
        <w:t>process to ensure a high quality standard of assessment was consistent amongst assessors.</w:t>
      </w:r>
    </w:p>
    <w:p w14:paraId="46FE5AB9" w14:textId="77777777" w:rsidR="003A0D0F" w:rsidRDefault="003A0D0F" w:rsidP="003A0D0F">
      <w:pPr>
        <w:pStyle w:val="ListParagraph"/>
        <w:jc w:val="both"/>
      </w:pPr>
    </w:p>
    <w:p w14:paraId="5CACBFEA" w14:textId="1E1A6FE6" w:rsidR="003C4050" w:rsidRPr="00096F43" w:rsidRDefault="003C4050" w:rsidP="000970E7">
      <w:pPr>
        <w:pStyle w:val="ListParagraph"/>
        <w:numPr>
          <w:ilvl w:val="0"/>
          <w:numId w:val="36"/>
        </w:numPr>
        <w:spacing w:after="0"/>
        <w:jc w:val="both"/>
      </w:pPr>
      <w:r>
        <w:t xml:space="preserve">The </w:t>
      </w:r>
      <w:r w:rsidRPr="00096F43">
        <w:t xml:space="preserve">Project continually </w:t>
      </w:r>
      <w:r>
        <w:t>review</w:t>
      </w:r>
      <w:r w:rsidR="00D235FF">
        <w:t>ed</w:t>
      </w:r>
      <w:r>
        <w:t xml:space="preserve"> strategies </w:t>
      </w:r>
      <w:r w:rsidRPr="00096F43">
        <w:t xml:space="preserve">to overcome </w:t>
      </w:r>
      <w:r w:rsidR="00535A8C">
        <w:t>scheduling</w:t>
      </w:r>
      <w:r w:rsidR="00535A8C" w:rsidRPr="00096F43">
        <w:t xml:space="preserve"> </w:t>
      </w:r>
      <w:r w:rsidRPr="00096F43">
        <w:t>delays</w:t>
      </w:r>
      <w:r>
        <w:t xml:space="preserve"> and to better manage turn-around times of individual assessments.   Some of these include</w:t>
      </w:r>
      <w:r w:rsidR="00D235FF">
        <w:t>d</w:t>
      </w:r>
      <w:r w:rsidRPr="00096F43">
        <w:t>:</w:t>
      </w:r>
    </w:p>
    <w:p w14:paraId="6A4B5603" w14:textId="4A9F1E41" w:rsidR="003C4050" w:rsidRDefault="003C4050" w:rsidP="000970E7">
      <w:pPr>
        <w:pStyle w:val="ListParagraph"/>
        <w:numPr>
          <w:ilvl w:val="1"/>
          <w:numId w:val="36"/>
        </w:numPr>
        <w:spacing w:after="0"/>
        <w:jc w:val="both"/>
      </w:pPr>
      <w:r>
        <w:t>E</w:t>
      </w:r>
      <w:r w:rsidRPr="00096F43">
        <w:t xml:space="preserve">xpanding the </w:t>
      </w:r>
      <w:r>
        <w:t>number of Assessment Panels by recruiting additional qualified T</w:t>
      </w:r>
      <w:r w:rsidRPr="00096F43">
        <w:t xml:space="preserve">echnical </w:t>
      </w:r>
      <w:r>
        <w:t>A</w:t>
      </w:r>
      <w:r w:rsidRPr="00096F43">
        <w:t>ssessor</w:t>
      </w:r>
      <w:r>
        <w:t>s;</w:t>
      </w:r>
    </w:p>
    <w:p w14:paraId="555871FD" w14:textId="77777777" w:rsidR="00643FFF" w:rsidRPr="00096F43" w:rsidRDefault="00643FFF" w:rsidP="00643FFF">
      <w:pPr>
        <w:pStyle w:val="ListParagraph"/>
        <w:spacing w:after="0"/>
        <w:ind w:left="1440"/>
        <w:jc w:val="both"/>
      </w:pPr>
    </w:p>
    <w:p w14:paraId="672FA168" w14:textId="3D19D09A" w:rsidR="003C4050" w:rsidRDefault="003C4050" w:rsidP="000970E7">
      <w:pPr>
        <w:pStyle w:val="ListParagraph"/>
        <w:numPr>
          <w:ilvl w:val="1"/>
          <w:numId w:val="36"/>
        </w:numPr>
        <w:spacing w:after="0"/>
        <w:jc w:val="both"/>
      </w:pPr>
      <w:r w:rsidRPr="00096F43">
        <w:t xml:space="preserve">Inviting Assessment Panels to the </w:t>
      </w:r>
      <w:r w:rsidR="000970E7">
        <w:t>RCPA</w:t>
      </w:r>
      <w:r w:rsidRPr="00096F43">
        <w:t xml:space="preserve"> (i</w:t>
      </w:r>
      <w:r>
        <w:t>.</w:t>
      </w:r>
      <w:r w:rsidRPr="00096F43">
        <w:t>e</w:t>
      </w:r>
      <w:r>
        <w:t>.</w:t>
      </w:r>
      <w:r w:rsidRPr="00096F43">
        <w:t xml:space="preserve"> offsite of their current employment) to undertake 1</w:t>
      </w:r>
      <w:r>
        <w:t xml:space="preserve"> - </w:t>
      </w:r>
      <w:r w:rsidRPr="00096F43">
        <w:t>2</w:t>
      </w:r>
      <w:r>
        <w:t xml:space="preserve"> day</w:t>
      </w:r>
      <w:r w:rsidRPr="00096F43">
        <w:t xml:space="preserve"> group assessments </w:t>
      </w:r>
      <w:r>
        <w:t>with the aim of</w:t>
      </w:r>
      <w:r w:rsidRPr="00096F43">
        <w:t xml:space="preserve"> reduc</w:t>
      </w:r>
      <w:r>
        <w:t xml:space="preserve">ing </w:t>
      </w:r>
      <w:r w:rsidRPr="00096F43">
        <w:t xml:space="preserve">distractions from the workplace and/or other professional commitments which have </w:t>
      </w:r>
      <w:r>
        <w:t xml:space="preserve">largely </w:t>
      </w:r>
      <w:r w:rsidRPr="00096F43">
        <w:t>slow</w:t>
      </w:r>
      <w:r>
        <w:t>ed</w:t>
      </w:r>
      <w:r w:rsidRPr="00096F43">
        <w:t xml:space="preserve"> the assessment process.  The Project </w:t>
      </w:r>
      <w:r w:rsidR="00D235FF">
        <w:t>realised</w:t>
      </w:r>
      <w:r w:rsidR="00D235FF" w:rsidRPr="00096F43">
        <w:t xml:space="preserve"> </w:t>
      </w:r>
      <w:r w:rsidRPr="00096F43">
        <w:t xml:space="preserve">focussed offsite group assessments </w:t>
      </w:r>
      <w:r>
        <w:t xml:space="preserve">lead </w:t>
      </w:r>
      <w:r>
        <w:lastRenderedPageBreak/>
        <w:t>to more efficient</w:t>
      </w:r>
      <w:r w:rsidRPr="00096F43">
        <w:t xml:space="preserve"> assessment turnaround times a</w:t>
      </w:r>
      <w:r>
        <w:t xml:space="preserve">s well as </w:t>
      </w:r>
      <w:r w:rsidRPr="00096F43">
        <w:t>provide</w:t>
      </w:r>
      <w:r w:rsidR="00D235FF">
        <w:t>d</w:t>
      </w:r>
      <w:r w:rsidRPr="00096F43">
        <w:t xml:space="preserve"> a professional forum for discussing and resolving issues </w:t>
      </w:r>
      <w:r>
        <w:t>related to</w:t>
      </w:r>
      <w:r w:rsidRPr="00096F43">
        <w:t xml:space="preserve"> more complex applications.</w:t>
      </w:r>
    </w:p>
    <w:p w14:paraId="226467AF" w14:textId="77777777" w:rsidR="00643FFF" w:rsidRDefault="00643FFF" w:rsidP="00643FFF">
      <w:pPr>
        <w:spacing w:after="0"/>
        <w:jc w:val="both"/>
      </w:pPr>
    </w:p>
    <w:p w14:paraId="294FF756" w14:textId="684B3381" w:rsidR="003C4050" w:rsidRDefault="003C4050" w:rsidP="003C4050">
      <w:pPr>
        <w:pStyle w:val="ListParagraph"/>
        <w:numPr>
          <w:ilvl w:val="1"/>
          <w:numId w:val="36"/>
        </w:numPr>
        <w:jc w:val="both"/>
      </w:pPr>
      <w:r>
        <w:t>Off-site focussed assessments enable</w:t>
      </w:r>
      <w:r w:rsidR="00D235FF">
        <w:t>d</w:t>
      </w:r>
      <w:r>
        <w:t xml:space="preserve"> </w:t>
      </w:r>
      <w:r w:rsidR="00D235FF">
        <w:t xml:space="preserve">review of </w:t>
      </w:r>
      <w:r>
        <w:t>applications in a timelier manner and provide</w:t>
      </w:r>
      <w:r w:rsidR="00D235FF">
        <w:t>d</w:t>
      </w:r>
      <w:r>
        <w:t xml:space="preserve"> a more cost-effective way to review and certify the appl</w:t>
      </w:r>
      <w:r w:rsidR="00924637">
        <w:t>ications.</w:t>
      </w:r>
    </w:p>
    <w:p w14:paraId="7BD06EF0" w14:textId="77777777" w:rsidR="003A0D0F" w:rsidRDefault="003A0D0F" w:rsidP="003A0D0F">
      <w:pPr>
        <w:pStyle w:val="ListParagraph"/>
        <w:ind w:left="1440"/>
        <w:jc w:val="both"/>
      </w:pPr>
    </w:p>
    <w:p w14:paraId="6846DFB3" w14:textId="132BEE11" w:rsidR="00464583" w:rsidRDefault="00464583" w:rsidP="00E67399">
      <w:pPr>
        <w:jc w:val="both"/>
      </w:pPr>
      <w:r>
        <w:br w:type="page"/>
      </w:r>
    </w:p>
    <w:p w14:paraId="2467510C" w14:textId="74BB4D8C" w:rsidR="00807D3E" w:rsidRPr="00643FFF" w:rsidRDefault="00A732D0" w:rsidP="00643FFF">
      <w:pPr>
        <w:pStyle w:val="Heading1"/>
        <w:numPr>
          <w:ilvl w:val="0"/>
          <w:numId w:val="2"/>
        </w:numPr>
        <w:ind w:left="0" w:firstLine="0"/>
      </w:pPr>
      <w:bookmarkStart w:id="27" w:name="_Toc38613971"/>
      <w:r>
        <w:lastRenderedPageBreak/>
        <w:t>Project Outcomes and Future Directions</w:t>
      </w:r>
      <w:bookmarkEnd w:id="27"/>
    </w:p>
    <w:p w14:paraId="43CC3964" w14:textId="6192A206" w:rsidR="00027DCC" w:rsidRDefault="00992459" w:rsidP="003C5834">
      <w:pPr>
        <w:spacing w:after="0"/>
        <w:jc w:val="both"/>
        <w:rPr>
          <w:szCs w:val="22"/>
        </w:rPr>
      </w:pPr>
      <w:r w:rsidRPr="00882DDE">
        <w:rPr>
          <w:bCs/>
          <w:iCs/>
        </w:rPr>
        <w:t xml:space="preserve">The </w:t>
      </w:r>
      <w:r w:rsidR="000C01AE">
        <w:rPr>
          <w:bCs/>
          <w:iCs/>
        </w:rPr>
        <w:t xml:space="preserve">Project was able to successfully </w:t>
      </w:r>
      <w:r w:rsidR="0099541E">
        <w:rPr>
          <w:bCs/>
          <w:iCs/>
        </w:rPr>
        <w:t xml:space="preserve">meet the aim of expanding the number of suitably qualified pathologists who can supervise </w:t>
      </w:r>
      <w:r w:rsidR="0099541E">
        <w:rPr>
          <w:szCs w:val="22"/>
        </w:rPr>
        <w:t xml:space="preserve">genetic and genomic testing services in accordance with the new NPAAC Requirements for Supervision in the Clinical Governance of Medical Pathology Laboratories (NPAAC </w:t>
      </w:r>
      <w:r w:rsidR="0099541E" w:rsidRPr="004D55F3">
        <w:rPr>
          <w:i/>
          <w:szCs w:val="22"/>
        </w:rPr>
        <w:t>Requirements</w:t>
      </w:r>
      <w:r w:rsidR="0099541E">
        <w:rPr>
          <w:szCs w:val="22"/>
        </w:rPr>
        <w:t xml:space="preserve">).  The Project successfully </w:t>
      </w:r>
      <w:r w:rsidR="000C01AE">
        <w:rPr>
          <w:bCs/>
          <w:iCs/>
        </w:rPr>
        <w:t>grant</w:t>
      </w:r>
      <w:r w:rsidR="0099541E">
        <w:rPr>
          <w:bCs/>
          <w:iCs/>
        </w:rPr>
        <w:t>ed</w:t>
      </w:r>
      <w:r w:rsidR="000C01AE">
        <w:rPr>
          <w:bCs/>
          <w:iCs/>
        </w:rPr>
        <w:t xml:space="preserve"> certification </w:t>
      </w:r>
      <w:r w:rsidR="000C01AE" w:rsidRPr="008F049F">
        <w:rPr>
          <w:szCs w:val="22"/>
        </w:rPr>
        <w:t>in discipline specific modules relevant to each Fellow’s scope of practice</w:t>
      </w:r>
      <w:r w:rsidR="000C01AE">
        <w:rPr>
          <w:bCs/>
          <w:iCs/>
        </w:rPr>
        <w:t xml:space="preserve"> to an additional 86 pathologists</w:t>
      </w:r>
      <w:r w:rsidR="0099541E">
        <w:rPr>
          <w:bCs/>
          <w:iCs/>
        </w:rPr>
        <w:t xml:space="preserve">, and 6 Category S laboratories.  This increase in qualified pathologists </w:t>
      </w:r>
      <w:r w:rsidR="000F637C">
        <w:rPr>
          <w:bCs/>
          <w:iCs/>
        </w:rPr>
        <w:t xml:space="preserve">from within the existing workforce </w:t>
      </w:r>
      <w:r w:rsidR="0099541E">
        <w:rPr>
          <w:bCs/>
          <w:iCs/>
        </w:rPr>
        <w:t xml:space="preserve">will greatly assist with meeting the </w:t>
      </w:r>
      <w:r w:rsidR="000F637C">
        <w:rPr>
          <w:bCs/>
          <w:iCs/>
        </w:rPr>
        <w:t xml:space="preserve">future </w:t>
      </w:r>
      <w:r w:rsidR="0099541E">
        <w:rPr>
          <w:bCs/>
          <w:iCs/>
        </w:rPr>
        <w:t xml:space="preserve">service provision </w:t>
      </w:r>
      <w:r w:rsidR="000F637C">
        <w:rPr>
          <w:bCs/>
          <w:iCs/>
        </w:rPr>
        <w:t xml:space="preserve">needs </w:t>
      </w:r>
      <w:r w:rsidR="000F637C" w:rsidRPr="004D55F3">
        <w:rPr>
          <w:szCs w:val="22"/>
        </w:rPr>
        <w:t>without compromising quality and/or service delivery</w:t>
      </w:r>
      <w:r w:rsidR="000F637C">
        <w:rPr>
          <w:szCs w:val="22"/>
        </w:rPr>
        <w:t xml:space="preserve"> in a timely manner</w:t>
      </w:r>
      <w:r w:rsidR="000F637C" w:rsidRPr="004D55F3">
        <w:rPr>
          <w:szCs w:val="22"/>
        </w:rPr>
        <w:t>.</w:t>
      </w:r>
    </w:p>
    <w:p w14:paraId="35B0B5F0" w14:textId="77777777" w:rsidR="00027DCC" w:rsidRPr="00BE58CF" w:rsidRDefault="00027DCC" w:rsidP="003C5834">
      <w:pPr>
        <w:pStyle w:val="ListParagraph"/>
        <w:spacing w:after="0" w:line="240" w:lineRule="auto"/>
        <w:ind w:left="1440"/>
        <w:rPr>
          <w:rFonts w:eastAsia="Times New Roman"/>
        </w:rPr>
      </w:pPr>
    </w:p>
    <w:p w14:paraId="57409519" w14:textId="77777777" w:rsidR="00027DCC" w:rsidRPr="00083664" w:rsidRDefault="00027DCC" w:rsidP="003C5834">
      <w:pPr>
        <w:spacing w:after="0"/>
      </w:pPr>
      <w:r w:rsidRPr="00083664">
        <w:t xml:space="preserve">Laboratories without appropriate supervision in place by 01 August 2019 </w:t>
      </w:r>
      <w:r>
        <w:t>were</w:t>
      </w:r>
      <w:r w:rsidRPr="00083664">
        <w:t xml:space="preserve"> advised by the RCPA to have a risk management plan and clinical governance process</w:t>
      </w:r>
      <w:r>
        <w:t>es</w:t>
      </w:r>
      <w:r w:rsidRPr="00083664">
        <w:t xml:space="preserve"> in place including how they </w:t>
      </w:r>
      <w:r>
        <w:t>plan</w:t>
      </w:r>
      <w:r w:rsidRPr="00083664">
        <w:t xml:space="preserve"> to remedy the lack of appropriate supervision including time frame.</w:t>
      </w:r>
    </w:p>
    <w:p w14:paraId="63A4C2E9" w14:textId="77777777" w:rsidR="00027DCC" w:rsidRDefault="00027DCC" w:rsidP="003C5834">
      <w:pPr>
        <w:spacing w:after="0"/>
        <w:jc w:val="both"/>
        <w:rPr>
          <w:bCs/>
          <w:iCs/>
        </w:rPr>
      </w:pPr>
    </w:p>
    <w:p w14:paraId="5A192246" w14:textId="6BF44871" w:rsidR="00C468F4" w:rsidRDefault="00C468F4" w:rsidP="003C5834">
      <w:pPr>
        <w:spacing w:after="0"/>
        <w:jc w:val="both"/>
        <w:rPr>
          <w:rFonts w:cs="Arial"/>
          <w:szCs w:val="22"/>
        </w:rPr>
      </w:pPr>
      <w:r w:rsidRPr="00882DDE">
        <w:rPr>
          <w:bCs/>
          <w:iCs/>
        </w:rPr>
        <w:t xml:space="preserve">RCPA will continue to progress the 15 Individual applications (29 Module applications) that are </w:t>
      </w:r>
      <w:r>
        <w:rPr>
          <w:bCs/>
          <w:iCs/>
        </w:rPr>
        <w:t>ongoing</w:t>
      </w:r>
      <w:r w:rsidRPr="00882DDE">
        <w:rPr>
          <w:bCs/>
          <w:iCs/>
        </w:rPr>
        <w:t xml:space="preserve">.  </w:t>
      </w:r>
      <w:r>
        <w:rPr>
          <w:szCs w:val="22"/>
        </w:rPr>
        <w:t xml:space="preserve">The process of assessing applicants against the RCPA Module criteria will continue to be used as the basis of assessment for any future applicants wishing to seek </w:t>
      </w:r>
      <w:r w:rsidR="00027DCC">
        <w:rPr>
          <w:szCs w:val="22"/>
        </w:rPr>
        <w:t>RPL</w:t>
      </w:r>
      <w:r>
        <w:rPr>
          <w:szCs w:val="22"/>
        </w:rPr>
        <w:t xml:space="preserve">.  Successful applicants </w:t>
      </w:r>
      <w:r w:rsidRPr="00C468F4">
        <w:rPr>
          <w:rFonts w:cs="Arial"/>
          <w:szCs w:val="22"/>
        </w:rPr>
        <w:t xml:space="preserve">will be eligible to fulfil NPAAC requirements to supervise the defined range of tests in the Category of Laboratory </w:t>
      </w:r>
      <w:r w:rsidR="00027DCC">
        <w:rPr>
          <w:rFonts w:cs="Arial"/>
          <w:szCs w:val="22"/>
        </w:rPr>
        <w:t xml:space="preserve">in which </w:t>
      </w:r>
      <w:r>
        <w:rPr>
          <w:rFonts w:cs="Arial"/>
          <w:szCs w:val="22"/>
        </w:rPr>
        <w:t>they have been</w:t>
      </w:r>
      <w:r w:rsidRPr="00C468F4">
        <w:rPr>
          <w:rFonts w:cs="Arial"/>
          <w:szCs w:val="22"/>
        </w:rPr>
        <w:t xml:space="preserve"> assessed </w:t>
      </w:r>
      <w:r w:rsidR="00B923D2">
        <w:rPr>
          <w:rFonts w:cs="Arial"/>
          <w:szCs w:val="22"/>
        </w:rPr>
        <w:t>against</w:t>
      </w:r>
      <w:r w:rsidRPr="00C468F4">
        <w:rPr>
          <w:rFonts w:cs="Arial"/>
          <w:szCs w:val="22"/>
        </w:rPr>
        <w:t>.</w:t>
      </w:r>
      <w:r>
        <w:rPr>
          <w:rFonts w:cs="Arial"/>
          <w:szCs w:val="22"/>
        </w:rPr>
        <w:t xml:space="preserve">  This will also include the additional expectation </w:t>
      </w:r>
      <w:r w:rsidRPr="00C468F4">
        <w:rPr>
          <w:rFonts w:cs="Arial"/>
          <w:szCs w:val="22"/>
        </w:rPr>
        <w:t xml:space="preserve">to maintain continuing professional development specific to scope of practice, and </w:t>
      </w:r>
      <w:r>
        <w:rPr>
          <w:rFonts w:cs="Arial"/>
          <w:szCs w:val="22"/>
        </w:rPr>
        <w:t xml:space="preserve">the </w:t>
      </w:r>
      <w:r w:rsidRPr="00C468F4">
        <w:rPr>
          <w:rFonts w:cs="Arial"/>
          <w:szCs w:val="22"/>
        </w:rPr>
        <w:t xml:space="preserve">RCPA may request and audit </w:t>
      </w:r>
      <w:r>
        <w:rPr>
          <w:rFonts w:cs="Arial"/>
          <w:szCs w:val="22"/>
        </w:rPr>
        <w:t xml:space="preserve">individual </w:t>
      </w:r>
      <w:r w:rsidRPr="00C468F4">
        <w:rPr>
          <w:rFonts w:cs="Arial"/>
          <w:szCs w:val="22"/>
        </w:rPr>
        <w:t>professional development records to confirm this.</w:t>
      </w:r>
    </w:p>
    <w:p w14:paraId="158C0C64" w14:textId="77777777" w:rsidR="00643FFF" w:rsidRPr="00C468F4" w:rsidRDefault="00643FFF" w:rsidP="003C5834">
      <w:pPr>
        <w:spacing w:after="0"/>
        <w:jc w:val="both"/>
        <w:rPr>
          <w:szCs w:val="22"/>
        </w:rPr>
      </w:pPr>
    </w:p>
    <w:p w14:paraId="170E09EA" w14:textId="38C41D30" w:rsidR="007E6D09" w:rsidRDefault="00C468F4" w:rsidP="007E6D09">
      <w:pPr>
        <w:jc w:val="both"/>
        <w:rPr>
          <w:bCs/>
          <w:iCs/>
          <w:highlight w:val="yellow"/>
        </w:rPr>
      </w:pPr>
      <w:r w:rsidRPr="00C468F4">
        <w:rPr>
          <w:rFonts w:cs="Arial"/>
          <w:szCs w:val="22"/>
        </w:rPr>
        <w:t>The RPL assessment outcome will be restricted to the field of testing directly related to those qualifications and competencies and current Scope of Practice</w:t>
      </w:r>
      <w:r w:rsidR="003B3F16">
        <w:rPr>
          <w:rFonts w:cs="Arial"/>
          <w:szCs w:val="22"/>
        </w:rPr>
        <w:t>.</w:t>
      </w:r>
      <w:r w:rsidR="00643FFF">
        <w:rPr>
          <w:rFonts w:cs="Arial"/>
          <w:szCs w:val="22"/>
        </w:rPr>
        <w:t xml:space="preserve"> </w:t>
      </w:r>
      <w:r w:rsidR="007E6D09" w:rsidRPr="00882DDE">
        <w:t>The RCPA expects it will continue to receive applications under the</w:t>
      </w:r>
      <w:r w:rsidR="007E6D09" w:rsidRPr="007D16DE">
        <w:t xml:space="preserve"> </w:t>
      </w:r>
      <w:r w:rsidR="007E6D09">
        <w:t>RPL</w:t>
      </w:r>
      <w:r w:rsidR="007E6D09" w:rsidRPr="007D16DE">
        <w:t xml:space="preserve"> pathway into the future and will i</w:t>
      </w:r>
      <w:r w:rsidR="007E6D09" w:rsidRPr="007D16DE">
        <w:rPr>
          <w:bCs/>
          <w:iCs/>
        </w:rPr>
        <w:t xml:space="preserve">mplement a cost recovery process to administer assessment of new applications and </w:t>
      </w:r>
      <w:r w:rsidR="007E6D09">
        <w:rPr>
          <w:bCs/>
          <w:iCs/>
        </w:rPr>
        <w:t>ART</w:t>
      </w:r>
      <w:r w:rsidR="007E6D09" w:rsidRPr="007D16DE">
        <w:rPr>
          <w:bCs/>
          <w:iCs/>
        </w:rPr>
        <w:t xml:space="preserve"> laboratories as these applications will fall outside this Project.</w:t>
      </w:r>
    </w:p>
    <w:p w14:paraId="60CEBB5F" w14:textId="77777777" w:rsidR="00643FFF" w:rsidRDefault="00C468F4" w:rsidP="009F0EB0">
      <w:pPr>
        <w:jc w:val="both"/>
        <w:rPr>
          <w:bCs/>
          <w:iCs/>
        </w:rPr>
      </w:pPr>
      <w:r>
        <w:rPr>
          <w:bCs/>
          <w:iCs/>
        </w:rPr>
        <w:t>However, for those  u</w:t>
      </w:r>
      <w:r w:rsidRPr="00882DDE">
        <w:rPr>
          <w:bCs/>
          <w:iCs/>
        </w:rPr>
        <w:t xml:space="preserve">nsuccessful </w:t>
      </w:r>
      <w:r w:rsidRPr="00882DDE">
        <w:t>applicants</w:t>
      </w:r>
      <w:r>
        <w:t>, including unsuccessful appeal applicants,</w:t>
      </w:r>
      <w:r w:rsidRPr="00882DDE">
        <w:t xml:space="preserve"> who received a formal unsatisfactory notification which detailed the Module criteria which had not been met under the </w:t>
      </w:r>
      <w:r>
        <w:t>RPL</w:t>
      </w:r>
      <w:r w:rsidRPr="00882DDE">
        <w:t xml:space="preserve"> process</w:t>
      </w:r>
      <w:r w:rsidR="00027DCC">
        <w:t xml:space="preserve">, </w:t>
      </w:r>
      <w:r w:rsidR="00027DCC" w:rsidRPr="00882DDE">
        <w:rPr>
          <w:bCs/>
          <w:iCs/>
        </w:rPr>
        <w:t xml:space="preserve">will be provided with further advice regarding the </w:t>
      </w:r>
      <w:r w:rsidR="00027DCC">
        <w:rPr>
          <w:bCs/>
          <w:iCs/>
        </w:rPr>
        <w:t xml:space="preserve">RCPA </w:t>
      </w:r>
      <w:r w:rsidR="00027DCC" w:rsidRPr="00882DDE">
        <w:rPr>
          <w:bCs/>
          <w:iCs/>
        </w:rPr>
        <w:t>training and assessment pathway and encouraged to progress this pathway where relevan</w:t>
      </w:r>
      <w:r w:rsidR="00027DCC">
        <w:rPr>
          <w:bCs/>
          <w:iCs/>
        </w:rPr>
        <w:t xml:space="preserve">t.  </w:t>
      </w:r>
      <w:r w:rsidR="009F0EB0">
        <w:rPr>
          <w:bCs/>
          <w:iCs/>
        </w:rPr>
        <w:t>This will require applicants to complete a series of Modules developed by the RCPA which will require formal examination and assessment.  This training and assessment pathway will be available going forward.</w:t>
      </w:r>
      <w:r w:rsidR="003C5834">
        <w:rPr>
          <w:bCs/>
          <w:iCs/>
        </w:rPr>
        <w:t xml:space="preserve"> </w:t>
      </w:r>
    </w:p>
    <w:p w14:paraId="4498A99E" w14:textId="509AE1A1" w:rsidR="009F0EB0" w:rsidRDefault="009F0EB0" w:rsidP="009F0EB0">
      <w:pPr>
        <w:jc w:val="both"/>
        <w:rPr>
          <w:bCs/>
          <w:iCs/>
        </w:rPr>
      </w:pPr>
      <w:r w:rsidRPr="008C1527">
        <w:rPr>
          <w:rFonts w:eastAsia="Arial" w:cs="Arial"/>
        </w:rPr>
        <w:t xml:space="preserve">The </w:t>
      </w:r>
      <w:r>
        <w:rPr>
          <w:rFonts w:eastAsia="Arial" w:cs="Arial"/>
        </w:rPr>
        <w:t>RCPA is</w:t>
      </w:r>
      <w:r w:rsidRPr="008C1527">
        <w:rPr>
          <w:rFonts w:eastAsia="Arial" w:cs="Arial"/>
        </w:rPr>
        <w:t xml:space="preserve"> aware that pathology service delivery post 01 August 2019 </w:t>
      </w:r>
      <w:r>
        <w:rPr>
          <w:rFonts w:eastAsia="Arial" w:cs="Arial"/>
        </w:rPr>
        <w:t>will</w:t>
      </w:r>
      <w:r w:rsidRPr="008C1527">
        <w:rPr>
          <w:rFonts w:eastAsia="Arial" w:cs="Arial"/>
        </w:rPr>
        <w:t xml:space="preserve"> require ongoing </w:t>
      </w:r>
      <w:r>
        <w:rPr>
          <w:rFonts w:eastAsia="Arial" w:cs="Arial"/>
        </w:rPr>
        <w:t xml:space="preserve">monitoring and </w:t>
      </w:r>
      <w:r w:rsidRPr="008C1527">
        <w:rPr>
          <w:rFonts w:eastAsia="Arial" w:cs="Arial"/>
        </w:rPr>
        <w:t>management</w:t>
      </w:r>
      <w:r>
        <w:rPr>
          <w:rFonts w:eastAsia="Arial" w:cs="Arial"/>
        </w:rPr>
        <w:t xml:space="preserve">, </w:t>
      </w:r>
      <w:r w:rsidRPr="008C1527">
        <w:rPr>
          <w:rFonts w:eastAsia="Arial" w:cs="Arial"/>
        </w:rPr>
        <w:t>will continue to remain vigilant and responsive and will continue to assess new applicants under the training and assessment pathway into the future.</w:t>
      </w:r>
      <w:r w:rsidRPr="00704663">
        <w:rPr>
          <w:rFonts w:eastAsia="Arial" w:cs="Arial"/>
        </w:rPr>
        <w:t xml:space="preserve">  </w:t>
      </w:r>
    </w:p>
    <w:p w14:paraId="072FCB4E" w14:textId="3D4DC7BC" w:rsidR="00CA5277" w:rsidRPr="00643FFF" w:rsidRDefault="009F0EB0" w:rsidP="00643FFF">
      <w:pPr>
        <w:spacing w:after="0"/>
        <w:rPr>
          <w:rFonts w:eastAsia="Times New Roman"/>
        </w:rPr>
      </w:pPr>
      <w:r>
        <w:rPr>
          <w:bCs/>
          <w:iCs/>
        </w:rPr>
        <w:t>In addition, a</w:t>
      </w:r>
      <w:r w:rsidR="00807D3E" w:rsidRPr="00CE62BA">
        <w:rPr>
          <w:bCs/>
          <w:iCs/>
        </w:rPr>
        <w:t xml:space="preserve">pproval for the development of </w:t>
      </w:r>
      <w:r w:rsidR="00295307" w:rsidRPr="00CE62BA">
        <w:rPr>
          <w:bCs/>
          <w:iCs/>
        </w:rPr>
        <w:t>B</w:t>
      </w:r>
      <w:r w:rsidR="00807D3E" w:rsidRPr="00CE62BA">
        <w:rPr>
          <w:bCs/>
          <w:iCs/>
        </w:rPr>
        <w:t>iochem</w:t>
      </w:r>
      <w:r w:rsidR="00295307" w:rsidRPr="00CE62BA">
        <w:rPr>
          <w:bCs/>
          <w:iCs/>
        </w:rPr>
        <w:t>ical</w:t>
      </w:r>
      <w:r w:rsidR="00807D3E" w:rsidRPr="00CE62BA">
        <w:rPr>
          <w:bCs/>
          <w:iCs/>
        </w:rPr>
        <w:t xml:space="preserve"> </w:t>
      </w:r>
      <w:r w:rsidR="00295307" w:rsidRPr="00CE62BA">
        <w:rPr>
          <w:bCs/>
          <w:iCs/>
        </w:rPr>
        <w:t>G</w:t>
      </w:r>
      <w:r w:rsidR="00807D3E" w:rsidRPr="00CE62BA">
        <w:rPr>
          <w:bCs/>
          <w:iCs/>
        </w:rPr>
        <w:t>en</w:t>
      </w:r>
      <w:r w:rsidR="00295307" w:rsidRPr="00CE62BA">
        <w:rPr>
          <w:bCs/>
          <w:iCs/>
        </w:rPr>
        <w:t>e</w:t>
      </w:r>
      <w:r w:rsidR="00807D3E" w:rsidRPr="00CE62BA">
        <w:rPr>
          <w:bCs/>
          <w:iCs/>
        </w:rPr>
        <w:t>tic</w:t>
      </w:r>
      <w:r w:rsidR="00DB48D0">
        <w:rPr>
          <w:bCs/>
          <w:iCs/>
        </w:rPr>
        <w:t>s</w:t>
      </w:r>
      <w:r w:rsidR="00807D3E" w:rsidRPr="00CE62BA">
        <w:rPr>
          <w:bCs/>
          <w:iCs/>
        </w:rPr>
        <w:t xml:space="preserve"> 12</w:t>
      </w:r>
      <w:r w:rsidR="00CE62BA" w:rsidRPr="00CE62BA">
        <w:rPr>
          <w:bCs/>
          <w:iCs/>
        </w:rPr>
        <w:t>-</w:t>
      </w:r>
      <w:r w:rsidR="00807D3E" w:rsidRPr="00CE62BA">
        <w:rPr>
          <w:bCs/>
          <w:iCs/>
        </w:rPr>
        <w:t>mont</w:t>
      </w:r>
      <w:r w:rsidR="00295307" w:rsidRPr="00CE62BA">
        <w:rPr>
          <w:bCs/>
          <w:iCs/>
        </w:rPr>
        <w:t>h</w:t>
      </w:r>
      <w:r w:rsidR="00807D3E" w:rsidRPr="00CE62BA">
        <w:rPr>
          <w:bCs/>
          <w:iCs/>
        </w:rPr>
        <w:t xml:space="preserve"> </w:t>
      </w:r>
      <w:r w:rsidR="00295307" w:rsidRPr="00CE62BA">
        <w:rPr>
          <w:bCs/>
          <w:iCs/>
        </w:rPr>
        <w:t>D</w:t>
      </w:r>
      <w:r w:rsidR="00807D3E" w:rsidRPr="00CE62BA">
        <w:rPr>
          <w:bCs/>
          <w:iCs/>
        </w:rPr>
        <w:t>iploma</w:t>
      </w:r>
      <w:r w:rsidR="00295307" w:rsidRPr="00CE62BA">
        <w:rPr>
          <w:bCs/>
          <w:iCs/>
        </w:rPr>
        <w:t xml:space="preserve"> </w:t>
      </w:r>
      <w:r w:rsidR="00CE62BA" w:rsidRPr="00CE62BA">
        <w:rPr>
          <w:bCs/>
          <w:iCs/>
        </w:rPr>
        <w:t xml:space="preserve">has been received from the RCPA Board of Directors and RCPA Board of Education and Assessment </w:t>
      </w:r>
      <w:r w:rsidR="00807D3E" w:rsidRPr="00CE62BA">
        <w:rPr>
          <w:bCs/>
          <w:iCs/>
        </w:rPr>
        <w:t xml:space="preserve">which will </w:t>
      </w:r>
      <w:r w:rsidR="00295307" w:rsidRPr="00CE62BA">
        <w:rPr>
          <w:bCs/>
          <w:iCs/>
        </w:rPr>
        <w:t xml:space="preserve">assist with </w:t>
      </w:r>
      <w:r w:rsidR="00807D3E" w:rsidRPr="00CE62BA">
        <w:rPr>
          <w:bCs/>
          <w:iCs/>
        </w:rPr>
        <w:t>provid</w:t>
      </w:r>
      <w:r w:rsidR="00295307" w:rsidRPr="00CE62BA">
        <w:rPr>
          <w:bCs/>
          <w:iCs/>
        </w:rPr>
        <w:t xml:space="preserve">ing </w:t>
      </w:r>
      <w:r w:rsidR="00807D3E" w:rsidRPr="00CE62BA">
        <w:rPr>
          <w:bCs/>
          <w:iCs/>
        </w:rPr>
        <w:t>a solution to the shortage of pathologists able to supervise biochemical genetic</w:t>
      </w:r>
      <w:r w:rsidR="00493162">
        <w:rPr>
          <w:bCs/>
          <w:iCs/>
        </w:rPr>
        <w:t>s</w:t>
      </w:r>
      <w:r w:rsidR="00807D3E" w:rsidRPr="00CE62BA">
        <w:rPr>
          <w:bCs/>
          <w:iCs/>
        </w:rPr>
        <w:t xml:space="preserve"> testing.  </w:t>
      </w:r>
      <w:r w:rsidR="00CE62BA" w:rsidRPr="00CE62BA">
        <w:rPr>
          <w:bCs/>
          <w:iCs/>
        </w:rPr>
        <w:t xml:space="preserve">Development of the associated curriculum will commence in the new year and the RCPA will </w:t>
      </w:r>
      <w:r w:rsidR="00295307" w:rsidRPr="00CE62BA">
        <w:rPr>
          <w:bCs/>
          <w:iCs/>
        </w:rPr>
        <w:t xml:space="preserve">promote this </w:t>
      </w:r>
      <w:r w:rsidR="00CE62BA" w:rsidRPr="00CE62BA">
        <w:rPr>
          <w:bCs/>
          <w:iCs/>
        </w:rPr>
        <w:t xml:space="preserve">opportunity amongst the Fellowship. </w:t>
      </w:r>
      <w:r w:rsidR="00CE62BA">
        <w:t>This will allow Chemical Pathologists or Molecular Genetics Pathologists who successfully complete this Diploma to supervise biochemical genetic</w:t>
      </w:r>
      <w:r w:rsidR="00DB48D0">
        <w:t>s</w:t>
      </w:r>
      <w:r w:rsidR="00CE62BA">
        <w:t xml:space="preserve"> testing. </w:t>
      </w:r>
    </w:p>
    <w:sectPr w:rsidR="00CA5277" w:rsidRPr="00643FFF" w:rsidSect="005E74E6">
      <w:headerReference w:type="default" r:id="rId19"/>
      <w:footerReference w:type="first" r:id="rId20"/>
      <w:pgSz w:w="11900" w:h="16840" w:code="199"/>
      <w:pgMar w:top="1440" w:right="1077" w:bottom="1440" w:left="107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17A61" w14:textId="77777777" w:rsidR="009C7B2D" w:rsidRDefault="009C7B2D" w:rsidP="0071272D">
      <w:r>
        <w:separator/>
      </w:r>
    </w:p>
  </w:endnote>
  <w:endnote w:type="continuationSeparator" w:id="0">
    <w:p w14:paraId="49A7283D" w14:textId="77777777" w:rsidR="009C7B2D" w:rsidRDefault="009C7B2D" w:rsidP="0071272D">
      <w:r>
        <w:continuationSeparator/>
      </w:r>
    </w:p>
  </w:endnote>
  <w:endnote w:type="continuationNotice" w:id="1">
    <w:p w14:paraId="4A22C412" w14:textId="77777777" w:rsidR="009C7B2D" w:rsidRDefault="009C7B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Neue Light">
    <w:charset w:val="00"/>
    <w:family w:val="auto"/>
    <w:pitch w:val="variable"/>
    <w:sig w:usb0="8000007F" w:usb1="0000000A" w:usb2="00000000" w:usb3="00000000" w:csb0="00000007"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1198" w14:textId="77777777" w:rsidR="003C5834" w:rsidRDefault="003C5834" w:rsidP="00E554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44DD6B" w14:textId="77777777" w:rsidR="003C5834" w:rsidRDefault="003C5834" w:rsidP="00E554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50896" w14:textId="77777777" w:rsidR="003C5834" w:rsidRDefault="003C5834" w:rsidP="00F112E6">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DC14" w14:textId="77777777" w:rsidR="003C5834" w:rsidRPr="003B69E7" w:rsidRDefault="003C5834" w:rsidP="00432703">
    <w:pPr>
      <w:pStyle w:val="Footer"/>
      <w:framePr w:wrap="around" w:vAnchor="text" w:hAnchor="margin" w:xAlign="right" w:y="1"/>
      <w:rPr>
        <w:rStyle w:val="PageNumber"/>
        <w:color w:val="FE0C00"/>
      </w:rPr>
    </w:pPr>
  </w:p>
  <w:p w14:paraId="7C9FA987" w14:textId="77777777" w:rsidR="003C5834" w:rsidRDefault="003C5834" w:rsidP="0043270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86A87" w14:textId="77777777" w:rsidR="009C7B2D" w:rsidRDefault="009C7B2D" w:rsidP="0071272D">
      <w:r>
        <w:separator/>
      </w:r>
    </w:p>
  </w:footnote>
  <w:footnote w:type="continuationSeparator" w:id="0">
    <w:p w14:paraId="6C3B2899" w14:textId="77777777" w:rsidR="009C7B2D" w:rsidRDefault="009C7B2D" w:rsidP="0071272D">
      <w:r>
        <w:continuationSeparator/>
      </w:r>
    </w:p>
  </w:footnote>
  <w:footnote w:type="continuationNotice" w:id="1">
    <w:p w14:paraId="499A4633" w14:textId="77777777" w:rsidR="009C7B2D" w:rsidRDefault="009C7B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467CF" w14:textId="77777777" w:rsidR="003C5834" w:rsidRDefault="00453B91">
    <w:pPr>
      <w:pStyle w:val="Header"/>
    </w:pPr>
    <w:r>
      <w:rPr>
        <w:noProof/>
        <w:lang w:val="en-US"/>
      </w:rPr>
      <w:pict w14:anchorId="12DCA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2" type="#_x0000_t75" style="position:absolute;margin-left:0;margin-top:0;width:601.2pt;height:847.9pt;z-index:-251658239;mso-wrap-edited:f;mso-position-horizontal:center;mso-position-horizontal-relative:margin;mso-position-vertical:center;mso-position-vertical-relative:margin" wrapcoords="-26 0 -26 21561 21600 21561 21600 0 -26 0">
          <v:imagedata r:id="rId1" o:title="Backgroun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493E" w14:textId="77777777" w:rsidR="003C5834" w:rsidRDefault="00453B91">
    <w:pPr>
      <w:pStyle w:val="Header"/>
    </w:pPr>
    <w:r>
      <w:rPr>
        <w:noProof/>
        <w:lang w:val="en-US"/>
      </w:rPr>
      <w:pict w14:anchorId="35495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1" type="#_x0000_t75" style="position:absolute;margin-left:-54pt;margin-top:-105.85pt;width:601.2pt;height:847.9pt;z-index:-251658240;mso-wrap-edited:f;mso-position-horizontal-relative:margin;mso-position-vertical-relative:margin" wrapcoords="-26 0 -26 21561 21600 21561 21600 0 -26 0">
          <v:imagedata r:id="rId1" o:title="Background-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353D" w14:textId="77777777" w:rsidR="003C5834" w:rsidRDefault="003C5834">
    <w:pPr>
      <w:pStyle w:val="Header"/>
    </w:pPr>
    <w:r>
      <w:rPr>
        <w:noProof/>
        <w:lang w:eastAsia="en-AU"/>
      </w:rPr>
      <w:drawing>
        <wp:anchor distT="0" distB="0" distL="114300" distR="114300" simplePos="0" relativeHeight="251658243" behindDoc="1" locked="0" layoutInCell="1" allowOverlap="1" wp14:anchorId="58F7B5D6" wp14:editId="79278413">
          <wp:simplePos x="0" y="0"/>
          <wp:positionH relativeFrom="page">
            <wp:align>center</wp:align>
          </wp:positionH>
          <wp:positionV relativeFrom="page">
            <wp:align>top</wp:align>
          </wp:positionV>
          <wp:extent cx="7635495" cy="10768943"/>
          <wp:effectExtent l="0" t="0" r="0" b="0"/>
          <wp:wrapNone/>
          <wp:docPr id="30" name="Picture 3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02.png"/>
                  <pic:cNvPicPr/>
                </pic:nvPicPr>
                <pic:blipFill>
                  <a:blip r:embed="rId1">
                    <a:extLst>
                      <a:ext uri="{28A0092B-C50C-407E-A947-70E740481C1C}">
                        <a14:useLocalDpi xmlns:a14="http://schemas.microsoft.com/office/drawing/2010/main" val="0"/>
                      </a:ext>
                    </a:extLst>
                  </a:blip>
                  <a:stretch>
                    <a:fillRect/>
                  </a:stretch>
                </pic:blipFill>
                <pic:spPr>
                  <a:xfrm>
                    <a:off x="0" y="0"/>
                    <a:ext cx="7635495" cy="10768943"/>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D1EBC" w14:textId="7144D11C" w:rsidR="003C5834" w:rsidRPr="00D11F5F" w:rsidRDefault="003C5834" w:rsidP="00BC53B2">
    <w:r>
      <w:t xml:space="preserve">RCPA | Genetic </w:t>
    </w:r>
    <w:r w:rsidRPr="00BC53B2">
      <w:t>and</w:t>
    </w:r>
    <w:r>
      <w:t xml:space="preserve"> Genomic Certification | </w:t>
    </w:r>
    <w:r w:rsidR="00924637">
      <w:t>Final</w:t>
    </w:r>
    <w:r>
      <w:t xml:space="preserve"> Report – </w:t>
    </w:r>
    <w:r w:rsidR="007110F1">
      <w:t>January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4A57"/>
    <w:multiLevelType w:val="multilevel"/>
    <w:tmpl w:val="4CDAAC7C"/>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50274D"/>
    <w:multiLevelType w:val="hybridMultilevel"/>
    <w:tmpl w:val="0C28DD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905805"/>
    <w:multiLevelType w:val="hybridMultilevel"/>
    <w:tmpl w:val="1298D68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07BC70A8"/>
    <w:multiLevelType w:val="hybridMultilevel"/>
    <w:tmpl w:val="64D0EE8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092687"/>
    <w:multiLevelType w:val="hybridMultilevel"/>
    <w:tmpl w:val="1CF0AD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11D3833"/>
    <w:multiLevelType w:val="hybridMultilevel"/>
    <w:tmpl w:val="759C5BC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1C7304E"/>
    <w:multiLevelType w:val="hybridMultilevel"/>
    <w:tmpl w:val="974CA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4D5EE9"/>
    <w:multiLevelType w:val="hybridMultilevel"/>
    <w:tmpl w:val="674A15F6"/>
    <w:lvl w:ilvl="0" w:tplc="0C09000F">
      <w:start w:val="1"/>
      <w:numFmt w:val="decimal"/>
      <w:lvlText w:val="%1."/>
      <w:lvlJc w:val="left"/>
      <w:pPr>
        <w:ind w:left="720" w:hanging="360"/>
      </w:pPr>
      <w:rPr>
        <w:rFonts w:hint="default"/>
        <w:i w:val="0"/>
        <w:color w:val="595959" w:themeColor="text1" w:themeTint="A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1D15B4"/>
    <w:multiLevelType w:val="hybridMultilevel"/>
    <w:tmpl w:val="B06466AE"/>
    <w:lvl w:ilvl="0" w:tplc="917EFC5A">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81327F"/>
    <w:multiLevelType w:val="hybridMultilevel"/>
    <w:tmpl w:val="D03E8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76760"/>
    <w:multiLevelType w:val="hybridMultilevel"/>
    <w:tmpl w:val="5DE207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200A453B"/>
    <w:multiLevelType w:val="hybridMultilevel"/>
    <w:tmpl w:val="E852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6F2E28"/>
    <w:multiLevelType w:val="hybridMultilevel"/>
    <w:tmpl w:val="B902F0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6704EBC"/>
    <w:multiLevelType w:val="hybridMultilevel"/>
    <w:tmpl w:val="AC3C0F7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4" w15:restartNumberingAfterBreak="0">
    <w:nsid w:val="28115A58"/>
    <w:multiLevelType w:val="hybridMultilevel"/>
    <w:tmpl w:val="361C2124"/>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5" w15:restartNumberingAfterBreak="0">
    <w:nsid w:val="2A3F7342"/>
    <w:multiLevelType w:val="hybridMultilevel"/>
    <w:tmpl w:val="51EC36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CD77109"/>
    <w:multiLevelType w:val="hybridMultilevel"/>
    <w:tmpl w:val="1A2080B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694E60"/>
    <w:multiLevelType w:val="hybridMultilevel"/>
    <w:tmpl w:val="80D25CB8"/>
    <w:lvl w:ilvl="0" w:tplc="4454D03E">
      <w:start w:val="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2B5778E"/>
    <w:multiLevelType w:val="hybridMultilevel"/>
    <w:tmpl w:val="BB7E6C98"/>
    <w:lvl w:ilvl="0" w:tplc="0C090001">
      <w:start w:val="1"/>
      <w:numFmt w:val="bullet"/>
      <w:lvlText w:val=""/>
      <w:lvlJc w:val="left"/>
      <w:pPr>
        <w:ind w:left="970" w:hanging="360"/>
      </w:pPr>
      <w:rPr>
        <w:rFonts w:ascii="Symbol" w:hAnsi="Symbol" w:hint="default"/>
      </w:rPr>
    </w:lvl>
    <w:lvl w:ilvl="1" w:tplc="0C090003" w:tentative="1">
      <w:start w:val="1"/>
      <w:numFmt w:val="bullet"/>
      <w:lvlText w:val="o"/>
      <w:lvlJc w:val="left"/>
      <w:pPr>
        <w:ind w:left="1690" w:hanging="360"/>
      </w:pPr>
      <w:rPr>
        <w:rFonts w:ascii="Courier New" w:hAnsi="Courier New" w:cs="Courier New" w:hint="default"/>
      </w:rPr>
    </w:lvl>
    <w:lvl w:ilvl="2" w:tplc="0C090005" w:tentative="1">
      <w:start w:val="1"/>
      <w:numFmt w:val="bullet"/>
      <w:lvlText w:val=""/>
      <w:lvlJc w:val="left"/>
      <w:pPr>
        <w:ind w:left="2410" w:hanging="360"/>
      </w:pPr>
      <w:rPr>
        <w:rFonts w:ascii="Wingdings" w:hAnsi="Wingdings" w:hint="default"/>
      </w:rPr>
    </w:lvl>
    <w:lvl w:ilvl="3" w:tplc="0C090001" w:tentative="1">
      <w:start w:val="1"/>
      <w:numFmt w:val="bullet"/>
      <w:lvlText w:val=""/>
      <w:lvlJc w:val="left"/>
      <w:pPr>
        <w:ind w:left="3130" w:hanging="360"/>
      </w:pPr>
      <w:rPr>
        <w:rFonts w:ascii="Symbol" w:hAnsi="Symbol" w:hint="default"/>
      </w:rPr>
    </w:lvl>
    <w:lvl w:ilvl="4" w:tplc="0C090003" w:tentative="1">
      <w:start w:val="1"/>
      <w:numFmt w:val="bullet"/>
      <w:lvlText w:val="o"/>
      <w:lvlJc w:val="left"/>
      <w:pPr>
        <w:ind w:left="3850" w:hanging="360"/>
      </w:pPr>
      <w:rPr>
        <w:rFonts w:ascii="Courier New" w:hAnsi="Courier New" w:cs="Courier New" w:hint="default"/>
      </w:rPr>
    </w:lvl>
    <w:lvl w:ilvl="5" w:tplc="0C090005" w:tentative="1">
      <w:start w:val="1"/>
      <w:numFmt w:val="bullet"/>
      <w:lvlText w:val=""/>
      <w:lvlJc w:val="left"/>
      <w:pPr>
        <w:ind w:left="4570" w:hanging="360"/>
      </w:pPr>
      <w:rPr>
        <w:rFonts w:ascii="Wingdings" w:hAnsi="Wingdings" w:hint="default"/>
      </w:rPr>
    </w:lvl>
    <w:lvl w:ilvl="6" w:tplc="0C090001" w:tentative="1">
      <w:start w:val="1"/>
      <w:numFmt w:val="bullet"/>
      <w:lvlText w:val=""/>
      <w:lvlJc w:val="left"/>
      <w:pPr>
        <w:ind w:left="5290" w:hanging="360"/>
      </w:pPr>
      <w:rPr>
        <w:rFonts w:ascii="Symbol" w:hAnsi="Symbol" w:hint="default"/>
      </w:rPr>
    </w:lvl>
    <w:lvl w:ilvl="7" w:tplc="0C090003" w:tentative="1">
      <w:start w:val="1"/>
      <w:numFmt w:val="bullet"/>
      <w:lvlText w:val="o"/>
      <w:lvlJc w:val="left"/>
      <w:pPr>
        <w:ind w:left="6010" w:hanging="360"/>
      </w:pPr>
      <w:rPr>
        <w:rFonts w:ascii="Courier New" w:hAnsi="Courier New" w:cs="Courier New" w:hint="default"/>
      </w:rPr>
    </w:lvl>
    <w:lvl w:ilvl="8" w:tplc="0C090005" w:tentative="1">
      <w:start w:val="1"/>
      <w:numFmt w:val="bullet"/>
      <w:lvlText w:val=""/>
      <w:lvlJc w:val="left"/>
      <w:pPr>
        <w:ind w:left="6730" w:hanging="360"/>
      </w:pPr>
      <w:rPr>
        <w:rFonts w:ascii="Wingdings" w:hAnsi="Wingdings" w:hint="default"/>
      </w:rPr>
    </w:lvl>
  </w:abstractNum>
  <w:abstractNum w:abstractNumId="19" w15:restartNumberingAfterBreak="0">
    <w:nsid w:val="333538CC"/>
    <w:multiLevelType w:val="hybridMultilevel"/>
    <w:tmpl w:val="902C6BCE"/>
    <w:lvl w:ilvl="0" w:tplc="AE849D50">
      <w:start w:val="15"/>
      <w:numFmt w:val="bullet"/>
      <w:lvlText w:val="-"/>
      <w:lvlJc w:val="left"/>
      <w:pPr>
        <w:ind w:left="420" w:hanging="360"/>
      </w:pPr>
      <w:rPr>
        <w:rFonts w:ascii="Arial" w:eastAsiaTheme="minorEastAsia"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0" w15:restartNumberingAfterBreak="0">
    <w:nsid w:val="350F3508"/>
    <w:multiLevelType w:val="hybridMultilevel"/>
    <w:tmpl w:val="506E13EC"/>
    <w:lvl w:ilvl="0" w:tplc="8B329F50">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21" w15:restartNumberingAfterBreak="0">
    <w:nsid w:val="376F49AC"/>
    <w:multiLevelType w:val="hybridMultilevel"/>
    <w:tmpl w:val="013EF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B30C2B"/>
    <w:multiLevelType w:val="hybridMultilevel"/>
    <w:tmpl w:val="142421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151E9D"/>
    <w:multiLevelType w:val="hybridMultilevel"/>
    <w:tmpl w:val="8DF0C88A"/>
    <w:lvl w:ilvl="0" w:tplc="532AC672">
      <w:start w:val="15"/>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4014FB"/>
    <w:multiLevelType w:val="hybridMultilevel"/>
    <w:tmpl w:val="07F47A3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3C607E13"/>
    <w:multiLevelType w:val="hybridMultilevel"/>
    <w:tmpl w:val="B2DC57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3F0720B9"/>
    <w:multiLevelType w:val="hybridMultilevel"/>
    <w:tmpl w:val="21401316"/>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41421A"/>
    <w:multiLevelType w:val="hybridMultilevel"/>
    <w:tmpl w:val="C7022720"/>
    <w:lvl w:ilvl="0" w:tplc="A11C3440">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28" w15:restartNumberingAfterBreak="0">
    <w:nsid w:val="40647E6D"/>
    <w:multiLevelType w:val="hybridMultilevel"/>
    <w:tmpl w:val="7FFC7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0826D91"/>
    <w:multiLevelType w:val="hybridMultilevel"/>
    <w:tmpl w:val="51CEC4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408575DE"/>
    <w:multiLevelType w:val="hybridMultilevel"/>
    <w:tmpl w:val="1E7AA25A"/>
    <w:lvl w:ilvl="0" w:tplc="EA6A7078">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31" w15:restartNumberingAfterBreak="0">
    <w:nsid w:val="42CD7BC4"/>
    <w:multiLevelType w:val="hybridMultilevel"/>
    <w:tmpl w:val="E2A2F4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560F23"/>
    <w:multiLevelType w:val="hybridMultilevel"/>
    <w:tmpl w:val="BF5A9A00"/>
    <w:lvl w:ilvl="0" w:tplc="0C090001">
      <w:start w:val="1"/>
      <w:numFmt w:val="bullet"/>
      <w:lvlText w:val=""/>
      <w:lvlJc w:val="left"/>
      <w:pPr>
        <w:ind w:left="720" w:hanging="360"/>
      </w:pPr>
      <w:rPr>
        <w:rFonts w:ascii="Symbol" w:hAnsi="Symbol" w:hint="default"/>
        <w:i w:val="0"/>
        <w:color w:val="595959" w:themeColor="text1" w:themeTint="A6"/>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702DCC"/>
    <w:multiLevelType w:val="hybridMultilevel"/>
    <w:tmpl w:val="2CD8CA40"/>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4" w15:restartNumberingAfterBreak="0">
    <w:nsid w:val="49D07302"/>
    <w:multiLevelType w:val="hybridMultilevel"/>
    <w:tmpl w:val="49BAB5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4A7246"/>
    <w:multiLevelType w:val="hybridMultilevel"/>
    <w:tmpl w:val="5DE207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4F5064CE"/>
    <w:multiLevelType w:val="hybridMultilevel"/>
    <w:tmpl w:val="25929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7076D4F"/>
    <w:multiLevelType w:val="hybridMultilevel"/>
    <w:tmpl w:val="2548A8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58061E21"/>
    <w:multiLevelType w:val="hybridMultilevel"/>
    <w:tmpl w:val="A7060C48"/>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15:restartNumberingAfterBreak="0">
    <w:nsid w:val="58E80841"/>
    <w:multiLevelType w:val="hybridMultilevel"/>
    <w:tmpl w:val="EEB891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BB15635"/>
    <w:multiLevelType w:val="hybridMultilevel"/>
    <w:tmpl w:val="D676F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D8C1525"/>
    <w:multiLevelType w:val="hybridMultilevel"/>
    <w:tmpl w:val="B1F455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61996E5B"/>
    <w:multiLevelType w:val="hybridMultilevel"/>
    <w:tmpl w:val="B330B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64067797"/>
    <w:multiLevelType w:val="multilevel"/>
    <w:tmpl w:val="4D74B62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1C5C32"/>
    <w:multiLevelType w:val="hybridMultilevel"/>
    <w:tmpl w:val="75A84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54A03D2"/>
    <w:multiLevelType w:val="hybridMultilevel"/>
    <w:tmpl w:val="9526703C"/>
    <w:lvl w:ilvl="0" w:tplc="9924A4F4">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46" w15:restartNumberingAfterBreak="0">
    <w:nsid w:val="65E561B4"/>
    <w:multiLevelType w:val="hybridMultilevel"/>
    <w:tmpl w:val="423A3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60F17B0"/>
    <w:multiLevelType w:val="hybridMultilevel"/>
    <w:tmpl w:val="BC5EF3FC"/>
    <w:lvl w:ilvl="0" w:tplc="93BE67E2">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48" w15:restartNumberingAfterBreak="0">
    <w:nsid w:val="67E34AB2"/>
    <w:multiLevelType w:val="hybridMultilevel"/>
    <w:tmpl w:val="0E88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6070A6"/>
    <w:multiLevelType w:val="hybridMultilevel"/>
    <w:tmpl w:val="E494B2D4"/>
    <w:lvl w:ilvl="0" w:tplc="21C8474E">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50" w15:restartNumberingAfterBreak="0">
    <w:nsid w:val="6E4D56BE"/>
    <w:multiLevelType w:val="hybridMultilevel"/>
    <w:tmpl w:val="B01A414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F3167D0"/>
    <w:multiLevelType w:val="hybridMultilevel"/>
    <w:tmpl w:val="5DE207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7010558E"/>
    <w:multiLevelType w:val="hybridMultilevel"/>
    <w:tmpl w:val="D18474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70385C26"/>
    <w:multiLevelType w:val="hybridMultilevel"/>
    <w:tmpl w:val="27AC601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4" w15:restartNumberingAfterBreak="0">
    <w:nsid w:val="71D84E8F"/>
    <w:multiLevelType w:val="hybridMultilevel"/>
    <w:tmpl w:val="92EE28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5" w15:restartNumberingAfterBreak="0">
    <w:nsid w:val="77277451"/>
    <w:multiLevelType w:val="hybridMultilevel"/>
    <w:tmpl w:val="B330B4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797A050A"/>
    <w:multiLevelType w:val="hybridMultilevel"/>
    <w:tmpl w:val="5E50AA82"/>
    <w:lvl w:ilvl="0" w:tplc="A4446A4C">
      <w:start w:val="1"/>
      <w:numFmt w:val="decimal"/>
      <w:lvlText w:val="%1."/>
      <w:lvlJc w:val="left"/>
      <w:pPr>
        <w:ind w:left="378" w:hanging="360"/>
      </w:pPr>
    </w:lvl>
    <w:lvl w:ilvl="1" w:tplc="0C090019">
      <w:start w:val="1"/>
      <w:numFmt w:val="lowerLetter"/>
      <w:lvlText w:val="%2."/>
      <w:lvlJc w:val="left"/>
      <w:pPr>
        <w:ind w:left="1098" w:hanging="360"/>
      </w:pPr>
    </w:lvl>
    <w:lvl w:ilvl="2" w:tplc="0C09001B">
      <w:start w:val="1"/>
      <w:numFmt w:val="lowerRoman"/>
      <w:lvlText w:val="%3."/>
      <w:lvlJc w:val="right"/>
      <w:pPr>
        <w:ind w:left="1818" w:hanging="180"/>
      </w:pPr>
    </w:lvl>
    <w:lvl w:ilvl="3" w:tplc="0C09000F">
      <w:start w:val="1"/>
      <w:numFmt w:val="decimal"/>
      <w:lvlText w:val="%4."/>
      <w:lvlJc w:val="left"/>
      <w:pPr>
        <w:ind w:left="2538" w:hanging="360"/>
      </w:pPr>
    </w:lvl>
    <w:lvl w:ilvl="4" w:tplc="0C090019">
      <w:start w:val="1"/>
      <w:numFmt w:val="lowerLetter"/>
      <w:lvlText w:val="%5."/>
      <w:lvlJc w:val="left"/>
      <w:pPr>
        <w:ind w:left="3258" w:hanging="360"/>
      </w:pPr>
    </w:lvl>
    <w:lvl w:ilvl="5" w:tplc="0C09001B">
      <w:start w:val="1"/>
      <w:numFmt w:val="lowerRoman"/>
      <w:lvlText w:val="%6."/>
      <w:lvlJc w:val="right"/>
      <w:pPr>
        <w:ind w:left="3978" w:hanging="180"/>
      </w:pPr>
    </w:lvl>
    <w:lvl w:ilvl="6" w:tplc="0C09000F">
      <w:start w:val="1"/>
      <w:numFmt w:val="decimal"/>
      <w:lvlText w:val="%7."/>
      <w:lvlJc w:val="left"/>
      <w:pPr>
        <w:ind w:left="4698" w:hanging="360"/>
      </w:pPr>
    </w:lvl>
    <w:lvl w:ilvl="7" w:tplc="0C090019">
      <w:start w:val="1"/>
      <w:numFmt w:val="lowerLetter"/>
      <w:lvlText w:val="%8."/>
      <w:lvlJc w:val="left"/>
      <w:pPr>
        <w:ind w:left="5418" w:hanging="360"/>
      </w:pPr>
    </w:lvl>
    <w:lvl w:ilvl="8" w:tplc="0C09001B">
      <w:start w:val="1"/>
      <w:numFmt w:val="lowerRoman"/>
      <w:lvlText w:val="%9."/>
      <w:lvlJc w:val="right"/>
      <w:pPr>
        <w:ind w:left="6138" w:hanging="180"/>
      </w:pPr>
    </w:lvl>
  </w:abstractNum>
  <w:abstractNum w:abstractNumId="57" w15:restartNumberingAfterBreak="0">
    <w:nsid w:val="7A8333C7"/>
    <w:multiLevelType w:val="hybridMultilevel"/>
    <w:tmpl w:val="25F819DA"/>
    <w:lvl w:ilvl="0" w:tplc="4454D03E">
      <w:start w:val="6"/>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15:restartNumberingAfterBreak="0">
    <w:nsid w:val="7C202A76"/>
    <w:multiLevelType w:val="multilevel"/>
    <w:tmpl w:val="66484382"/>
    <w:lvl w:ilvl="0">
      <w:start w:val="1"/>
      <w:numFmt w:val="decimal"/>
      <w:lvlText w:val="%1."/>
      <w:lvlJc w:val="left"/>
      <w:pPr>
        <w:ind w:left="862" w:hanging="720"/>
      </w:pPr>
      <w:rPr>
        <w:rFonts w:hint="default"/>
      </w:rPr>
    </w:lvl>
    <w:lvl w:ilvl="1">
      <w:start w:val="3"/>
      <w:numFmt w:val="decimal"/>
      <w:isLgl/>
      <w:lvlText w:val="%1.%2"/>
      <w:lvlJc w:val="left"/>
      <w:pPr>
        <w:ind w:left="1044" w:hanging="684"/>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7D8D7118"/>
    <w:multiLevelType w:val="hybridMultilevel"/>
    <w:tmpl w:val="0630B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056445"/>
    <w:multiLevelType w:val="hybridMultilevel"/>
    <w:tmpl w:val="591E277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58"/>
  </w:num>
  <w:num w:numId="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7"/>
  </w:num>
  <w:num w:numId="26">
    <w:abstractNumId w:val="57"/>
  </w:num>
  <w:num w:numId="27">
    <w:abstractNumId w:val="14"/>
  </w:num>
  <w:num w:numId="28">
    <w:abstractNumId w:val="11"/>
  </w:num>
  <w:num w:numId="29">
    <w:abstractNumId w:val="7"/>
  </w:num>
  <w:num w:numId="30">
    <w:abstractNumId w:val="31"/>
  </w:num>
  <w:num w:numId="31">
    <w:abstractNumId w:val="22"/>
  </w:num>
  <w:num w:numId="32">
    <w:abstractNumId w:val="4"/>
  </w:num>
  <w:num w:numId="33">
    <w:abstractNumId w:val="6"/>
  </w:num>
  <w:num w:numId="34">
    <w:abstractNumId w:val="29"/>
  </w:num>
  <w:num w:numId="35">
    <w:abstractNumId w:val="33"/>
  </w:num>
  <w:num w:numId="36">
    <w:abstractNumId w:val="39"/>
  </w:num>
  <w:num w:numId="37">
    <w:abstractNumId w:val="21"/>
  </w:num>
  <w:num w:numId="38">
    <w:abstractNumId w:val="13"/>
  </w:num>
  <w:num w:numId="39">
    <w:abstractNumId w:val="18"/>
  </w:num>
  <w:num w:numId="40">
    <w:abstractNumId w:val="16"/>
  </w:num>
  <w:num w:numId="41">
    <w:abstractNumId w:val="19"/>
  </w:num>
  <w:num w:numId="42">
    <w:abstractNumId w:val="43"/>
  </w:num>
  <w:num w:numId="43">
    <w:abstractNumId w:val="1"/>
  </w:num>
  <w:num w:numId="44">
    <w:abstractNumId w:val="32"/>
  </w:num>
  <w:num w:numId="45">
    <w:abstractNumId w:val="50"/>
  </w:num>
  <w:num w:numId="46">
    <w:abstractNumId w:val="44"/>
  </w:num>
  <w:num w:numId="47">
    <w:abstractNumId w:val="48"/>
  </w:num>
  <w:num w:numId="48">
    <w:abstractNumId w:val="8"/>
  </w:num>
  <w:num w:numId="49">
    <w:abstractNumId w:val="23"/>
  </w:num>
  <w:num w:numId="50">
    <w:abstractNumId w:val="15"/>
  </w:num>
  <w:num w:numId="51">
    <w:abstractNumId w:val="40"/>
  </w:num>
  <w:num w:numId="52">
    <w:abstractNumId w:val="46"/>
  </w:num>
  <w:num w:numId="53">
    <w:abstractNumId w:val="26"/>
  </w:num>
  <w:num w:numId="54">
    <w:abstractNumId w:val="34"/>
  </w:num>
  <w:num w:numId="55">
    <w:abstractNumId w:val="59"/>
  </w:num>
  <w:num w:numId="56">
    <w:abstractNumId w:val="39"/>
  </w:num>
  <w:num w:numId="57">
    <w:abstractNumId w:val="24"/>
  </w:num>
  <w:num w:numId="58">
    <w:abstractNumId w:val="28"/>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3"/>
  </w:num>
  <w:num w:numId="61">
    <w:abstractNumId w:val="2"/>
  </w:num>
  <w:num w:numId="62">
    <w:abstractNumId w:val="3"/>
  </w:num>
  <w:num w:numId="63">
    <w:abstractNumId w:val="5"/>
  </w:num>
  <w:num w:numId="64">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66F3A1-8354-4553-B23B-3BE26F22AF10}"/>
    <w:docVar w:name="dgnword-eventsink" w:val="657647200"/>
  </w:docVars>
  <w:rsids>
    <w:rsidRoot w:val="0071272D"/>
    <w:rsid w:val="00000907"/>
    <w:rsid w:val="0001349C"/>
    <w:rsid w:val="000141CA"/>
    <w:rsid w:val="00016FE2"/>
    <w:rsid w:val="000230B1"/>
    <w:rsid w:val="000270A9"/>
    <w:rsid w:val="00027DCC"/>
    <w:rsid w:val="000310B1"/>
    <w:rsid w:val="00031E77"/>
    <w:rsid w:val="00033118"/>
    <w:rsid w:val="000349FD"/>
    <w:rsid w:val="00035EA4"/>
    <w:rsid w:val="00041B14"/>
    <w:rsid w:val="00041F5B"/>
    <w:rsid w:val="00042690"/>
    <w:rsid w:val="00043348"/>
    <w:rsid w:val="0004482F"/>
    <w:rsid w:val="00046288"/>
    <w:rsid w:val="00055766"/>
    <w:rsid w:val="000566C9"/>
    <w:rsid w:val="0006028D"/>
    <w:rsid w:val="000639DA"/>
    <w:rsid w:val="00064A10"/>
    <w:rsid w:val="00073967"/>
    <w:rsid w:val="0007533C"/>
    <w:rsid w:val="0007584D"/>
    <w:rsid w:val="00080CB9"/>
    <w:rsid w:val="00082552"/>
    <w:rsid w:val="00083664"/>
    <w:rsid w:val="00083CE3"/>
    <w:rsid w:val="000850EC"/>
    <w:rsid w:val="00086578"/>
    <w:rsid w:val="00094329"/>
    <w:rsid w:val="00096F43"/>
    <w:rsid w:val="000970E7"/>
    <w:rsid w:val="000A1ABF"/>
    <w:rsid w:val="000A2BDC"/>
    <w:rsid w:val="000A2E23"/>
    <w:rsid w:val="000A3890"/>
    <w:rsid w:val="000A6484"/>
    <w:rsid w:val="000A7E1A"/>
    <w:rsid w:val="000B03C3"/>
    <w:rsid w:val="000B15CA"/>
    <w:rsid w:val="000B4075"/>
    <w:rsid w:val="000B52B3"/>
    <w:rsid w:val="000B60EA"/>
    <w:rsid w:val="000B6EC0"/>
    <w:rsid w:val="000B7F0B"/>
    <w:rsid w:val="000C01AE"/>
    <w:rsid w:val="000C0B11"/>
    <w:rsid w:val="000C4393"/>
    <w:rsid w:val="000C4441"/>
    <w:rsid w:val="000D5CE7"/>
    <w:rsid w:val="000D6086"/>
    <w:rsid w:val="000D7588"/>
    <w:rsid w:val="000E023D"/>
    <w:rsid w:val="000E13C9"/>
    <w:rsid w:val="000E391A"/>
    <w:rsid w:val="000E48A4"/>
    <w:rsid w:val="000F4A90"/>
    <w:rsid w:val="000F637C"/>
    <w:rsid w:val="000F67B3"/>
    <w:rsid w:val="00102299"/>
    <w:rsid w:val="0010382B"/>
    <w:rsid w:val="00104BD9"/>
    <w:rsid w:val="00115213"/>
    <w:rsid w:val="0011560E"/>
    <w:rsid w:val="00121067"/>
    <w:rsid w:val="001236E8"/>
    <w:rsid w:val="001247DB"/>
    <w:rsid w:val="00126035"/>
    <w:rsid w:val="00127806"/>
    <w:rsid w:val="001326F2"/>
    <w:rsid w:val="00133891"/>
    <w:rsid w:val="00134AA0"/>
    <w:rsid w:val="00134F64"/>
    <w:rsid w:val="0013722F"/>
    <w:rsid w:val="00137810"/>
    <w:rsid w:val="00137978"/>
    <w:rsid w:val="00140C26"/>
    <w:rsid w:val="001441EB"/>
    <w:rsid w:val="0014442C"/>
    <w:rsid w:val="00144CF4"/>
    <w:rsid w:val="001456B0"/>
    <w:rsid w:val="001473D5"/>
    <w:rsid w:val="00151760"/>
    <w:rsid w:val="00153644"/>
    <w:rsid w:val="001554C6"/>
    <w:rsid w:val="001572E2"/>
    <w:rsid w:val="00157B87"/>
    <w:rsid w:val="00157BA2"/>
    <w:rsid w:val="00164303"/>
    <w:rsid w:val="0016468B"/>
    <w:rsid w:val="00173564"/>
    <w:rsid w:val="0017505E"/>
    <w:rsid w:val="001775A8"/>
    <w:rsid w:val="00180D77"/>
    <w:rsid w:val="001829A4"/>
    <w:rsid w:val="00182B60"/>
    <w:rsid w:val="0018485A"/>
    <w:rsid w:val="001859D8"/>
    <w:rsid w:val="001871A5"/>
    <w:rsid w:val="00191C13"/>
    <w:rsid w:val="00191D59"/>
    <w:rsid w:val="001922D2"/>
    <w:rsid w:val="00192906"/>
    <w:rsid w:val="001929D0"/>
    <w:rsid w:val="00193829"/>
    <w:rsid w:val="001948B5"/>
    <w:rsid w:val="00195BC2"/>
    <w:rsid w:val="001969F4"/>
    <w:rsid w:val="001A077B"/>
    <w:rsid w:val="001A2B19"/>
    <w:rsid w:val="001A3050"/>
    <w:rsid w:val="001A4B9D"/>
    <w:rsid w:val="001B3936"/>
    <w:rsid w:val="001B42B8"/>
    <w:rsid w:val="001B4CBD"/>
    <w:rsid w:val="001B69E1"/>
    <w:rsid w:val="001B73A5"/>
    <w:rsid w:val="001C08FE"/>
    <w:rsid w:val="001C1299"/>
    <w:rsid w:val="001C5950"/>
    <w:rsid w:val="001D080E"/>
    <w:rsid w:val="001E3220"/>
    <w:rsid w:val="001F0C8B"/>
    <w:rsid w:val="001F177E"/>
    <w:rsid w:val="001F1B0F"/>
    <w:rsid w:val="001F1E26"/>
    <w:rsid w:val="001F20C5"/>
    <w:rsid w:val="001F3040"/>
    <w:rsid w:val="001F426F"/>
    <w:rsid w:val="001F6129"/>
    <w:rsid w:val="001F7E2B"/>
    <w:rsid w:val="00200BD8"/>
    <w:rsid w:val="00201410"/>
    <w:rsid w:val="00201833"/>
    <w:rsid w:val="00204CB9"/>
    <w:rsid w:val="00206AC6"/>
    <w:rsid w:val="00206F03"/>
    <w:rsid w:val="00210609"/>
    <w:rsid w:val="002134A9"/>
    <w:rsid w:val="00215052"/>
    <w:rsid w:val="002156A5"/>
    <w:rsid w:val="0021570E"/>
    <w:rsid w:val="00216C42"/>
    <w:rsid w:val="00217C93"/>
    <w:rsid w:val="002226D0"/>
    <w:rsid w:val="00225BAF"/>
    <w:rsid w:val="00227B3B"/>
    <w:rsid w:val="00233DF6"/>
    <w:rsid w:val="0023419A"/>
    <w:rsid w:val="00235888"/>
    <w:rsid w:val="0023759D"/>
    <w:rsid w:val="00247AB5"/>
    <w:rsid w:val="002531BA"/>
    <w:rsid w:val="0026125C"/>
    <w:rsid w:val="002652E8"/>
    <w:rsid w:val="0026782A"/>
    <w:rsid w:val="00267F99"/>
    <w:rsid w:val="00276D5F"/>
    <w:rsid w:val="00283F92"/>
    <w:rsid w:val="00284DA9"/>
    <w:rsid w:val="00284E1F"/>
    <w:rsid w:val="00284F3F"/>
    <w:rsid w:val="00285EC9"/>
    <w:rsid w:val="00286B76"/>
    <w:rsid w:val="00287513"/>
    <w:rsid w:val="00295307"/>
    <w:rsid w:val="0029559C"/>
    <w:rsid w:val="00296582"/>
    <w:rsid w:val="002974DF"/>
    <w:rsid w:val="002A1FCB"/>
    <w:rsid w:val="002B0606"/>
    <w:rsid w:val="002B0C2A"/>
    <w:rsid w:val="002B16CC"/>
    <w:rsid w:val="002B2C25"/>
    <w:rsid w:val="002B43D7"/>
    <w:rsid w:val="002B69B7"/>
    <w:rsid w:val="002B6D39"/>
    <w:rsid w:val="002B70C9"/>
    <w:rsid w:val="002C34E8"/>
    <w:rsid w:val="002C4751"/>
    <w:rsid w:val="002D04EB"/>
    <w:rsid w:val="002D3BB0"/>
    <w:rsid w:val="002D43A3"/>
    <w:rsid w:val="002E072A"/>
    <w:rsid w:val="002E38E9"/>
    <w:rsid w:val="002F01B6"/>
    <w:rsid w:val="002F5610"/>
    <w:rsid w:val="002F5A7C"/>
    <w:rsid w:val="002F6A1B"/>
    <w:rsid w:val="0030049C"/>
    <w:rsid w:val="003007CA"/>
    <w:rsid w:val="00307619"/>
    <w:rsid w:val="00311545"/>
    <w:rsid w:val="00312E3D"/>
    <w:rsid w:val="00312E44"/>
    <w:rsid w:val="00323704"/>
    <w:rsid w:val="00330D30"/>
    <w:rsid w:val="0033113A"/>
    <w:rsid w:val="0033408A"/>
    <w:rsid w:val="00340E14"/>
    <w:rsid w:val="00343234"/>
    <w:rsid w:val="00345566"/>
    <w:rsid w:val="00353B6B"/>
    <w:rsid w:val="003551F9"/>
    <w:rsid w:val="00355838"/>
    <w:rsid w:val="00356265"/>
    <w:rsid w:val="00361BDC"/>
    <w:rsid w:val="00362811"/>
    <w:rsid w:val="00363F21"/>
    <w:rsid w:val="003660F9"/>
    <w:rsid w:val="00370C71"/>
    <w:rsid w:val="00374AF5"/>
    <w:rsid w:val="00375713"/>
    <w:rsid w:val="00377AEB"/>
    <w:rsid w:val="00382615"/>
    <w:rsid w:val="00385D88"/>
    <w:rsid w:val="00386A4C"/>
    <w:rsid w:val="00390E43"/>
    <w:rsid w:val="003922ED"/>
    <w:rsid w:val="00392B7C"/>
    <w:rsid w:val="003952FD"/>
    <w:rsid w:val="003A0D0F"/>
    <w:rsid w:val="003A1466"/>
    <w:rsid w:val="003A30BC"/>
    <w:rsid w:val="003A5D0C"/>
    <w:rsid w:val="003A7B22"/>
    <w:rsid w:val="003B2D3F"/>
    <w:rsid w:val="003B331B"/>
    <w:rsid w:val="003B3567"/>
    <w:rsid w:val="003B3F16"/>
    <w:rsid w:val="003B53E3"/>
    <w:rsid w:val="003B69E7"/>
    <w:rsid w:val="003B77E4"/>
    <w:rsid w:val="003C0AA3"/>
    <w:rsid w:val="003C4050"/>
    <w:rsid w:val="003C5834"/>
    <w:rsid w:val="003C5EA2"/>
    <w:rsid w:val="003C6511"/>
    <w:rsid w:val="003C7CCB"/>
    <w:rsid w:val="003D0FF6"/>
    <w:rsid w:val="003D11B2"/>
    <w:rsid w:val="003D13FE"/>
    <w:rsid w:val="003D24E8"/>
    <w:rsid w:val="003D3ED2"/>
    <w:rsid w:val="003D6569"/>
    <w:rsid w:val="003E1DCE"/>
    <w:rsid w:val="003E2DB6"/>
    <w:rsid w:val="003F036C"/>
    <w:rsid w:val="003F04F2"/>
    <w:rsid w:val="003F0A96"/>
    <w:rsid w:val="003F2817"/>
    <w:rsid w:val="003F4D51"/>
    <w:rsid w:val="00415368"/>
    <w:rsid w:val="004158E2"/>
    <w:rsid w:val="00416052"/>
    <w:rsid w:val="00416A6F"/>
    <w:rsid w:val="00416D10"/>
    <w:rsid w:val="00416E43"/>
    <w:rsid w:val="004175A3"/>
    <w:rsid w:val="00420F31"/>
    <w:rsid w:val="00421258"/>
    <w:rsid w:val="00422F66"/>
    <w:rsid w:val="0042444E"/>
    <w:rsid w:val="004247EC"/>
    <w:rsid w:val="00424D88"/>
    <w:rsid w:val="004250FB"/>
    <w:rsid w:val="00426DDD"/>
    <w:rsid w:val="00430EF4"/>
    <w:rsid w:val="00431F3C"/>
    <w:rsid w:val="00432703"/>
    <w:rsid w:val="0043272B"/>
    <w:rsid w:val="00433ED1"/>
    <w:rsid w:val="00434C97"/>
    <w:rsid w:val="004357D8"/>
    <w:rsid w:val="00436B04"/>
    <w:rsid w:val="004402A2"/>
    <w:rsid w:val="004432F4"/>
    <w:rsid w:val="00453B91"/>
    <w:rsid w:val="00453BE4"/>
    <w:rsid w:val="0045612E"/>
    <w:rsid w:val="00456EBE"/>
    <w:rsid w:val="00457512"/>
    <w:rsid w:val="004578B8"/>
    <w:rsid w:val="00464583"/>
    <w:rsid w:val="00465DC0"/>
    <w:rsid w:val="004769FD"/>
    <w:rsid w:val="00476B50"/>
    <w:rsid w:val="00482A4D"/>
    <w:rsid w:val="004832DE"/>
    <w:rsid w:val="0048467F"/>
    <w:rsid w:val="004876AA"/>
    <w:rsid w:val="004925AD"/>
    <w:rsid w:val="00493162"/>
    <w:rsid w:val="00494014"/>
    <w:rsid w:val="0049782A"/>
    <w:rsid w:val="004A14FC"/>
    <w:rsid w:val="004A1F98"/>
    <w:rsid w:val="004A213C"/>
    <w:rsid w:val="004A3758"/>
    <w:rsid w:val="004A714A"/>
    <w:rsid w:val="004A73D4"/>
    <w:rsid w:val="004B0B24"/>
    <w:rsid w:val="004B183F"/>
    <w:rsid w:val="004B489D"/>
    <w:rsid w:val="004B5678"/>
    <w:rsid w:val="004C1487"/>
    <w:rsid w:val="004C47FE"/>
    <w:rsid w:val="004C6C6D"/>
    <w:rsid w:val="004C73F9"/>
    <w:rsid w:val="004C79A5"/>
    <w:rsid w:val="004C7A17"/>
    <w:rsid w:val="004D1327"/>
    <w:rsid w:val="004D3F06"/>
    <w:rsid w:val="004D5095"/>
    <w:rsid w:val="004D6E5B"/>
    <w:rsid w:val="004D764C"/>
    <w:rsid w:val="004E54B3"/>
    <w:rsid w:val="004E5FC6"/>
    <w:rsid w:val="004F0D32"/>
    <w:rsid w:val="004F2BE8"/>
    <w:rsid w:val="004F493D"/>
    <w:rsid w:val="004F55A1"/>
    <w:rsid w:val="00501341"/>
    <w:rsid w:val="005055B7"/>
    <w:rsid w:val="00506A2E"/>
    <w:rsid w:val="005100A6"/>
    <w:rsid w:val="00513A51"/>
    <w:rsid w:val="00513FE8"/>
    <w:rsid w:val="005142C6"/>
    <w:rsid w:val="00515D9B"/>
    <w:rsid w:val="00516D4E"/>
    <w:rsid w:val="005212E5"/>
    <w:rsid w:val="00523617"/>
    <w:rsid w:val="00535A8C"/>
    <w:rsid w:val="00536860"/>
    <w:rsid w:val="00543EC9"/>
    <w:rsid w:val="0054476C"/>
    <w:rsid w:val="00544D28"/>
    <w:rsid w:val="005458BE"/>
    <w:rsid w:val="00546A6F"/>
    <w:rsid w:val="0055009F"/>
    <w:rsid w:val="00550362"/>
    <w:rsid w:val="005569C7"/>
    <w:rsid w:val="00561012"/>
    <w:rsid w:val="00562698"/>
    <w:rsid w:val="00563507"/>
    <w:rsid w:val="00567529"/>
    <w:rsid w:val="005675DF"/>
    <w:rsid w:val="00567F42"/>
    <w:rsid w:val="00570754"/>
    <w:rsid w:val="0057224B"/>
    <w:rsid w:val="00575AC2"/>
    <w:rsid w:val="0057737E"/>
    <w:rsid w:val="005775A5"/>
    <w:rsid w:val="00580A8C"/>
    <w:rsid w:val="00580BEF"/>
    <w:rsid w:val="00582B8E"/>
    <w:rsid w:val="00583783"/>
    <w:rsid w:val="00584978"/>
    <w:rsid w:val="00587793"/>
    <w:rsid w:val="005960FB"/>
    <w:rsid w:val="005C1608"/>
    <w:rsid w:val="005C3A20"/>
    <w:rsid w:val="005C65AC"/>
    <w:rsid w:val="005C7285"/>
    <w:rsid w:val="005C7D64"/>
    <w:rsid w:val="005D0A5F"/>
    <w:rsid w:val="005E010E"/>
    <w:rsid w:val="005E34CB"/>
    <w:rsid w:val="005E3D0C"/>
    <w:rsid w:val="005E6D6D"/>
    <w:rsid w:val="005E70F9"/>
    <w:rsid w:val="005E74E6"/>
    <w:rsid w:val="005F1116"/>
    <w:rsid w:val="005F6AFA"/>
    <w:rsid w:val="006023AE"/>
    <w:rsid w:val="006059E5"/>
    <w:rsid w:val="00614F5A"/>
    <w:rsid w:val="00615E91"/>
    <w:rsid w:val="00616496"/>
    <w:rsid w:val="00617778"/>
    <w:rsid w:val="00623051"/>
    <w:rsid w:val="006249E1"/>
    <w:rsid w:val="00626F85"/>
    <w:rsid w:val="0063055A"/>
    <w:rsid w:val="00633266"/>
    <w:rsid w:val="00634F9C"/>
    <w:rsid w:val="0064039F"/>
    <w:rsid w:val="00640626"/>
    <w:rsid w:val="00643148"/>
    <w:rsid w:val="00643FFF"/>
    <w:rsid w:val="00645CAF"/>
    <w:rsid w:val="00646512"/>
    <w:rsid w:val="00646DC9"/>
    <w:rsid w:val="00647AFB"/>
    <w:rsid w:val="006607F0"/>
    <w:rsid w:val="00661100"/>
    <w:rsid w:val="00661875"/>
    <w:rsid w:val="006641E8"/>
    <w:rsid w:val="00665524"/>
    <w:rsid w:val="00666222"/>
    <w:rsid w:val="006722C4"/>
    <w:rsid w:val="0067247D"/>
    <w:rsid w:val="00676C0C"/>
    <w:rsid w:val="00677CAA"/>
    <w:rsid w:val="00686510"/>
    <w:rsid w:val="00690769"/>
    <w:rsid w:val="006927E5"/>
    <w:rsid w:val="00692FF7"/>
    <w:rsid w:val="00693CDC"/>
    <w:rsid w:val="00695DE3"/>
    <w:rsid w:val="00695F75"/>
    <w:rsid w:val="00696A06"/>
    <w:rsid w:val="006A1E02"/>
    <w:rsid w:val="006A2EB5"/>
    <w:rsid w:val="006A6AFA"/>
    <w:rsid w:val="006A7BD3"/>
    <w:rsid w:val="006B0651"/>
    <w:rsid w:val="006B6AA1"/>
    <w:rsid w:val="006B6E05"/>
    <w:rsid w:val="006B74CD"/>
    <w:rsid w:val="006C0242"/>
    <w:rsid w:val="006C03B5"/>
    <w:rsid w:val="006C26C6"/>
    <w:rsid w:val="006C47F8"/>
    <w:rsid w:val="006C5D2F"/>
    <w:rsid w:val="006D0699"/>
    <w:rsid w:val="006D364C"/>
    <w:rsid w:val="006D4114"/>
    <w:rsid w:val="006D4EBD"/>
    <w:rsid w:val="006D58AF"/>
    <w:rsid w:val="006D7490"/>
    <w:rsid w:val="006E7E61"/>
    <w:rsid w:val="006F6110"/>
    <w:rsid w:val="00700E3E"/>
    <w:rsid w:val="00702652"/>
    <w:rsid w:val="007041EB"/>
    <w:rsid w:val="00704663"/>
    <w:rsid w:val="00704A33"/>
    <w:rsid w:val="007110F1"/>
    <w:rsid w:val="00711EA2"/>
    <w:rsid w:val="0071272D"/>
    <w:rsid w:val="00712F89"/>
    <w:rsid w:val="00714299"/>
    <w:rsid w:val="0071601C"/>
    <w:rsid w:val="0071778F"/>
    <w:rsid w:val="00717DDA"/>
    <w:rsid w:val="00725CED"/>
    <w:rsid w:val="00726A70"/>
    <w:rsid w:val="00726D03"/>
    <w:rsid w:val="00731950"/>
    <w:rsid w:val="00735D7C"/>
    <w:rsid w:val="007367E9"/>
    <w:rsid w:val="00747AFF"/>
    <w:rsid w:val="0075012D"/>
    <w:rsid w:val="0075075D"/>
    <w:rsid w:val="00752CBF"/>
    <w:rsid w:val="00754B32"/>
    <w:rsid w:val="0076194A"/>
    <w:rsid w:val="007659FF"/>
    <w:rsid w:val="00767BDB"/>
    <w:rsid w:val="00770C24"/>
    <w:rsid w:val="0077163E"/>
    <w:rsid w:val="007765C3"/>
    <w:rsid w:val="0078030B"/>
    <w:rsid w:val="007803D8"/>
    <w:rsid w:val="00780429"/>
    <w:rsid w:val="00787937"/>
    <w:rsid w:val="0079436C"/>
    <w:rsid w:val="007943A5"/>
    <w:rsid w:val="007975AD"/>
    <w:rsid w:val="007A08DD"/>
    <w:rsid w:val="007A381B"/>
    <w:rsid w:val="007A4DBA"/>
    <w:rsid w:val="007A5929"/>
    <w:rsid w:val="007B2CE4"/>
    <w:rsid w:val="007B47BF"/>
    <w:rsid w:val="007B5998"/>
    <w:rsid w:val="007B6E34"/>
    <w:rsid w:val="007C4BC7"/>
    <w:rsid w:val="007C6490"/>
    <w:rsid w:val="007C64FF"/>
    <w:rsid w:val="007D0A9B"/>
    <w:rsid w:val="007D16DE"/>
    <w:rsid w:val="007D275E"/>
    <w:rsid w:val="007D3F9F"/>
    <w:rsid w:val="007D57AA"/>
    <w:rsid w:val="007D6233"/>
    <w:rsid w:val="007E5502"/>
    <w:rsid w:val="007E6D09"/>
    <w:rsid w:val="007E7CDA"/>
    <w:rsid w:val="007E7FC4"/>
    <w:rsid w:val="007F2650"/>
    <w:rsid w:val="007F3A8E"/>
    <w:rsid w:val="0080110D"/>
    <w:rsid w:val="008018DA"/>
    <w:rsid w:val="00802156"/>
    <w:rsid w:val="00803657"/>
    <w:rsid w:val="008042C8"/>
    <w:rsid w:val="00806BBC"/>
    <w:rsid w:val="0080773F"/>
    <w:rsid w:val="00807D3E"/>
    <w:rsid w:val="0081019D"/>
    <w:rsid w:val="008110AE"/>
    <w:rsid w:val="008150DC"/>
    <w:rsid w:val="00816581"/>
    <w:rsid w:val="00816751"/>
    <w:rsid w:val="00817BD8"/>
    <w:rsid w:val="00822D7A"/>
    <w:rsid w:val="008249BC"/>
    <w:rsid w:val="008254EE"/>
    <w:rsid w:val="008312BC"/>
    <w:rsid w:val="0083393B"/>
    <w:rsid w:val="00833B9C"/>
    <w:rsid w:val="008431BF"/>
    <w:rsid w:val="0084343A"/>
    <w:rsid w:val="0084766D"/>
    <w:rsid w:val="008523AB"/>
    <w:rsid w:val="00853072"/>
    <w:rsid w:val="00854454"/>
    <w:rsid w:val="00854557"/>
    <w:rsid w:val="00854B5B"/>
    <w:rsid w:val="00856B90"/>
    <w:rsid w:val="00863B09"/>
    <w:rsid w:val="0086483F"/>
    <w:rsid w:val="008669CD"/>
    <w:rsid w:val="0087125A"/>
    <w:rsid w:val="00874781"/>
    <w:rsid w:val="0087485A"/>
    <w:rsid w:val="00876EA6"/>
    <w:rsid w:val="00880710"/>
    <w:rsid w:val="00880AF7"/>
    <w:rsid w:val="00882284"/>
    <w:rsid w:val="0088229B"/>
    <w:rsid w:val="00882DDE"/>
    <w:rsid w:val="00883601"/>
    <w:rsid w:val="008847DC"/>
    <w:rsid w:val="00886A70"/>
    <w:rsid w:val="00886C2A"/>
    <w:rsid w:val="00893399"/>
    <w:rsid w:val="008945CC"/>
    <w:rsid w:val="008955C4"/>
    <w:rsid w:val="00895E98"/>
    <w:rsid w:val="00896C47"/>
    <w:rsid w:val="008A073A"/>
    <w:rsid w:val="008A46EA"/>
    <w:rsid w:val="008A6783"/>
    <w:rsid w:val="008B1B48"/>
    <w:rsid w:val="008C0E88"/>
    <w:rsid w:val="008C35C4"/>
    <w:rsid w:val="008C5296"/>
    <w:rsid w:val="008C6939"/>
    <w:rsid w:val="008D080C"/>
    <w:rsid w:val="008D0E92"/>
    <w:rsid w:val="008D1D9B"/>
    <w:rsid w:val="008D5511"/>
    <w:rsid w:val="008D6431"/>
    <w:rsid w:val="008D7E5C"/>
    <w:rsid w:val="008E4D32"/>
    <w:rsid w:val="008E6820"/>
    <w:rsid w:val="008F0269"/>
    <w:rsid w:val="008F6D6D"/>
    <w:rsid w:val="008F7704"/>
    <w:rsid w:val="008F784E"/>
    <w:rsid w:val="00900563"/>
    <w:rsid w:val="00900ECA"/>
    <w:rsid w:val="009107DB"/>
    <w:rsid w:val="009110DD"/>
    <w:rsid w:val="00911D6C"/>
    <w:rsid w:val="009161EE"/>
    <w:rsid w:val="00923BCE"/>
    <w:rsid w:val="00924637"/>
    <w:rsid w:val="00926D74"/>
    <w:rsid w:val="00932065"/>
    <w:rsid w:val="00935194"/>
    <w:rsid w:val="00942FDC"/>
    <w:rsid w:val="009469BB"/>
    <w:rsid w:val="009513B1"/>
    <w:rsid w:val="00951AC2"/>
    <w:rsid w:val="00952381"/>
    <w:rsid w:val="00954B24"/>
    <w:rsid w:val="00956178"/>
    <w:rsid w:val="009561E1"/>
    <w:rsid w:val="00963C86"/>
    <w:rsid w:val="009701C9"/>
    <w:rsid w:val="00971A73"/>
    <w:rsid w:val="0097399D"/>
    <w:rsid w:val="00980DE1"/>
    <w:rsid w:val="00985202"/>
    <w:rsid w:val="00992459"/>
    <w:rsid w:val="009938E8"/>
    <w:rsid w:val="00993AAC"/>
    <w:rsid w:val="00993FD0"/>
    <w:rsid w:val="0099541E"/>
    <w:rsid w:val="009A341E"/>
    <w:rsid w:val="009A35CB"/>
    <w:rsid w:val="009A6AC7"/>
    <w:rsid w:val="009B5A11"/>
    <w:rsid w:val="009B6499"/>
    <w:rsid w:val="009C06C3"/>
    <w:rsid w:val="009C13C4"/>
    <w:rsid w:val="009C2439"/>
    <w:rsid w:val="009C3FED"/>
    <w:rsid w:val="009C4990"/>
    <w:rsid w:val="009C61DA"/>
    <w:rsid w:val="009C7B2D"/>
    <w:rsid w:val="009D1220"/>
    <w:rsid w:val="009D2099"/>
    <w:rsid w:val="009D2972"/>
    <w:rsid w:val="009D3EE3"/>
    <w:rsid w:val="009E275B"/>
    <w:rsid w:val="009E66A2"/>
    <w:rsid w:val="009E6884"/>
    <w:rsid w:val="009F0DCB"/>
    <w:rsid w:val="009F0EB0"/>
    <w:rsid w:val="009F2630"/>
    <w:rsid w:val="009F3840"/>
    <w:rsid w:val="009F6C7D"/>
    <w:rsid w:val="00A038C9"/>
    <w:rsid w:val="00A03DD9"/>
    <w:rsid w:val="00A15341"/>
    <w:rsid w:val="00A178A8"/>
    <w:rsid w:val="00A214BE"/>
    <w:rsid w:val="00A22F58"/>
    <w:rsid w:val="00A2508A"/>
    <w:rsid w:val="00A30514"/>
    <w:rsid w:val="00A31C5A"/>
    <w:rsid w:val="00A42214"/>
    <w:rsid w:val="00A4229F"/>
    <w:rsid w:val="00A43C29"/>
    <w:rsid w:val="00A50649"/>
    <w:rsid w:val="00A526A9"/>
    <w:rsid w:val="00A54C86"/>
    <w:rsid w:val="00A57A49"/>
    <w:rsid w:val="00A57E56"/>
    <w:rsid w:val="00A600CC"/>
    <w:rsid w:val="00A61650"/>
    <w:rsid w:val="00A64919"/>
    <w:rsid w:val="00A65FDC"/>
    <w:rsid w:val="00A66135"/>
    <w:rsid w:val="00A67B38"/>
    <w:rsid w:val="00A732D0"/>
    <w:rsid w:val="00A7341F"/>
    <w:rsid w:val="00A73F56"/>
    <w:rsid w:val="00A8112C"/>
    <w:rsid w:val="00A84CB7"/>
    <w:rsid w:val="00A878E2"/>
    <w:rsid w:val="00A934E7"/>
    <w:rsid w:val="00A94B62"/>
    <w:rsid w:val="00A976F5"/>
    <w:rsid w:val="00A97B36"/>
    <w:rsid w:val="00AA2024"/>
    <w:rsid w:val="00AA26ED"/>
    <w:rsid w:val="00AA69F4"/>
    <w:rsid w:val="00AA6A03"/>
    <w:rsid w:val="00AA6F01"/>
    <w:rsid w:val="00AA79A0"/>
    <w:rsid w:val="00AB3875"/>
    <w:rsid w:val="00AB3BBC"/>
    <w:rsid w:val="00AB4FA8"/>
    <w:rsid w:val="00AB6A9F"/>
    <w:rsid w:val="00AB6E89"/>
    <w:rsid w:val="00AC0E7B"/>
    <w:rsid w:val="00AC1F15"/>
    <w:rsid w:val="00AC473B"/>
    <w:rsid w:val="00AC491C"/>
    <w:rsid w:val="00AC6180"/>
    <w:rsid w:val="00AC6E48"/>
    <w:rsid w:val="00AD1664"/>
    <w:rsid w:val="00AD1908"/>
    <w:rsid w:val="00AD2BDB"/>
    <w:rsid w:val="00AD30A3"/>
    <w:rsid w:val="00AD56C9"/>
    <w:rsid w:val="00AD7252"/>
    <w:rsid w:val="00AE1E72"/>
    <w:rsid w:val="00AE41E9"/>
    <w:rsid w:val="00AE4D6D"/>
    <w:rsid w:val="00AF213C"/>
    <w:rsid w:val="00AF6476"/>
    <w:rsid w:val="00AF6D18"/>
    <w:rsid w:val="00AF7356"/>
    <w:rsid w:val="00B007F9"/>
    <w:rsid w:val="00B03142"/>
    <w:rsid w:val="00B10673"/>
    <w:rsid w:val="00B10FEA"/>
    <w:rsid w:val="00B1445D"/>
    <w:rsid w:val="00B145F7"/>
    <w:rsid w:val="00B14B06"/>
    <w:rsid w:val="00B1509E"/>
    <w:rsid w:val="00B170B2"/>
    <w:rsid w:val="00B21576"/>
    <w:rsid w:val="00B246A1"/>
    <w:rsid w:val="00B35371"/>
    <w:rsid w:val="00B407D7"/>
    <w:rsid w:val="00B408DC"/>
    <w:rsid w:val="00B423F5"/>
    <w:rsid w:val="00B43057"/>
    <w:rsid w:val="00B50778"/>
    <w:rsid w:val="00B50C7F"/>
    <w:rsid w:val="00B52D0D"/>
    <w:rsid w:val="00B52D92"/>
    <w:rsid w:val="00B602A0"/>
    <w:rsid w:val="00B61639"/>
    <w:rsid w:val="00B62CB5"/>
    <w:rsid w:val="00B6627B"/>
    <w:rsid w:val="00B67B3B"/>
    <w:rsid w:val="00B703A0"/>
    <w:rsid w:val="00B711D4"/>
    <w:rsid w:val="00B71820"/>
    <w:rsid w:val="00B71A6C"/>
    <w:rsid w:val="00B732AB"/>
    <w:rsid w:val="00B74F6F"/>
    <w:rsid w:val="00B764AD"/>
    <w:rsid w:val="00B80A48"/>
    <w:rsid w:val="00B81298"/>
    <w:rsid w:val="00B81B01"/>
    <w:rsid w:val="00B830D8"/>
    <w:rsid w:val="00B83EE2"/>
    <w:rsid w:val="00B84633"/>
    <w:rsid w:val="00B87785"/>
    <w:rsid w:val="00B90D7D"/>
    <w:rsid w:val="00B91651"/>
    <w:rsid w:val="00B923D2"/>
    <w:rsid w:val="00B9347F"/>
    <w:rsid w:val="00B96692"/>
    <w:rsid w:val="00BA17AA"/>
    <w:rsid w:val="00BA729B"/>
    <w:rsid w:val="00BA775D"/>
    <w:rsid w:val="00BB2C00"/>
    <w:rsid w:val="00BB42B3"/>
    <w:rsid w:val="00BB64D4"/>
    <w:rsid w:val="00BC10B1"/>
    <w:rsid w:val="00BC1CED"/>
    <w:rsid w:val="00BC53B2"/>
    <w:rsid w:val="00BC704B"/>
    <w:rsid w:val="00BD3DEA"/>
    <w:rsid w:val="00BD465E"/>
    <w:rsid w:val="00BD5313"/>
    <w:rsid w:val="00BD535E"/>
    <w:rsid w:val="00BD6329"/>
    <w:rsid w:val="00BD73AC"/>
    <w:rsid w:val="00BE0205"/>
    <w:rsid w:val="00BE1CDA"/>
    <w:rsid w:val="00BE2530"/>
    <w:rsid w:val="00BE58CF"/>
    <w:rsid w:val="00BE6A02"/>
    <w:rsid w:val="00BF0CD9"/>
    <w:rsid w:val="00BF372D"/>
    <w:rsid w:val="00BF4658"/>
    <w:rsid w:val="00BF4C65"/>
    <w:rsid w:val="00C00683"/>
    <w:rsid w:val="00C02626"/>
    <w:rsid w:val="00C050DE"/>
    <w:rsid w:val="00C053A0"/>
    <w:rsid w:val="00C1086A"/>
    <w:rsid w:val="00C11F77"/>
    <w:rsid w:val="00C12631"/>
    <w:rsid w:val="00C16C15"/>
    <w:rsid w:val="00C17D57"/>
    <w:rsid w:val="00C24583"/>
    <w:rsid w:val="00C26EEC"/>
    <w:rsid w:val="00C312D0"/>
    <w:rsid w:val="00C3204C"/>
    <w:rsid w:val="00C36F61"/>
    <w:rsid w:val="00C37E1E"/>
    <w:rsid w:val="00C41517"/>
    <w:rsid w:val="00C44231"/>
    <w:rsid w:val="00C46594"/>
    <w:rsid w:val="00C468F4"/>
    <w:rsid w:val="00C47573"/>
    <w:rsid w:val="00C5174D"/>
    <w:rsid w:val="00C51B5D"/>
    <w:rsid w:val="00C52843"/>
    <w:rsid w:val="00C578DE"/>
    <w:rsid w:val="00C67545"/>
    <w:rsid w:val="00C709A6"/>
    <w:rsid w:val="00C730C4"/>
    <w:rsid w:val="00C77830"/>
    <w:rsid w:val="00C80301"/>
    <w:rsid w:val="00C942D5"/>
    <w:rsid w:val="00C96081"/>
    <w:rsid w:val="00C960EE"/>
    <w:rsid w:val="00CA0588"/>
    <w:rsid w:val="00CA1FD1"/>
    <w:rsid w:val="00CA3B0A"/>
    <w:rsid w:val="00CA51DD"/>
    <w:rsid w:val="00CA5277"/>
    <w:rsid w:val="00CB041E"/>
    <w:rsid w:val="00CB2605"/>
    <w:rsid w:val="00CB7A19"/>
    <w:rsid w:val="00CC58A3"/>
    <w:rsid w:val="00CD2BF1"/>
    <w:rsid w:val="00CD5105"/>
    <w:rsid w:val="00CD641B"/>
    <w:rsid w:val="00CE13CC"/>
    <w:rsid w:val="00CE14AC"/>
    <w:rsid w:val="00CE192F"/>
    <w:rsid w:val="00CE3C73"/>
    <w:rsid w:val="00CE62BA"/>
    <w:rsid w:val="00CE7092"/>
    <w:rsid w:val="00CF2317"/>
    <w:rsid w:val="00CF5B08"/>
    <w:rsid w:val="00CF5C94"/>
    <w:rsid w:val="00CF6B56"/>
    <w:rsid w:val="00CF6BF7"/>
    <w:rsid w:val="00CF7181"/>
    <w:rsid w:val="00D008A1"/>
    <w:rsid w:val="00D01674"/>
    <w:rsid w:val="00D02ED9"/>
    <w:rsid w:val="00D045CE"/>
    <w:rsid w:val="00D11F5F"/>
    <w:rsid w:val="00D12435"/>
    <w:rsid w:val="00D144BE"/>
    <w:rsid w:val="00D20F84"/>
    <w:rsid w:val="00D222E1"/>
    <w:rsid w:val="00D235FF"/>
    <w:rsid w:val="00D23FB1"/>
    <w:rsid w:val="00D241D1"/>
    <w:rsid w:val="00D24D28"/>
    <w:rsid w:val="00D319D9"/>
    <w:rsid w:val="00D325D3"/>
    <w:rsid w:val="00D339A7"/>
    <w:rsid w:val="00D34E39"/>
    <w:rsid w:val="00D35BA5"/>
    <w:rsid w:val="00D36A0D"/>
    <w:rsid w:val="00D40058"/>
    <w:rsid w:val="00D418B8"/>
    <w:rsid w:val="00D438E3"/>
    <w:rsid w:val="00D44FDF"/>
    <w:rsid w:val="00D547EE"/>
    <w:rsid w:val="00D607A0"/>
    <w:rsid w:val="00D60CDA"/>
    <w:rsid w:val="00D614CA"/>
    <w:rsid w:val="00D6389D"/>
    <w:rsid w:val="00D65C12"/>
    <w:rsid w:val="00D662EF"/>
    <w:rsid w:val="00D66AEF"/>
    <w:rsid w:val="00D71549"/>
    <w:rsid w:val="00D7324E"/>
    <w:rsid w:val="00D82678"/>
    <w:rsid w:val="00D8660A"/>
    <w:rsid w:val="00D91B12"/>
    <w:rsid w:val="00D96A09"/>
    <w:rsid w:val="00DA3AD5"/>
    <w:rsid w:val="00DA595B"/>
    <w:rsid w:val="00DA6B3D"/>
    <w:rsid w:val="00DB0564"/>
    <w:rsid w:val="00DB1087"/>
    <w:rsid w:val="00DB1F13"/>
    <w:rsid w:val="00DB212E"/>
    <w:rsid w:val="00DB48D0"/>
    <w:rsid w:val="00DB4904"/>
    <w:rsid w:val="00DB50D2"/>
    <w:rsid w:val="00DB7A33"/>
    <w:rsid w:val="00DC01EA"/>
    <w:rsid w:val="00DC13E6"/>
    <w:rsid w:val="00DC6A80"/>
    <w:rsid w:val="00DC797E"/>
    <w:rsid w:val="00DD765B"/>
    <w:rsid w:val="00DE2833"/>
    <w:rsid w:val="00DF25CC"/>
    <w:rsid w:val="00DF6E2E"/>
    <w:rsid w:val="00E00484"/>
    <w:rsid w:val="00E010F0"/>
    <w:rsid w:val="00E02CA8"/>
    <w:rsid w:val="00E0651B"/>
    <w:rsid w:val="00E0736D"/>
    <w:rsid w:val="00E10552"/>
    <w:rsid w:val="00E12FC2"/>
    <w:rsid w:val="00E14005"/>
    <w:rsid w:val="00E21139"/>
    <w:rsid w:val="00E23CDE"/>
    <w:rsid w:val="00E24075"/>
    <w:rsid w:val="00E24F48"/>
    <w:rsid w:val="00E25A47"/>
    <w:rsid w:val="00E27167"/>
    <w:rsid w:val="00E27780"/>
    <w:rsid w:val="00E33056"/>
    <w:rsid w:val="00E33BC7"/>
    <w:rsid w:val="00E35A11"/>
    <w:rsid w:val="00E43363"/>
    <w:rsid w:val="00E43BF0"/>
    <w:rsid w:val="00E43E12"/>
    <w:rsid w:val="00E4637C"/>
    <w:rsid w:val="00E52B44"/>
    <w:rsid w:val="00E55489"/>
    <w:rsid w:val="00E55C50"/>
    <w:rsid w:val="00E56604"/>
    <w:rsid w:val="00E57E7C"/>
    <w:rsid w:val="00E65E38"/>
    <w:rsid w:val="00E67399"/>
    <w:rsid w:val="00E7003B"/>
    <w:rsid w:val="00E73870"/>
    <w:rsid w:val="00E73A3C"/>
    <w:rsid w:val="00E801F3"/>
    <w:rsid w:val="00E80DF2"/>
    <w:rsid w:val="00E934C2"/>
    <w:rsid w:val="00E93680"/>
    <w:rsid w:val="00EA70EA"/>
    <w:rsid w:val="00EB03EA"/>
    <w:rsid w:val="00EB19EB"/>
    <w:rsid w:val="00EB4EB7"/>
    <w:rsid w:val="00EB5CFC"/>
    <w:rsid w:val="00EB7FA3"/>
    <w:rsid w:val="00EC5433"/>
    <w:rsid w:val="00EC797D"/>
    <w:rsid w:val="00ED0274"/>
    <w:rsid w:val="00ED081A"/>
    <w:rsid w:val="00ED0D05"/>
    <w:rsid w:val="00ED171A"/>
    <w:rsid w:val="00ED1E45"/>
    <w:rsid w:val="00ED6755"/>
    <w:rsid w:val="00EE247F"/>
    <w:rsid w:val="00EE3CAF"/>
    <w:rsid w:val="00EE5A94"/>
    <w:rsid w:val="00EF0F9D"/>
    <w:rsid w:val="00EF612D"/>
    <w:rsid w:val="00F04EA7"/>
    <w:rsid w:val="00F112E6"/>
    <w:rsid w:val="00F126A4"/>
    <w:rsid w:val="00F139A2"/>
    <w:rsid w:val="00F16221"/>
    <w:rsid w:val="00F2348E"/>
    <w:rsid w:val="00F24249"/>
    <w:rsid w:val="00F242C2"/>
    <w:rsid w:val="00F30626"/>
    <w:rsid w:val="00F30CED"/>
    <w:rsid w:val="00F3111A"/>
    <w:rsid w:val="00F3136B"/>
    <w:rsid w:val="00F31F78"/>
    <w:rsid w:val="00F32389"/>
    <w:rsid w:val="00F34CAA"/>
    <w:rsid w:val="00F354DA"/>
    <w:rsid w:val="00F35E0E"/>
    <w:rsid w:val="00F365E4"/>
    <w:rsid w:val="00F436F5"/>
    <w:rsid w:val="00F440E3"/>
    <w:rsid w:val="00F5195B"/>
    <w:rsid w:val="00F569ED"/>
    <w:rsid w:val="00F574B2"/>
    <w:rsid w:val="00F575CB"/>
    <w:rsid w:val="00F60C60"/>
    <w:rsid w:val="00F6262C"/>
    <w:rsid w:val="00F673DD"/>
    <w:rsid w:val="00F73E99"/>
    <w:rsid w:val="00F80AB1"/>
    <w:rsid w:val="00F81B4F"/>
    <w:rsid w:val="00F82246"/>
    <w:rsid w:val="00F82E69"/>
    <w:rsid w:val="00F83E58"/>
    <w:rsid w:val="00F854DB"/>
    <w:rsid w:val="00F85A00"/>
    <w:rsid w:val="00F8672A"/>
    <w:rsid w:val="00F87477"/>
    <w:rsid w:val="00F918AB"/>
    <w:rsid w:val="00F92FAA"/>
    <w:rsid w:val="00F93974"/>
    <w:rsid w:val="00F940CA"/>
    <w:rsid w:val="00F948F0"/>
    <w:rsid w:val="00F96366"/>
    <w:rsid w:val="00FA3657"/>
    <w:rsid w:val="00FA6A4F"/>
    <w:rsid w:val="00FB0B3C"/>
    <w:rsid w:val="00FB608A"/>
    <w:rsid w:val="00FB7A42"/>
    <w:rsid w:val="00FC2E97"/>
    <w:rsid w:val="00FC2F12"/>
    <w:rsid w:val="00FC393E"/>
    <w:rsid w:val="00FC5715"/>
    <w:rsid w:val="00FD2F5E"/>
    <w:rsid w:val="00FD3C04"/>
    <w:rsid w:val="00FE0E92"/>
    <w:rsid w:val="00FE1086"/>
    <w:rsid w:val="00FE38E1"/>
    <w:rsid w:val="00FE655C"/>
    <w:rsid w:val="00FE716F"/>
    <w:rsid w:val="00FF00B5"/>
    <w:rsid w:val="00FF3051"/>
    <w:rsid w:val="00FF39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36FA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936"/>
    <w:pPr>
      <w:spacing w:after="120" w:line="276" w:lineRule="auto"/>
    </w:pPr>
    <w:rPr>
      <w:rFonts w:ascii="Arial" w:hAnsi="Arial"/>
      <w:color w:val="595959" w:themeColor="text1" w:themeTint="A6"/>
      <w:sz w:val="22"/>
    </w:rPr>
  </w:style>
  <w:style w:type="paragraph" w:styleId="Heading1">
    <w:name w:val="heading 1"/>
    <w:basedOn w:val="Normal"/>
    <w:next w:val="Normal"/>
    <w:link w:val="Heading1Char"/>
    <w:uiPriority w:val="9"/>
    <w:qFormat/>
    <w:rsid w:val="008018DA"/>
    <w:pPr>
      <w:keepNext/>
      <w:keepLines/>
      <w:spacing w:before="120"/>
      <w:outlineLvl w:val="0"/>
    </w:pPr>
    <w:rPr>
      <w:rFonts w:eastAsiaTheme="majorEastAsia" w:cstheme="majorBidi"/>
      <w:bCs/>
      <w:color w:val="404040" w:themeColor="text1" w:themeTint="BF"/>
      <w:sz w:val="32"/>
      <w:szCs w:val="32"/>
    </w:rPr>
  </w:style>
  <w:style w:type="paragraph" w:styleId="Heading2">
    <w:name w:val="heading 2"/>
    <w:basedOn w:val="Normal"/>
    <w:next w:val="Normal"/>
    <w:link w:val="Heading2Char"/>
    <w:uiPriority w:val="9"/>
    <w:unhideWhenUsed/>
    <w:qFormat/>
    <w:rsid w:val="008018DA"/>
    <w:pPr>
      <w:keepNext/>
      <w:keepLines/>
      <w:spacing w:before="20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8D0E92"/>
    <w:pPr>
      <w:keepNext/>
      <w:keepLines/>
      <w:spacing w:before="200"/>
      <w:outlineLvl w:val="2"/>
    </w:pPr>
    <w:rPr>
      <w:rFonts w:eastAsiaTheme="majorEastAsia" w:cstheme="majorBidi"/>
      <w:b/>
      <w:bCs/>
      <w:color w:val="404040" w:themeColor="text1" w:themeTint="BF"/>
      <w:sz w:val="28"/>
    </w:rPr>
  </w:style>
  <w:style w:type="paragraph" w:styleId="Heading4">
    <w:name w:val="heading 4"/>
    <w:basedOn w:val="Normal"/>
    <w:next w:val="Normal"/>
    <w:link w:val="Heading4Char"/>
    <w:uiPriority w:val="9"/>
    <w:semiHidden/>
    <w:unhideWhenUsed/>
    <w:qFormat/>
    <w:rsid w:val="006C02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024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024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024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024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024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72D"/>
    <w:pPr>
      <w:tabs>
        <w:tab w:val="center" w:pos="4320"/>
        <w:tab w:val="right" w:pos="8640"/>
      </w:tabs>
    </w:pPr>
  </w:style>
  <w:style w:type="character" w:customStyle="1" w:styleId="HeaderChar">
    <w:name w:val="Header Char"/>
    <w:basedOn w:val="DefaultParagraphFont"/>
    <w:link w:val="Header"/>
    <w:uiPriority w:val="99"/>
    <w:rsid w:val="0071272D"/>
    <w:rPr>
      <w:rFonts w:ascii="Helvetica Neue Light" w:hAnsi="Helvetica Neue Light"/>
      <w:sz w:val="28"/>
    </w:rPr>
  </w:style>
  <w:style w:type="paragraph" w:styleId="Footer">
    <w:name w:val="footer"/>
    <w:basedOn w:val="Normal"/>
    <w:link w:val="FooterChar"/>
    <w:uiPriority w:val="99"/>
    <w:unhideWhenUsed/>
    <w:rsid w:val="0071272D"/>
    <w:pPr>
      <w:tabs>
        <w:tab w:val="center" w:pos="4320"/>
        <w:tab w:val="right" w:pos="8640"/>
      </w:tabs>
    </w:pPr>
  </w:style>
  <w:style w:type="character" w:customStyle="1" w:styleId="FooterChar">
    <w:name w:val="Footer Char"/>
    <w:basedOn w:val="DefaultParagraphFont"/>
    <w:link w:val="Footer"/>
    <w:uiPriority w:val="99"/>
    <w:rsid w:val="0071272D"/>
    <w:rPr>
      <w:rFonts w:ascii="Helvetica Neue Light" w:hAnsi="Helvetica Neue Light"/>
      <w:sz w:val="28"/>
    </w:rPr>
  </w:style>
  <w:style w:type="paragraph" w:styleId="BalloonText">
    <w:name w:val="Balloon Text"/>
    <w:basedOn w:val="Normal"/>
    <w:link w:val="BalloonTextChar"/>
    <w:uiPriority w:val="99"/>
    <w:semiHidden/>
    <w:unhideWhenUsed/>
    <w:rsid w:val="007127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72D"/>
    <w:rPr>
      <w:rFonts w:ascii="Lucida Grande" w:hAnsi="Lucida Grande" w:cs="Lucida Grande"/>
      <w:sz w:val="18"/>
      <w:szCs w:val="18"/>
    </w:rPr>
  </w:style>
  <w:style w:type="character" w:customStyle="1" w:styleId="Heading1Char">
    <w:name w:val="Heading 1 Char"/>
    <w:basedOn w:val="DefaultParagraphFont"/>
    <w:link w:val="Heading1"/>
    <w:uiPriority w:val="9"/>
    <w:rsid w:val="008018DA"/>
    <w:rPr>
      <w:rFonts w:ascii="Arial" w:eastAsiaTheme="majorEastAsia" w:hAnsi="Arial" w:cstheme="majorBidi"/>
      <w:bCs/>
      <w:color w:val="404040" w:themeColor="text1" w:themeTint="BF"/>
      <w:sz w:val="32"/>
      <w:szCs w:val="32"/>
    </w:rPr>
  </w:style>
  <w:style w:type="paragraph" w:styleId="Revision">
    <w:name w:val="Revision"/>
    <w:hidden/>
    <w:uiPriority w:val="99"/>
    <w:semiHidden/>
    <w:rsid w:val="00B87785"/>
    <w:rPr>
      <w:rFonts w:ascii="Helvetica Neue Light" w:hAnsi="Helvetica Neue Light"/>
      <w:sz w:val="28"/>
    </w:rPr>
  </w:style>
  <w:style w:type="character" w:customStyle="1" w:styleId="Heading2Char">
    <w:name w:val="Heading 2 Char"/>
    <w:basedOn w:val="DefaultParagraphFont"/>
    <w:link w:val="Heading2"/>
    <w:uiPriority w:val="9"/>
    <w:rsid w:val="008018DA"/>
    <w:rPr>
      <w:rFonts w:ascii="Arial" w:eastAsiaTheme="majorEastAsia" w:hAnsi="Arial" w:cstheme="majorBidi"/>
      <w:bCs/>
      <w:color w:val="404040" w:themeColor="text1" w:themeTint="BF"/>
      <w:szCs w:val="26"/>
    </w:rPr>
  </w:style>
  <w:style w:type="character" w:customStyle="1" w:styleId="Heading3Char">
    <w:name w:val="Heading 3 Char"/>
    <w:basedOn w:val="DefaultParagraphFont"/>
    <w:link w:val="Heading3"/>
    <w:uiPriority w:val="9"/>
    <w:rsid w:val="008D0E92"/>
    <w:rPr>
      <w:rFonts w:ascii="Arial" w:eastAsiaTheme="majorEastAsia" w:hAnsi="Arial" w:cstheme="majorBidi"/>
      <w:b/>
      <w:bCs/>
      <w:color w:val="404040" w:themeColor="text1" w:themeTint="BF"/>
      <w:sz w:val="28"/>
    </w:rPr>
  </w:style>
  <w:style w:type="character" w:customStyle="1" w:styleId="Heading4Char">
    <w:name w:val="Heading 4 Char"/>
    <w:basedOn w:val="DefaultParagraphFont"/>
    <w:link w:val="Heading4"/>
    <w:uiPriority w:val="9"/>
    <w:semiHidden/>
    <w:rsid w:val="006C024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024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024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024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02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024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0242"/>
    <w:pPr>
      <w:spacing w:after="200"/>
    </w:pPr>
    <w:rPr>
      <w:b/>
      <w:bCs/>
      <w:color w:val="4F81BD" w:themeColor="accent1"/>
      <w:sz w:val="18"/>
      <w:szCs w:val="18"/>
    </w:rPr>
  </w:style>
  <w:style w:type="paragraph" w:styleId="Title">
    <w:name w:val="Title"/>
    <w:basedOn w:val="Normal"/>
    <w:next w:val="Normal"/>
    <w:link w:val="TitleChar"/>
    <w:uiPriority w:val="10"/>
    <w:qFormat/>
    <w:rsid w:val="006C02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024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C024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C0242"/>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6C0242"/>
    <w:rPr>
      <w:b/>
      <w:bCs/>
    </w:rPr>
  </w:style>
  <w:style w:type="character" w:styleId="Emphasis">
    <w:name w:val="Emphasis"/>
    <w:basedOn w:val="DefaultParagraphFont"/>
    <w:uiPriority w:val="20"/>
    <w:qFormat/>
    <w:rsid w:val="006C0242"/>
    <w:rPr>
      <w:i/>
      <w:iCs/>
    </w:rPr>
  </w:style>
  <w:style w:type="paragraph" w:styleId="NoSpacing">
    <w:name w:val="No Spacing"/>
    <w:link w:val="NoSpacingChar"/>
    <w:uiPriority w:val="1"/>
    <w:qFormat/>
    <w:rsid w:val="006C0242"/>
  </w:style>
  <w:style w:type="character" w:customStyle="1" w:styleId="NoSpacingChar">
    <w:name w:val="No Spacing Char"/>
    <w:basedOn w:val="DefaultParagraphFont"/>
    <w:link w:val="NoSpacing"/>
    <w:uiPriority w:val="1"/>
    <w:rsid w:val="006C0242"/>
  </w:style>
  <w:style w:type="paragraph" w:styleId="ListParagraph">
    <w:name w:val="List Paragraph"/>
    <w:basedOn w:val="Normal"/>
    <w:uiPriority w:val="34"/>
    <w:qFormat/>
    <w:rsid w:val="006C0242"/>
    <w:pPr>
      <w:ind w:left="720"/>
      <w:contextualSpacing/>
    </w:pPr>
  </w:style>
  <w:style w:type="paragraph" w:styleId="Quote">
    <w:name w:val="Quote"/>
    <w:basedOn w:val="Normal"/>
    <w:next w:val="Normal"/>
    <w:link w:val="QuoteChar"/>
    <w:uiPriority w:val="29"/>
    <w:qFormat/>
    <w:rsid w:val="006C0242"/>
    <w:rPr>
      <w:i/>
      <w:iCs/>
      <w:color w:val="000000" w:themeColor="text1"/>
    </w:rPr>
  </w:style>
  <w:style w:type="character" w:customStyle="1" w:styleId="QuoteChar">
    <w:name w:val="Quote Char"/>
    <w:basedOn w:val="DefaultParagraphFont"/>
    <w:link w:val="Quote"/>
    <w:uiPriority w:val="29"/>
    <w:rsid w:val="006C0242"/>
    <w:rPr>
      <w:i/>
      <w:iCs/>
      <w:color w:val="000000" w:themeColor="text1"/>
    </w:rPr>
  </w:style>
  <w:style w:type="paragraph" w:styleId="IntenseQuote">
    <w:name w:val="Intense Quote"/>
    <w:basedOn w:val="Normal"/>
    <w:next w:val="Normal"/>
    <w:link w:val="IntenseQuoteChar"/>
    <w:uiPriority w:val="30"/>
    <w:qFormat/>
    <w:rsid w:val="006C024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C0242"/>
    <w:rPr>
      <w:b/>
      <w:bCs/>
      <w:i/>
      <w:iCs/>
      <w:color w:val="4F81BD" w:themeColor="accent1"/>
    </w:rPr>
  </w:style>
  <w:style w:type="character" w:styleId="SubtleEmphasis">
    <w:name w:val="Subtle Emphasis"/>
    <w:basedOn w:val="DefaultParagraphFont"/>
    <w:uiPriority w:val="19"/>
    <w:qFormat/>
    <w:rsid w:val="006C0242"/>
    <w:rPr>
      <w:i/>
      <w:iCs/>
      <w:color w:val="808080" w:themeColor="text1" w:themeTint="7F"/>
    </w:rPr>
  </w:style>
  <w:style w:type="character" w:styleId="IntenseEmphasis">
    <w:name w:val="Intense Emphasis"/>
    <w:basedOn w:val="DefaultParagraphFont"/>
    <w:uiPriority w:val="21"/>
    <w:qFormat/>
    <w:rsid w:val="006C0242"/>
    <w:rPr>
      <w:b/>
      <w:bCs/>
      <w:i/>
      <w:iCs/>
      <w:color w:val="4F81BD" w:themeColor="accent1"/>
    </w:rPr>
  </w:style>
  <w:style w:type="character" w:styleId="SubtleReference">
    <w:name w:val="Subtle Reference"/>
    <w:basedOn w:val="DefaultParagraphFont"/>
    <w:uiPriority w:val="31"/>
    <w:qFormat/>
    <w:rsid w:val="006C0242"/>
    <w:rPr>
      <w:smallCaps/>
      <w:color w:val="C0504D" w:themeColor="accent2"/>
      <w:u w:val="single"/>
    </w:rPr>
  </w:style>
  <w:style w:type="character" w:styleId="IntenseReference">
    <w:name w:val="Intense Reference"/>
    <w:basedOn w:val="DefaultParagraphFont"/>
    <w:uiPriority w:val="32"/>
    <w:qFormat/>
    <w:rsid w:val="006C0242"/>
    <w:rPr>
      <w:b/>
      <w:bCs/>
      <w:smallCaps/>
      <w:color w:val="C0504D" w:themeColor="accent2"/>
      <w:spacing w:val="5"/>
      <w:u w:val="single"/>
    </w:rPr>
  </w:style>
  <w:style w:type="character" w:styleId="BookTitle">
    <w:name w:val="Book Title"/>
    <w:basedOn w:val="DefaultParagraphFont"/>
    <w:uiPriority w:val="33"/>
    <w:qFormat/>
    <w:rsid w:val="006C0242"/>
    <w:rPr>
      <w:b/>
      <w:bCs/>
      <w:smallCaps/>
      <w:spacing w:val="5"/>
    </w:rPr>
  </w:style>
  <w:style w:type="paragraph" w:styleId="TOCHeading">
    <w:name w:val="TOC Heading"/>
    <w:basedOn w:val="Heading1"/>
    <w:next w:val="Normal"/>
    <w:uiPriority w:val="39"/>
    <w:unhideWhenUsed/>
    <w:qFormat/>
    <w:rsid w:val="006C0242"/>
    <w:pPr>
      <w:outlineLvl w:val="9"/>
    </w:pPr>
    <w:rPr>
      <w:color w:val="365F91" w:themeColor="accent1" w:themeShade="BF"/>
      <w:sz w:val="28"/>
      <w:szCs w:val="28"/>
      <w:lang w:val="en-US"/>
    </w:rPr>
  </w:style>
  <w:style w:type="character" w:styleId="PageNumber">
    <w:name w:val="page number"/>
    <w:basedOn w:val="DefaultParagraphFont"/>
    <w:uiPriority w:val="99"/>
    <w:semiHidden/>
    <w:unhideWhenUsed/>
    <w:rsid w:val="00432703"/>
  </w:style>
  <w:style w:type="table" w:styleId="TableGrid">
    <w:name w:val="Table Grid"/>
    <w:basedOn w:val="TableNormal"/>
    <w:uiPriority w:val="59"/>
    <w:rsid w:val="0043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PA">
    <w:name w:val="RCPA"/>
    <w:basedOn w:val="TableNormal"/>
    <w:uiPriority w:val="99"/>
    <w:rsid w:val="0011560E"/>
    <w:rPr>
      <w:rFonts w:ascii="Arial" w:hAnsi="Arial"/>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left w:w="85" w:type="dxa"/>
        <w:bottom w:w="85" w:type="dxa"/>
        <w:right w:w="85" w:type="dxa"/>
      </w:tblCellMar>
    </w:tblPr>
    <w:tcPr>
      <w:shd w:val="clear" w:color="auto" w:fill="auto"/>
    </w:tcPr>
    <w:tblStylePr w:type="firstRow">
      <w:rPr>
        <w:rFonts w:ascii="Arial" w:hAnsi="Arial"/>
        <w:b/>
        <w:color w:val="FFFFFF" w:themeColor="background1"/>
        <w:sz w:val="24"/>
      </w:rPr>
      <w:tblPr/>
      <w:tcPr>
        <w:shd w:val="clear" w:color="auto" w:fill="B21118"/>
      </w:tcPr>
    </w:tblStylePr>
  </w:style>
  <w:style w:type="table" w:styleId="MediumShading1-Accent2">
    <w:name w:val="Medium Shading 1 Accent 2"/>
    <w:basedOn w:val="TableNormal"/>
    <w:uiPriority w:val="63"/>
    <w:rsid w:val="008F0269"/>
    <w:rPr>
      <w:lang w:val="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A94B62"/>
    <w:rPr>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4B183F"/>
    <w:rPr>
      <w:color w:val="0000FF" w:themeColor="hyperlink"/>
      <w:u w:val="single"/>
    </w:rPr>
  </w:style>
  <w:style w:type="character" w:styleId="FollowedHyperlink">
    <w:name w:val="FollowedHyperlink"/>
    <w:basedOn w:val="DefaultParagraphFont"/>
    <w:uiPriority w:val="99"/>
    <w:semiHidden/>
    <w:unhideWhenUsed/>
    <w:rsid w:val="004B183F"/>
    <w:rPr>
      <w:color w:val="800080" w:themeColor="followedHyperlink"/>
      <w:u w:val="single"/>
    </w:rPr>
  </w:style>
  <w:style w:type="character" w:styleId="CommentReference">
    <w:name w:val="annotation reference"/>
    <w:basedOn w:val="DefaultParagraphFont"/>
    <w:uiPriority w:val="99"/>
    <w:semiHidden/>
    <w:unhideWhenUsed/>
    <w:rsid w:val="00C1086A"/>
    <w:rPr>
      <w:sz w:val="16"/>
      <w:szCs w:val="16"/>
    </w:rPr>
  </w:style>
  <w:style w:type="paragraph" w:styleId="CommentText">
    <w:name w:val="annotation text"/>
    <w:basedOn w:val="Normal"/>
    <w:link w:val="CommentTextChar"/>
    <w:uiPriority w:val="99"/>
    <w:semiHidden/>
    <w:unhideWhenUsed/>
    <w:rsid w:val="00C1086A"/>
    <w:pPr>
      <w:spacing w:line="240" w:lineRule="auto"/>
    </w:pPr>
    <w:rPr>
      <w:sz w:val="20"/>
      <w:szCs w:val="20"/>
    </w:rPr>
  </w:style>
  <w:style w:type="character" w:customStyle="1" w:styleId="CommentTextChar">
    <w:name w:val="Comment Text Char"/>
    <w:basedOn w:val="DefaultParagraphFont"/>
    <w:link w:val="CommentText"/>
    <w:uiPriority w:val="99"/>
    <w:semiHidden/>
    <w:rsid w:val="00C1086A"/>
    <w:rPr>
      <w:rFonts w:ascii="Arial" w:hAnsi="Arial"/>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C1086A"/>
    <w:rPr>
      <w:b/>
      <w:bCs/>
    </w:rPr>
  </w:style>
  <w:style w:type="character" w:customStyle="1" w:styleId="CommentSubjectChar">
    <w:name w:val="Comment Subject Char"/>
    <w:basedOn w:val="CommentTextChar"/>
    <w:link w:val="CommentSubject"/>
    <w:uiPriority w:val="99"/>
    <w:semiHidden/>
    <w:rsid w:val="00C1086A"/>
    <w:rPr>
      <w:rFonts w:ascii="Arial" w:hAnsi="Arial"/>
      <w:b/>
      <w:bCs/>
      <w:color w:val="595959" w:themeColor="text1" w:themeTint="A6"/>
      <w:sz w:val="20"/>
      <w:szCs w:val="20"/>
    </w:rPr>
  </w:style>
  <w:style w:type="character" w:customStyle="1" w:styleId="UnresolvedMention">
    <w:name w:val="Unresolved Mention"/>
    <w:basedOn w:val="DefaultParagraphFont"/>
    <w:uiPriority w:val="99"/>
    <w:semiHidden/>
    <w:unhideWhenUsed/>
    <w:rsid w:val="00096F43"/>
    <w:rPr>
      <w:color w:val="605E5C"/>
      <w:shd w:val="clear" w:color="auto" w:fill="E1DFDD"/>
    </w:rPr>
  </w:style>
  <w:style w:type="paragraph" w:styleId="TOC1">
    <w:name w:val="toc 1"/>
    <w:basedOn w:val="Normal"/>
    <w:next w:val="Normal"/>
    <w:autoRedefine/>
    <w:uiPriority w:val="39"/>
    <w:unhideWhenUsed/>
    <w:rsid w:val="00FE1086"/>
    <w:pPr>
      <w:spacing w:after="100"/>
    </w:pPr>
  </w:style>
  <w:style w:type="paragraph" w:styleId="TOC2">
    <w:name w:val="toc 2"/>
    <w:basedOn w:val="Normal"/>
    <w:next w:val="Normal"/>
    <w:autoRedefine/>
    <w:uiPriority w:val="39"/>
    <w:unhideWhenUsed/>
    <w:rsid w:val="00F24249"/>
    <w:pPr>
      <w:tabs>
        <w:tab w:val="right" w:leader="dot" w:pos="9736"/>
      </w:tabs>
      <w:spacing w:after="100"/>
      <w:ind w:left="220"/>
    </w:pPr>
  </w:style>
  <w:style w:type="paragraph" w:styleId="TOC3">
    <w:name w:val="toc 3"/>
    <w:basedOn w:val="Normal"/>
    <w:next w:val="Normal"/>
    <w:autoRedefine/>
    <w:uiPriority w:val="39"/>
    <w:unhideWhenUsed/>
    <w:rsid w:val="00FE1086"/>
    <w:pPr>
      <w:spacing w:after="100"/>
      <w:ind w:left="440"/>
    </w:pPr>
  </w:style>
  <w:style w:type="paragraph" w:styleId="PlainText">
    <w:name w:val="Plain Text"/>
    <w:basedOn w:val="Normal"/>
    <w:link w:val="PlainTextChar"/>
    <w:uiPriority w:val="99"/>
    <w:semiHidden/>
    <w:unhideWhenUsed/>
    <w:rsid w:val="00942FDC"/>
    <w:pPr>
      <w:spacing w:after="0" w:line="240" w:lineRule="auto"/>
    </w:pPr>
    <w:rPr>
      <w:rFonts w:ascii="Calibri" w:eastAsiaTheme="minorHAnsi" w:hAnsi="Calibri"/>
      <w:color w:val="auto"/>
      <w:szCs w:val="21"/>
    </w:rPr>
  </w:style>
  <w:style w:type="character" w:customStyle="1" w:styleId="PlainTextChar">
    <w:name w:val="Plain Text Char"/>
    <w:basedOn w:val="DefaultParagraphFont"/>
    <w:link w:val="PlainText"/>
    <w:uiPriority w:val="99"/>
    <w:semiHidden/>
    <w:rsid w:val="00942FDC"/>
    <w:rPr>
      <w:rFonts w:ascii="Calibri" w:eastAsiaTheme="minorHAns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6855">
      <w:bodyDiv w:val="1"/>
      <w:marLeft w:val="0"/>
      <w:marRight w:val="0"/>
      <w:marTop w:val="0"/>
      <w:marBottom w:val="0"/>
      <w:divBdr>
        <w:top w:val="none" w:sz="0" w:space="0" w:color="auto"/>
        <w:left w:val="none" w:sz="0" w:space="0" w:color="auto"/>
        <w:bottom w:val="none" w:sz="0" w:space="0" w:color="auto"/>
        <w:right w:val="none" w:sz="0" w:space="0" w:color="auto"/>
      </w:divBdr>
    </w:div>
    <w:div w:id="200438953">
      <w:bodyDiv w:val="1"/>
      <w:marLeft w:val="0"/>
      <w:marRight w:val="0"/>
      <w:marTop w:val="0"/>
      <w:marBottom w:val="0"/>
      <w:divBdr>
        <w:top w:val="none" w:sz="0" w:space="0" w:color="auto"/>
        <w:left w:val="none" w:sz="0" w:space="0" w:color="auto"/>
        <w:bottom w:val="none" w:sz="0" w:space="0" w:color="auto"/>
        <w:right w:val="none" w:sz="0" w:space="0" w:color="auto"/>
      </w:divBdr>
    </w:div>
    <w:div w:id="218784749">
      <w:bodyDiv w:val="1"/>
      <w:marLeft w:val="0"/>
      <w:marRight w:val="0"/>
      <w:marTop w:val="0"/>
      <w:marBottom w:val="0"/>
      <w:divBdr>
        <w:top w:val="none" w:sz="0" w:space="0" w:color="auto"/>
        <w:left w:val="none" w:sz="0" w:space="0" w:color="auto"/>
        <w:bottom w:val="none" w:sz="0" w:space="0" w:color="auto"/>
        <w:right w:val="none" w:sz="0" w:space="0" w:color="auto"/>
      </w:divBdr>
    </w:div>
    <w:div w:id="242420818">
      <w:bodyDiv w:val="1"/>
      <w:marLeft w:val="0"/>
      <w:marRight w:val="0"/>
      <w:marTop w:val="0"/>
      <w:marBottom w:val="0"/>
      <w:divBdr>
        <w:top w:val="none" w:sz="0" w:space="0" w:color="auto"/>
        <w:left w:val="none" w:sz="0" w:space="0" w:color="auto"/>
        <w:bottom w:val="none" w:sz="0" w:space="0" w:color="auto"/>
        <w:right w:val="none" w:sz="0" w:space="0" w:color="auto"/>
      </w:divBdr>
    </w:div>
    <w:div w:id="259333832">
      <w:bodyDiv w:val="1"/>
      <w:marLeft w:val="0"/>
      <w:marRight w:val="0"/>
      <w:marTop w:val="0"/>
      <w:marBottom w:val="0"/>
      <w:divBdr>
        <w:top w:val="none" w:sz="0" w:space="0" w:color="auto"/>
        <w:left w:val="none" w:sz="0" w:space="0" w:color="auto"/>
        <w:bottom w:val="none" w:sz="0" w:space="0" w:color="auto"/>
        <w:right w:val="none" w:sz="0" w:space="0" w:color="auto"/>
      </w:divBdr>
    </w:div>
    <w:div w:id="455411380">
      <w:bodyDiv w:val="1"/>
      <w:marLeft w:val="0"/>
      <w:marRight w:val="0"/>
      <w:marTop w:val="0"/>
      <w:marBottom w:val="0"/>
      <w:divBdr>
        <w:top w:val="none" w:sz="0" w:space="0" w:color="auto"/>
        <w:left w:val="none" w:sz="0" w:space="0" w:color="auto"/>
        <w:bottom w:val="none" w:sz="0" w:space="0" w:color="auto"/>
        <w:right w:val="none" w:sz="0" w:space="0" w:color="auto"/>
      </w:divBdr>
    </w:div>
    <w:div w:id="512307693">
      <w:bodyDiv w:val="1"/>
      <w:marLeft w:val="0"/>
      <w:marRight w:val="0"/>
      <w:marTop w:val="0"/>
      <w:marBottom w:val="0"/>
      <w:divBdr>
        <w:top w:val="none" w:sz="0" w:space="0" w:color="auto"/>
        <w:left w:val="none" w:sz="0" w:space="0" w:color="auto"/>
        <w:bottom w:val="none" w:sz="0" w:space="0" w:color="auto"/>
        <w:right w:val="none" w:sz="0" w:space="0" w:color="auto"/>
      </w:divBdr>
    </w:div>
    <w:div w:id="529419765">
      <w:bodyDiv w:val="1"/>
      <w:marLeft w:val="0"/>
      <w:marRight w:val="0"/>
      <w:marTop w:val="0"/>
      <w:marBottom w:val="0"/>
      <w:divBdr>
        <w:top w:val="none" w:sz="0" w:space="0" w:color="auto"/>
        <w:left w:val="none" w:sz="0" w:space="0" w:color="auto"/>
        <w:bottom w:val="none" w:sz="0" w:space="0" w:color="auto"/>
        <w:right w:val="none" w:sz="0" w:space="0" w:color="auto"/>
      </w:divBdr>
    </w:div>
    <w:div w:id="688140246">
      <w:bodyDiv w:val="1"/>
      <w:marLeft w:val="0"/>
      <w:marRight w:val="0"/>
      <w:marTop w:val="0"/>
      <w:marBottom w:val="0"/>
      <w:divBdr>
        <w:top w:val="none" w:sz="0" w:space="0" w:color="auto"/>
        <w:left w:val="none" w:sz="0" w:space="0" w:color="auto"/>
        <w:bottom w:val="none" w:sz="0" w:space="0" w:color="auto"/>
        <w:right w:val="none" w:sz="0" w:space="0" w:color="auto"/>
      </w:divBdr>
    </w:div>
    <w:div w:id="754784618">
      <w:bodyDiv w:val="1"/>
      <w:marLeft w:val="0"/>
      <w:marRight w:val="0"/>
      <w:marTop w:val="0"/>
      <w:marBottom w:val="0"/>
      <w:divBdr>
        <w:top w:val="none" w:sz="0" w:space="0" w:color="auto"/>
        <w:left w:val="none" w:sz="0" w:space="0" w:color="auto"/>
        <w:bottom w:val="none" w:sz="0" w:space="0" w:color="auto"/>
        <w:right w:val="none" w:sz="0" w:space="0" w:color="auto"/>
      </w:divBdr>
    </w:div>
    <w:div w:id="785387204">
      <w:bodyDiv w:val="1"/>
      <w:marLeft w:val="0"/>
      <w:marRight w:val="0"/>
      <w:marTop w:val="0"/>
      <w:marBottom w:val="0"/>
      <w:divBdr>
        <w:top w:val="none" w:sz="0" w:space="0" w:color="auto"/>
        <w:left w:val="none" w:sz="0" w:space="0" w:color="auto"/>
        <w:bottom w:val="none" w:sz="0" w:space="0" w:color="auto"/>
        <w:right w:val="none" w:sz="0" w:space="0" w:color="auto"/>
      </w:divBdr>
    </w:div>
    <w:div w:id="840662032">
      <w:bodyDiv w:val="1"/>
      <w:marLeft w:val="0"/>
      <w:marRight w:val="0"/>
      <w:marTop w:val="0"/>
      <w:marBottom w:val="0"/>
      <w:divBdr>
        <w:top w:val="none" w:sz="0" w:space="0" w:color="auto"/>
        <w:left w:val="none" w:sz="0" w:space="0" w:color="auto"/>
        <w:bottom w:val="none" w:sz="0" w:space="0" w:color="auto"/>
        <w:right w:val="none" w:sz="0" w:space="0" w:color="auto"/>
      </w:divBdr>
    </w:div>
    <w:div w:id="936643999">
      <w:bodyDiv w:val="1"/>
      <w:marLeft w:val="0"/>
      <w:marRight w:val="0"/>
      <w:marTop w:val="0"/>
      <w:marBottom w:val="0"/>
      <w:divBdr>
        <w:top w:val="none" w:sz="0" w:space="0" w:color="auto"/>
        <w:left w:val="none" w:sz="0" w:space="0" w:color="auto"/>
        <w:bottom w:val="none" w:sz="0" w:space="0" w:color="auto"/>
        <w:right w:val="none" w:sz="0" w:space="0" w:color="auto"/>
      </w:divBdr>
    </w:div>
    <w:div w:id="1291979420">
      <w:bodyDiv w:val="1"/>
      <w:marLeft w:val="0"/>
      <w:marRight w:val="0"/>
      <w:marTop w:val="0"/>
      <w:marBottom w:val="0"/>
      <w:divBdr>
        <w:top w:val="none" w:sz="0" w:space="0" w:color="auto"/>
        <w:left w:val="none" w:sz="0" w:space="0" w:color="auto"/>
        <w:bottom w:val="none" w:sz="0" w:space="0" w:color="auto"/>
        <w:right w:val="none" w:sz="0" w:space="0" w:color="auto"/>
      </w:divBdr>
    </w:div>
    <w:div w:id="1368026430">
      <w:bodyDiv w:val="1"/>
      <w:marLeft w:val="0"/>
      <w:marRight w:val="0"/>
      <w:marTop w:val="0"/>
      <w:marBottom w:val="0"/>
      <w:divBdr>
        <w:top w:val="none" w:sz="0" w:space="0" w:color="auto"/>
        <w:left w:val="none" w:sz="0" w:space="0" w:color="auto"/>
        <w:bottom w:val="none" w:sz="0" w:space="0" w:color="auto"/>
        <w:right w:val="none" w:sz="0" w:space="0" w:color="auto"/>
      </w:divBdr>
    </w:div>
    <w:div w:id="1452017459">
      <w:bodyDiv w:val="1"/>
      <w:marLeft w:val="0"/>
      <w:marRight w:val="0"/>
      <w:marTop w:val="0"/>
      <w:marBottom w:val="0"/>
      <w:divBdr>
        <w:top w:val="none" w:sz="0" w:space="0" w:color="auto"/>
        <w:left w:val="none" w:sz="0" w:space="0" w:color="auto"/>
        <w:bottom w:val="none" w:sz="0" w:space="0" w:color="auto"/>
        <w:right w:val="none" w:sz="0" w:space="0" w:color="auto"/>
      </w:divBdr>
    </w:div>
    <w:div w:id="1509245475">
      <w:bodyDiv w:val="1"/>
      <w:marLeft w:val="0"/>
      <w:marRight w:val="0"/>
      <w:marTop w:val="0"/>
      <w:marBottom w:val="0"/>
      <w:divBdr>
        <w:top w:val="none" w:sz="0" w:space="0" w:color="auto"/>
        <w:left w:val="none" w:sz="0" w:space="0" w:color="auto"/>
        <w:bottom w:val="none" w:sz="0" w:space="0" w:color="auto"/>
        <w:right w:val="none" w:sz="0" w:space="0" w:color="auto"/>
      </w:divBdr>
    </w:div>
    <w:div w:id="1546067394">
      <w:bodyDiv w:val="1"/>
      <w:marLeft w:val="0"/>
      <w:marRight w:val="0"/>
      <w:marTop w:val="0"/>
      <w:marBottom w:val="0"/>
      <w:divBdr>
        <w:top w:val="none" w:sz="0" w:space="0" w:color="auto"/>
        <w:left w:val="none" w:sz="0" w:space="0" w:color="auto"/>
        <w:bottom w:val="none" w:sz="0" w:space="0" w:color="auto"/>
        <w:right w:val="none" w:sz="0" w:space="0" w:color="auto"/>
      </w:divBdr>
    </w:div>
    <w:div w:id="1609049141">
      <w:bodyDiv w:val="1"/>
      <w:marLeft w:val="0"/>
      <w:marRight w:val="0"/>
      <w:marTop w:val="0"/>
      <w:marBottom w:val="0"/>
      <w:divBdr>
        <w:top w:val="none" w:sz="0" w:space="0" w:color="auto"/>
        <w:left w:val="none" w:sz="0" w:space="0" w:color="auto"/>
        <w:bottom w:val="none" w:sz="0" w:space="0" w:color="auto"/>
        <w:right w:val="none" w:sz="0" w:space="0" w:color="auto"/>
      </w:divBdr>
    </w:div>
    <w:div w:id="1642732233">
      <w:bodyDiv w:val="1"/>
      <w:marLeft w:val="0"/>
      <w:marRight w:val="0"/>
      <w:marTop w:val="0"/>
      <w:marBottom w:val="0"/>
      <w:divBdr>
        <w:top w:val="none" w:sz="0" w:space="0" w:color="auto"/>
        <w:left w:val="none" w:sz="0" w:space="0" w:color="auto"/>
        <w:bottom w:val="none" w:sz="0" w:space="0" w:color="auto"/>
        <w:right w:val="none" w:sz="0" w:space="0" w:color="auto"/>
      </w:divBdr>
    </w:div>
    <w:div w:id="1729572882">
      <w:bodyDiv w:val="1"/>
      <w:marLeft w:val="0"/>
      <w:marRight w:val="0"/>
      <w:marTop w:val="0"/>
      <w:marBottom w:val="0"/>
      <w:divBdr>
        <w:top w:val="none" w:sz="0" w:space="0" w:color="auto"/>
        <w:left w:val="none" w:sz="0" w:space="0" w:color="auto"/>
        <w:bottom w:val="none" w:sz="0" w:space="0" w:color="auto"/>
        <w:right w:val="none" w:sz="0" w:space="0" w:color="auto"/>
      </w:divBdr>
    </w:div>
    <w:div w:id="1752660726">
      <w:bodyDiv w:val="1"/>
      <w:marLeft w:val="0"/>
      <w:marRight w:val="0"/>
      <w:marTop w:val="0"/>
      <w:marBottom w:val="0"/>
      <w:divBdr>
        <w:top w:val="none" w:sz="0" w:space="0" w:color="auto"/>
        <w:left w:val="none" w:sz="0" w:space="0" w:color="auto"/>
        <w:bottom w:val="none" w:sz="0" w:space="0" w:color="auto"/>
        <w:right w:val="none" w:sz="0" w:space="0" w:color="auto"/>
      </w:divBdr>
    </w:div>
    <w:div w:id="1818450062">
      <w:bodyDiv w:val="1"/>
      <w:marLeft w:val="0"/>
      <w:marRight w:val="0"/>
      <w:marTop w:val="0"/>
      <w:marBottom w:val="0"/>
      <w:divBdr>
        <w:top w:val="none" w:sz="0" w:space="0" w:color="auto"/>
        <w:left w:val="none" w:sz="0" w:space="0" w:color="auto"/>
        <w:bottom w:val="none" w:sz="0" w:space="0" w:color="auto"/>
        <w:right w:val="none" w:sz="0" w:space="0" w:color="auto"/>
      </w:divBdr>
    </w:div>
    <w:div w:id="1857769274">
      <w:bodyDiv w:val="1"/>
      <w:marLeft w:val="0"/>
      <w:marRight w:val="0"/>
      <w:marTop w:val="0"/>
      <w:marBottom w:val="0"/>
      <w:divBdr>
        <w:top w:val="none" w:sz="0" w:space="0" w:color="auto"/>
        <w:left w:val="none" w:sz="0" w:space="0" w:color="auto"/>
        <w:bottom w:val="none" w:sz="0" w:space="0" w:color="auto"/>
        <w:right w:val="none" w:sz="0" w:space="0" w:color="auto"/>
      </w:divBdr>
    </w:div>
    <w:div w:id="2105563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ta.com.au/nata/"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rcpaqap.gov.au" TargetMode="External"/><Relationship Id="rId2" Type="http://schemas.openxmlformats.org/officeDocument/2006/relationships/numbering" Target="numbering.xml"/><Relationship Id="rId16" Type="http://schemas.openxmlformats.org/officeDocument/2006/relationships/hyperlink" Target="http://www.rcpa.edu.a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pathologyaustralia.com.au/"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ealth.gov.au/npaa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63FC-BD05-46AE-89D4-F1DC19BB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4239</Words>
  <Characters>24165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2020-04-23T23:30:00Z</dcterms:created>
  <dcterms:modified xsi:type="dcterms:W3CDTF">2020-05-20T05:13:00Z</dcterms:modified>
  <cp:category/>
  <cp:contentStatus/>
</cp:coreProperties>
</file>