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C127" w14:textId="655BAA34" w:rsidR="00FF381B" w:rsidRPr="007F7F43" w:rsidRDefault="00F53DD6" w:rsidP="00551E8A">
      <w:pPr>
        <w:pStyle w:val="Heading1"/>
      </w:pPr>
      <w:r w:rsidRPr="007F7F43">
        <w:t>Consistent t</w:t>
      </w:r>
      <w:r w:rsidR="00FE30D6" w:rsidRPr="007F7F43">
        <w:t>erminology for descri</w:t>
      </w:r>
      <w:r w:rsidR="00585835" w:rsidRPr="007F7F43">
        <w:t>bing the size of food and beverages</w:t>
      </w:r>
    </w:p>
    <w:p w14:paraId="5E24210F" w14:textId="12292108" w:rsidR="00FE30D6" w:rsidRPr="00F27636" w:rsidRDefault="00FE30D6" w:rsidP="00551E8A">
      <w:r w:rsidRPr="00F27636">
        <w:t xml:space="preserve">The terms used to describe the amount of food and </w:t>
      </w:r>
      <w:r w:rsidR="000049E0" w:rsidRPr="00F27636">
        <w:t>beverages</w:t>
      </w:r>
      <w:r w:rsidRPr="00F27636">
        <w:t xml:space="preserve"> that Australians consume have been reviewed by the </w:t>
      </w:r>
      <w:r w:rsidR="00B03017" w:rsidRPr="00F27636">
        <w:t>Healthy Food Partnership.</w:t>
      </w:r>
      <w:r w:rsidR="007F7F43" w:rsidRPr="00F27636">
        <w:t xml:space="preserve"> </w:t>
      </w:r>
      <w:r w:rsidRPr="00F27636">
        <w:t>The below table outlines the agreed terms that should be used to build common and consistent language and remove confusion.</w:t>
      </w:r>
    </w:p>
    <w:tbl>
      <w:tblPr>
        <w:tblStyle w:val="TableGrid"/>
        <w:tblW w:w="10065" w:type="dxa"/>
        <w:tblLook w:val="04A0" w:firstRow="1" w:lastRow="0" w:firstColumn="1" w:lastColumn="0" w:noHBand="0" w:noVBand="1"/>
        <w:tblDescription w:val="The table outlines the definition and examples of the terms portion, serving and serve."/>
      </w:tblPr>
      <w:tblGrid>
        <w:gridCol w:w="897"/>
        <w:gridCol w:w="2406"/>
        <w:gridCol w:w="6762"/>
      </w:tblGrid>
      <w:tr w:rsidR="00FE30D6" w:rsidRPr="00F27636" w14:paraId="6117FF6C" w14:textId="77777777" w:rsidTr="00551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31E4CA47" w14:textId="77777777" w:rsidR="00FE30D6" w:rsidRPr="00F27636" w:rsidRDefault="00FE30D6" w:rsidP="00FE30D6">
            <w:pPr>
              <w:spacing w:before="0"/>
              <w:rPr>
                <w:rFonts w:cstheme="minorHAnsi"/>
                <w:b w:val="0"/>
                <w:szCs w:val="21"/>
              </w:rPr>
            </w:pPr>
            <w:r w:rsidRPr="00F27636">
              <w:rPr>
                <w:rFonts w:cstheme="minorHAnsi"/>
                <w:szCs w:val="21"/>
              </w:rPr>
              <w:t>Term</w:t>
            </w:r>
          </w:p>
        </w:tc>
        <w:tc>
          <w:tcPr>
            <w:tcW w:w="2406" w:type="dxa"/>
          </w:tcPr>
          <w:p w14:paraId="3130D72B" w14:textId="77777777" w:rsidR="00FE30D6" w:rsidRPr="00F27636" w:rsidRDefault="00FE30D6" w:rsidP="00FE30D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1"/>
              </w:rPr>
            </w:pPr>
            <w:r w:rsidRPr="00F27636">
              <w:rPr>
                <w:rFonts w:cstheme="minorHAnsi"/>
                <w:szCs w:val="21"/>
              </w:rPr>
              <w:t>Definition</w:t>
            </w:r>
          </w:p>
        </w:tc>
        <w:tc>
          <w:tcPr>
            <w:tcW w:w="6762" w:type="dxa"/>
          </w:tcPr>
          <w:p w14:paraId="39BB4A23" w14:textId="2CDDAAB0" w:rsidR="00FE30D6" w:rsidRPr="00F27636" w:rsidRDefault="00FD49C2" w:rsidP="00E73F7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1"/>
              </w:rPr>
            </w:pPr>
            <w:r w:rsidRPr="00F27636">
              <w:rPr>
                <w:rFonts w:cstheme="minorHAnsi"/>
                <w:szCs w:val="21"/>
              </w:rPr>
              <w:t>I</w:t>
            </w:r>
            <w:r w:rsidR="00E73F7E" w:rsidRPr="00F27636">
              <w:rPr>
                <w:rFonts w:cstheme="minorHAnsi"/>
                <w:szCs w:val="21"/>
              </w:rPr>
              <w:t>nformation and e</w:t>
            </w:r>
            <w:r w:rsidR="00FE30D6" w:rsidRPr="00F27636">
              <w:rPr>
                <w:rFonts w:cstheme="minorHAnsi"/>
                <w:szCs w:val="21"/>
              </w:rPr>
              <w:t>xamples</w:t>
            </w:r>
          </w:p>
        </w:tc>
      </w:tr>
      <w:tr w:rsidR="002355A2" w:rsidRPr="00F27636" w14:paraId="2BAA9452" w14:textId="77777777" w:rsidTr="00551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70AEC2D9" w14:textId="77777777" w:rsidR="002355A2" w:rsidRPr="00F27636" w:rsidRDefault="002355A2" w:rsidP="002355A2">
            <w:pPr>
              <w:pStyle w:val="BulletPoint1"/>
              <w:ind w:left="360" w:hanging="360"/>
              <w:rPr>
                <w:rFonts w:cstheme="minorHAnsi"/>
                <w:b w:val="0"/>
                <w:szCs w:val="21"/>
              </w:rPr>
            </w:pPr>
            <w:r w:rsidRPr="00F27636">
              <w:rPr>
                <w:rFonts w:cstheme="minorHAnsi"/>
                <w:szCs w:val="21"/>
              </w:rPr>
              <w:t>Portion</w:t>
            </w:r>
          </w:p>
        </w:tc>
        <w:tc>
          <w:tcPr>
            <w:tcW w:w="2406" w:type="dxa"/>
          </w:tcPr>
          <w:p w14:paraId="7B75FF41" w14:textId="6C9DCD08" w:rsidR="00FD49C2" w:rsidRPr="00551E8A" w:rsidRDefault="002E67B0" w:rsidP="0055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636">
              <w:t xml:space="preserve">The </w:t>
            </w:r>
            <w:r w:rsidR="00365042" w:rsidRPr="00F27636">
              <w:t xml:space="preserve">size or </w:t>
            </w:r>
            <w:r w:rsidRPr="00F27636">
              <w:t xml:space="preserve">amount of food and/or drink selected by an individual from what is on offer at any </w:t>
            </w:r>
            <w:proofErr w:type="gramStart"/>
            <w:r w:rsidRPr="00F27636">
              <w:t>particular eating</w:t>
            </w:r>
            <w:proofErr w:type="gramEnd"/>
            <w:r w:rsidRPr="00F27636">
              <w:t xml:space="preserve"> occasion. </w:t>
            </w:r>
          </w:p>
        </w:tc>
        <w:tc>
          <w:tcPr>
            <w:tcW w:w="6762" w:type="dxa"/>
          </w:tcPr>
          <w:p w14:paraId="3EDD9188" w14:textId="798D8D93" w:rsidR="002355A2" w:rsidRPr="00F27636" w:rsidRDefault="002355A2" w:rsidP="00901279">
            <w:pPr>
              <w:pStyle w:val="BulletPoint1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The amount of any food or drink selected – </w:t>
            </w:r>
            <w:r w:rsidR="009D7ABE" w:rsidRPr="00F27636">
              <w:rPr>
                <w:rFonts w:cstheme="minorHAnsi"/>
                <w:szCs w:val="21"/>
              </w:rPr>
              <w:t>i.e.,</w:t>
            </w:r>
            <w:r w:rsidRPr="00F27636">
              <w:rPr>
                <w:rFonts w:cstheme="minorHAnsi"/>
                <w:szCs w:val="21"/>
              </w:rPr>
              <w:t xml:space="preserve"> the ‘portion’ is influenced by many factors including what is </w:t>
            </w:r>
            <w:proofErr w:type="gramStart"/>
            <w:r w:rsidRPr="00F27636">
              <w:rPr>
                <w:rFonts w:cstheme="minorHAnsi"/>
                <w:szCs w:val="21"/>
              </w:rPr>
              <w:t>offered, or</w:t>
            </w:r>
            <w:proofErr w:type="gramEnd"/>
            <w:r w:rsidRPr="00F27636">
              <w:rPr>
                <w:rFonts w:cstheme="minorHAnsi"/>
                <w:szCs w:val="21"/>
              </w:rPr>
              <w:t xml:space="preserve"> is available.</w:t>
            </w:r>
          </w:p>
          <w:p w14:paraId="5524E852" w14:textId="77777777" w:rsidR="002355A2" w:rsidRPr="00551E8A" w:rsidRDefault="002355A2" w:rsidP="0055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636">
              <w:t>Examples:</w:t>
            </w:r>
          </w:p>
          <w:p w14:paraId="03F16A6F" w14:textId="4F0761EA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The amount of food selected or </w:t>
            </w:r>
            <w:r w:rsidR="009D7ABE" w:rsidRPr="00F27636">
              <w:rPr>
                <w:rFonts w:cstheme="minorHAnsi"/>
                <w:szCs w:val="21"/>
              </w:rPr>
              <w:t>eaten</w:t>
            </w:r>
            <w:r w:rsidRPr="00F27636">
              <w:rPr>
                <w:rFonts w:cstheme="minorHAnsi"/>
                <w:szCs w:val="21"/>
              </w:rPr>
              <w:t xml:space="preserve"> from the serving in a food package provided by a manufacturer is a ‘portion’.</w:t>
            </w:r>
          </w:p>
          <w:p w14:paraId="5F8CD33A" w14:textId="77777777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>The amount of food selected or actually eaten from the serving in a meal or snack provided by a foodservice business (restaurant, canteen, kiosk etc.) is a ‘portion’.</w:t>
            </w:r>
          </w:p>
          <w:p w14:paraId="7599E31C" w14:textId="38904D09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The amount of a food or beverage a person serves for themselves when eating at home, with family or friends or at a buffet, is a ‘portion’. </w:t>
            </w:r>
          </w:p>
        </w:tc>
      </w:tr>
      <w:tr w:rsidR="002355A2" w:rsidRPr="00F27636" w14:paraId="0F012D09" w14:textId="77777777" w:rsidTr="00551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4A08DE09" w14:textId="77B5488C" w:rsidR="002355A2" w:rsidRPr="00F27636" w:rsidRDefault="002355A2" w:rsidP="002355A2">
            <w:pPr>
              <w:pStyle w:val="BulletPoint1"/>
              <w:ind w:left="360" w:hanging="360"/>
              <w:rPr>
                <w:rFonts w:cstheme="minorHAnsi"/>
                <w:b w:val="0"/>
                <w:szCs w:val="21"/>
              </w:rPr>
            </w:pPr>
            <w:r w:rsidRPr="00F27636">
              <w:rPr>
                <w:rFonts w:cstheme="minorHAnsi"/>
                <w:szCs w:val="21"/>
              </w:rPr>
              <w:t>Serving</w:t>
            </w:r>
          </w:p>
        </w:tc>
        <w:tc>
          <w:tcPr>
            <w:tcW w:w="2406" w:type="dxa"/>
          </w:tcPr>
          <w:p w14:paraId="513AEDB7" w14:textId="745567B2" w:rsidR="002355A2" w:rsidRPr="00F27636" w:rsidRDefault="00B03017" w:rsidP="0055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636">
              <w:t>T</w:t>
            </w:r>
            <w:r w:rsidR="002355A2" w:rsidRPr="00F27636">
              <w:t>he size or amount of a product (food and/or drink), suggested by others, such as on-pack labelling by a manufacturer or provided by a food service business.</w:t>
            </w:r>
          </w:p>
        </w:tc>
        <w:tc>
          <w:tcPr>
            <w:tcW w:w="6762" w:type="dxa"/>
          </w:tcPr>
          <w:p w14:paraId="7A26F34D" w14:textId="77777777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>Food businesses suggest appropriate amounts to be consumed, by labelling, or through the amount of food provided for a menu order. Both are a ‘serving’.</w:t>
            </w:r>
          </w:p>
          <w:p w14:paraId="4350D299" w14:textId="7AE49D82" w:rsidR="002355A2" w:rsidRPr="00551E8A" w:rsidRDefault="002355A2" w:rsidP="0055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636">
              <w:t>Examples:</w:t>
            </w:r>
          </w:p>
          <w:p w14:paraId="0EAC1AB7" w14:textId="77777777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The mandatory ’serving’ as depicted on the label in the Nutrition Information Panel on packaged food. </w:t>
            </w:r>
          </w:p>
          <w:p w14:paraId="7B899DDE" w14:textId="77777777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The amount of a meal component, snack or beverage provided in a foodservice business (restaurant, canteen, kiosk </w:t>
            </w:r>
            <w:proofErr w:type="spellStart"/>
            <w:r w:rsidRPr="00F27636">
              <w:rPr>
                <w:rFonts w:cstheme="minorHAnsi"/>
                <w:szCs w:val="21"/>
              </w:rPr>
              <w:t>etc</w:t>
            </w:r>
            <w:proofErr w:type="spellEnd"/>
            <w:r w:rsidRPr="00F27636">
              <w:rPr>
                <w:rFonts w:cstheme="minorHAnsi"/>
                <w:szCs w:val="21"/>
              </w:rPr>
              <w:t>) is a ‘serving’.</w:t>
            </w:r>
          </w:p>
          <w:p w14:paraId="32FF80E9" w14:textId="697A411C" w:rsidR="002355A2" w:rsidRPr="00F27636" w:rsidRDefault="002355A2" w:rsidP="00B03017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The amount of food or beverage offered by a </w:t>
            </w:r>
            <w:proofErr w:type="spellStart"/>
            <w:r w:rsidRPr="00F27636">
              <w:rPr>
                <w:rFonts w:cstheme="minorHAnsi"/>
                <w:szCs w:val="21"/>
              </w:rPr>
              <w:t>carer</w:t>
            </w:r>
            <w:proofErr w:type="spellEnd"/>
            <w:r w:rsidRPr="00F27636">
              <w:rPr>
                <w:rFonts w:cstheme="minorHAnsi"/>
                <w:szCs w:val="21"/>
              </w:rPr>
              <w:t xml:space="preserve"> or host (for example, by placing on a plate) to a family member or guest in the home is a ‘serving’.</w:t>
            </w:r>
          </w:p>
        </w:tc>
      </w:tr>
      <w:tr w:rsidR="00FD49C2" w:rsidRPr="00F27636" w14:paraId="4D02A2A5" w14:textId="77777777" w:rsidTr="00551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14:paraId="3B296333" w14:textId="77777777" w:rsidR="00FD49C2" w:rsidRPr="00F27636" w:rsidRDefault="00FD49C2" w:rsidP="002355A2">
            <w:pPr>
              <w:pStyle w:val="BulletPoint1"/>
              <w:ind w:left="360" w:hanging="360"/>
              <w:rPr>
                <w:rFonts w:cstheme="minorHAnsi"/>
                <w:b w:val="0"/>
                <w:szCs w:val="21"/>
              </w:rPr>
            </w:pPr>
            <w:r w:rsidRPr="00F27636">
              <w:rPr>
                <w:rFonts w:cstheme="minorHAnsi"/>
                <w:szCs w:val="21"/>
              </w:rPr>
              <w:t>Serve</w:t>
            </w:r>
          </w:p>
        </w:tc>
        <w:tc>
          <w:tcPr>
            <w:tcW w:w="2406" w:type="dxa"/>
          </w:tcPr>
          <w:p w14:paraId="3DCF6675" w14:textId="0168C776" w:rsidR="00FD49C2" w:rsidRPr="00F27636" w:rsidRDefault="00FD49C2" w:rsidP="0055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636">
              <w:t xml:space="preserve">A reference amount of a food or </w:t>
            </w:r>
            <w:r w:rsidRPr="00551E8A">
              <w:t>beverage</w:t>
            </w:r>
            <w:r w:rsidRPr="00F27636">
              <w:t xml:space="preserve"> described by the Australian Dietary Guidelines.</w:t>
            </w:r>
          </w:p>
        </w:tc>
        <w:tc>
          <w:tcPr>
            <w:tcW w:w="6762" w:type="dxa"/>
          </w:tcPr>
          <w:p w14:paraId="038D6BB5" w14:textId="0CAF80CD" w:rsidR="002E67B0" w:rsidRPr="00F27636" w:rsidRDefault="002E67B0" w:rsidP="0055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636">
              <w:t xml:space="preserve">Australian </w:t>
            </w:r>
            <w:r w:rsidRPr="00551E8A">
              <w:t>Dietary</w:t>
            </w:r>
            <w:r w:rsidRPr="00F27636">
              <w:t xml:space="preserve"> Guideline serves are reference amounts of foods and drinks used by health professionals, </w:t>
            </w:r>
            <w:r w:rsidR="009D7ABE" w:rsidRPr="00F27636">
              <w:t>educators,</w:t>
            </w:r>
            <w:r w:rsidRPr="00F27636">
              <w:t xml:space="preserve"> and businesses to: </w:t>
            </w:r>
          </w:p>
          <w:p w14:paraId="6369ACC2" w14:textId="498F0496" w:rsidR="002E67B0" w:rsidRPr="00F27636" w:rsidRDefault="002E67B0" w:rsidP="002E67B0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Support Australians to build healthy diets </w:t>
            </w:r>
          </w:p>
          <w:p w14:paraId="68157C8B" w14:textId="0ACD1DB9" w:rsidR="002E67B0" w:rsidRPr="00F27636" w:rsidRDefault="002E67B0" w:rsidP="002E67B0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Assess nutritional intake </w:t>
            </w:r>
          </w:p>
          <w:p w14:paraId="12A48803" w14:textId="595723EE" w:rsidR="00FD49C2" w:rsidRPr="00F27636" w:rsidRDefault="002E67B0" w:rsidP="002E67B0">
            <w:pPr>
              <w:pStyle w:val="BulletPoint1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1"/>
              </w:rPr>
            </w:pPr>
            <w:r w:rsidRPr="00F27636">
              <w:rPr>
                <w:rFonts w:cstheme="minorHAnsi"/>
                <w:szCs w:val="21"/>
              </w:rPr>
              <w:t xml:space="preserve">Quantify the total daily recommended amounts of specific food groups. </w:t>
            </w:r>
          </w:p>
        </w:tc>
      </w:tr>
    </w:tbl>
    <w:p w14:paraId="18209DB4" w14:textId="378D921D" w:rsidR="009B4266" w:rsidRPr="00F27636" w:rsidRDefault="00F27636" w:rsidP="00551E8A">
      <w:r w:rsidRPr="00F27636">
        <w:t xml:space="preserve">To find out more about the work of the Healthy Food Partnership Portion Size Working Group, read the final report of the working group on the </w:t>
      </w:r>
      <w:hyperlink r:id="rId7" w:history="1">
        <w:r w:rsidRPr="00736802">
          <w:rPr>
            <w:rStyle w:val="Hyperlink"/>
            <w:rFonts w:cstheme="minorHAnsi"/>
            <w:szCs w:val="21"/>
          </w:rPr>
          <w:t>Department of Health website</w:t>
        </w:r>
      </w:hyperlink>
      <w:r w:rsidRPr="00F27636">
        <w:t>.</w:t>
      </w:r>
    </w:p>
    <w:sectPr w:rsidR="009B4266" w:rsidRPr="00F27636" w:rsidSect="00551E8A">
      <w:footerReference w:type="default" r:id="rId8"/>
      <w:headerReference w:type="first" r:id="rId9"/>
      <w:footerReference w:type="first" r:id="rId10"/>
      <w:pgSz w:w="11900" w:h="16840"/>
      <w:pgMar w:top="1304" w:right="1191" w:bottom="680" w:left="907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11018" w14:textId="77777777" w:rsidR="008C1D69" w:rsidRDefault="008C1D69" w:rsidP="00F15E50">
      <w:pPr>
        <w:spacing w:before="0"/>
      </w:pPr>
      <w:r>
        <w:separator/>
      </w:r>
    </w:p>
  </w:endnote>
  <w:endnote w:type="continuationSeparator" w:id="0">
    <w:p w14:paraId="056C61FA" w14:textId="77777777" w:rsidR="008C1D69" w:rsidRDefault="008C1D69" w:rsidP="00F15E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B2B7" w14:textId="7EB6068D" w:rsidR="00F15E50" w:rsidRPr="00F15E50" w:rsidRDefault="00B6633D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 w:rsidRPr="00740EC6">
      <w:rPr>
        <w:noProof/>
        <w:color w:val="D9E2F3" w:themeColor="accent1" w:themeTint="33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C4F5310" wp14:editId="558C5D1D">
              <wp:simplePos x="0" y="0"/>
              <wp:positionH relativeFrom="page">
                <wp:posOffset>-71252</wp:posOffset>
              </wp:positionH>
              <wp:positionV relativeFrom="paragraph">
                <wp:posOffset>-328369</wp:posOffset>
              </wp:positionV>
              <wp:extent cx="7897091" cy="900892"/>
              <wp:effectExtent l="0" t="0" r="8890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7091" cy="900892"/>
                      </a:xfrm>
                      <a:prstGeom prst="rect">
                        <a:avLst/>
                      </a:prstGeom>
                      <a:solidFill>
                        <a:srgbClr val="007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611D7" id="Rectangle 5" o:spid="_x0000_s1026" alt="&quot;&quot;" style="position:absolute;margin-left:-5.6pt;margin-top:-25.85pt;width:621.8pt;height:7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" fillcolor="#007a33" stroked="f" strokeweight="1pt">
              <w10:wrap anchorx="page"/>
            </v:rect>
          </w:pict>
        </mc:Fallback>
      </mc:AlternateContent>
    </w:r>
    <w:r w:rsidRPr="00B6633D">
      <w:rPr>
        <w:sz w:val="20"/>
        <w:szCs w:val="20"/>
      </w:rPr>
      <w:t>Healthy Food Partnership</w:t>
    </w:r>
    <w:r w:rsidRPr="00B6633D">
      <w:rPr>
        <w:sz w:val="20"/>
        <w:szCs w:val="20"/>
      </w:rPr>
      <w:tab/>
    </w:r>
    <w:r w:rsidRPr="00B6633D">
      <w:rPr>
        <w:sz w:val="20"/>
        <w:szCs w:val="20"/>
      </w:rPr>
      <w:tab/>
    </w:r>
    <w:r w:rsidR="00F15E50" w:rsidRPr="00F15E50">
      <w:rPr>
        <w:sz w:val="20"/>
        <w:szCs w:val="20"/>
      </w:rPr>
      <w:t xml:space="preserve">pg. </w:t>
    </w:r>
    <w:r w:rsidR="00F15E50" w:rsidRPr="00F15E50">
      <w:rPr>
        <w:sz w:val="20"/>
        <w:szCs w:val="20"/>
      </w:rPr>
      <w:fldChar w:fldCharType="begin"/>
    </w:r>
    <w:r w:rsidR="00F15E50" w:rsidRPr="00F15E50">
      <w:rPr>
        <w:sz w:val="20"/>
        <w:szCs w:val="20"/>
      </w:rPr>
      <w:instrText xml:space="preserve"> PAGE  \* Arabic </w:instrText>
    </w:r>
    <w:r w:rsidR="00F15E50" w:rsidRPr="00F15E50">
      <w:rPr>
        <w:sz w:val="20"/>
        <w:szCs w:val="20"/>
      </w:rPr>
      <w:fldChar w:fldCharType="separate"/>
    </w:r>
    <w:r w:rsidR="00F27636">
      <w:rPr>
        <w:noProof/>
        <w:sz w:val="20"/>
        <w:szCs w:val="20"/>
      </w:rPr>
      <w:t>2</w:t>
    </w:r>
    <w:r w:rsidR="00F15E50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B45A" w14:textId="7D3FECE7" w:rsidR="006D1A93" w:rsidRDefault="00740EC6" w:rsidP="006D1A93">
    <w:pPr>
      <w:pStyle w:val="Footer"/>
      <w:tabs>
        <w:tab w:val="clear" w:pos="4513"/>
        <w:tab w:val="left" w:pos="8505"/>
      </w:tabs>
    </w:pPr>
    <w:r w:rsidRPr="00740EC6">
      <w:rPr>
        <w:noProof/>
        <w:color w:val="D9E2F3" w:themeColor="accent1" w:themeTint="33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A57A5CE" wp14:editId="64B02BC7">
              <wp:simplePos x="0" y="0"/>
              <wp:positionH relativeFrom="margin">
                <wp:posOffset>-880745</wp:posOffset>
              </wp:positionH>
              <wp:positionV relativeFrom="paragraph">
                <wp:posOffset>15875</wp:posOffset>
              </wp:positionV>
              <wp:extent cx="7897091" cy="557530"/>
              <wp:effectExtent l="0" t="0" r="889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7091" cy="557530"/>
                      </a:xfrm>
                      <a:prstGeom prst="rect">
                        <a:avLst/>
                      </a:prstGeom>
                      <a:solidFill>
                        <a:srgbClr val="007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21E27" id="Rectangle 4" o:spid="_x0000_s1026" alt="&quot;&quot;" style="position:absolute;margin-left:-69.35pt;margin-top:1.25pt;width:621.8pt;height:43.9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" fillcolor="#007a33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20427" w14:textId="77777777" w:rsidR="008C1D69" w:rsidRDefault="008C1D69" w:rsidP="00F15E50">
      <w:pPr>
        <w:spacing w:before="0"/>
      </w:pPr>
      <w:r>
        <w:separator/>
      </w:r>
    </w:p>
  </w:footnote>
  <w:footnote w:type="continuationSeparator" w:id="0">
    <w:p w14:paraId="7D56658F" w14:textId="77777777" w:rsidR="008C1D69" w:rsidRDefault="008C1D69" w:rsidP="00F15E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41FB" w14:textId="7C5EADFF" w:rsidR="006D1A93" w:rsidRDefault="000B54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28F12B4E" wp14:editId="04DD09FD">
          <wp:simplePos x="0" y="0"/>
          <wp:positionH relativeFrom="margin">
            <wp:posOffset>3736340</wp:posOffset>
          </wp:positionH>
          <wp:positionV relativeFrom="paragraph">
            <wp:posOffset>104140</wp:posOffset>
          </wp:positionV>
          <wp:extent cx="2016000" cy="627001"/>
          <wp:effectExtent l="0" t="0" r="3810" b="190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62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71DD8998" wp14:editId="2ED4EA54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2196000" cy="528063"/>
          <wp:effectExtent l="0" t="0" r="0" b="571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52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0F612D3C"/>
    <w:multiLevelType w:val="hybridMultilevel"/>
    <w:tmpl w:val="8AA43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11BDF"/>
    <w:multiLevelType w:val="hybridMultilevel"/>
    <w:tmpl w:val="17989B88"/>
    <w:lvl w:ilvl="0" w:tplc="2242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BC5"/>
    <w:multiLevelType w:val="hybridMultilevel"/>
    <w:tmpl w:val="10D287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E22427"/>
    <w:multiLevelType w:val="hybridMultilevel"/>
    <w:tmpl w:val="100AB886"/>
    <w:lvl w:ilvl="0" w:tplc="E25EB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1D3A"/>
    <w:multiLevelType w:val="hybridMultilevel"/>
    <w:tmpl w:val="D29EA204"/>
    <w:lvl w:ilvl="0" w:tplc="FC363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593D"/>
    <w:multiLevelType w:val="hybridMultilevel"/>
    <w:tmpl w:val="6F4648EE"/>
    <w:lvl w:ilvl="0" w:tplc="2242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B"/>
    <w:rsid w:val="000049E0"/>
    <w:rsid w:val="0008333A"/>
    <w:rsid w:val="000B549F"/>
    <w:rsid w:val="000D3909"/>
    <w:rsid w:val="000F714E"/>
    <w:rsid w:val="001108B0"/>
    <w:rsid w:val="001956F3"/>
    <w:rsid w:val="001D3B66"/>
    <w:rsid w:val="002355A2"/>
    <w:rsid w:val="002733B8"/>
    <w:rsid w:val="0028138A"/>
    <w:rsid w:val="002A71B0"/>
    <w:rsid w:val="002B2143"/>
    <w:rsid w:val="002E28C3"/>
    <w:rsid w:val="002E67B0"/>
    <w:rsid w:val="002E79F3"/>
    <w:rsid w:val="0033600D"/>
    <w:rsid w:val="00340D8E"/>
    <w:rsid w:val="003571BE"/>
    <w:rsid w:val="00365042"/>
    <w:rsid w:val="00374FA0"/>
    <w:rsid w:val="0041384D"/>
    <w:rsid w:val="00441C2B"/>
    <w:rsid w:val="0048373F"/>
    <w:rsid w:val="004B402B"/>
    <w:rsid w:val="005305AD"/>
    <w:rsid w:val="00551E8A"/>
    <w:rsid w:val="00557B05"/>
    <w:rsid w:val="00585835"/>
    <w:rsid w:val="00616171"/>
    <w:rsid w:val="00625BFA"/>
    <w:rsid w:val="006303A5"/>
    <w:rsid w:val="00643318"/>
    <w:rsid w:val="006743DA"/>
    <w:rsid w:val="0069389C"/>
    <w:rsid w:val="006D1A93"/>
    <w:rsid w:val="00710FA3"/>
    <w:rsid w:val="00736802"/>
    <w:rsid w:val="00740EC6"/>
    <w:rsid w:val="0075034E"/>
    <w:rsid w:val="007F7F43"/>
    <w:rsid w:val="0082723D"/>
    <w:rsid w:val="00843974"/>
    <w:rsid w:val="0086674F"/>
    <w:rsid w:val="008C1D69"/>
    <w:rsid w:val="00901279"/>
    <w:rsid w:val="0094077E"/>
    <w:rsid w:val="00952FE7"/>
    <w:rsid w:val="0095327E"/>
    <w:rsid w:val="009823BB"/>
    <w:rsid w:val="009B4266"/>
    <w:rsid w:val="009D7ABE"/>
    <w:rsid w:val="009F57F5"/>
    <w:rsid w:val="00A41839"/>
    <w:rsid w:val="00AA29B3"/>
    <w:rsid w:val="00AE00D9"/>
    <w:rsid w:val="00B03017"/>
    <w:rsid w:val="00B6633D"/>
    <w:rsid w:val="00BF16AB"/>
    <w:rsid w:val="00C74007"/>
    <w:rsid w:val="00D265AF"/>
    <w:rsid w:val="00D75349"/>
    <w:rsid w:val="00D75691"/>
    <w:rsid w:val="00D96E3A"/>
    <w:rsid w:val="00DE7C03"/>
    <w:rsid w:val="00E000A7"/>
    <w:rsid w:val="00E04571"/>
    <w:rsid w:val="00E73F7E"/>
    <w:rsid w:val="00EA3E1C"/>
    <w:rsid w:val="00EB0E4F"/>
    <w:rsid w:val="00EC34BE"/>
    <w:rsid w:val="00ED136A"/>
    <w:rsid w:val="00F15E50"/>
    <w:rsid w:val="00F27636"/>
    <w:rsid w:val="00F33CEE"/>
    <w:rsid w:val="00F53DD6"/>
    <w:rsid w:val="00F81571"/>
    <w:rsid w:val="00FA62E3"/>
    <w:rsid w:val="00FC6E53"/>
    <w:rsid w:val="00FD49C2"/>
    <w:rsid w:val="00FE2CE0"/>
    <w:rsid w:val="00FE30D6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C7AAD2"/>
  <w14:defaultImageDpi w14:val="32767"/>
  <w15:docId w15:val="{D727BBCD-2543-4E04-8F9C-5FC036A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8A"/>
    <w:pPr>
      <w:spacing w:before="120" w:after="120"/>
    </w:pPr>
    <w:rPr>
      <w:rFonts w:eastAsia="Times New Roman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551E8A"/>
    <w:pPr>
      <w:keepNext/>
      <w:keepLines/>
      <w:spacing w:before="720" w:after="120"/>
      <w:outlineLvl w:val="0"/>
    </w:pPr>
    <w:rPr>
      <w:rFonts w:ascii="Arial" w:eastAsia="MS Gothic" w:hAnsi="Arial" w:cstheme="majorBidi"/>
      <w:color w:val="007A33"/>
      <w:sz w:val="40"/>
      <w:szCs w:val="36"/>
      <w:lang w:val="en-US" w:eastAsia="en-AU"/>
    </w:rPr>
  </w:style>
  <w:style w:type="paragraph" w:styleId="Heading2">
    <w:name w:val="heading 2"/>
    <w:basedOn w:val="IntenseQuote"/>
    <w:next w:val="Normal"/>
    <w:link w:val="Heading2Char"/>
    <w:uiPriority w:val="9"/>
    <w:unhideWhenUsed/>
    <w:qFormat/>
    <w:rsid w:val="00740EC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49F"/>
    <w:pPr>
      <w:keepNext/>
      <w:keepLines/>
      <w:spacing w:before="360" w:line="271" w:lineRule="auto"/>
      <w:outlineLvl w:val="2"/>
    </w:pPr>
    <w:rPr>
      <w:rFonts w:eastAsia="MS Gothic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49F"/>
    <w:pPr>
      <w:keepNext/>
      <w:keepLines/>
      <w:spacing w:before="360" w:line="259" w:lineRule="auto"/>
      <w:outlineLvl w:val="3"/>
    </w:pPr>
    <w:rPr>
      <w:rFonts w:eastAsia="MS Gothic"/>
      <w:i/>
      <w:iCs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E8A"/>
    <w:rPr>
      <w:rFonts w:ascii="Arial" w:eastAsia="MS Gothic" w:hAnsi="Arial" w:cstheme="majorBidi"/>
      <w:color w:val="007A33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40EC6"/>
    <w:rPr>
      <w:rFonts w:ascii="Arial" w:eastAsia="Times New Roman" w:hAnsi="Arial" w:cs="Times New Roman"/>
      <w:iCs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B549F"/>
    <w:rPr>
      <w:rFonts w:ascii="Arial" w:eastAsia="MS Gothic" w:hAnsi="Arial" w:cs="Times New Roman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B549F"/>
    <w:rPr>
      <w:rFonts w:ascii="Arial" w:eastAsia="MS Gothic" w:hAnsi="Arial" w:cs="Times New Roman"/>
      <w:i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B549F"/>
    <w:pPr>
      <w:spacing w:before="480" w:after="240" w:line="400" w:lineRule="exact"/>
      <w:ind w:right="1134"/>
    </w:pPr>
    <w:rPr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49F"/>
    <w:rPr>
      <w:rFonts w:ascii="Arial" w:eastAsia="Times New Roman" w:hAnsi="Arial" w:cs="Times New Roman"/>
      <w:iCs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740EC6"/>
    <w:pPr>
      <w:pBdr>
        <w:top w:val="single" w:sz="4" w:space="15" w:color="007A33"/>
        <w:bottom w:val="single" w:sz="4" w:space="10" w:color="007A33"/>
      </w:pBdr>
      <w:spacing w:before="360" w:after="360" w:line="340" w:lineRule="exact"/>
    </w:pPr>
    <w:rPr>
      <w:rFonts w:eastAsiaTheme="minorHAnsi"/>
      <w:color w:val="007A33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740EC6"/>
    <w:rPr>
      <w:b/>
      <w:caps/>
      <w:smallCaps w:val="0"/>
      <w:color w:val="007A33"/>
      <w:bdr w:val="none" w:sz="0" w:space="0" w:color="auto"/>
    </w:rPr>
  </w:style>
  <w:style w:type="paragraph" w:customStyle="1" w:styleId="BulletPoint1">
    <w:name w:val="Bullet Point 1"/>
    <w:basedOn w:val="Normal"/>
    <w:qFormat/>
    <w:rsid w:val="00740EC6"/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40EC6"/>
    <w:pPr>
      <w:tabs>
        <w:tab w:val="center" w:pos="4513"/>
        <w:tab w:val="right" w:pos="9026"/>
      </w:tabs>
      <w:spacing w:before="0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740EC6"/>
    <w:rPr>
      <w:rFonts w:ascii="Arial" w:eastAsia="Times New Roman" w:hAnsi="Arial" w:cs="Times New Roman"/>
      <w:color w:val="FFFFFF" w:themeColor="background1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IntenseEmphasis">
    <w:name w:val="Intense Emphasis"/>
    <w:basedOn w:val="DefaultParagraphFont"/>
    <w:uiPriority w:val="21"/>
    <w:qFormat/>
    <w:rsid w:val="00740EC6"/>
    <w:rPr>
      <w:i/>
      <w:iCs/>
      <w:color w:val="007A33"/>
    </w:rPr>
  </w:style>
  <w:style w:type="character" w:styleId="IntenseReference">
    <w:name w:val="Intense Reference"/>
    <w:basedOn w:val="DefaultParagraphFont"/>
    <w:uiPriority w:val="32"/>
    <w:qFormat/>
    <w:rsid w:val="00740EC6"/>
    <w:rPr>
      <w:b/>
      <w:bCs/>
      <w:smallCaps/>
      <w:color w:val="007A33"/>
      <w:spacing w:val="5"/>
    </w:rPr>
  </w:style>
  <w:style w:type="table" w:styleId="TableGrid">
    <w:name w:val="Table Grid"/>
    <w:basedOn w:val="TableNormal"/>
    <w:uiPriority w:val="39"/>
    <w:rsid w:val="00551E8A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</w:tblStylePr>
    <w:tblStylePr w:type="firstCol">
      <w:rPr>
        <w:rFonts w:asciiTheme="minorHAnsi" w:hAnsiTheme="minorHAnsi"/>
        <w:b/>
        <w:sz w:val="22"/>
      </w:rPr>
    </w:tblStylePr>
  </w:style>
  <w:style w:type="character" w:styleId="Hyperlink">
    <w:name w:val="Hyperlink"/>
    <w:basedOn w:val="DefaultParagraphFont"/>
    <w:uiPriority w:val="99"/>
    <w:unhideWhenUsed/>
    <w:rsid w:val="00FE3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archive.nla.gov.au/awa/20210604022950/http:/medicareforall.health.gov.au/internet/main/publishing.nsf/Content/portion-contr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Consistent terminology for describing the size of food and beverages</dc:title>
  <dc:subject>Nutrition</dc:subject>
  <dc:creator>Australian Government Department of Health</dc:creator>
  <cp:keywords>Preventive health; Nutrition; Health food partnership; food and beverages</cp:keywords>
  <cp:lastModifiedBy>MASCHKE, Elvia</cp:lastModifiedBy>
  <cp:revision>3</cp:revision>
  <cp:lastPrinted>2019-08-22T00:11:00Z</cp:lastPrinted>
  <dcterms:created xsi:type="dcterms:W3CDTF">2022-06-21T02:05:00Z</dcterms:created>
  <dcterms:modified xsi:type="dcterms:W3CDTF">2022-06-21T02:32:00Z</dcterms:modified>
</cp:coreProperties>
</file>