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3265651" w14:textId="77777777" w:rsidTr="00800DEB">
        <w:tc>
          <w:tcPr>
            <w:tcW w:w="2547" w:type="dxa"/>
          </w:tcPr>
          <w:p w14:paraId="0F5C49A4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76E78FC" wp14:editId="74242366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281DEEF" w14:textId="7472F4B1" w:rsidR="00800DEB" w:rsidRDefault="00367AF9" w:rsidP="00800DEB">
            <w:pPr>
              <w:pStyle w:val="Title"/>
            </w:pPr>
            <w:r w:rsidRPr="00367AF9">
              <w:t>Ornithosis (psittacosis)</w:t>
            </w:r>
          </w:p>
          <w:p w14:paraId="2B52662B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40CA1AF9" w14:textId="5852E361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367AF9">
        <w:t>o</w:t>
      </w:r>
      <w:r w:rsidR="00367AF9" w:rsidRPr="00367AF9">
        <w:t>rnithosis (psittacosis)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43"/>
        <w:gridCol w:w="1260"/>
        <w:gridCol w:w="1944"/>
      </w:tblGrid>
      <w:tr w:rsidR="00800DEB" w:rsidRPr="00872414" w14:paraId="04281E49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9891E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58E026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13FE7C8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24FC752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32C44C15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1E8F51" w14:textId="6B3F4F10" w:rsidR="00800DEB" w:rsidRPr="00872414" w:rsidRDefault="00367AF9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49C294F3" w14:textId="77777777" w:rsidR="00367AF9" w:rsidRDefault="00367AF9" w:rsidP="00367AF9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Confirmed cases no longer require epidemiological evidence.</w:t>
            </w:r>
          </w:p>
          <w:p w14:paraId="48D8FCBA" w14:textId="77777777" w:rsidR="00367AF9" w:rsidRDefault="00367AF9" w:rsidP="00367AF9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Complement fixation has been removed from laboratory suggestive evidence and included as laboratory definitive evidence.</w:t>
            </w:r>
          </w:p>
          <w:p w14:paraId="47644C3A" w14:textId="77777777" w:rsidR="00367AF9" w:rsidRDefault="00367AF9" w:rsidP="00367AF9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Clinical evidence includes ‘not able to be explained by an alternative </w:t>
            </w:r>
            <w:proofErr w:type="gramStart"/>
            <w:r>
              <w:rPr>
                <w:lang w:eastAsia="en-AU"/>
              </w:rPr>
              <w:t>diagnosis’</w:t>
            </w:r>
            <w:proofErr w:type="gramEnd"/>
            <w:r>
              <w:rPr>
                <w:lang w:eastAsia="en-AU"/>
              </w:rPr>
              <w:t>.</w:t>
            </w:r>
          </w:p>
          <w:p w14:paraId="6DCD330C" w14:textId="77777777" w:rsidR="00367AF9" w:rsidRDefault="00367AF9" w:rsidP="00367AF9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Proximity to an outbreak has been removed from epidemiological evidence and replaced by contact with a confirmed human or animal case.</w:t>
            </w:r>
          </w:p>
          <w:p w14:paraId="396CE421" w14:textId="742C355D" w:rsidR="00800DEB" w:rsidRPr="00872414" w:rsidRDefault="00367AF9" w:rsidP="00367AF9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Footnote included to assist in the interpretation of psittacosis serology.</w:t>
            </w:r>
            <w:r w:rsidRPr="00367AF9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21788754" w14:textId="6617F22B" w:rsidR="00800DEB" w:rsidRPr="00872414" w:rsidRDefault="00367AF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2017</w:t>
            </w:r>
          </w:p>
        </w:tc>
        <w:tc>
          <w:tcPr>
            <w:tcW w:w="0" w:type="auto"/>
          </w:tcPr>
          <w:p w14:paraId="27EC63FB" w14:textId="44753344" w:rsidR="00800DEB" w:rsidRPr="00872414" w:rsidRDefault="00367AF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67AF9">
              <w:rPr>
                <w:lang w:eastAsia="en-AU"/>
              </w:rPr>
              <w:t>1 July 2018</w:t>
            </w:r>
          </w:p>
        </w:tc>
      </w:tr>
      <w:tr w:rsidR="00800DEB" w:rsidRPr="00872414" w14:paraId="4F21D417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A78870" w14:textId="1C053DE0" w:rsidR="00800DEB" w:rsidRPr="00872414" w:rsidRDefault="00367AF9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4929FD1D" w14:textId="38002584" w:rsidR="00800DEB" w:rsidRPr="00872414" w:rsidRDefault="00367AF9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67AF9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6AE025DD" w14:textId="28F0227D" w:rsidR="00800DEB" w:rsidRPr="00872414" w:rsidRDefault="00367AF9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34197171" w14:textId="35031E40" w:rsidR="00800DEB" w:rsidRPr="00872414" w:rsidRDefault="00367AF9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7CC1993E" w14:textId="77777777" w:rsidR="00367AF9" w:rsidRPr="00367AF9" w:rsidRDefault="00367AF9" w:rsidP="00367AF9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367AF9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2A20DF21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367AF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conﬁrmed cases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367AF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should be notiﬁed.</w:t>
      </w:r>
    </w:p>
    <w:p w14:paraId="4A1CB55A" w14:textId="77777777" w:rsidR="00367AF9" w:rsidRPr="00367AF9" w:rsidRDefault="00367AF9" w:rsidP="00367AF9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367AF9">
        <w:rPr>
          <w:rFonts w:ascii="Open Sans" w:hAnsi="Open Sans" w:cs="Open Sans"/>
          <w:color w:val="000000"/>
          <w:sz w:val="36"/>
          <w:szCs w:val="36"/>
          <w:lang w:eastAsia="en-AU"/>
        </w:rPr>
        <w:t>Confirmed case</w:t>
      </w:r>
    </w:p>
    <w:p w14:paraId="4A6618A8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A conﬁrmed case requires laboratory deﬁnitive evidence AND clinical evidence</w:t>
      </w:r>
    </w:p>
    <w:p w14:paraId="49CCD280" w14:textId="77777777" w:rsidR="00367AF9" w:rsidRPr="00367AF9" w:rsidRDefault="00367AF9" w:rsidP="00367AF9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367AF9">
        <w:rPr>
          <w:rFonts w:ascii="Open Sans" w:hAnsi="Open Sans" w:cs="Open Sans"/>
          <w:color w:val="000000"/>
          <w:sz w:val="36"/>
          <w:szCs w:val="36"/>
          <w:lang w:eastAsia="en-AU"/>
        </w:rPr>
        <w:lastRenderedPageBreak/>
        <w:t>Probable case</w:t>
      </w:r>
    </w:p>
    <w:p w14:paraId="51B460CD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 laboratory suggestive evidence AND clinical evidence AND epidemiological evidence.</w:t>
      </w:r>
    </w:p>
    <w:p w14:paraId="0FF26C52" w14:textId="77777777" w:rsidR="00367AF9" w:rsidRPr="00367AF9" w:rsidRDefault="00367AF9" w:rsidP="00367AF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67AF9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2324314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A seroconversion or fourfold or greater rise in either immunoglobulin G (IgG) antibody by </w:t>
      </w:r>
      <w:proofErr w:type="spellStart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microimmunoﬂuorescence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(MIF) or complement fixation (CF) antibody against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Chlamydophila 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- between acute and convalescent sera (collected at least two weeks later) tested in parallel.</w:t>
      </w:r>
      <w:hyperlink r:id="rId12" w:anchor="01" w:history="1">
        <w:r w:rsidRPr="00367AF9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1</w:t>
        </w:r>
      </w:hyperlink>
    </w:p>
    <w:p w14:paraId="3D44466F" w14:textId="77777777" w:rsidR="00367AF9" w:rsidRPr="00367AF9" w:rsidRDefault="00367AF9" w:rsidP="00367AF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F4EE6F0" w14:textId="77777777" w:rsidR="00367AF9" w:rsidRPr="00367AF9" w:rsidRDefault="00367AF9" w:rsidP="00367AF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Detection of C. 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by nucleic acid testing.</w:t>
      </w:r>
    </w:p>
    <w:p w14:paraId="10FE847E" w14:textId="77777777" w:rsidR="00367AF9" w:rsidRPr="00367AF9" w:rsidRDefault="00367AF9" w:rsidP="00367AF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F2DA0A1" w14:textId="77777777" w:rsidR="00367AF9" w:rsidRPr="00367AF9" w:rsidRDefault="00367AF9" w:rsidP="00367AF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Isolation of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by culture.</w:t>
      </w:r>
    </w:p>
    <w:p w14:paraId="64780592" w14:textId="77777777" w:rsidR="00367AF9" w:rsidRPr="00367AF9" w:rsidRDefault="00367AF9" w:rsidP="00367AF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67AF9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6B7A9E02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Detection of IgM or single high IgG antibody titre</w:t>
      </w:r>
      <w:hyperlink r:id="rId13" w:anchor="02" w:history="1">
        <w:r w:rsidRPr="00367AF9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2</w:t>
        </w:r>
      </w:hyperlink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to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by MIF</w:t>
      </w:r>
    </w:p>
    <w:p w14:paraId="5A0CA91D" w14:textId="77777777" w:rsidR="00367AF9" w:rsidRPr="00367AF9" w:rsidRDefault="00367AF9" w:rsidP="00367AF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2C09713" w14:textId="77777777" w:rsidR="00367AF9" w:rsidRPr="00367AF9" w:rsidRDefault="00367AF9" w:rsidP="00367AF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A single high C. 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CF antibody titre.</w:t>
      </w:r>
      <w:hyperlink r:id="rId14" w:anchor="02" w:history="1">
        <w:r w:rsidRPr="00367AF9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2</w:t>
        </w:r>
      </w:hyperlink>
    </w:p>
    <w:p w14:paraId="21709011" w14:textId="77777777" w:rsidR="00367AF9" w:rsidRPr="00367AF9" w:rsidRDefault="00367AF9" w:rsidP="00367AF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67AF9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76539FAF" w14:textId="77777777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Pneumonia</w:t>
      </w:r>
    </w:p>
    <w:p w14:paraId="0121EFAB" w14:textId="77777777" w:rsidR="00367AF9" w:rsidRPr="00367AF9" w:rsidRDefault="00367AF9" w:rsidP="00367AF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DF4269A" w14:textId="77777777" w:rsidR="00367AF9" w:rsidRPr="00367AF9" w:rsidRDefault="00367AF9" w:rsidP="00367AF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AT LEAST TWO of the following: fever, headache, myalgia, rigors, dry </w:t>
      </w:r>
      <w:proofErr w:type="gramStart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cough</w:t>
      </w:r>
      <w:proofErr w:type="gram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or dyspnoea.</w:t>
      </w:r>
    </w:p>
    <w:p w14:paraId="6A798D41" w14:textId="77777777" w:rsidR="00367AF9" w:rsidRPr="00367AF9" w:rsidRDefault="00367AF9" w:rsidP="00367AF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542CDB81" w14:textId="77777777" w:rsidR="00367AF9" w:rsidRPr="00367AF9" w:rsidRDefault="00367AF9" w:rsidP="00367AF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Not explained by an alternative diagnosis</w:t>
      </w:r>
    </w:p>
    <w:p w14:paraId="57EDC0C6" w14:textId="77777777" w:rsidR="00367AF9" w:rsidRPr="00367AF9" w:rsidRDefault="00367AF9" w:rsidP="00367AF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67AF9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7CB5042F" w14:textId="36F9FA1D" w:rsidR="00367AF9" w:rsidRPr="00367AF9" w:rsidRDefault="00367AF9" w:rsidP="00367AF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Direct or indirect exposure to birds or bird </w:t>
      </w:r>
      <w:proofErr w:type="gramStart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products, or</w:t>
      </w:r>
      <w:proofErr w:type="gram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contact with a confirmed human or animal case.</w:t>
      </w:r>
      <w:r>
        <w:br w:type="page"/>
      </w:r>
    </w:p>
    <w:p w14:paraId="1ABDC6EC" w14:textId="77777777" w:rsidR="00367AF9" w:rsidRPr="00367AF9" w:rsidRDefault="00367AF9" w:rsidP="00367AF9">
      <w:pPr>
        <w:spacing w:before="450" w:after="450"/>
        <w:rPr>
          <w:rFonts w:ascii="Times New Roman" w:hAnsi="Times New Roman"/>
          <w:sz w:val="24"/>
          <w:lang w:eastAsia="en-AU"/>
        </w:rPr>
      </w:pPr>
      <w:r w:rsidRPr="00367AF9">
        <w:rPr>
          <w:rFonts w:ascii="Times New Roman" w:hAnsi="Times New Roman"/>
          <w:sz w:val="24"/>
          <w:lang w:eastAsia="en-AU"/>
        </w:rPr>
        <w:lastRenderedPageBreak/>
        <w:pict w14:anchorId="6BBF08B4">
          <v:rect id="_x0000_i1025" style="width:0;height:1.5pt" o:hralign="center" o:hrstd="t" o:hrnoshade="t" o:hr="t" fillcolor="#222" stroked="f"/>
        </w:pict>
      </w:r>
    </w:p>
    <w:p w14:paraId="7D850401" w14:textId="77777777" w:rsidR="00367AF9" w:rsidRPr="00367AF9" w:rsidRDefault="00367AF9" w:rsidP="00367AF9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bookmarkStart w:id="0" w:name="01"/>
      <w:bookmarkEnd w:id="0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psittaci</w:t>
      </w:r>
      <w:proofErr w:type="spell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MIF antibody is more specific than CF antibody. However, positive serologic findings by both MIF and CF may occur </w:t>
      </w:r>
      <w:proofErr w:type="gramStart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as a result of</w:t>
      </w:r>
      <w:proofErr w:type="gramEnd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infection with other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Chlamydia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species and should be interpreted with caution. This is most likely to occur with primary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Chlamydophila pneumoniae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infection from 5-15 years of age.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Chlamydia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 spp. infection in those &lt; 5 years of age may not produce a MIF or CF serological response.</w:t>
      </w:r>
    </w:p>
    <w:p w14:paraId="217DFB05" w14:textId="0C6C6F64" w:rsidR="009E0B84" w:rsidRPr="00367AF9" w:rsidRDefault="00367AF9" w:rsidP="00367AF9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bookmarkStart w:id="1" w:name="02"/>
      <w:bookmarkEnd w:id="1"/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MIF IgG antibody can persist for years whereas CF antibody diminishes over months following </w:t>
      </w:r>
      <w:r w:rsidRPr="00367AF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Chlamydia </w:t>
      </w:r>
      <w:r w:rsidRPr="00367AF9">
        <w:rPr>
          <w:rFonts w:ascii="Helvetica" w:hAnsi="Helvetica" w:cs="Helvetica"/>
          <w:color w:val="222222"/>
          <w:sz w:val="20"/>
          <w:szCs w:val="20"/>
          <w:lang w:eastAsia="en-AU"/>
        </w:rPr>
        <w:t>spp. infection</w:t>
      </w:r>
    </w:p>
    <w:sectPr w:rsidR="009E0B84" w:rsidRPr="00367AF9" w:rsidSect="00022629">
      <w:footerReference w:type="default" r:id="rId15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AD22" w14:textId="77777777" w:rsidR="00367AF9" w:rsidRDefault="00367AF9" w:rsidP="006B56BB">
      <w:r>
        <w:separator/>
      </w:r>
    </w:p>
    <w:p w14:paraId="0EEEC679" w14:textId="77777777" w:rsidR="00367AF9" w:rsidRDefault="00367AF9"/>
  </w:endnote>
  <w:endnote w:type="continuationSeparator" w:id="0">
    <w:p w14:paraId="4690343C" w14:textId="77777777" w:rsidR="00367AF9" w:rsidRDefault="00367AF9" w:rsidP="006B56BB">
      <w:r>
        <w:continuationSeparator/>
      </w:r>
    </w:p>
    <w:p w14:paraId="2530BEEF" w14:textId="77777777" w:rsidR="00367AF9" w:rsidRDefault="00367AF9"/>
  </w:endnote>
  <w:endnote w:type="continuationNotice" w:id="1">
    <w:p w14:paraId="25566A0C" w14:textId="77777777" w:rsidR="00367AF9" w:rsidRDefault="00367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2DEDD" w14:textId="7E6BC8CD" w:rsidR="00CD407A" w:rsidRDefault="00367AF9" w:rsidP="00367AF9">
            <w:pPr>
              <w:pStyle w:val="Footer"/>
              <w:jc w:val="right"/>
            </w:pPr>
            <w:r w:rsidRPr="00367AF9">
              <w:t>Ornithosis (psittacosis)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07AD" w14:textId="77777777" w:rsidR="00367AF9" w:rsidRDefault="00367AF9" w:rsidP="006B56BB">
      <w:r>
        <w:separator/>
      </w:r>
    </w:p>
    <w:p w14:paraId="238648FF" w14:textId="77777777" w:rsidR="00367AF9" w:rsidRDefault="00367AF9"/>
  </w:footnote>
  <w:footnote w:type="continuationSeparator" w:id="0">
    <w:p w14:paraId="4F01A4BE" w14:textId="77777777" w:rsidR="00367AF9" w:rsidRDefault="00367AF9" w:rsidP="006B56BB">
      <w:r>
        <w:continuationSeparator/>
      </w:r>
    </w:p>
    <w:p w14:paraId="0D19FC98" w14:textId="77777777" w:rsidR="00367AF9" w:rsidRDefault="00367AF9"/>
  </w:footnote>
  <w:footnote w:type="continuationNotice" w:id="1">
    <w:p w14:paraId="3A42EDB0" w14:textId="77777777" w:rsidR="00367AF9" w:rsidRDefault="00367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52D"/>
    <w:multiLevelType w:val="multilevel"/>
    <w:tmpl w:val="B36A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30736"/>
    <w:multiLevelType w:val="hybridMultilevel"/>
    <w:tmpl w:val="BBE6E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7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9"/>
  </w:num>
  <w:num w:numId="17">
    <w:abstractNumId w:val="10"/>
  </w:num>
  <w:num w:numId="18">
    <w:abstractNumId w:val="11"/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7AF9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5F43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B6B34"/>
  <w15:docId w15:val="{ABADFE4D-F2AC-4A98-8792-D94FF2F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367AF9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7AF9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7AF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5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19490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628826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986741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982957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1.health.gov.au/internet/main/publishing.nsf/Content/cda-surveil-nndss-casedefs-cd_psit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a-surveil-nndss-casedefs-cd_psitt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1.health.gov.au/internet/main/publishing.nsf/Content/cda-surveil-nndss-casedefs-cd_psit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1D093F6D-BD6E-4B38-A1C3-ED0991C6944A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6</TotalTime>
  <Pages>3</Pages>
  <Words>387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Ornithosis (psittacosis)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2022-06-08T01:01:00Z</dcterms:created>
  <dcterms:modified xsi:type="dcterms:W3CDTF">2022-06-08T01:07:00Z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