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405B9" w14:textId="77777777" w:rsidR="00CA053D" w:rsidRPr="00CA053D" w:rsidRDefault="00CA053D" w:rsidP="00821112">
      <w:pPr>
        <w:shd w:val="clear" w:color="auto" w:fill="FFFFFF"/>
        <w:spacing w:after="0" w:line="260" w:lineRule="atLeast"/>
        <w:jc w:val="center"/>
        <w:rPr>
          <w:rFonts w:ascii="Times New Roman" w:eastAsia="Times New Roman" w:hAnsi="Times New Roman" w:cs="Times New Roman"/>
          <w:b/>
          <w:bCs/>
          <w:color w:val="000000"/>
          <w:sz w:val="24"/>
          <w:lang w:eastAsia="en-AU"/>
        </w:rPr>
      </w:pPr>
      <w:r>
        <w:rPr>
          <w:rFonts w:ascii="Times New Roman" w:eastAsia="Times New Roman" w:hAnsi="Times New Roman" w:cs="Times New Roman"/>
          <w:b/>
          <w:bCs/>
          <w:color w:val="000000"/>
          <w:sz w:val="24"/>
          <w:lang w:eastAsia="en-AU"/>
        </w:rPr>
        <w:t xml:space="preserve">Notice under Section 19(2) of the </w:t>
      </w:r>
      <w:r>
        <w:rPr>
          <w:rFonts w:ascii="Times New Roman" w:eastAsia="Times New Roman" w:hAnsi="Times New Roman" w:cs="Times New Roman"/>
          <w:b/>
          <w:bCs/>
          <w:i/>
          <w:color w:val="000000"/>
          <w:sz w:val="24"/>
          <w:lang w:eastAsia="en-AU"/>
        </w:rPr>
        <w:t xml:space="preserve">Health Insurance (Bonded Medical Program) Rule 2020 </w:t>
      </w:r>
      <w:r>
        <w:rPr>
          <w:rFonts w:ascii="Times New Roman" w:eastAsia="Times New Roman" w:hAnsi="Times New Roman" w:cs="Times New Roman"/>
          <w:b/>
          <w:bCs/>
          <w:color w:val="000000"/>
          <w:sz w:val="24"/>
          <w:lang w:eastAsia="en-AU"/>
        </w:rPr>
        <w:t>(‘BMP Rule’)</w:t>
      </w:r>
    </w:p>
    <w:p w14:paraId="72FC5CDA" w14:textId="77777777" w:rsidR="003A1A29" w:rsidRDefault="003A1A29" w:rsidP="00226FC3">
      <w:pPr>
        <w:shd w:val="clear" w:color="auto" w:fill="FFFFFF"/>
        <w:spacing w:after="0" w:line="260" w:lineRule="atLeast"/>
        <w:jc w:val="both"/>
        <w:rPr>
          <w:rFonts w:ascii="Times New Roman" w:eastAsia="Times New Roman" w:hAnsi="Times New Roman" w:cs="Times New Roman"/>
          <w:b/>
          <w:bCs/>
          <w:color w:val="000000"/>
          <w:sz w:val="24"/>
          <w:lang w:eastAsia="en-AU"/>
        </w:rPr>
      </w:pPr>
    </w:p>
    <w:p w14:paraId="5682FE72" w14:textId="77777777" w:rsidR="00CA053D" w:rsidRDefault="002118F5" w:rsidP="00226FC3">
      <w:pPr>
        <w:shd w:val="clear" w:color="auto" w:fill="FFFFFF"/>
        <w:spacing w:after="0" w:line="260" w:lineRule="atLeast"/>
        <w:jc w:val="both"/>
        <w:rPr>
          <w:rFonts w:ascii="Times New Roman" w:eastAsia="Times New Roman" w:hAnsi="Times New Roman" w:cs="Times New Roman"/>
          <w:color w:val="000000"/>
          <w:sz w:val="24"/>
          <w:lang w:eastAsia="en-AU"/>
        </w:rPr>
      </w:pPr>
      <w:r>
        <w:rPr>
          <w:rFonts w:ascii="Times New Roman" w:eastAsia="Times New Roman" w:hAnsi="Times New Roman" w:cs="Times New Roman"/>
          <w:color w:val="000000"/>
          <w:sz w:val="24"/>
          <w:lang w:eastAsia="en-AU"/>
        </w:rPr>
        <w:t>For the purposes of section 19(2) of the BMP Rule, t</w:t>
      </w:r>
      <w:r w:rsidR="00CA053D">
        <w:rPr>
          <w:rFonts w:ascii="Times New Roman" w:eastAsia="Times New Roman" w:hAnsi="Times New Roman" w:cs="Times New Roman"/>
          <w:color w:val="000000"/>
          <w:sz w:val="24"/>
          <w:lang w:eastAsia="en-AU"/>
        </w:rPr>
        <w:t xml:space="preserve">he </w:t>
      </w:r>
      <w:r w:rsidR="00FE5DE3">
        <w:rPr>
          <w:rFonts w:ascii="Times New Roman" w:eastAsia="Times New Roman" w:hAnsi="Times New Roman" w:cs="Times New Roman"/>
          <w:color w:val="000000"/>
          <w:sz w:val="24"/>
          <w:lang w:eastAsia="en-AU"/>
        </w:rPr>
        <w:t>Department of Health (‘Department’) hereby gives notice that th</w:t>
      </w:r>
      <w:r w:rsidR="00FE5DE3" w:rsidRPr="00FE5DE3">
        <w:rPr>
          <w:rFonts w:ascii="Times New Roman" w:eastAsia="Times New Roman" w:hAnsi="Times New Roman" w:cs="Times New Roman"/>
          <w:color w:val="000000"/>
          <w:sz w:val="24"/>
          <w:lang w:eastAsia="en-AU"/>
        </w:rPr>
        <w:t>e elements of the Department’s web portal required for a bonded participant to comply wit</w:t>
      </w:r>
      <w:r w:rsidR="00FE5DE3">
        <w:rPr>
          <w:rFonts w:ascii="Times New Roman" w:eastAsia="Times New Roman" w:hAnsi="Times New Roman" w:cs="Times New Roman"/>
          <w:color w:val="000000"/>
          <w:sz w:val="24"/>
          <w:lang w:eastAsia="en-AU"/>
        </w:rPr>
        <w:t xml:space="preserve">h each </w:t>
      </w:r>
      <w:r w:rsidR="00FE5DE3" w:rsidRPr="00FE5DE3">
        <w:rPr>
          <w:rFonts w:ascii="Times New Roman" w:eastAsia="Times New Roman" w:hAnsi="Times New Roman" w:cs="Times New Roman"/>
          <w:color w:val="000000"/>
          <w:sz w:val="24"/>
          <w:lang w:eastAsia="en-AU"/>
        </w:rPr>
        <w:t>relevant provision are functional</w:t>
      </w:r>
      <w:r w:rsidR="00FE5DE3">
        <w:rPr>
          <w:rFonts w:ascii="Times New Roman" w:eastAsia="Times New Roman" w:hAnsi="Times New Roman" w:cs="Times New Roman"/>
          <w:color w:val="000000"/>
          <w:sz w:val="24"/>
          <w:lang w:eastAsia="en-AU"/>
        </w:rPr>
        <w:t>.</w:t>
      </w:r>
    </w:p>
    <w:p w14:paraId="7A6840F0" w14:textId="77777777" w:rsidR="00FE5DE3" w:rsidRDefault="00FE5DE3" w:rsidP="00226FC3">
      <w:pPr>
        <w:shd w:val="clear" w:color="auto" w:fill="FFFFFF"/>
        <w:spacing w:after="0" w:line="260" w:lineRule="atLeast"/>
        <w:jc w:val="both"/>
        <w:rPr>
          <w:rFonts w:ascii="Times New Roman" w:eastAsia="Times New Roman" w:hAnsi="Times New Roman" w:cs="Times New Roman"/>
          <w:color w:val="000000"/>
          <w:sz w:val="24"/>
          <w:lang w:eastAsia="en-AU"/>
        </w:rPr>
      </w:pPr>
    </w:p>
    <w:p w14:paraId="0C903C1D" w14:textId="77777777" w:rsidR="002118F5" w:rsidRDefault="002118F5" w:rsidP="00226FC3">
      <w:pPr>
        <w:shd w:val="clear" w:color="auto" w:fill="FFFFFF"/>
        <w:spacing w:after="0" w:line="260" w:lineRule="atLeast"/>
        <w:jc w:val="both"/>
        <w:rPr>
          <w:rFonts w:ascii="Times New Roman" w:eastAsia="Times New Roman" w:hAnsi="Times New Roman" w:cs="Times New Roman"/>
          <w:color w:val="000000"/>
          <w:sz w:val="24"/>
          <w:lang w:eastAsia="en-AU"/>
        </w:rPr>
      </w:pPr>
      <w:r>
        <w:rPr>
          <w:rFonts w:ascii="Times New Roman" w:eastAsia="Times New Roman" w:hAnsi="Times New Roman" w:cs="Times New Roman"/>
          <w:color w:val="000000"/>
          <w:sz w:val="24"/>
          <w:lang w:eastAsia="en-AU"/>
        </w:rPr>
        <w:t>In</w:t>
      </w:r>
      <w:r w:rsidR="00FE5DE3">
        <w:rPr>
          <w:rFonts w:ascii="Times New Roman" w:eastAsia="Times New Roman" w:hAnsi="Times New Roman" w:cs="Times New Roman"/>
          <w:color w:val="000000"/>
          <w:sz w:val="24"/>
          <w:lang w:eastAsia="en-AU"/>
        </w:rPr>
        <w:t xml:space="preserve"> this notice</w:t>
      </w:r>
      <w:r>
        <w:rPr>
          <w:rFonts w:ascii="Times New Roman" w:eastAsia="Times New Roman" w:hAnsi="Times New Roman" w:cs="Times New Roman"/>
          <w:color w:val="000000"/>
          <w:sz w:val="24"/>
          <w:lang w:eastAsia="en-AU"/>
        </w:rPr>
        <w:t>:</w:t>
      </w:r>
    </w:p>
    <w:p w14:paraId="145EE101" w14:textId="77777777" w:rsidR="002118F5" w:rsidRDefault="002118F5" w:rsidP="00226FC3">
      <w:pPr>
        <w:shd w:val="clear" w:color="auto" w:fill="FFFFFF"/>
        <w:spacing w:after="0" w:line="260" w:lineRule="atLeast"/>
        <w:jc w:val="both"/>
        <w:rPr>
          <w:rFonts w:ascii="Times New Roman" w:eastAsia="Times New Roman" w:hAnsi="Times New Roman" w:cs="Times New Roman"/>
          <w:color w:val="000000"/>
          <w:sz w:val="24"/>
          <w:lang w:eastAsia="en-AU"/>
        </w:rPr>
      </w:pPr>
    </w:p>
    <w:p w14:paraId="16EAAD3F" w14:textId="77777777" w:rsidR="002118F5" w:rsidRDefault="002118F5" w:rsidP="002118F5">
      <w:pPr>
        <w:pStyle w:val="ListParagraph"/>
        <w:numPr>
          <w:ilvl w:val="0"/>
          <w:numId w:val="3"/>
        </w:numPr>
        <w:shd w:val="clear" w:color="auto" w:fill="FFFFFF"/>
        <w:spacing w:after="0" w:line="260" w:lineRule="atLeast"/>
        <w:jc w:val="both"/>
        <w:rPr>
          <w:rFonts w:ascii="Times New Roman" w:eastAsia="Times New Roman" w:hAnsi="Times New Roman" w:cs="Times New Roman"/>
          <w:color w:val="000000"/>
          <w:sz w:val="24"/>
          <w:lang w:eastAsia="en-AU"/>
        </w:rPr>
      </w:pPr>
      <w:r>
        <w:rPr>
          <w:rFonts w:ascii="Times New Roman" w:eastAsia="Times New Roman" w:hAnsi="Times New Roman" w:cs="Times New Roman"/>
          <w:color w:val="000000"/>
          <w:sz w:val="24"/>
          <w:lang w:eastAsia="en-AU"/>
        </w:rPr>
        <w:t xml:space="preserve">‘bonded participant’ has the same meaning as that term has in the </w:t>
      </w:r>
      <w:r>
        <w:rPr>
          <w:rFonts w:ascii="Times New Roman" w:eastAsia="Times New Roman" w:hAnsi="Times New Roman" w:cs="Times New Roman"/>
          <w:i/>
          <w:color w:val="000000"/>
          <w:sz w:val="24"/>
          <w:lang w:eastAsia="en-AU"/>
        </w:rPr>
        <w:t xml:space="preserve">Health Insurance Act 1973 </w:t>
      </w:r>
      <w:r>
        <w:rPr>
          <w:rFonts w:ascii="Times New Roman" w:eastAsia="Times New Roman" w:hAnsi="Times New Roman" w:cs="Times New Roman"/>
          <w:color w:val="000000"/>
          <w:sz w:val="24"/>
          <w:lang w:eastAsia="en-AU"/>
        </w:rPr>
        <w:t>(</w:t>
      </w:r>
      <w:proofErr w:type="spellStart"/>
      <w:r>
        <w:rPr>
          <w:rFonts w:ascii="Times New Roman" w:eastAsia="Times New Roman" w:hAnsi="Times New Roman" w:cs="Times New Roman"/>
          <w:color w:val="000000"/>
          <w:sz w:val="24"/>
          <w:lang w:eastAsia="en-AU"/>
        </w:rPr>
        <w:t>Cth</w:t>
      </w:r>
      <w:proofErr w:type="spellEnd"/>
      <w:r>
        <w:rPr>
          <w:rFonts w:ascii="Times New Roman" w:eastAsia="Times New Roman" w:hAnsi="Times New Roman" w:cs="Times New Roman"/>
          <w:color w:val="000000"/>
          <w:sz w:val="24"/>
          <w:lang w:eastAsia="en-AU"/>
        </w:rPr>
        <w:t xml:space="preserve">); and </w:t>
      </w:r>
    </w:p>
    <w:p w14:paraId="4405011C" w14:textId="77777777" w:rsidR="002118F5" w:rsidRDefault="002118F5" w:rsidP="002118F5">
      <w:pPr>
        <w:pStyle w:val="ListParagraph"/>
        <w:shd w:val="clear" w:color="auto" w:fill="FFFFFF"/>
        <w:spacing w:after="0" w:line="260" w:lineRule="atLeast"/>
        <w:jc w:val="both"/>
        <w:rPr>
          <w:rFonts w:ascii="Times New Roman" w:eastAsia="Times New Roman" w:hAnsi="Times New Roman" w:cs="Times New Roman"/>
          <w:color w:val="000000"/>
          <w:sz w:val="24"/>
          <w:lang w:eastAsia="en-AU"/>
        </w:rPr>
      </w:pPr>
    </w:p>
    <w:p w14:paraId="0F0863FE" w14:textId="77777777" w:rsidR="00FE5DE3" w:rsidRPr="002118F5" w:rsidRDefault="00FE5DE3" w:rsidP="002118F5">
      <w:pPr>
        <w:pStyle w:val="ListParagraph"/>
        <w:numPr>
          <w:ilvl w:val="0"/>
          <w:numId w:val="3"/>
        </w:numPr>
        <w:shd w:val="clear" w:color="auto" w:fill="FFFFFF"/>
        <w:spacing w:after="0" w:line="260" w:lineRule="atLeast"/>
        <w:jc w:val="both"/>
        <w:rPr>
          <w:rFonts w:ascii="Times New Roman" w:eastAsia="Times New Roman" w:hAnsi="Times New Roman" w:cs="Times New Roman"/>
          <w:color w:val="000000"/>
          <w:sz w:val="24"/>
          <w:lang w:eastAsia="en-AU"/>
        </w:rPr>
      </w:pPr>
      <w:r w:rsidRPr="002118F5">
        <w:rPr>
          <w:rFonts w:ascii="Times New Roman" w:eastAsia="Times New Roman" w:hAnsi="Times New Roman" w:cs="Times New Roman"/>
          <w:color w:val="000000"/>
          <w:sz w:val="24"/>
          <w:lang w:eastAsia="en-AU"/>
        </w:rPr>
        <w:t>‘relevant provision’ means a provision of the BMP Rule that requires information or evidence to be provided through the Department’s web portal.</w:t>
      </w:r>
    </w:p>
    <w:p w14:paraId="4FF0D26D" w14:textId="77777777" w:rsidR="002118F5" w:rsidRDefault="002118F5" w:rsidP="00226FC3">
      <w:pPr>
        <w:shd w:val="clear" w:color="auto" w:fill="FFFFFF"/>
        <w:spacing w:after="0" w:line="260" w:lineRule="atLeast"/>
        <w:jc w:val="both"/>
        <w:rPr>
          <w:rFonts w:ascii="Times New Roman" w:eastAsia="Times New Roman" w:hAnsi="Times New Roman" w:cs="Times New Roman"/>
          <w:color w:val="000000"/>
          <w:sz w:val="24"/>
          <w:lang w:eastAsia="en-AU"/>
        </w:rPr>
      </w:pPr>
    </w:p>
    <w:p w14:paraId="64C5808E" w14:textId="77777777" w:rsidR="00920B23" w:rsidRDefault="00920B23" w:rsidP="00920B23">
      <w:pPr>
        <w:shd w:val="clear" w:color="auto" w:fill="FFFFFF"/>
        <w:spacing w:after="0" w:line="260" w:lineRule="atLeast"/>
        <w:rPr>
          <w:rFonts w:ascii="Times New Roman" w:eastAsia="Times New Roman" w:hAnsi="Times New Roman" w:cs="Times New Roman"/>
          <w:b/>
          <w:color w:val="000000"/>
          <w:sz w:val="24"/>
          <w:lang w:eastAsia="en-AU"/>
        </w:rPr>
      </w:pPr>
      <w:r>
        <w:rPr>
          <w:rFonts w:ascii="Times New Roman" w:eastAsia="Times New Roman" w:hAnsi="Times New Roman" w:cs="Times New Roman"/>
          <w:b/>
          <w:color w:val="000000"/>
          <w:sz w:val="24"/>
          <w:lang w:eastAsia="en-AU"/>
        </w:rPr>
        <w:t>What does this notice mean for bonded participants?</w:t>
      </w:r>
    </w:p>
    <w:p w14:paraId="07E1A314" w14:textId="77777777" w:rsidR="00920B23" w:rsidRDefault="00920B23" w:rsidP="00920B23">
      <w:pPr>
        <w:shd w:val="clear" w:color="auto" w:fill="FFFFFF"/>
        <w:spacing w:after="0" w:line="260" w:lineRule="atLeast"/>
        <w:rPr>
          <w:rFonts w:ascii="Times New Roman" w:eastAsia="Times New Roman" w:hAnsi="Times New Roman" w:cs="Times New Roman"/>
          <w:b/>
          <w:color w:val="000000"/>
          <w:sz w:val="24"/>
          <w:lang w:eastAsia="en-AU"/>
        </w:rPr>
      </w:pPr>
    </w:p>
    <w:p w14:paraId="7F786216" w14:textId="77777777" w:rsidR="00D25349" w:rsidRDefault="00920B23" w:rsidP="00920B23">
      <w:pPr>
        <w:shd w:val="clear" w:color="auto" w:fill="FFFFFF"/>
        <w:spacing w:after="0" w:line="260" w:lineRule="atLeast"/>
        <w:rPr>
          <w:rFonts w:ascii="Times New Roman" w:eastAsia="Times New Roman" w:hAnsi="Times New Roman" w:cs="Times New Roman"/>
          <w:color w:val="000000"/>
          <w:sz w:val="24"/>
          <w:lang w:eastAsia="en-AU"/>
        </w:rPr>
      </w:pPr>
      <w:r>
        <w:rPr>
          <w:rFonts w:ascii="Times New Roman" w:eastAsia="Times New Roman" w:hAnsi="Times New Roman" w:cs="Times New Roman"/>
          <w:color w:val="000000"/>
          <w:sz w:val="24"/>
          <w:lang w:eastAsia="en-AU"/>
        </w:rPr>
        <w:t>The effect of the above notice is that bonded participants are now required to comply with their reporting obligations under sections 15 and 16 of the BMP Rule.</w:t>
      </w:r>
      <w:r w:rsidR="00D25349">
        <w:rPr>
          <w:rFonts w:ascii="Times New Roman" w:eastAsia="Times New Roman" w:hAnsi="Times New Roman" w:cs="Times New Roman"/>
          <w:color w:val="000000"/>
          <w:sz w:val="24"/>
          <w:lang w:eastAsia="en-AU"/>
        </w:rPr>
        <w:t xml:space="preserve"> </w:t>
      </w:r>
    </w:p>
    <w:p w14:paraId="6E7D4577" w14:textId="77777777" w:rsidR="00D25349" w:rsidRDefault="00D25349" w:rsidP="00920B23">
      <w:pPr>
        <w:shd w:val="clear" w:color="auto" w:fill="FFFFFF"/>
        <w:spacing w:after="0" w:line="260" w:lineRule="atLeast"/>
        <w:rPr>
          <w:rFonts w:ascii="Times New Roman" w:eastAsia="Times New Roman" w:hAnsi="Times New Roman" w:cs="Times New Roman"/>
          <w:color w:val="000000"/>
          <w:sz w:val="24"/>
          <w:lang w:eastAsia="en-AU"/>
        </w:rPr>
      </w:pPr>
    </w:p>
    <w:p w14:paraId="3CFC7E21" w14:textId="4857E1C6" w:rsidR="00D25349" w:rsidRDefault="00D25349" w:rsidP="00920B23">
      <w:pPr>
        <w:shd w:val="clear" w:color="auto" w:fill="FFFFFF"/>
        <w:spacing w:after="0" w:line="260" w:lineRule="atLeast"/>
        <w:rPr>
          <w:rFonts w:ascii="Times New Roman" w:eastAsia="Times New Roman" w:hAnsi="Times New Roman" w:cs="Times New Roman"/>
          <w:color w:val="000000"/>
          <w:sz w:val="24"/>
          <w:lang w:eastAsia="en-AU"/>
        </w:rPr>
      </w:pPr>
      <w:r>
        <w:rPr>
          <w:rFonts w:ascii="Times New Roman" w:eastAsia="Times New Roman" w:hAnsi="Times New Roman" w:cs="Times New Roman"/>
          <w:color w:val="000000"/>
          <w:sz w:val="24"/>
          <w:lang w:eastAsia="en-AU"/>
        </w:rPr>
        <w:t>This means that bonded participants must enter the necessary information and upload the necessary evidence (as described in sections 15 and 16) into the Bonded Return of Service System by the applicable deadlines.</w:t>
      </w:r>
    </w:p>
    <w:p w14:paraId="27821643" w14:textId="77777777" w:rsidR="00D25349" w:rsidRDefault="00D25349" w:rsidP="00920B23">
      <w:pPr>
        <w:shd w:val="clear" w:color="auto" w:fill="FFFFFF"/>
        <w:spacing w:after="0" w:line="260" w:lineRule="atLeast"/>
        <w:rPr>
          <w:rFonts w:ascii="Times New Roman" w:eastAsia="Times New Roman" w:hAnsi="Times New Roman" w:cs="Times New Roman"/>
          <w:color w:val="000000"/>
          <w:sz w:val="24"/>
          <w:lang w:eastAsia="en-AU"/>
        </w:rPr>
      </w:pPr>
    </w:p>
    <w:p w14:paraId="35186F44" w14:textId="56DECC95" w:rsidR="00920B23" w:rsidRDefault="00920B23" w:rsidP="00920B23">
      <w:pPr>
        <w:shd w:val="clear" w:color="auto" w:fill="FFFFFF"/>
        <w:spacing w:after="0" w:line="260" w:lineRule="atLeast"/>
        <w:rPr>
          <w:rFonts w:ascii="Times New Roman" w:eastAsia="Times New Roman" w:hAnsi="Times New Roman" w:cs="Times New Roman"/>
          <w:color w:val="000000"/>
          <w:sz w:val="24"/>
          <w:lang w:eastAsia="en-AU"/>
        </w:rPr>
      </w:pPr>
      <w:r>
        <w:rPr>
          <w:rFonts w:ascii="Times New Roman" w:eastAsia="Times New Roman" w:hAnsi="Times New Roman" w:cs="Times New Roman"/>
          <w:color w:val="000000"/>
          <w:sz w:val="24"/>
          <w:lang w:eastAsia="en-AU"/>
        </w:rPr>
        <w:t>Please note that the following deadlines apply:</w:t>
      </w:r>
    </w:p>
    <w:p w14:paraId="057155AE" w14:textId="77777777" w:rsidR="00920B23" w:rsidRDefault="00920B23" w:rsidP="00920B23">
      <w:pPr>
        <w:shd w:val="clear" w:color="auto" w:fill="FFFFFF"/>
        <w:spacing w:after="0" w:line="260" w:lineRule="atLeast"/>
        <w:rPr>
          <w:rFonts w:ascii="Times New Roman" w:eastAsia="Times New Roman" w:hAnsi="Times New Roman" w:cs="Times New Roman"/>
          <w:color w:val="000000"/>
          <w:sz w:val="24"/>
          <w:lang w:eastAsia="en-AU"/>
        </w:rPr>
      </w:pPr>
    </w:p>
    <w:tbl>
      <w:tblPr>
        <w:tblStyle w:val="TableGrid"/>
        <w:tblW w:w="0" w:type="auto"/>
        <w:tblInd w:w="0" w:type="dxa"/>
        <w:tblLook w:val="04A0" w:firstRow="1" w:lastRow="0" w:firstColumn="1" w:lastColumn="0" w:noHBand="0" w:noVBand="1"/>
      </w:tblPr>
      <w:tblGrid>
        <w:gridCol w:w="704"/>
        <w:gridCol w:w="3402"/>
        <w:gridCol w:w="4910"/>
      </w:tblGrid>
      <w:tr w:rsidR="00807FD1" w14:paraId="26857939" w14:textId="77777777" w:rsidTr="009C1F79">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E20B28" w14:textId="77777777" w:rsidR="00807FD1" w:rsidRPr="00D634D9" w:rsidRDefault="00807FD1" w:rsidP="00B20372">
            <w:pPr>
              <w:keepNext/>
              <w:jc w:val="center"/>
              <w:rPr>
                <w:b/>
                <w:sz w:val="24"/>
                <w:szCs w:val="24"/>
              </w:rPr>
            </w:pPr>
            <w:r>
              <w:rPr>
                <w:b/>
                <w:sz w:val="24"/>
                <w:szCs w:val="24"/>
              </w:rPr>
              <w:t>Item</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2C876" w14:textId="77777777" w:rsidR="00807FD1" w:rsidRPr="00D634D9" w:rsidRDefault="00807FD1" w:rsidP="00B20372">
            <w:pPr>
              <w:keepNext/>
              <w:jc w:val="center"/>
              <w:rPr>
                <w:rFonts w:eastAsiaTheme="minorHAnsi"/>
                <w:b/>
                <w:sz w:val="24"/>
                <w:szCs w:val="24"/>
                <w:lang w:eastAsia="en-US"/>
              </w:rPr>
            </w:pPr>
            <w:r w:rsidRPr="00D634D9">
              <w:rPr>
                <w:rFonts w:eastAsiaTheme="minorHAnsi"/>
                <w:b/>
                <w:sz w:val="24"/>
                <w:szCs w:val="24"/>
                <w:lang w:eastAsia="en-US"/>
              </w:rPr>
              <w:t>Reporting obligation</w:t>
            </w:r>
          </w:p>
        </w:tc>
        <w:tc>
          <w:tcPr>
            <w:tcW w:w="4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122EC" w14:textId="77777777" w:rsidR="00807FD1" w:rsidRPr="00D634D9" w:rsidRDefault="00807FD1" w:rsidP="00B20372">
            <w:pPr>
              <w:keepNext/>
              <w:jc w:val="center"/>
              <w:rPr>
                <w:rFonts w:eastAsiaTheme="minorHAnsi"/>
                <w:b/>
                <w:sz w:val="24"/>
                <w:szCs w:val="24"/>
                <w:lang w:eastAsia="en-US"/>
              </w:rPr>
            </w:pPr>
            <w:r w:rsidRPr="00D634D9">
              <w:rPr>
                <w:rFonts w:eastAsiaTheme="minorHAnsi"/>
                <w:b/>
                <w:sz w:val="24"/>
                <w:szCs w:val="24"/>
                <w:lang w:eastAsia="en-US"/>
              </w:rPr>
              <w:t>Deadline</w:t>
            </w:r>
          </w:p>
        </w:tc>
      </w:tr>
      <w:tr w:rsidR="00807FD1" w14:paraId="792CBD66" w14:textId="77777777" w:rsidTr="009C1F79">
        <w:tc>
          <w:tcPr>
            <w:tcW w:w="704" w:type="dxa"/>
            <w:tcBorders>
              <w:top w:val="single" w:sz="4" w:space="0" w:color="auto"/>
              <w:left w:val="single" w:sz="4" w:space="0" w:color="auto"/>
              <w:bottom w:val="single" w:sz="4" w:space="0" w:color="auto"/>
              <w:right w:val="single" w:sz="4" w:space="0" w:color="auto"/>
            </w:tcBorders>
          </w:tcPr>
          <w:p w14:paraId="6988501A" w14:textId="77777777" w:rsidR="00807FD1" w:rsidRPr="00D634D9" w:rsidRDefault="00807FD1" w:rsidP="00B20372">
            <w:pPr>
              <w:keepNext/>
              <w:rPr>
                <w:sz w:val="24"/>
                <w:szCs w:val="24"/>
              </w:rPr>
            </w:pPr>
            <w:r>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2D75F1D4" w14:textId="77777777" w:rsidR="00807FD1" w:rsidRPr="00D634D9" w:rsidRDefault="00807FD1" w:rsidP="00B20372">
            <w:pPr>
              <w:keepNext/>
              <w:rPr>
                <w:rFonts w:eastAsiaTheme="minorHAnsi"/>
                <w:sz w:val="24"/>
                <w:szCs w:val="24"/>
                <w:lang w:eastAsia="en-US"/>
              </w:rPr>
            </w:pPr>
            <w:r w:rsidRPr="00D634D9">
              <w:rPr>
                <w:sz w:val="24"/>
                <w:szCs w:val="24"/>
              </w:rPr>
              <w:t xml:space="preserve">Reporting obligations in relation to events occurring </w:t>
            </w:r>
            <w:r w:rsidRPr="00D634D9">
              <w:rPr>
                <w:sz w:val="24"/>
                <w:szCs w:val="24"/>
                <w:u w:val="single"/>
              </w:rPr>
              <w:t>before</w:t>
            </w:r>
            <w:r w:rsidRPr="00D634D9">
              <w:rPr>
                <w:sz w:val="24"/>
                <w:szCs w:val="24"/>
              </w:rPr>
              <w:t xml:space="preserve"> </w:t>
            </w:r>
            <w:r>
              <w:rPr>
                <w:sz w:val="24"/>
                <w:szCs w:val="24"/>
              </w:rPr>
              <w:t>30</w:t>
            </w:r>
            <w:r w:rsidR="009C1F79">
              <w:rPr>
                <w:sz w:val="24"/>
                <w:szCs w:val="24"/>
              </w:rPr>
              <w:t> </w:t>
            </w:r>
            <w:r w:rsidRPr="00D634D9">
              <w:rPr>
                <w:sz w:val="24"/>
                <w:szCs w:val="24"/>
              </w:rPr>
              <w:t>June 2022</w:t>
            </w:r>
          </w:p>
        </w:tc>
        <w:tc>
          <w:tcPr>
            <w:tcW w:w="4910" w:type="dxa"/>
            <w:tcBorders>
              <w:top w:val="single" w:sz="4" w:space="0" w:color="auto"/>
              <w:left w:val="single" w:sz="4" w:space="0" w:color="auto"/>
              <w:bottom w:val="single" w:sz="4" w:space="0" w:color="auto"/>
              <w:right w:val="single" w:sz="4" w:space="0" w:color="auto"/>
            </w:tcBorders>
            <w:hideMark/>
          </w:tcPr>
          <w:p w14:paraId="20CB1993" w14:textId="47675BDC" w:rsidR="00807FD1" w:rsidRPr="00807FD1" w:rsidRDefault="00807FD1" w:rsidP="00807FD1">
            <w:pPr>
              <w:pStyle w:val="TablePlainParagraph"/>
              <w:numPr>
                <w:ilvl w:val="0"/>
                <w:numId w:val="4"/>
              </w:numPr>
              <w:ind w:left="312" w:hanging="283"/>
              <w:rPr>
                <w:rFonts w:ascii="Times New Roman" w:hAnsi="Times New Roman" w:cs="Times New Roman"/>
                <w:sz w:val="24"/>
                <w:szCs w:val="24"/>
              </w:rPr>
            </w:pPr>
            <w:r w:rsidRPr="00807FD1">
              <w:rPr>
                <w:rFonts w:ascii="Times New Roman" w:hAnsi="Times New Roman" w:cs="Times New Roman"/>
                <w:sz w:val="24"/>
                <w:szCs w:val="24"/>
              </w:rPr>
              <w:t>For obligations under s</w:t>
            </w:r>
            <w:r>
              <w:rPr>
                <w:rFonts w:ascii="Times New Roman" w:hAnsi="Times New Roman" w:cs="Times New Roman"/>
                <w:sz w:val="24"/>
                <w:szCs w:val="24"/>
              </w:rPr>
              <w:t>ection</w:t>
            </w:r>
            <w:r w:rsidRPr="00807FD1">
              <w:rPr>
                <w:rFonts w:ascii="Times New Roman" w:hAnsi="Times New Roman" w:cs="Times New Roman"/>
                <w:sz w:val="24"/>
                <w:szCs w:val="24"/>
              </w:rPr>
              <w:t xml:space="preserve"> 15(1)</w:t>
            </w:r>
            <w:r>
              <w:rPr>
                <w:rFonts w:ascii="Times New Roman" w:hAnsi="Times New Roman" w:cs="Times New Roman"/>
                <w:sz w:val="24"/>
                <w:szCs w:val="24"/>
              </w:rPr>
              <w:t xml:space="preserve"> of the BMP Rule</w:t>
            </w:r>
            <w:r w:rsidRPr="00807FD1">
              <w:rPr>
                <w:rFonts w:ascii="Times New Roman" w:hAnsi="Times New Roman" w:cs="Times New Roman"/>
                <w:sz w:val="24"/>
                <w:szCs w:val="24"/>
              </w:rPr>
              <w:t xml:space="preserve"> – 11:59pm on </w:t>
            </w:r>
            <w:r w:rsidR="00861263">
              <w:rPr>
                <w:rFonts w:ascii="Times New Roman" w:hAnsi="Times New Roman" w:cs="Times New Roman"/>
                <w:sz w:val="24"/>
                <w:szCs w:val="24"/>
              </w:rPr>
              <w:t>31</w:t>
            </w:r>
            <w:r w:rsidRPr="00807FD1">
              <w:rPr>
                <w:rFonts w:ascii="Times New Roman" w:hAnsi="Times New Roman" w:cs="Times New Roman"/>
                <w:sz w:val="24"/>
                <w:szCs w:val="24"/>
              </w:rPr>
              <w:t xml:space="preserve"> December 2022</w:t>
            </w:r>
            <w:r w:rsidR="00861263">
              <w:rPr>
                <w:rFonts w:ascii="Times New Roman" w:hAnsi="Times New Roman" w:cs="Times New Roman"/>
                <w:sz w:val="24"/>
                <w:szCs w:val="24"/>
              </w:rPr>
              <w:t>.</w:t>
            </w:r>
          </w:p>
          <w:p w14:paraId="2AA0E1CA" w14:textId="36AC1BDA" w:rsidR="00807FD1" w:rsidRPr="00807FD1" w:rsidRDefault="00807FD1" w:rsidP="00807FD1">
            <w:pPr>
              <w:pStyle w:val="TablePlainParagraph"/>
              <w:numPr>
                <w:ilvl w:val="0"/>
                <w:numId w:val="4"/>
              </w:numPr>
              <w:ind w:left="312" w:hanging="283"/>
              <w:rPr>
                <w:rFonts w:ascii="Times New Roman" w:hAnsi="Times New Roman" w:cs="Times New Roman"/>
                <w:sz w:val="24"/>
                <w:szCs w:val="24"/>
              </w:rPr>
            </w:pPr>
            <w:r w:rsidRPr="00807FD1">
              <w:rPr>
                <w:rFonts w:ascii="Times New Roman" w:hAnsi="Times New Roman" w:cs="Times New Roman"/>
                <w:sz w:val="24"/>
                <w:szCs w:val="24"/>
              </w:rPr>
              <w:t>For obligations under items 1-3, s</w:t>
            </w:r>
            <w:r>
              <w:rPr>
                <w:rFonts w:ascii="Times New Roman" w:hAnsi="Times New Roman" w:cs="Times New Roman"/>
                <w:sz w:val="24"/>
                <w:szCs w:val="24"/>
              </w:rPr>
              <w:t>ection</w:t>
            </w:r>
            <w:r w:rsidRPr="00807FD1">
              <w:rPr>
                <w:rFonts w:ascii="Times New Roman" w:hAnsi="Times New Roman" w:cs="Times New Roman"/>
                <w:sz w:val="24"/>
                <w:szCs w:val="24"/>
              </w:rPr>
              <w:t xml:space="preserve"> 16(1)</w:t>
            </w:r>
            <w:r>
              <w:rPr>
                <w:rFonts w:ascii="Times New Roman" w:hAnsi="Times New Roman" w:cs="Times New Roman"/>
                <w:sz w:val="24"/>
                <w:szCs w:val="24"/>
              </w:rPr>
              <w:t xml:space="preserve"> of the BMP Rule</w:t>
            </w:r>
            <w:r w:rsidRPr="00807FD1">
              <w:rPr>
                <w:rFonts w:ascii="Times New Roman" w:hAnsi="Times New Roman" w:cs="Times New Roman"/>
                <w:sz w:val="24"/>
                <w:szCs w:val="24"/>
              </w:rPr>
              <w:t xml:space="preserve"> – 11:59pm on </w:t>
            </w:r>
            <w:r w:rsidR="00861263">
              <w:rPr>
                <w:rFonts w:ascii="Times New Roman" w:hAnsi="Times New Roman" w:cs="Times New Roman"/>
                <w:sz w:val="24"/>
                <w:szCs w:val="24"/>
              </w:rPr>
              <w:t>30</w:t>
            </w:r>
            <w:r w:rsidR="009C1F79">
              <w:rPr>
                <w:rFonts w:ascii="Times New Roman" w:hAnsi="Times New Roman" w:cs="Times New Roman"/>
                <w:sz w:val="24"/>
                <w:szCs w:val="24"/>
              </w:rPr>
              <w:t> </w:t>
            </w:r>
            <w:r w:rsidRPr="00807FD1">
              <w:rPr>
                <w:rFonts w:ascii="Times New Roman" w:hAnsi="Times New Roman" w:cs="Times New Roman"/>
                <w:sz w:val="24"/>
                <w:szCs w:val="24"/>
              </w:rPr>
              <w:t>September 2022</w:t>
            </w:r>
            <w:r w:rsidR="00861263">
              <w:rPr>
                <w:rFonts w:ascii="Times New Roman" w:hAnsi="Times New Roman" w:cs="Times New Roman"/>
                <w:sz w:val="24"/>
                <w:szCs w:val="24"/>
              </w:rPr>
              <w:t>.</w:t>
            </w:r>
          </w:p>
          <w:p w14:paraId="7902BD80" w14:textId="4F00193A" w:rsidR="00807FD1" w:rsidRPr="00D634D9" w:rsidRDefault="00807FD1" w:rsidP="00807FD1">
            <w:pPr>
              <w:pStyle w:val="TablePlainParagraph"/>
              <w:numPr>
                <w:ilvl w:val="0"/>
                <w:numId w:val="4"/>
              </w:numPr>
              <w:ind w:left="312" w:hanging="283"/>
              <w:rPr>
                <w:rFonts w:ascii="Times New Roman" w:eastAsiaTheme="minorHAnsi" w:hAnsi="Times New Roman" w:cs="Times New Roman"/>
                <w:sz w:val="24"/>
                <w:szCs w:val="24"/>
                <w:lang w:eastAsia="en-US"/>
              </w:rPr>
            </w:pPr>
            <w:r w:rsidRPr="00807FD1">
              <w:rPr>
                <w:rFonts w:ascii="Times New Roman" w:hAnsi="Times New Roman" w:cs="Times New Roman"/>
                <w:sz w:val="24"/>
                <w:szCs w:val="24"/>
              </w:rPr>
              <w:t>For periodic obligations under item 4, s</w:t>
            </w:r>
            <w:r>
              <w:rPr>
                <w:rFonts w:ascii="Times New Roman" w:hAnsi="Times New Roman" w:cs="Times New Roman"/>
                <w:sz w:val="24"/>
                <w:szCs w:val="24"/>
              </w:rPr>
              <w:t>ection</w:t>
            </w:r>
            <w:r w:rsidRPr="00807FD1">
              <w:rPr>
                <w:rFonts w:ascii="Times New Roman" w:hAnsi="Times New Roman" w:cs="Times New Roman"/>
                <w:sz w:val="24"/>
                <w:szCs w:val="24"/>
              </w:rPr>
              <w:t xml:space="preserve"> 16(1) </w:t>
            </w:r>
            <w:r>
              <w:rPr>
                <w:rFonts w:ascii="Times New Roman" w:hAnsi="Times New Roman" w:cs="Times New Roman"/>
                <w:sz w:val="24"/>
                <w:szCs w:val="24"/>
              </w:rPr>
              <w:t>of the BMP Rule</w:t>
            </w:r>
            <w:r w:rsidRPr="00807FD1">
              <w:rPr>
                <w:rFonts w:ascii="Times New Roman" w:hAnsi="Times New Roman" w:cs="Times New Roman"/>
                <w:sz w:val="24"/>
                <w:szCs w:val="24"/>
              </w:rPr>
              <w:t xml:space="preserve"> – every 6</w:t>
            </w:r>
            <w:r w:rsidR="009C1F79">
              <w:rPr>
                <w:rFonts w:ascii="Times New Roman" w:hAnsi="Times New Roman" w:cs="Times New Roman"/>
                <w:sz w:val="24"/>
                <w:szCs w:val="24"/>
              </w:rPr>
              <w:t> </w:t>
            </w:r>
            <w:r w:rsidRPr="00807FD1">
              <w:rPr>
                <w:rFonts w:ascii="Times New Roman" w:hAnsi="Times New Roman" w:cs="Times New Roman"/>
                <w:sz w:val="24"/>
                <w:szCs w:val="24"/>
              </w:rPr>
              <w:t>months from 30 June 2022 (for so long as the</w:t>
            </w:r>
            <w:r>
              <w:rPr>
                <w:rFonts w:ascii="Times New Roman" w:hAnsi="Times New Roman" w:cs="Times New Roman"/>
                <w:sz w:val="24"/>
                <w:szCs w:val="24"/>
              </w:rPr>
              <w:t xml:space="preserve"> relevant</w:t>
            </w:r>
            <w:r w:rsidRPr="00807FD1">
              <w:rPr>
                <w:rFonts w:ascii="Times New Roman" w:hAnsi="Times New Roman" w:cs="Times New Roman"/>
                <w:sz w:val="24"/>
                <w:szCs w:val="24"/>
              </w:rPr>
              <w:t xml:space="preserve"> person is a ‘bonded participant’)</w:t>
            </w:r>
            <w:r w:rsidR="00861263">
              <w:rPr>
                <w:rFonts w:ascii="Times New Roman" w:hAnsi="Times New Roman" w:cs="Times New Roman"/>
                <w:sz w:val="24"/>
                <w:szCs w:val="24"/>
              </w:rPr>
              <w:t>.</w:t>
            </w:r>
          </w:p>
        </w:tc>
      </w:tr>
      <w:tr w:rsidR="00807FD1" w14:paraId="09B66AC4" w14:textId="77777777" w:rsidTr="009C1F79">
        <w:tc>
          <w:tcPr>
            <w:tcW w:w="704" w:type="dxa"/>
            <w:tcBorders>
              <w:top w:val="single" w:sz="4" w:space="0" w:color="auto"/>
              <w:left w:val="single" w:sz="4" w:space="0" w:color="auto"/>
              <w:bottom w:val="single" w:sz="4" w:space="0" w:color="auto"/>
              <w:right w:val="single" w:sz="4" w:space="0" w:color="auto"/>
            </w:tcBorders>
          </w:tcPr>
          <w:p w14:paraId="446AF375" w14:textId="77777777" w:rsidR="00807FD1" w:rsidRPr="00D634D9" w:rsidRDefault="00807FD1" w:rsidP="00B20372">
            <w:pPr>
              <w:pStyle w:val="TablePlainParagraph"/>
              <w:keepNext/>
              <w:rPr>
                <w:rFonts w:ascii="Times New Roman" w:hAnsi="Times New Roman" w:cs="Times New Roman"/>
                <w:sz w:val="24"/>
                <w:szCs w:val="24"/>
              </w:rPr>
            </w:pPr>
            <w:r>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560A9DA7" w14:textId="77777777" w:rsidR="00807FD1" w:rsidRPr="00D634D9" w:rsidRDefault="00807FD1" w:rsidP="00B20372">
            <w:pPr>
              <w:pStyle w:val="TablePlainParagraph"/>
              <w:keepNext/>
              <w:rPr>
                <w:rFonts w:ascii="Times New Roman" w:hAnsi="Times New Roman" w:cs="Times New Roman"/>
                <w:sz w:val="24"/>
                <w:szCs w:val="24"/>
              </w:rPr>
            </w:pPr>
            <w:r w:rsidRPr="00D634D9">
              <w:rPr>
                <w:rFonts w:ascii="Times New Roman" w:hAnsi="Times New Roman" w:cs="Times New Roman"/>
                <w:sz w:val="24"/>
                <w:szCs w:val="24"/>
              </w:rPr>
              <w:t xml:space="preserve">Reporting obligations in relation to events occurring </w:t>
            </w:r>
            <w:r w:rsidRPr="00D634D9">
              <w:rPr>
                <w:rFonts w:ascii="Times New Roman" w:hAnsi="Times New Roman" w:cs="Times New Roman"/>
                <w:sz w:val="24"/>
                <w:szCs w:val="24"/>
                <w:u w:val="single"/>
              </w:rPr>
              <w:t>on</w:t>
            </w:r>
            <w:r w:rsidRPr="00D634D9">
              <w:rPr>
                <w:rFonts w:ascii="Times New Roman" w:hAnsi="Times New Roman" w:cs="Times New Roman"/>
                <w:sz w:val="24"/>
                <w:szCs w:val="24"/>
              </w:rPr>
              <w:t xml:space="preserve"> 30 June 2022</w:t>
            </w:r>
          </w:p>
        </w:tc>
        <w:tc>
          <w:tcPr>
            <w:tcW w:w="4910" w:type="dxa"/>
            <w:tcBorders>
              <w:top w:val="single" w:sz="4" w:space="0" w:color="auto"/>
              <w:left w:val="single" w:sz="4" w:space="0" w:color="auto"/>
              <w:bottom w:val="single" w:sz="4" w:space="0" w:color="auto"/>
              <w:right w:val="single" w:sz="4" w:space="0" w:color="auto"/>
            </w:tcBorders>
            <w:hideMark/>
          </w:tcPr>
          <w:p w14:paraId="704EFAD0" w14:textId="77777777" w:rsidR="00807FD1" w:rsidRPr="00807FD1" w:rsidRDefault="00807FD1" w:rsidP="00807FD1">
            <w:pPr>
              <w:pStyle w:val="TablePlainParagraph"/>
              <w:numPr>
                <w:ilvl w:val="0"/>
                <w:numId w:val="4"/>
              </w:numPr>
              <w:ind w:left="312" w:hanging="283"/>
              <w:rPr>
                <w:rFonts w:ascii="Times New Roman" w:hAnsi="Times New Roman" w:cs="Times New Roman"/>
                <w:sz w:val="24"/>
                <w:szCs w:val="24"/>
              </w:rPr>
            </w:pPr>
            <w:r w:rsidRPr="00807FD1">
              <w:rPr>
                <w:rFonts w:ascii="Times New Roman" w:hAnsi="Times New Roman" w:cs="Times New Roman"/>
                <w:sz w:val="24"/>
                <w:szCs w:val="24"/>
              </w:rPr>
              <w:t>For the obligation under item 1(a) of s</w:t>
            </w:r>
            <w:r>
              <w:rPr>
                <w:rFonts w:ascii="Times New Roman" w:hAnsi="Times New Roman" w:cs="Times New Roman"/>
                <w:sz w:val="24"/>
                <w:szCs w:val="24"/>
              </w:rPr>
              <w:t>ection</w:t>
            </w:r>
            <w:r w:rsidRPr="00807FD1">
              <w:rPr>
                <w:rFonts w:ascii="Times New Roman" w:hAnsi="Times New Roman" w:cs="Times New Roman"/>
                <w:sz w:val="24"/>
                <w:szCs w:val="24"/>
              </w:rPr>
              <w:t xml:space="preserve"> 16(1) </w:t>
            </w:r>
            <w:r w:rsidR="009C1F79">
              <w:rPr>
                <w:rFonts w:ascii="Times New Roman" w:hAnsi="Times New Roman" w:cs="Times New Roman"/>
                <w:sz w:val="24"/>
                <w:szCs w:val="24"/>
              </w:rPr>
              <w:t>of the BMP Rule</w:t>
            </w:r>
            <w:r w:rsidR="009C1F79" w:rsidRPr="00807FD1">
              <w:rPr>
                <w:rFonts w:ascii="Times New Roman" w:hAnsi="Times New Roman" w:cs="Times New Roman"/>
                <w:sz w:val="24"/>
                <w:szCs w:val="24"/>
              </w:rPr>
              <w:t xml:space="preserve"> </w:t>
            </w:r>
            <w:r w:rsidRPr="00807FD1">
              <w:rPr>
                <w:rFonts w:ascii="Times New Roman" w:hAnsi="Times New Roman" w:cs="Times New Roman"/>
                <w:sz w:val="24"/>
                <w:szCs w:val="24"/>
              </w:rPr>
              <w:t>– 11:59pm on 30 June 2022.</w:t>
            </w:r>
          </w:p>
          <w:p w14:paraId="20F8F407" w14:textId="77777777" w:rsidR="00807FD1" w:rsidRPr="00D634D9" w:rsidRDefault="00807FD1" w:rsidP="00807FD1">
            <w:pPr>
              <w:pStyle w:val="TablePlainParagraph"/>
              <w:numPr>
                <w:ilvl w:val="0"/>
                <w:numId w:val="4"/>
              </w:numPr>
              <w:ind w:left="312" w:hanging="283"/>
              <w:rPr>
                <w:rFonts w:ascii="Times New Roman" w:hAnsi="Times New Roman" w:cs="Times New Roman"/>
                <w:sz w:val="24"/>
                <w:szCs w:val="24"/>
              </w:rPr>
            </w:pPr>
            <w:r w:rsidRPr="00807FD1">
              <w:rPr>
                <w:rFonts w:ascii="Times New Roman" w:hAnsi="Times New Roman" w:cs="Times New Roman"/>
                <w:sz w:val="24"/>
                <w:szCs w:val="24"/>
              </w:rPr>
              <w:t xml:space="preserve">Otherwise, same as for item </w:t>
            </w:r>
            <w:r>
              <w:rPr>
                <w:rFonts w:ascii="Times New Roman" w:hAnsi="Times New Roman" w:cs="Times New Roman"/>
                <w:sz w:val="24"/>
                <w:szCs w:val="24"/>
              </w:rPr>
              <w:t>1</w:t>
            </w:r>
            <w:r w:rsidRPr="00807FD1">
              <w:rPr>
                <w:rFonts w:ascii="Times New Roman" w:hAnsi="Times New Roman" w:cs="Times New Roman"/>
                <w:sz w:val="24"/>
                <w:szCs w:val="24"/>
              </w:rPr>
              <w:t xml:space="preserve"> above.</w:t>
            </w:r>
          </w:p>
        </w:tc>
      </w:tr>
      <w:tr w:rsidR="00807FD1" w14:paraId="4025B0FD" w14:textId="77777777" w:rsidTr="009C1F79">
        <w:trPr>
          <w:trHeight w:val="624"/>
        </w:trPr>
        <w:tc>
          <w:tcPr>
            <w:tcW w:w="704" w:type="dxa"/>
            <w:tcBorders>
              <w:top w:val="single" w:sz="4" w:space="0" w:color="auto"/>
              <w:left w:val="single" w:sz="4" w:space="0" w:color="auto"/>
              <w:bottom w:val="single" w:sz="4" w:space="0" w:color="auto"/>
              <w:right w:val="single" w:sz="4" w:space="0" w:color="auto"/>
            </w:tcBorders>
          </w:tcPr>
          <w:p w14:paraId="362A99DA" w14:textId="77777777" w:rsidR="00807FD1" w:rsidRPr="00D634D9" w:rsidRDefault="00807FD1" w:rsidP="00B20372">
            <w:pPr>
              <w:keepNext/>
              <w:rPr>
                <w:sz w:val="24"/>
                <w:szCs w:val="24"/>
              </w:rPr>
            </w:pPr>
            <w:r>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1B5CFFF6" w14:textId="77777777" w:rsidR="00807FD1" w:rsidRPr="00D634D9" w:rsidRDefault="00807FD1" w:rsidP="00B20372">
            <w:pPr>
              <w:keepNext/>
              <w:rPr>
                <w:sz w:val="24"/>
                <w:szCs w:val="24"/>
              </w:rPr>
            </w:pPr>
            <w:r w:rsidRPr="00D634D9">
              <w:rPr>
                <w:sz w:val="24"/>
                <w:szCs w:val="24"/>
              </w:rPr>
              <w:t xml:space="preserve">Reporting obligations in relation to events occurring </w:t>
            </w:r>
            <w:r w:rsidRPr="00D634D9">
              <w:rPr>
                <w:sz w:val="24"/>
                <w:szCs w:val="24"/>
                <w:u w:val="single"/>
              </w:rPr>
              <w:t>after</w:t>
            </w:r>
            <w:r w:rsidRPr="00D634D9">
              <w:rPr>
                <w:sz w:val="24"/>
                <w:szCs w:val="24"/>
              </w:rPr>
              <w:t xml:space="preserve"> 30 June 2022</w:t>
            </w:r>
          </w:p>
        </w:tc>
        <w:tc>
          <w:tcPr>
            <w:tcW w:w="4910" w:type="dxa"/>
            <w:tcBorders>
              <w:top w:val="single" w:sz="4" w:space="0" w:color="auto"/>
              <w:left w:val="single" w:sz="4" w:space="0" w:color="auto"/>
              <w:bottom w:val="single" w:sz="4" w:space="0" w:color="auto"/>
              <w:right w:val="single" w:sz="4" w:space="0" w:color="auto"/>
            </w:tcBorders>
            <w:hideMark/>
          </w:tcPr>
          <w:p w14:paraId="59D449F2" w14:textId="77777777" w:rsidR="00807FD1" w:rsidRPr="00D634D9" w:rsidRDefault="00807FD1" w:rsidP="00B20372">
            <w:pPr>
              <w:keepNext/>
              <w:rPr>
                <w:sz w:val="24"/>
                <w:szCs w:val="24"/>
              </w:rPr>
            </w:pPr>
            <w:r w:rsidRPr="00D634D9">
              <w:rPr>
                <w:sz w:val="24"/>
                <w:szCs w:val="24"/>
              </w:rPr>
              <w:t>Deadlines to be determined in accordance with</w:t>
            </w:r>
            <w:r>
              <w:rPr>
                <w:sz w:val="24"/>
                <w:szCs w:val="24"/>
              </w:rPr>
              <w:t xml:space="preserve"> </w:t>
            </w:r>
            <w:r w:rsidRPr="00D634D9">
              <w:rPr>
                <w:sz w:val="24"/>
                <w:szCs w:val="24"/>
              </w:rPr>
              <w:t>s</w:t>
            </w:r>
            <w:r w:rsidR="009C1F79">
              <w:rPr>
                <w:sz w:val="24"/>
                <w:szCs w:val="24"/>
              </w:rPr>
              <w:t>ections</w:t>
            </w:r>
            <w:r w:rsidRPr="00D634D9">
              <w:rPr>
                <w:sz w:val="24"/>
                <w:szCs w:val="24"/>
              </w:rPr>
              <w:t> 15-16</w:t>
            </w:r>
            <w:r w:rsidR="009C1F79">
              <w:rPr>
                <w:sz w:val="24"/>
                <w:szCs w:val="24"/>
              </w:rPr>
              <w:t xml:space="preserve"> of the BMP Rule</w:t>
            </w:r>
            <w:r w:rsidRPr="00D634D9">
              <w:rPr>
                <w:sz w:val="24"/>
                <w:szCs w:val="24"/>
              </w:rPr>
              <w:t>.</w:t>
            </w:r>
          </w:p>
        </w:tc>
      </w:tr>
    </w:tbl>
    <w:p w14:paraId="0103BF38" w14:textId="77777777" w:rsidR="00FE5DE3" w:rsidRDefault="00FE5DE3" w:rsidP="00226FC3">
      <w:pPr>
        <w:shd w:val="clear" w:color="auto" w:fill="FFFFFF"/>
        <w:spacing w:after="0" w:line="260" w:lineRule="atLeast"/>
        <w:jc w:val="both"/>
        <w:rPr>
          <w:rFonts w:ascii="Times New Roman" w:eastAsia="Times New Roman" w:hAnsi="Times New Roman" w:cs="Times New Roman"/>
          <w:color w:val="000000"/>
          <w:sz w:val="24"/>
          <w:lang w:eastAsia="en-AU"/>
        </w:rPr>
      </w:pPr>
    </w:p>
    <w:sectPr w:rsidR="00FE5D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948D1" w14:textId="77777777" w:rsidR="00DE1BFA" w:rsidRDefault="00DE1BFA" w:rsidP="00F3369D">
      <w:pPr>
        <w:spacing w:after="0" w:line="240" w:lineRule="auto"/>
      </w:pPr>
      <w:r>
        <w:separator/>
      </w:r>
    </w:p>
  </w:endnote>
  <w:endnote w:type="continuationSeparator" w:id="0">
    <w:p w14:paraId="374273DE" w14:textId="77777777" w:rsidR="00DE1BFA" w:rsidRDefault="00DE1BFA" w:rsidP="00F3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96A42" w14:textId="77777777" w:rsidR="00F3369D" w:rsidRDefault="00F33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195CA" w14:textId="77777777" w:rsidR="00F3369D" w:rsidRDefault="00F33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8277F" w14:textId="77777777" w:rsidR="00F3369D" w:rsidRDefault="00F33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0A31D" w14:textId="77777777" w:rsidR="00DE1BFA" w:rsidRDefault="00DE1BFA" w:rsidP="00F3369D">
      <w:pPr>
        <w:spacing w:after="0" w:line="240" w:lineRule="auto"/>
      </w:pPr>
      <w:r>
        <w:separator/>
      </w:r>
    </w:p>
  </w:footnote>
  <w:footnote w:type="continuationSeparator" w:id="0">
    <w:p w14:paraId="71B3D7E1" w14:textId="77777777" w:rsidR="00DE1BFA" w:rsidRDefault="00DE1BFA" w:rsidP="00F33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59039" w14:textId="77777777" w:rsidR="00F3369D" w:rsidRDefault="00F33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C827E" w14:textId="77777777" w:rsidR="00F3369D" w:rsidRDefault="00F33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79938" w14:textId="77777777" w:rsidR="00F3369D" w:rsidRDefault="00F33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37E5C"/>
    <w:multiLevelType w:val="hybridMultilevel"/>
    <w:tmpl w:val="AEE40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991877"/>
    <w:multiLevelType w:val="hybridMultilevel"/>
    <w:tmpl w:val="FAA641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12408E8"/>
    <w:multiLevelType w:val="hybridMultilevel"/>
    <w:tmpl w:val="A6080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0777815"/>
    <w:multiLevelType w:val="hybridMultilevel"/>
    <w:tmpl w:val="10C0D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9D"/>
    <w:rsid w:val="000F7C53"/>
    <w:rsid w:val="00167319"/>
    <w:rsid w:val="002118F5"/>
    <w:rsid w:val="00226FC3"/>
    <w:rsid w:val="00282CE3"/>
    <w:rsid w:val="003A1A29"/>
    <w:rsid w:val="00451D88"/>
    <w:rsid w:val="005103BC"/>
    <w:rsid w:val="005F7F17"/>
    <w:rsid w:val="00650C2D"/>
    <w:rsid w:val="00675F93"/>
    <w:rsid w:val="006F5E8B"/>
    <w:rsid w:val="007E6BE5"/>
    <w:rsid w:val="00807FD1"/>
    <w:rsid w:val="00821112"/>
    <w:rsid w:val="00861263"/>
    <w:rsid w:val="008A0DB3"/>
    <w:rsid w:val="008A695B"/>
    <w:rsid w:val="00920B23"/>
    <w:rsid w:val="009C1F79"/>
    <w:rsid w:val="00AA2D85"/>
    <w:rsid w:val="00AE404E"/>
    <w:rsid w:val="00B20372"/>
    <w:rsid w:val="00B826F4"/>
    <w:rsid w:val="00CA053D"/>
    <w:rsid w:val="00CE7C08"/>
    <w:rsid w:val="00D01146"/>
    <w:rsid w:val="00D163CD"/>
    <w:rsid w:val="00D25349"/>
    <w:rsid w:val="00D634D9"/>
    <w:rsid w:val="00DE1BFA"/>
    <w:rsid w:val="00DE23BF"/>
    <w:rsid w:val="00F3369D"/>
    <w:rsid w:val="00F54D33"/>
    <w:rsid w:val="00F67F02"/>
    <w:rsid w:val="00F940D2"/>
    <w:rsid w:val="00FE5D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B6761"/>
  <w15:chartTrackingRefBased/>
  <w15:docId w15:val="{F4677DAC-0996-4A08-AF69-D64422A5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69D"/>
  </w:style>
  <w:style w:type="paragraph" w:styleId="Footer">
    <w:name w:val="footer"/>
    <w:basedOn w:val="Normal"/>
    <w:link w:val="FooterChar"/>
    <w:uiPriority w:val="99"/>
    <w:unhideWhenUsed/>
    <w:rsid w:val="00F33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69D"/>
  </w:style>
  <w:style w:type="paragraph" w:customStyle="1" w:styleId="notetext">
    <w:name w:val="notetext"/>
    <w:basedOn w:val="Normal"/>
    <w:rsid w:val="00F336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semiHidden/>
    <w:unhideWhenUsed/>
    <w:rsid w:val="00226FC3"/>
    <w:pPr>
      <w:widowControl w:val="0"/>
      <w:tabs>
        <w:tab w:val="left" w:pos="360"/>
        <w:tab w:val="left" w:pos="9781"/>
      </w:tabs>
      <w:spacing w:after="0" w:line="36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226FC3"/>
    <w:rPr>
      <w:rFonts w:ascii="Times New Roman" w:eastAsia="Times New Roman" w:hAnsi="Times New Roman" w:cs="Times New Roman"/>
      <w:sz w:val="20"/>
      <w:szCs w:val="20"/>
    </w:rPr>
  </w:style>
  <w:style w:type="paragraph" w:styleId="ListParagraph">
    <w:name w:val="List Paragraph"/>
    <w:basedOn w:val="Normal"/>
    <w:uiPriority w:val="34"/>
    <w:qFormat/>
    <w:rsid w:val="00226FC3"/>
    <w:pPr>
      <w:ind w:left="720"/>
      <w:contextualSpacing/>
    </w:pPr>
  </w:style>
  <w:style w:type="paragraph" w:styleId="BalloonText">
    <w:name w:val="Balloon Text"/>
    <w:basedOn w:val="Normal"/>
    <w:link w:val="BalloonTextChar"/>
    <w:uiPriority w:val="99"/>
    <w:semiHidden/>
    <w:unhideWhenUsed/>
    <w:rsid w:val="003A1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29"/>
    <w:rPr>
      <w:rFonts w:ascii="Segoe UI" w:hAnsi="Segoe UI" w:cs="Segoe UI"/>
      <w:sz w:val="18"/>
      <w:szCs w:val="18"/>
    </w:rPr>
  </w:style>
  <w:style w:type="paragraph" w:customStyle="1" w:styleId="TablePlainParagraph">
    <w:name w:val="Table: Plain Paragraph"/>
    <w:aliases w:val="Table PP"/>
    <w:basedOn w:val="Normal"/>
    <w:uiPriority w:val="11"/>
    <w:qFormat/>
    <w:rsid w:val="00D634D9"/>
    <w:pPr>
      <w:spacing w:before="60" w:after="60" w:line="240" w:lineRule="atLeast"/>
    </w:pPr>
    <w:rPr>
      <w:rFonts w:ascii="Arial" w:eastAsia="Times New Roman" w:hAnsi="Arial" w:cs="Arial"/>
      <w:sz w:val="20"/>
      <w:szCs w:val="20"/>
      <w:lang w:eastAsia="en-AU"/>
    </w:rPr>
  </w:style>
  <w:style w:type="table" w:styleId="TableGrid">
    <w:name w:val="Table Grid"/>
    <w:basedOn w:val="TableNormal"/>
    <w:uiPriority w:val="39"/>
    <w:rsid w:val="00D634D9"/>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63CD"/>
    <w:rPr>
      <w:sz w:val="16"/>
      <w:szCs w:val="16"/>
    </w:rPr>
  </w:style>
  <w:style w:type="paragraph" w:styleId="CommentText">
    <w:name w:val="annotation text"/>
    <w:basedOn w:val="Normal"/>
    <w:link w:val="CommentTextChar"/>
    <w:uiPriority w:val="99"/>
    <w:semiHidden/>
    <w:unhideWhenUsed/>
    <w:rsid w:val="00D163CD"/>
    <w:pPr>
      <w:spacing w:line="240" w:lineRule="auto"/>
    </w:pPr>
    <w:rPr>
      <w:sz w:val="20"/>
      <w:szCs w:val="20"/>
    </w:rPr>
  </w:style>
  <w:style w:type="character" w:customStyle="1" w:styleId="CommentTextChar">
    <w:name w:val="Comment Text Char"/>
    <w:basedOn w:val="DefaultParagraphFont"/>
    <w:link w:val="CommentText"/>
    <w:uiPriority w:val="99"/>
    <w:semiHidden/>
    <w:rsid w:val="00D163CD"/>
    <w:rPr>
      <w:sz w:val="20"/>
      <w:szCs w:val="20"/>
    </w:rPr>
  </w:style>
  <w:style w:type="paragraph" w:styleId="CommentSubject">
    <w:name w:val="annotation subject"/>
    <w:basedOn w:val="CommentText"/>
    <w:next w:val="CommentText"/>
    <w:link w:val="CommentSubjectChar"/>
    <w:uiPriority w:val="99"/>
    <w:semiHidden/>
    <w:unhideWhenUsed/>
    <w:rsid w:val="00D163CD"/>
    <w:rPr>
      <w:b/>
      <w:bCs/>
    </w:rPr>
  </w:style>
  <w:style w:type="character" w:customStyle="1" w:styleId="CommentSubjectChar">
    <w:name w:val="Comment Subject Char"/>
    <w:basedOn w:val="CommentTextChar"/>
    <w:link w:val="CommentSubject"/>
    <w:uiPriority w:val="99"/>
    <w:semiHidden/>
    <w:rsid w:val="00D163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146781">
      <w:bodyDiv w:val="1"/>
      <w:marLeft w:val="0"/>
      <w:marRight w:val="0"/>
      <w:marTop w:val="0"/>
      <w:marBottom w:val="0"/>
      <w:divBdr>
        <w:top w:val="none" w:sz="0" w:space="0" w:color="auto"/>
        <w:left w:val="none" w:sz="0" w:space="0" w:color="auto"/>
        <w:bottom w:val="none" w:sz="0" w:space="0" w:color="auto"/>
        <w:right w:val="none" w:sz="0" w:space="0" w:color="auto"/>
      </w:divBdr>
    </w:div>
    <w:div w:id="1038313899">
      <w:bodyDiv w:val="1"/>
      <w:marLeft w:val="0"/>
      <w:marRight w:val="0"/>
      <w:marTop w:val="0"/>
      <w:marBottom w:val="0"/>
      <w:divBdr>
        <w:top w:val="none" w:sz="0" w:space="0" w:color="auto"/>
        <w:left w:val="none" w:sz="0" w:space="0" w:color="auto"/>
        <w:bottom w:val="none" w:sz="0" w:space="0" w:color="auto"/>
        <w:right w:val="none" w:sz="0" w:space="0" w:color="auto"/>
      </w:divBdr>
    </w:div>
    <w:div w:id="1198355934">
      <w:bodyDiv w:val="1"/>
      <w:marLeft w:val="0"/>
      <w:marRight w:val="0"/>
      <w:marTop w:val="0"/>
      <w:marBottom w:val="0"/>
      <w:divBdr>
        <w:top w:val="none" w:sz="0" w:space="0" w:color="auto"/>
        <w:left w:val="none" w:sz="0" w:space="0" w:color="auto"/>
        <w:bottom w:val="none" w:sz="0" w:space="0" w:color="auto"/>
        <w:right w:val="none" w:sz="0" w:space="0" w:color="auto"/>
      </w:divBdr>
    </w:div>
    <w:div w:id="19437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 D o c u m e n t s ! 4 4 9 4 0 5 9 3 . 1 < / d o c u m e n t i d >  
     < s e n d e r i d > T U R K N A < / s e n d e r i d >  
     < s e n d e r e m a i l > N A T H A N . T U R K @ A G S . G O V . A U < / s e n d e r e m a i l >  
     < l a s t m o d i f i e d > 2 0 2 2 - 0 6 - 1 7 T 1 1 : 4 3 : 0 0 . 0 0 0 0 0 0 0 + 1 0 : 0 0 < / l a s t m o d i f i e d >  
     < d a t a b a s e > D o c u m e n t s < / d a t a b a s e >  
 < / p r o p e r t i e s > 
</file>

<file path=customXml/itemProps1.xml><?xml version="1.0" encoding="utf-8"?>
<ds:datastoreItem xmlns:ds="http://schemas.openxmlformats.org/officeDocument/2006/customXml" ds:itemID="{AD7F6926-A4FA-4276-B823-E49FDB937EB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under s19(2) of the Bonded Medical Program Rule – 30 June 2022</dc:title>
  <dc:subject/>
  <dc:creator>Australian Government Department of Health</dc:creator>
  <cp:keywords>Bonded Medical Program</cp:keywords>
  <dc:description/>
  <cp:lastModifiedBy>ARNOLD, Max</cp:lastModifiedBy>
  <cp:revision>2</cp:revision>
  <dcterms:created xsi:type="dcterms:W3CDTF">2022-06-28T02:04:00Z</dcterms:created>
  <dcterms:modified xsi:type="dcterms:W3CDTF">2022-06-28T02:04:00Z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ies>
</file>