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F5A" w:rsidRPr="00884C9E" w:rsidRDefault="00CC0F5A" w:rsidP="004362F8">
      <w:pPr>
        <w:pStyle w:val="Heading1"/>
        <w:ind w:left="-567"/>
        <w:jc w:val="center"/>
      </w:pPr>
      <w:bookmarkStart w:id="0" w:name="_GoBack"/>
      <w:bookmarkEnd w:id="0"/>
      <w:r w:rsidRPr="00884C9E">
        <w:t>MULTIJURISDICTIONAL</w:t>
      </w:r>
      <w:r w:rsidRPr="00884C9E">
        <w:rPr>
          <w:spacing w:val="-18"/>
        </w:rPr>
        <w:t xml:space="preserve"> </w:t>
      </w:r>
      <w:r w:rsidRPr="00884C9E">
        <w:t>SYPHILIS</w:t>
      </w:r>
      <w:r w:rsidRPr="00884C9E">
        <w:rPr>
          <w:spacing w:val="-18"/>
        </w:rPr>
        <w:t xml:space="preserve"> </w:t>
      </w:r>
      <w:r w:rsidRPr="00884C9E">
        <w:t>OUTBREAK</w:t>
      </w:r>
      <w:r w:rsidRPr="00884C9E">
        <w:rPr>
          <w:spacing w:val="-18"/>
        </w:rPr>
        <w:t xml:space="preserve"> </w:t>
      </w:r>
      <w:r w:rsidRPr="00884C9E">
        <w:t>WORKING</w:t>
      </w:r>
      <w:r w:rsidRPr="00884C9E">
        <w:rPr>
          <w:spacing w:val="-18"/>
        </w:rPr>
        <w:t xml:space="preserve"> </w:t>
      </w:r>
      <w:r w:rsidRPr="00884C9E">
        <w:t>GROUP</w:t>
      </w:r>
      <w:r w:rsidRPr="00884C9E">
        <w:rPr>
          <w:spacing w:val="-18"/>
        </w:rPr>
        <w:t xml:space="preserve"> </w:t>
      </w:r>
      <w:r w:rsidRPr="00884C9E">
        <w:t>(MJSO)</w:t>
      </w:r>
    </w:p>
    <w:p w:rsidR="00CC0F5A" w:rsidRPr="00DA6B2D" w:rsidRDefault="00CC0F5A" w:rsidP="006721AA">
      <w:pPr>
        <w:kinsoku w:val="0"/>
        <w:overflowPunct w:val="0"/>
        <w:spacing w:before="200"/>
        <w:ind w:left="-567"/>
        <w:jc w:val="center"/>
        <w:rPr>
          <w:rFonts w:ascii="Arial" w:hAnsi="Arial" w:cs="Arial"/>
          <w:sz w:val="28"/>
          <w:szCs w:val="28"/>
        </w:rPr>
      </w:pPr>
      <w:r>
        <w:rPr>
          <w:rFonts w:ascii="Arial" w:hAnsi="Arial" w:cs="Arial"/>
          <w:b/>
          <w:bCs/>
          <w:spacing w:val="1"/>
          <w:sz w:val="28"/>
          <w:szCs w:val="28"/>
        </w:rPr>
        <w:t>M</w:t>
      </w:r>
      <w:r>
        <w:rPr>
          <w:rFonts w:ascii="Arial" w:hAnsi="Arial" w:cs="Arial"/>
          <w:b/>
          <w:bCs/>
          <w:sz w:val="28"/>
          <w:szCs w:val="28"/>
        </w:rPr>
        <w:t>eeti</w:t>
      </w:r>
      <w:r>
        <w:rPr>
          <w:rFonts w:ascii="Arial" w:hAnsi="Arial" w:cs="Arial"/>
          <w:b/>
          <w:bCs/>
          <w:spacing w:val="1"/>
          <w:sz w:val="28"/>
          <w:szCs w:val="28"/>
        </w:rPr>
        <w:t>n</w:t>
      </w:r>
      <w:r>
        <w:rPr>
          <w:rFonts w:ascii="Arial" w:hAnsi="Arial" w:cs="Arial"/>
          <w:b/>
          <w:bCs/>
          <w:sz w:val="28"/>
          <w:szCs w:val="28"/>
        </w:rPr>
        <w:t>g</w:t>
      </w:r>
      <w:r>
        <w:rPr>
          <w:rFonts w:ascii="Arial" w:hAnsi="Arial" w:cs="Arial"/>
          <w:b/>
          <w:bCs/>
          <w:spacing w:val="-11"/>
          <w:sz w:val="28"/>
          <w:szCs w:val="28"/>
        </w:rPr>
        <w:t xml:space="preserve"> </w:t>
      </w:r>
      <w:r>
        <w:rPr>
          <w:rFonts w:ascii="Arial" w:hAnsi="Arial" w:cs="Arial"/>
          <w:b/>
          <w:bCs/>
          <w:spacing w:val="1"/>
          <w:sz w:val="28"/>
          <w:szCs w:val="28"/>
        </w:rPr>
        <w:t>C</w:t>
      </w:r>
      <w:r>
        <w:rPr>
          <w:rFonts w:ascii="Arial" w:hAnsi="Arial" w:cs="Arial"/>
          <w:b/>
          <w:bCs/>
          <w:sz w:val="28"/>
          <w:szCs w:val="28"/>
        </w:rPr>
        <w:t>o</w:t>
      </w:r>
      <w:r>
        <w:rPr>
          <w:rFonts w:ascii="Arial" w:hAnsi="Arial" w:cs="Arial"/>
          <w:b/>
          <w:bCs/>
          <w:spacing w:val="1"/>
          <w:sz w:val="28"/>
          <w:szCs w:val="28"/>
        </w:rPr>
        <w:t>mm</w:t>
      </w:r>
      <w:r>
        <w:rPr>
          <w:rFonts w:ascii="Arial" w:hAnsi="Arial" w:cs="Arial"/>
          <w:b/>
          <w:bCs/>
          <w:sz w:val="28"/>
          <w:szCs w:val="28"/>
        </w:rPr>
        <w:t>uniqu</w:t>
      </w:r>
      <w:r>
        <w:rPr>
          <w:rFonts w:ascii="Arial" w:hAnsi="Arial" w:cs="Arial"/>
          <w:b/>
          <w:bCs/>
          <w:spacing w:val="1"/>
          <w:sz w:val="28"/>
          <w:szCs w:val="28"/>
        </w:rPr>
        <w:t>e</w:t>
      </w:r>
      <w:r>
        <w:rPr>
          <w:rFonts w:ascii="Arial" w:hAnsi="Arial" w:cs="Arial"/>
          <w:b/>
          <w:bCs/>
          <w:sz w:val="28"/>
          <w:szCs w:val="28"/>
        </w:rPr>
        <w:t>,</w:t>
      </w:r>
      <w:r>
        <w:rPr>
          <w:rFonts w:ascii="Arial" w:hAnsi="Arial" w:cs="Arial"/>
          <w:b/>
          <w:bCs/>
          <w:spacing w:val="-12"/>
          <w:sz w:val="28"/>
          <w:szCs w:val="28"/>
        </w:rPr>
        <w:t xml:space="preserve"> </w:t>
      </w:r>
      <w:r>
        <w:rPr>
          <w:rFonts w:ascii="Arial" w:hAnsi="Arial" w:cs="Arial"/>
          <w:b/>
          <w:bCs/>
          <w:sz w:val="28"/>
          <w:szCs w:val="28"/>
        </w:rPr>
        <w:t>24</w:t>
      </w:r>
      <w:r>
        <w:rPr>
          <w:rFonts w:ascii="Arial" w:hAnsi="Arial" w:cs="Arial"/>
          <w:b/>
          <w:bCs/>
          <w:spacing w:val="-12"/>
          <w:sz w:val="28"/>
          <w:szCs w:val="28"/>
        </w:rPr>
        <w:t xml:space="preserve"> </w:t>
      </w:r>
      <w:r>
        <w:rPr>
          <w:rFonts w:ascii="Arial" w:hAnsi="Arial" w:cs="Arial"/>
          <w:b/>
          <w:bCs/>
          <w:spacing w:val="1"/>
          <w:sz w:val="28"/>
          <w:szCs w:val="28"/>
        </w:rPr>
        <w:t>M</w:t>
      </w:r>
      <w:r>
        <w:rPr>
          <w:rFonts w:ascii="Arial" w:hAnsi="Arial" w:cs="Arial"/>
          <w:b/>
          <w:bCs/>
          <w:sz w:val="28"/>
          <w:szCs w:val="28"/>
        </w:rPr>
        <w:t>arch</w:t>
      </w:r>
      <w:r>
        <w:rPr>
          <w:rFonts w:ascii="Arial" w:hAnsi="Arial" w:cs="Arial"/>
          <w:b/>
          <w:bCs/>
          <w:spacing w:val="-11"/>
          <w:sz w:val="28"/>
          <w:szCs w:val="28"/>
        </w:rPr>
        <w:t xml:space="preserve"> </w:t>
      </w:r>
      <w:r>
        <w:rPr>
          <w:rFonts w:ascii="Arial" w:hAnsi="Arial" w:cs="Arial"/>
          <w:b/>
          <w:bCs/>
          <w:sz w:val="28"/>
          <w:szCs w:val="28"/>
        </w:rPr>
        <w:t xml:space="preserve">2016 </w:t>
      </w:r>
      <w:r>
        <w:rPr>
          <w:rFonts w:ascii="Arial" w:hAnsi="Arial" w:cs="Arial"/>
          <w:bCs/>
          <w:sz w:val="28"/>
          <w:szCs w:val="28"/>
        </w:rPr>
        <w:t>(1</w:t>
      </w:r>
      <w:r w:rsidRPr="00DA6B2D">
        <w:rPr>
          <w:rFonts w:ascii="Arial" w:hAnsi="Arial" w:cs="Arial"/>
          <w:bCs/>
          <w:sz w:val="28"/>
          <w:szCs w:val="28"/>
          <w:vertAlign w:val="superscript"/>
        </w:rPr>
        <w:t>st</w:t>
      </w:r>
      <w:r>
        <w:rPr>
          <w:rFonts w:ascii="Arial" w:hAnsi="Arial" w:cs="Arial"/>
          <w:bCs/>
          <w:sz w:val="28"/>
          <w:szCs w:val="28"/>
        </w:rPr>
        <w:t xml:space="preserve"> communique)</w:t>
      </w:r>
    </w:p>
    <w:p w:rsidR="00CC0F5A" w:rsidRDefault="00CC0F5A" w:rsidP="006721AA">
      <w:pPr>
        <w:kinsoku w:val="0"/>
        <w:overflowPunct w:val="0"/>
        <w:ind w:left="-567"/>
        <w:jc w:val="center"/>
        <w:rPr>
          <w:rFonts w:ascii="Arial" w:hAnsi="Arial" w:cs="Arial"/>
        </w:rPr>
      </w:pPr>
      <w:r>
        <w:rPr>
          <w:rFonts w:ascii="Arial" w:hAnsi="Arial" w:cs="Arial"/>
          <w:b/>
          <w:bCs/>
        </w:rPr>
        <w:t>This</w:t>
      </w:r>
      <w:r>
        <w:rPr>
          <w:rFonts w:ascii="Arial" w:hAnsi="Arial" w:cs="Arial"/>
          <w:b/>
          <w:bCs/>
          <w:spacing w:val="-5"/>
        </w:rPr>
        <w:t xml:space="preserve"> </w:t>
      </w:r>
      <w:r>
        <w:rPr>
          <w:rFonts w:ascii="Arial" w:hAnsi="Arial" w:cs="Arial"/>
          <w:b/>
          <w:bCs/>
        </w:rPr>
        <w:t>communique</w:t>
      </w:r>
      <w:r>
        <w:rPr>
          <w:rFonts w:ascii="Arial" w:hAnsi="Arial" w:cs="Arial"/>
          <w:b/>
          <w:bCs/>
          <w:spacing w:val="-4"/>
        </w:rPr>
        <w:t xml:space="preserve"> </w:t>
      </w:r>
      <w:r>
        <w:rPr>
          <w:rFonts w:ascii="Arial" w:hAnsi="Arial" w:cs="Arial"/>
          <w:b/>
          <w:bCs/>
        </w:rPr>
        <w:t>has</w:t>
      </w:r>
      <w:r>
        <w:rPr>
          <w:rFonts w:ascii="Arial" w:hAnsi="Arial" w:cs="Arial"/>
          <w:b/>
          <w:bCs/>
          <w:spacing w:val="-4"/>
        </w:rPr>
        <w:t xml:space="preserve"> </w:t>
      </w:r>
      <w:r>
        <w:rPr>
          <w:rFonts w:ascii="Arial" w:hAnsi="Arial" w:cs="Arial"/>
          <w:b/>
          <w:bCs/>
        </w:rPr>
        <w:t>been</w:t>
      </w:r>
      <w:r>
        <w:rPr>
          <w:rFonts w:ascii="Arial" w:hAnsi="Arial" w:cs="Arial"/>
          <w:b/>
          <w:bCs/>
          <w:spacing w:val="-5"/>
        </w:rPr>
        <w:t xml:space="preserve"> </w:t>
      </w:r>
      <w:r>
        <w:rPr>
          <w:rFonts w:ascii="Arial" w:hAnsi="Arial" w:cs="Arial"/>
          <w:b/>
          <w:bCs/>
        </w:rPr>
        <w:t>authorised</w:t>
      </w:r>
      <w:r>
        <w:rPr>
          <w:rFonts w:ascii="Arial" w:hAnsi="Arial" w:cs="Arial"/>
          <w:b/>
          <w:bCs/>
          <w:spacing w:val="-4"/>
        </w:rPr>
        <w:t xml:space="preserve"> </w:t>
      </w:r>
      <w:r>
        <w:rPr>
          <w:rFonts w:ascii="Arial" w:hAnsi="Arial" w:cs="Arial"/>
          <w:b/>
          <w:bCs/>
        </w:rPr>
        <w:t>by</w:t>
      </w:r>
      <w:r>
        <w:rPr>
          <w:rFonts w:ascii="Arial" w:hAnsi="Arial" w:cs="Arial"/>
          <w:b/>
          <w:bCs/>
          <w:spacing w:val="-4"/>
        </w:rPr>
        <w:t xml:space="preserve"> </w:t>
      </w:r>
      <w:r>
        <w:rPr>
          <w:rFonts w:ascii="Arial" w:hAnsi="Arial" w:cs="Arial"/>
          <w:b/>
          <w:bCs/>
        </w:rPr>
        <w:t>the</w:t>
      </w:r>
      <w:r>
        <w:rPr>
          <w:rFonts w:ascii="Arial" w:hAnsi="Arial" w:cs="Arial"/>
          <w:b/>
          <w:bCs/>
          <w:spacing w:val="-5"/>
        </w:rPr>
        <w:t xml:space="preserve"> </w:t>
      </w:r>
      <w:r>
        <w:rPr>
          <w:rFonts w:ascii="Arial" w:hAnsi="Arial" w:cs="Arial"/>
          <w:b/>
          <w:bCs/>
        </w:rPr>
        <w:t>chair</w:t>
      </w:r>
      <w:r>
        <w:rPr>
          <w:rFonts w:ascii="Arial" w:hAnsi="Arial" w:cs="Arial"/>
          <w:b/>
          <w:bCs/>
          <w:spacing w:val="-4"/>
        </w:rPr>
        <w:t xml:space="preserve"> </w:t>
      </w:r>
      <w:r>
        <w:rPr>
          <w:rFonts w:ascii="Arial" w:hAnsi="Arial" w:cs="Arial"/>
          <w:b/>
          <w:bCs/>
        </w:rPr>
        <w:t>of</w:t>
      </w:r>
      <w:r>
        <w:rPr>
          <w:rFonts w:ascii="Arial" w:hAnsi="Arial" w:cs="Arial"/>
          <w:b/>
          <w:bCs/>
          <w:spacing w:val="-4"/>
        </w:rPr>
        <w:t xml:space="preserve"> </w:t>
      </w:r>
      <w:r>
        <w:rPr>
          <w:rFonts w:ascii="Arial" w:hAnsi="Arial" w:cs="Arial"/>
          <w:b/>
          <w:bCs/>
        </w:rPr>
        <w:t>the</w:t>
      </w:r>
      <w:r>
        <w:rPr>
          <w:rFonts w:ascii="Arial" w:hAnsi="Arial" w:cs="Arial"/>
          <w:b/>
          <w:bCs/>
          <w:spacing w:val="-5"/>
        </w:rPr>
        <w:t xml:space="preserve"> </w:t>
      </w:r>
      <w:r>
        <w:rPr>
          <w:rFonts w:ascii="Arial" w:hAnsi="Arial" w:cs="Arial"/>
          <w:b/>
          <w:bCs/>
        </w:rPr>
        <w:t>MJSO,</w:t>
      </w:r>
      <w:r>
        <w:rPr>
          <w:rFonts w:ascii="Arial" w:hAnsi="Arial" w:cs="Arial"/>
          <w:b/>
          <w:bCs/>
          <w:spacing w:val="-4"/>
        </w:rPr>
        <w:t xml:space="preserve"> </w:t>
      </w:r>
      <w:r>
        <w:rPr>
          <w:rFonts w:ascii="Arial" w:hAnsi="Arial" w:cs="Arial"/>
          <w:b/>
          <w:bCs/>
        </w:rPr>
        <w:t>Dr</w:t>
      </w:r>
      <w:r>
        <w:rPr>
          <w:rFonts w:ascii="Arial" w:hAnsi="Arial" w:cs="Arial"/>
          <w:b/>
          <w:bCs/>
          <w:spacing w:val="-4"/>
        </w:rPr>
        <w:t xml:space="preserve"> </w:t>
      </w:r>
      <w:r>
        <w:rPr>
          <w:rFonts w:ascii="Arial" w:hAnsi="Arial" w:cs="Arial"/>
          <w:b/>
          <w:bCs/>
        </w:rPr>
        <w:t>Nathan</w:t>
      </w:r>
      <w:r>
        <w:rPr>
          <w:rFonts w:ascii="Arial" w:hAnsi="Arial" w:cs="Arial"/>
          <w:b/>
          <w:bCs/>
          <w:spacing w:val="-4"/>
        </w:rPr>
        <w:t xml:space="preserve"> </w:t>
      </w:r>
      <w:r>
        <w:rPr>
          <w:rFonts w:ascii="Arial" w:hAnsi="Arial" w:cs="Arial"/>
          <w:b/>
          <w:bCs/>
        </w:rPr>
        <w:t>Ryder.</w:t>
      </w:r>
    </w:p>
    <w:p w:rsidR="00CC0F5A" w:rsidRDefault="00CC0F5A" w:rsidP="006721AA">
      <w:pPr>
        <w:pStyle w:val="BodyText"/>
        <w:kinsoku w:val="0"/>
        <w:overflowPunct w:val="0"/>
        <w:spacing w:line="252" w:lineRule="auto"/>
        <w:ind w:left="-567" w:right="193" w:firstLine="0"/>
      </w:pPr>
      <w:r>
        <w:rPr>
          <w:spacing w:val="1"/>
          <w:w w:val="105"/>
        </w:rPr>
        <w:t>Th</w:t>
      </w:r>
      <w:r>
        <w:rPr>
          <w:w w:val="105"/>
        </w:rPr>
        <w:t>e</w:t>
      </w:r>
      <w:r>
        <w:rPr>
          <w:spacing w:val="-13"/>
          <w:w w:val="105"/>
        </w:rPr>
        <w:t xml:space="preserve"> </w:t>
      </w:r>
      <w:r>
        <w:rPr>
          <w:spacing w:val="2"/>
          <w:w w:val="105"/>
        </w:rPr>
        <w:t>M</w:t>
      </w:r>
      <w:r>
        <w:rPr>
          <w:spacing w:val="1"/>
          <w:w w:val="105"/>
        </w:rPr>
        <w:t>u</w:t>
      </w:r>
      <w:r>
        <w:rPr>
          <w:w w:val="105"/>
        </w:rPr>
        <w:t>ltij</w:t>
      </w:r>
      <w:r>
        <w:rPr>
          <w:spacing w:val="1"/>
          <w:w w:val="105"/>
        </w:rPr>
        <w:t>ur</w:t>
      </w:r>
      <w:r>
        <w:rPr>
          <w:w w:val="105"/>
        </w:rPr>
        <w:t>i</w:t>
      </w:r>
      <w:r>
        <w:rPr>
          <w:spacing w:val="1"/>
          <w:w w:val="105"/>
        </w:rPr>
        <w:t>sd</w:t>
      </w:r>
      <w:r>
        <w:rPr>
          <w:w w:val="105"/>
        </w:rPr>
        <w:t>i</w:t>
      </w:r>
      <w:r>
        <w:rPr>
          <w:spacing w:val="1"/>
          <w:w w:val="105"/>
        </w:rPr>
        <w:t>c</w:t>
      </w:r>
      <w:r>
        <w:rPr>
          <w:w w:val="105"/>
        </w:rPr>
        <w:t>ti</w:t>
      </w:r>
      <w:r>
        <w:rPr>
          <w:spacing w:val="1"/>
          <w:w w:val="105"/>
        </w:rPr>
        <w:t>ona</w:t>
      </w:r>
      <w:r>
        <w:rPr>
          <w:w w:val="105"/>
        </w:rPr>
        <w:t>l</w:t>
      </w:r>
      <w:r>
        <w:rPr>
          <w:spacing w:val="-14"/>
          <w:w w:val="105"/>
        </w:rPr>
        <w:t xml:space="preserve"> </w:t>
      </w:r>
      <w:r>
        <w:rPr>
          <w:spacing w:val="2"/>
          <w:w w:val="105"/>
        </w:rPr>
        <w:t>S</w:t>
      </w:r>
      <w:r>
        <w:rPr>
          <w:spacing w:val="1"/>
          <w:w w:val="105"/>
        </w:rPr>
        <w:t>yph</w:t>
      </w:r>
      <w:r>
        <w:rPr>
          <w:w w:val="105"/>
        </w:rPr>
        <w:t>ilis</w:t>
      </w:r>
      <w:r>
        <w:rPr>
          <w:spacing w:val="-13"/>
          <w:w w:val="105"/>
        </w:rPr>
        <w:t xml:space="preserve"> </w:t>
      </w:r>
      <w:r>
        <w:rPr>
          <w:spacing w:val="2"/>
          <w:w w:val="105"/>
        </w:rPr>
        <w:t>O</w:t>
      </w:r>
      <w:r>
        <w:rPr>
          <w:spacing w:val="1"/>
          <w:w w:val="105"/>
        </w:rPr>
        <w:t>u</w:t>
      </w:r>
      <w:r>
        <w:rPr>
          <w:w w:val="105"/>
        </w:rPr>
        <w:t>t</w:t>
      </w:r>
      <w:r>
        <w:rPr>
          <w:spacing w:val="1"/>
          <w:w w:val="105"/>
        </w:rPr>
        <w:t>brea</w:t>
      </w:r>
      <w:r>
        <w:rPr>
          <w:w w:val="105"/>
        </w:rPr>
        <w:t>k</w:t>
      </w:r>
      <w:r>
        <w:rPr>
          <w:spacing w:val="-13"/>
          <w:w w:val="105"/>
        </w:rPr>
        <w:t xml:space="preserve"> </w:t>
      </w:r>
      <w:r>
        <w:rPr>
          <w:spacing w:val="3"/>
          <w:w w:val="105"/>
        </w:rPr>
        <w:t>W</w:t>
      </w:r>
      <w:r>
        <w:rPr>
          <w:spacing w:val="1"/>
          <w:w w:val="105"/>
        </w:rPr>
        <w:t>ork</w:t>
      </w:r>
      <w:r>
        <w:rPr>
          <w:w w:val="105"/>
        </w:rPr>
        <w:t>i</w:t>
      </w:r>
      <w:r>
        <w:rPr>
          <w:spacing w:val="1"/>
          <w:w w:val="105"/>
        </w:rPr>
        <w:t>n</w:t>
      </w:r>
      <w:r>
        <w:rPr>
          <w:w w:val="105"/>
        </w:rPr>
        <w:t>g</w:t>
      </w:r>
      <w:r>
        <w:rPr>
          <w:spacing w:val="-13"/>
          <w:w w:val="105"/>
        </w:rPr>
        <w:t xml:space="preserve"> </w:t>
      </w:r>
      <w:r>
        <w:rPr>
          <w:spacing w:val="2"/>
          <w:w w:val="105"/>
        </w:rPr>
        <w:t>G</w:t>
      </w:r>
      <w:r>
        <w:rPr>
          <w:spacing w:val="1"/>
          <w:w w:val="105"/>
        </w:rPr>
        <w:t>rou</w:t>
      </w:r>
      <w:r>
        <w:rPr>
          <w:w w:val="105"/>
        </w:rPr>
        <w:t>p</w:t>
      </w:r>
      <w:r>
        <w:rPr>
          <w:spacing w:val="-13"/>
          <w:w w:val="105"/>
        </w:rPr>
        <w:t xml:space="preserve"> </w:t>
      </w:r>
      <w:r>
        <w:rPr>
          <w:spacing w:val="1"/>
          <w:w w:val="105"/>
        </w:rPr>
        <w:t>(</w:t>
      </w:r>
      <w:r>
        <w:rPr>
          <w:spacing w:val="2"/>
          <w:w w:val="105"/>
        </w:rPr>
        <w:t>M</w:t>
      </w:r>
      <w:r>
        <w:rPr>
          <w:spacing w:val="1"/>
          <w:w w:val="105"/>
        </w:rPr>
        <w:t>J</w:t>
      </w:r>
      <w:r>
        <w:rPr>
          <w:spacing w:val="2"/>
          <w:w w:val="105"/>
        </w:rPr>
        <w:t>SO</w:t>
      </w:r>
      <w:r>
        <w:rPr>
          <w:w w:val="105"/>
        </w:rPr>
        <w:t>)</w:t>
      </w:r>
      <w:r>
        <w:rPr>
          <w:spacing w:val="-13"/>
          <w:w w:val="105"/>
        </w:rPr>
        <w:t xml:space="preserve"> </w:t>
      </w:r>
      <w:r>
        <w:rPr>
          <w:spacing w:val="2"/>
          <w:w w:val="105"/>
        </w:rPr>
        <w:t>w</w:t>
      </w:r>
      <w:r>
        <w:rPr>
          <w:spacing w:val="1"/>
          <w:w w:val="105"/>
        </w:rPr>
        <w:t>a</w:t>
      </w:r>
      <w:r>
        <w:rPr>
          <w:w w:val="105"/>
        </w:rPr>
        <w:t>s</w:t>
      </w:r>
      <w:r>
        <w:rPr>
          <w:spacing w:val="-13"/>
          <w:w w:val="105"/>
        </w:rPr>
        <w:t xml:space="preserve"> </w:t>
      </w:r>
      <w:r>
        <w:rPr>
          <w:w w:val="105"/>
        </w:rPr>
        <w:t>f</w:t>
      </w:r>
      <w:r>
        <w:rPr>
          <w:spacing w:val="1"/>
          <w:w w:val="105"/>
        </w:rPr>
        <w:t>or</w:t>
      </w:r>
      <w:r>
        <w:rPr>
          <w:spacing w:val="2"/>
          <w:w w:val="105"/>
        </w:rPr>
        <w:t>m</w:t>
      </w:r>
      <w:r>
        <w:rPr>
          <w:spacing w:val="1"/>
          <w:w w:val="105"/>
        </w:rPr>
        <w:t>e</w:t>
      </w:r>
      <w:r>
        <w:rPr>
          <w:w w:val="105"/>
        </w:rPr>
        <w:t>d</w:t>
      </w:r>
      <w:r>
        <w:rPr>
          <w:spacing w:val="-13"/>
          <w:w w:val="105"/>
        </w:rPr>
        <w:t xml:space="preserve"> </w:t>
      </w:r>
      <w:r>
        <w:rPr>
          <w:spacing w:val="1"/>
          <w:w w:val="105"/>
        </w:rPr>
        <w:t>b</w:t>
      </w:r>
      <w:r>
        <w:rPr>
          <w:w w:val="105"/>
        </w:rPr>
        <w:t>y</w:t>
      </w:r>
      <w:r>
        <w:rPr>
          <w:spacing w:val="-13"/>
          <w:w w:val="105"/>
        </w:rPr>
        <w:t xml:space="preserve"> </w:t>
      </w:r>
      <w:r>
        <w:rPr>
          <w:w w:val="105"/>
        </w:rPr>
        <w:t>t</w:t>
      </w:r>
      <w:r>
        <w:rPr>
          <w:spacing w:val="1"/>
          <w:w w:val="105"/>
        </w:rPr>
        <w:t>h</w:t>
      </w:r>
      <w:r>
        <w:rPr>
          <w:w w:val="105"/>
        </w:rPr>
        <w:t>e</w:t>
      </w:r>
      <w:r>
        <w:rPr>
          <w:spacing w:val="-13"/>
          <w:w w:val="105"/>
        </w:rPr>
        <w:t xml:space="preserve"> </w:t>
      </w:r>
      <w:r>
        <w:rPr>
          <w:spacing w:val="2"/>
          <w:w w:val="105"/>
        </w:rPr>
        <w:t>C</w:t>
      </w:r>
      <w:r>
        <w:rPr>
          <w:spacing w:val="1"/>
          <w:w w:val="105"/>
        </w:rPr>
        <w:t>o</w:t>
      </w:r>
      <w:r>
        <w:rPr>
          <w:spacing w:val="2"/>
          <w:w w:val="105"/>
        </w:rPr>
        <w:t>mm</w:t>
      </w:r>
      <w:r>
        <w:rPr>
          <w:spacing w:val="1"/>
          <w:w w:val="105"/>
        </w:rPr>
        <w:t>un</w:t>
      </w:r>
      <w:r>
        <w:rPr>
          <w:w w:val="105"/>
        </w:rPr>
        <w:t>i</w:t>
      </w:r>
      <w:r>
        <w:rPr>
          <w:spacing w:val="1"/>
          <w:w w:val="105"/>
        </w:rPr>
        <w:t>cab</w:t>
      </w:r>
      <w:r>
        <w:rPr>
          <w:w w:val="105"/>
        </w:rPr>
        <w:t>le</w:t>
      </w:r>
      <w:r>
        <w:rPr>
          <w:spacing w:val="-13"/>
          <w:w w:val="105"/>
        </w:rPr>
        <w:t xml:space="preserve"> </w:t>
      </w:r>
      <w:r>
        <w:rPr>
          <w:spacing w:val="2"/>
          <w:w w:val="105"/>
        </w:rPr>
        <w:t>D</w:t>
      </w:r>
      <w:r>
        <w:rPr>
          <w:w w:val="105"/>
        </w:rPr>
        <w:t>i</w:t>
      </w:r>
      <w:r>
        <w:rPr>
          <w:spacing w:val="1"/>
          <w:w w:val="105"/>
        </w:rPr>
        <w:t>seas</w:t>
      </w:r>
      <w:r>
        <w:rPr>
          <w:spacing w:val="-1"/>
          <w:w w:val="105"/>
        </w:rPr>
        <w:t>e</w:t>
      </w:r>
      <w:r>
        <w:rPr>
          <w:w w:val="105"/>
        </w:rPr>
        <w:t>s</w:t>
      </w:r>
      <w:r>
        <w:rPr>
          <w:w w:val="103"/>
        </w:rPr>
        <w:t xml:space="preserve"> </w:t>
      </w:r>
      <w:r>
        <w:rPr>
          <w:spacing w:val="2"/>
          <w:w w:val="105"/>
        </w:rPr>
        <w:t>N</w:t>
      </w:r>
      <w:r>
        <w:rPr>
          <w:spacing w:val="1"/>
          <w:w w:val="105"/>
        </w:rPr>
        <w:t>e</w:t>
      </w:r>
      <w:r>
        <w:rPr>
          <w:w w:val="105"/>
        </w:rPr>
        <w:t>t</w:t>
      </w:r>
      <w:r>
        <w:rPr>
          <w:spacing w:val="2"/>
          <w:w w:val="105"/>
        </w:rPr>
        <w:t>w</w:t>
      </w:r>
      <w:r>
        <w:rPr>
          <w:spacing w:val="1"/>
          <w:w w:val="105"/>
        </w:rPr>
        <w:t>or</w:t>
      </w:r>
      <w:r>
        <w:rPr>
          <w:w w:val="105"/>
        </w:rPr>
        <w:t>k</w:t>
      </w:r>
      <w:r>
        <w:rPr>
          <w:spacing w:val="-9"/>
          <w:w w:val="105"/>
        </w:rPr>
        <w:t xml:space="preserve"> </w:t>
      </w:r>
      <w:r>
        <w:rPr>
          <w:spacing w:val="1"/>
          <w:w w:val="105"/>
        </w:rPr>
        <w:t>o</w:t>
      </w:r>
      <w:r>
        <w:rPr>
          <w:w w:val="105"/>
        </w:rPr>
        <w:t>f</w:t>
      </w:r>
      <w:r>
        <w:rPr>
          <w:spacing w:val="-10"/>
          <w:w w:val="105"/>
        </w:rPr>
        <w:t xml:space="preserve"> </w:t>
      </w:r>
      <w:r>
        <w:rPr>
          <w:spacing w:val="2"/>
          <w:w w:val="105"/>
        </w:rPr>
        <w:t>A</w:t>
      </w:r>
      <w:r>
        <w:rPr>
          <w:spacing w:val="1"/>
          <w:w w:val="105"/>
        </w:rPr>
        <w:t>us</w:t>
      </w:r>
      <w:r>
        <w:rPr>
          <w:w w:val="105"/>
        </w:rPr>
        <w:t>t</w:t>
      </w:r>
      <w:r>
        <w:rPr>
          <w:spacing w:val="1"/>
          <w:w w:val="105"/>
        </w:rPr>
        <w:t>ra</w:t>
      </w:r>
      <w:r>
        <w:rPr>
          <w:w w:val="105"/>
        </w:rPr>
        <w:t>lia</w:t>
      </w:r>
      <w:r>
        <w:rPr>
          <w:spacing w:val="-8"/>
          <w:w w:val="105"/>
        </w:rPr>
        <w:t xml:space="preserve"> </w:t>
      </w:r>
      <w:r>
        <w:rPr>
          <w:spacing w:val="1"/>
          <w:w w:val="105"/>
        </w:rPr>
        <w:t>(</w:t>
      </w:r>
      <w:r>
        <w:rPr>
          <w:spacing w:val="2"/>
          <w:w w:val="105"/>
        </w:rPr>
        <w:t>CDNA</w:t>
      </w:r>
      <w:r>
        <w:rPr>
          <w:w w:val="105"/>
        </w:rPr>
        <w:t>)</w:t>
      </w:r>
      <w:r>
        <w:rPr>
          <w:spacing w:val="-9"/>
          <w:w w:val="105"/>
        </w:rPr>
        <w:t xml:space="preserve"> </w:t>
      </w:r>
      <w:r>
        <w:rPr>
          <w:w w:val="105"/>
        </w:rPr>
        <w:t>in</w:t>
      </w:r>
      <w:r>
        <w:rPr>
          <w:spacing w:val="-9"/>
          <w:w w:val="105"/>
        </w:rPr>
        <w:t xml:space="preserve"> </w:t>
      </w:r>
      <w:r>
        <w:rPr>
          <w:spacing w:val="2"/>
          <w:w w:val="105"/>
        </w:rPr>
        <w:t>A</w:t>
      </w:r>
      <w:r>
        <w:rPr>
          <w:spacing w:val="1"/>
          <w:w w:val="105"/>
        </w:rPr>
        <w:t>pr</w:t>
      </w:r>
      <w:r>
        <w:rPr>
          <w:w w:val="105"/>
        </w:rPr>
        <w:t>il</w:t>
      </w:r>
      <w:r>
        <w:rPr>
          <w:spacing w:val="-9"/>
          <w:w w:val="105"/>
        </w:rPr>
        <w:t xml:space="preserve"> </w:t>
      </w:r>
      <w:r>
        <w:rPr>
          <w:spacing w:val="1"/>
          <w:w w:val="105"/>
        </w:rPr>
        <w:t>2015</w:t>
      </w:r>
      <w:r>
        <w:rPr>
          <w:w w:val="105"/>
        </w:rPr>
        <w:t>,</w:t>
      </w:r>
      <w:r>
        <w:rPr>
          <w:spacing w:val="-10"/>
          <w:w w:val="105"/>
        </w:rPr>
        <w:t xml:space="preserve"> </w:t>
      </w:r>
      <w:r>
        <w:rPr>
          <w:w w:val="105"/>
        </w:rPr>
        <w:t>in</w:t>
      </w:r>
      <w:r>
        <w:rPr>
          <w:spacing w:val="-8"/>
          <w:w w:val="105"/>
        </w:rPr>
        <w:t xml:space="preserve"> </w:t>
      </w:r>
      <w:r>
        <w:rPr>
          <w:spacing w:val="1"/>
          <w:w w:val="105"/>
        </w:rPr>
        <w:t>respons</w:t>
      </w:r>
      <w:r>
        <w:rPr>
          <w:w w:val="105"/>
        </w:rPr>
        <w:t>e</w:t>
      </w:r>
      <w:r>
        <w:rPr>
          <w:spacing w:val="-9"/>
          <w:w w:val="105"/>
        </w:rPr>
        <w:t xml:space="preserve"> </w:t>
      </w:r>
      <w:r>
        <w:rPr>
          <w:w w:val="105"/>
        </w:rPr>
        <w:t>to</w:t>
      </w:r>
      <w:r>
        <w:rPr>
          <w:spacing w:val="-9"/>
          <w:w w:val="105"/>
        </w:rPr>
        <w:t xml:space="preserve"> </w:t>
      </w:r>
      <w:r>
        <w:rPr>
          <w:spacing w:val="1"/>
          <w:w w:val="105"/>
        </w:rPr>
        <w:t>a</w:t>
      </w:r>
      <w:r>
        <w:rPr>
          <w:w w:val="105"/>
        </w:rPr>
        <w:t>n</w:t>
      </w:r>
      <w:r>
        <w:rPr>
          <w:spacing w:val="-9"/>
          <w:w w:val="105"/>
        </w:rPr>
        <w:t xml:space="preserve"> </w:t>
      </w:r>
      <w:r>
        <w:rPr>
          <w:spacing w:val="1"/>
          <w:w w:val="105"/>
        </w:rPr>
        <w:t>ongo</w:t>
      </w:r>
      <w:r>
        <w:rPr>
          <w:w w:val="105"/>
        </w:rPr>
        <w:t>i</w:t>
      </w:r>
      <w:r>
        <w:rPr>
          <w:spacing w:val="1"/>
          <w:w w:val="105"/>
        </w:rPr>
        <w:t>n</w:t>
      </w:r>
      <w:r>
        <w:rPr>
          <w:w w:val="105"/>
        </w:rPr>
        <w:t>g</w:t>
      </w:r>
      <w:r>
        <w:rPr>
          <w:spacing w:val="-8"/>
          <w:w w:val="105"/>
        </w:rPr>
        <w:t xml:space="preserve"> </w:t>
      </w:r>
      <w:r>
        <w:rPr>
          <w:spacing w:val="1"/>
          <w:w w:val="105"/>
        </w:rPr>
        <w:t>ou</w:t>
      </w:r>
      <w:r>
        <w:rPr>
          <w:w w:val="105"/>
        </w:rPr>
        <w:t>t</w:t>
      </w:r>
      <w:r>
        <w:rPr>
          <w:spacing w:val="1"/>
          <w:w w:val="105"/>
        </w:rPr>
        <w:t>brea</w:t>
      </w:r>
      <w:r>
        <w:rPr>
          <w:w w:val="105"/>
        </w:rPr>
        <w:t>k</w:t>
      </w:r>
      <w:r>
        <w:rPr>
          <w:spacing w:val="-9"/>
          <w:w w:val="105"/>
        </w:rPr>
        <w:t xml:space="preserve"> </w:t>
      </w:r>
      <w:r>
        <w:rPr>
          <w:spacing w:val="1"/>
          <w:w w:val="105"/>
        </w:rPr>
        <w:t>o</w:t>
      </w:r>
      <w:r>
        <w:rPr>
          <w:w w:val="105"/>
        </w:rPr>
        <w:t>f</w:t>
      </w:r>
      <w:r>
        <w:rPr>
          <w:spacing w:val="-9"/>
          <w:w w:val="105"/>
        </w:rPr>
        <w:t xml:space="preserve"> </w:t>
      </w:r>
      <w:r>
        <w:rPr>
          <w:spacing w:val="1"/>
          <w:w w:val="105"/>
        </w:rPr>
        <w:t>syph</w:t>
      </w:r>
      <w:r>
        <w:rPr>
          <w:w w:val="105"/>
        </w:rPr>
        <w:t>ilis</w:t>
      </w:r>
      <w:r>
        <w:rPr>
          <w:spacing w:val="-9"/>
          <w:w w:val="105"/>
        </w:rPr>
        <w:t xml:space="preserve"> </w:t>
      </w:r>
      <w:r>
        <w:rPr>
          <w:spacing w:val="1"/>
          <w:w w:val="105"/>
        </w:rPr>
        <w:t>a</w:t>
      </w:r>
      <w:r>
        <w:rPr>
          <w:spacing w:val="2"/>
          <w:w w:val="105"/>
        </w:rPr>
        <w:t>m</w:t>
      </w:r>
      <w:r>
        <w:rPr>
          <w:spacing w:val="1"/>
          <w:w w:val="105"/>
        </w:rPr>
        <w:t>on</w:t>
      </w:r>
      <w:r>
        <w:rPr>
          <w:w w:val="105"/>
        </w:rPr>
        <w:t>g</w:t>
      </w:r>
      <w:r>
        <w:rPr>
          <w:spacing w:val="-9"/>
          <w:w w:val="105"/>
        </w:rPr>
        <w:t xml:space="preserve"> </w:t>
      </w:r>
      <w:r>
        <w:rPr>
          <w:spacing w:val="2"/>
          <w:w w:val="105"/>
        </w:rPr>
        <w:t>A</w:t>
      </w:r>
      <w:r>
        <w:rPr>
          <w:spacing w:val="1"/>
          <w:w w:val="105"/>
        </w:rPr>
        <w:t>bor</w:t>
      </w:r>
      <w:r>
        <w:rPr>
          <w:w w:val="105"/>
        </w:rPr>
        <w:t>i</w:t>
      </w:r>
      <w:r>
        <w:rPr>
          <w:spacing w:val="1"/>
          <w:w w:val="105"/>
        </w:rPr>
        <w:t>g</w:t>
      </w:r>
      <w:r>
        <w:rPr>
          <w:w w:val="105"/>
        </w:rPr>
        <w:t>i</w:t>
      </w:r>
      <w:r>
        <w:rPr>
          <w:spacing w:val="1"/>
          <w:w w:val="105"/>
        </w:rPr>
        <w:t>na</w:t>
      </w:r>
      <w:r>
        <w:rPr>
          <w:w w:val="105"/>
        </w:rPr>
        <w:t>l</w:t>
      </w:r>
      <w:r>
        <w:rPr>
          <w:spacing w:val="-9"/>
          <w:w w:val="105"/>
        </w:rPr>
        <w:t xml:space="preserve"> </w:t>
      </w:r>
      <w:r>
        <w:rPr>
          <w:spacing w:val="1"/>
          <w:w w:val="105"/>
        </w:rPr>
        <w:t>an</w:t>
      </w:r>
      <w:r>
        <w:rPr>
          <w:w w:val="105"/>
        </w:rPr>
        <w:t>d</w:t>
      </w:r>
      <w:r>
        <w:rPr>
          <w:w w:val="103"/>
        </w:rPr>
        <w:t xml:space="preserve"> </w:t>
      </w:r>
      <w:r>
        <w:rPr>
          <w:spacing w:val="1"/>
          <w:w w:val="105"/>
        </w:rPr>
        <w:t>Torre</w:t>
      </w:r>
      <w:r>
        <w:rPr>
          <w:w w:val="105"/>
        </w:rPr>
        <w:t>s</w:t>
      </w:r>
      <w:r>
        <w:rPr>
          <w:spacing w:val="-11"/>
          <w:w w:val="105"/>
        </w:rPr>
        <w:t xml:space="preserve"> </w:t>
      </w:r>
      <w:r>
        <w:rPr>
          <w:spacing w:val="2"/>
          <w:w w:val="105"/>
        </w:rPr>
        <w:t>S</w:t>
      </w:r>
      <w:r>
        <w:rPr>
          <w:w w:val="105"/>
        </w:rPr>
        <w:t>t</w:t>
      </w:r>
      <w:r>
        <w:rPr>
          <w:spacing w:val="1"/>
          <w:w w:val="105"/>
        </w:rPr>
        <w:t>ra</w:t>
      </w:r>
      <w:r>
        <w:rPr>
          <w:w w:val="105"/>
        </w:rPr>
        <w:t>it</w:t>
      </w:r>
      <w:r>
        <w:rPr>
          <w:spacing w:val="-11"/>
          <w:w w:val="105"/>
        </w:rPr>
        <w:t xml:space="preserve"> </w:t>
      </w:r>
      <w:r>
        <w:rPr>
          <w:w w:val="105"/>
        </w:rPr>
        <w:t>I</w:t>
      </w:r>
      <w:r>
        <w:rPr>
          <w:spacing w:val="1"/>
          <w:w w:val="105"/>
        </w:rPr>
        <w:t>s</w:t>
      </w:r>
      <w:r>
        <w:rPr>
          <w:w w:val="105"/>
        </w:rPr>
        <w:t>l</w:t>
      </w:r>
      <w:r>
        <w:rPr>
          <w:spacing w:val="1"/>
          <w:w w:val="105"/>
        </w:rPr>
        <w:t>ande</w:t>
      </w:r>
      <w:r>
        <w:rPr>
          <w:w w:val="105"/>
        </w:rPr>
        <w:t>r</w:t>
      </w:r>
      <w:r>
        <w:rPr>
          <w:spacing w:val="-11"/>
          <w:w w:val="105"/>
        </w:rPr>
        <w:t xml:space="preserve"> </w:t>
      </w:r>
      <w:r>
        <w:rPr>
          <w:spacing w:val="1"/>
          <w:w w:val="105"/>
        </w:rPr>
        <w:t>peop</w:t>
      </w:r>
      <w:r>
        <w:rPr>
          <w:w w:val="105"/>
        </w:rPr>
        <w:t>le</w:t>
      </w:r>
      <w:r>
        <w:rPr>
          <w:spacing w:val="-10"/>
          <w:w w:val="105"/>
        </w:rPr>
        <w:t xml:space="preserve"> </w:t>
      </w:r>
      <w:r>
        <w:rPr>
          <w:w w:val="105"/>
        </w:rPr>
        <w:t>li</w:t>
      </w:r>
      <w:r>
        <w:rPr>
          <w:spacing w:val="1"/>
          <w:w w:val="105"/>
        </w:rPr>
        <w:t>v</w:t>
      </w:r>
      <w:r>
        <w:rPr>
          <w:w w:val="105"/>
        </w:rPr>
        <w:t>i</w:t>
      </w:r>
      <w:r>
        <w:rPr>
          <w:spacing w:val="1"/>
          <w:w w:val="105"/>
        </w:rPr>
        <w:t>n</w:t>
      </w:r>
      <w:r>
        <w:rPr>
          <w:w w:val="105"/>
        </w:rPr>
        <w:t>g</w:t>
      </w:r>
      <w:r>
        <w:rPr>
          <w:spacing w:val="-9"/>
          <w:w w:val="105"/>
        </w:rPr>
        <w:t xml:space="preserve"> </w:t>
      </w:r>
      <w:r>
        <w:rPr>
          <w:w w:val="105"/>
        </w:rPr>
        <w:t>l</w:t>
      </w:r>
      <w:r>
        <w:rPr>
          <w:spacing w:val="1"/>
          <w:w w:val="105"/>
        </w:rPr>
        <w:t>arge</w:t>
      </w:r>
      <w:r>
        <w:rPr>
          <w:w w:val="105"/>
        </w:rPr>
        <w:t>ly</w:t>
      </w:r>
      <w:r>
        <w:rPr>
          <w:spacing w:val="-11"/>
          <w:w w:val="105"/>
        </w:rPr>
        <w:t xml:space="preserve"> </w:t>
      </w:r>
      <w:r>
        <w:rPr>
          <w:w w:val="105"/>
        </w:rPr>
        <w:t>in</w:t>
      </w:r>
      <w:r>
        <w:rPr>
          <w:spacing w:val="-10"/>
          <w:w w:val="105"/>
        </w:rPr>
        <w:t xml:space="preserve"> </w:t>
      </w:r>
      <w:r>
        <w:rPr>
          <w:spacing w:val="1"/>
          <w:w w:val="105"/>
        </w:rPr>
        <w:t>re</w:t>
      </w:r>
      <w:r>
        <w:rPr>
          <w:spacing w:val="2"/>
          <w:w w:val="105"/>
        </w:rPr>
        <w:t>m</w:t>
      </w:r>
      <w:r>
        <w:rPr>
          <w:spacing w:val="1"/>
          <w:w w:val="105"/>
        </w:rPr>
        <w:t>o</w:t>
      </w:r>
      <w:r>
        <w:rPr>
          <w:w w:val="105"/>
        </w:rPr>
        <w:t>te</w:t>
      </w:r>
      <w:r>
        <w:rPr>
          <w:spacing w:val="-10"/>
          <w:w w:val="105"/>
        </w:rPr>
        <w:t xml:space="preserve"> </w:t>
      </w:r>
      <w:r>
        <w:rPr>
          <w:spacing w:val="1"/>
          <w:w w:val="105"/>
        </w:rPr>
        <w:t>an</w:t>
      </w:r>
      <w:r>
        <w:rPr>
          <w:w w:val="105"/>
        </w:rPr>
        <w:t>d</w:t>
      </w:r>
      <w:r>
        <w:rPr>
          <w:spacing w:val="-10"/>
          <w:w w:val="105"/>
        </w:rPr>
        <w:t xml:space="preserve"> </w:t>
      </w:r>
      <w:r>
        <w:rPr>
          <w:spacing w:val="1"/>
          <w:w w:val="105"/>
        </w:rPr>
        <w:t>rura</w:t>
      </w:r>
      <w:r>
        <w:rPr>
          <w:w w:val="105"/>
        </w:rPr>
        <w:t>l</w:t>
      </w:r>
      <w:r>
        <w:rPr>
          <w:spacing w:val="-11"/>
          <w:w w:val="105"/>
        </w:rPr>
        <w:t xml:space="preserve"> </w:t>
      </w:r>
      <w:r>
        <w:rPr>
          <w:spacing w:val="1"/>
          <w:w w:val="105"/>
        </w:rPr>
        <w:t>area</w:t>
      </w:r>
      <w:r>
        <w:rPr>
          <w:w w:val="105"/>
        </w:rPr>
        <w:t>s</w:t>
      </w:r>
      <w:r>
        <w:rPr>
          <w:spacing w:val="-10"/>
          <w:w w:val="105"/>
        </w:rPr>
        <w:t xml:space="preserve"> </w:t>
      </w:r>
      <w:r>
        <w:rPr>
          <w:spacing w:val="1"/>
          <w:w w:val="105"/>
        </w:rPr>
        <w:t>o</w:t>
      </w:r>
      <w:r>
        <w:rPr>
          <w:w w:val="105"/>
        </w:rPr>
        <w:t>f</w:t>
      </w:r>
      <w:r>
        <w:rPr>
          <w:spacing w:val="-11"/>
          <w:w w:val="105"/>
        </w:rPr>
        <w:t xml:space="preserve"> </w:t>
      </w:r>
      <w:r>
        <w:rPr>
          <w:spacing w:val="1"/>
          <w:w w:val="105"/>
        </w:rPr>
        <w:t>no</w:t>
      </w:r>
      <w:r>
        <w:rPr>
          <w:w w:val="105"/>
        </w:rPr>
        <w:t>rt</w:t>
      </w:r>
      <w:r>
        <w:rPr>
          <w:spacing w:val="1"/>
          <w:w w:val="105"/>
        </w:rPr>
        <w:t>he</w:t>
      </w:r>
      <w:r>
        <w:rPr>
          <w:w w:val="105"/>
        </w:rPr>
        <w:t>rn</w:t>
      </w:r>
      <w:r>
        <w:rPr>
          <w:spacing w:val="-11"/>
          <w:w w:val="105"/>
        </w:rPr>
        <w:t xml:space="preserve"> </w:t>
      </w:r>
      <w:r>
        <w:rPr>
          <w:spacing w:val="2"/>
          <w:w w:val="105"/>
        </w:rPr>
        <w:t>A</w:t>
      </w:r>
      <w:r>
        <w:rPr>
          <w:spacing w:val="1"/>
          <w:w w:val="105"/>
        </w:rPr>
        <w:t>us</w:t>
      </w:r>
      <w:r>
        <w:rPr>
          <w:w w:val="105"/>
        </w:rPr>
        <w:t>t</w:t>
      </w:r>
      <w:r>
        <w:rPr>
          <w:spacing w:val="1"/>
          <w:w w:val="105"/>
        </w:rPr>
        <w:t>ra</w:t>
      </w:r>
      <w:r>
        <w:rPr>
          <w:w w:val="105"/>
        </w:rPr>
        <w:t>li</w:t>
      </w:r>
      <w:r>
        <w:rPr>
          <w:spacing w:val="1"/>
          <w:w w:val="105"/>
        </w:rPr>
        <w:t>a</w:t>
      </w:r>
      <w:r>
        <w:rPr>
          <w:w w:val="105"/>
        </w:rPr>
        <w:t>.</w:t>
      </w:r>
      <w:r>
        <w:rPr>
          <w:spacing w:val="-11"/>
          <w:w w:val="105"/>
        </w:rPr>
        <w:t xml:space="preserve"> </w:t>
      </w:r>
      <w:r>
        <w:rPr>
          <w:w w:val="105"/>
        </w:rPr>
        <w:t>I</w:t>
      </w:r>
      <w:r>
        <w:rPr>
          <w:spacing w:val="1"/>
          <w:w w:val="105"/>
        </w:rPr>
        <w:t>ncrease</w:t>
      </w:r>
      <w:r>
        <w:rPr>
          <w:w w:val="105"/>
        </w:rPr>
        <w:t>d</w:t>
      </w:r>
      <w:r>
        <w:rPr>
          <w:spacing w:val="-10"/>
          <w:w w:val="105"/>
        </w:rPr>
        <w:t xml:space="preserve"> </w:t>
      </w:r>
      <w:r>
        <w:rPr>
          <w:spacing w:val="1"/>
          <w:w w:val="105"/>
        </w:rPr>
        <w:t>no</w:t>
      </w:r>
      <w:r>
        <w:rPr>
          <w:w w:val="105"/>
        </w:rPr>
        <w:t>tifi</w:t>
      </w:r>
      <w:r>
        <w:rPr>
          <w:spacing w:val="1"/>
          <w:w w:val="105"/>
        </w:rPr>
        <w:t>ca</w:t>
      </w:r>
      <w:r>
        <w:rPr>
          <w:w w:val="105"/>
        </w:rPr>
        <w:t>ti</w:t>
      </w:r>
      <w:r>
        <w:rPr>
          <w:spacing w:val="1"/>
          <w:w w:val="105"/>
        </w:rPr>
        <w:t>on</w:t>
      </w:r>
      <w:r>
        <w:rPr>
          <w:w w:val="105"/>
        </w:rPr>
        <w:t>s</w:t>
      </w:r>
      <w:r>
        <w:rPr>
          <w:w w:val="103"/>
        </w:rPr>
        <w:t xml:space="preserve"> </w:t>
      </w:r>
      <w:r>
        <w:rPr>
          <w:spacing w:val="1"/>
          <w:w w:val="105"/>
        </w:rPr>
        <w:t>assoc</w:t>
      </w:r>
      <w:r>
        <w:rPr>
          <w:w w:val="105"/>
        </w:rPr>
        <w:t>i</w:t>
      </w:r>
      <w:r>
        <w:rPr>
          <w:spacing w:val="1"/>
          <w:w w:val="105"/>
        </w:rPr>
        <w:t>a</w:t>
      </w:r>
      <w:r>
        <w:rPr>
          <w:w w:val="105"/>
        </w:rPr>
        <w:t>t</w:t>
      </w:r>
      <w:r>
        <w:rPr>
          <w:spacing w:val="1"/>
          <w:w w:val="105"/>
        </w:rPr>
        <w:t>e</w:t>
      </w:r>
      <w:r>
        <w:rPr>
          <w:w w:val="105"/>
        </w:rPr>
        <w:t>d</w:t>
      </w:r>
      <w:r>
        <w:rPr>
          <w:spacing w:val="-11"/>
          <w:w w:val="105"/>
        </w:rPr>
        <w:t xml:space="preserve"> </w:t>
      </w:r>
      <w:r>
        <w:rPr>
          <w:spacing w:val="2"/>
          <w:w w:val="105"/>
        </w:rPr>
        <w:t>w</w:t>
      </w:r>
      <w:r>
        <w:rPr>
          <w:w w:val="105"/>
        </w:rPr>
        <w:t>ith</w:t>
      </w:r>
      <w:r>
        <w:rPr>
          <w:spacing w:val="-10"/>
          <w:w w:val="105"/>
        </w:rPr>
        <w:t xml:space="preserve"> </w:t>
      </w:r>
      <w:r>
        <w:rPr>
          <w:w w:val="105"/>
        </w:rPr>
        <w:t>t</w:t>
      </w:r>
      <w:r>
        <w:rPr>
          <w:spacing w:val="1"/>
          <w:w w:val="105"/>
        </w:rPr>
        <w:t>h</w:t>
      </w:r>
      <w:r>
        <w:rPr>
          <w:w w:val="105"/>
        </w:rPr>
        <w:t>e</w:t>
      </w:r>
      <w:r>
        <w:rPr>
          <w:spacing w:val="-10"/>
          <w:w w:val="105"/>
        </w:rPr>
        <w:t xml:space="preserve"> </w:t>
      </w:r>
      <w:r>
        <w:rPr>
          <w:spacing w:val="1"/>
          <w:w w:val="105"/>
        </w:rPr>
        <w:t>ou</w:t>
      </w:r>
      <w:r>
        <w:rPr>
          <w:w w:val="105"/>
        </w:rPr>
        <w:t>t</w:t>
      </w:r>
      <w:r>
        <w:rPr>
          <w:spacing w:val="1"/>
          <w:w w:val="105"/>
        </w:rPr>
        <w:t>brea</w:t>
      </w:r>
      <w:r>
        <w:rPr>
          <w:w w:val="105"/>
        </w:rPr>
        <w:t>k</w:t>
      </w:r>
      <w:r>
        <w:rPr>
          <w:spacing w:val="-10"/>
          <w:w w:val="105"/>
        </w:rPr>
        <w:t xml:space="preserve"> </w:t>
      </w:r>
      <w:r>
        <w:rPr>
          <w:w w:val="105"/>
        </w:rPr>
        <w:t>in</w:t>
      </w:r>
      <w:r>
        <w:rPr>
          <w:spacing w:val="-10"/>
          <w:w w:val="105"/>
        </w:rPr>
        <w:t xml:space="preserve"> </w:t>
      </w:r>
      <w:r>
        <w:rPr>
          <w:spacing w:val="1"/>
          <w:w w:val="105"/>
        </w:rPr>
        <w:t>no</w:t>
      </w:r>
      <w:r>
        <w:rPr>
          <w:w w:val="105"/>
        </w:rPr>
        <w:t>rt</w:t>
      </w:r>
      <w:r>
        <w:rPr>
          <w:spacing w:val="1"/>
          <w:w w:val="105"/>
        </w:rPr>
        <w:t>he</w:t>
      </w:r>
      <w:r>
        <w:rPr>
          <w:w w:val="105"/>
        </w:rPr>
        <w:t>rn</w:t>
      </w:r>
      <w:r>
        <w:rPr>
          <w:spacing w:val="-10"/>
          <w:w w:val="105"/>
        </w:rPr>
        <w:t xml:space="preserve"> </w:t>
      </w:r>
      <w:r>
        <w:rPr>
          <w:spacing w:val="2"/>
          <w:w w:val="105"/>
        </w:rPr>
        <w:t>A</w:t>
      </w:r>
      <w:r>
        <w:rPr>
          <w:spacing w:val="1"/>
          <w:w w:val="105"/>
        </w:rPr>
        <w:t>us</w:t>
      </w:r>
      <w:r>
        <w:rPr>
          <w:w w:val="105"/>
        </w:rPr>
        <w:t>t</w:t>
      </w:r>
      <w:r>
        <w:rPr>
          <w:spacing w:val="1"/>
          <w:w w:val="105"/>
        </w:rPr>
        <w:t>ra</w:t>
      </w:r>
      <w:r>
        <w:rPr>
          <w:w w:val="105"/>
        </w:rPr>
        <w:t>lia</w:t>
      </w:r>
      <w:r>
        <w:rPr>
          <w:spacing w:val="-10"/>
          <w:w w:val="105"/>
        </w:rPr>
        <w:t xml:space="preserve"> </w:t>
      </w:r>
      <w:r>
        <w:rPr>
          <w:spacing w:val="2"/>
          <w:w w:val="105"/>
        </w:rPr>
        <w:t>w</w:t>
      </w:r>
      <w:r>
        <w:rPr>
          <w:spacing w:val="1"/>
          <w:w w:val="105"/>
        </w:rPr>
        <w:t>er</w:t>
      </w:r>
      <w:r>
        <w:rPr>
          <w:w w:val="105"/>
        </w:rPr>
        <w:t>e</w:t>
      </w:r>
      <w:r>
        <w:rPr>
          <w:spacing w:val="-10"/>
          <w:w w:val="105"/>
        </w:rPr>
        <w:t xml:space="preserve"> </w:t>
      </w:r>
      <w:r>
        <w:rPr>
          <w:w w:val="105"/>
        </w:rPr>
        <w:t>fi</w:t>
      </w:r>
      <w:r>
        <w:rPr>
          <w:spacing w:val="1"/>
          <w:w w:val="105"/>
        </w:rPr>
        <w:t>rs</w:t>
      </w:r>
      <w:r>
        <w:rPr>
          <w:w w:val="105"/>
        </w:rPr>
        <w:t>t</w:t>
      </w:r>
      <w:r>
        <w:rPr>
          <w:spacing w:val="-11"/>
          <w:w w:val="105"/>
        </w:rPr>
        <w:t xml:space="preserve"> </w:t>
      </w:r>
      <w:r>
        <w:rPr>
          <w:spacing w:val="1"/>
          <w:w w:val="105"/>
        </w:rPr>
        <w:t>repo</w:t>
      </w:r>
      <w:r>
        <w:rPr>
          <w:w w:val="105"/>
        </w:rPr>
        <w:t>rt</w:t>
      </w:r>
      <w:r>
        <w:rPr>
          <w:spacing w:val="1"/>
          <w:w w:val="105"/>
        </w:rPr>
        <w:t>e</w:t>
      </w:r>
      <w:r>
        <w:rPr>
          <w:w w:val="105"/>
        </w:rPr>
        <w:t>d</w:t>
      </w:r>
      <w:r>
        <w:rPr>
          <w:spacing w:val="-10"/>
          <w:w w:val="105"/>
        </w:rPr>
        <w:t xml:space="preserve"> </w:t>
      </w:r>
      <w:r>
        <w:rPr>
          <w:w w:val="105"/>
        </w:rPr>
        <w:t>in</w:t>
      </w:r>
      <w:r>
        <w:rPr>
          <w:spacing w:val="-10"/>
          <w:w w:val="105"/>
        </w:rPr>
        <w:t xml:space="preserve"> </w:t>
      </w:r>
      <w:r>
        <w:rPr>
          <w:spacing w:val="1"/>
          <w:w w:val="105"/>
        </w:rPr>
        <w:t>Janua</w:t>
      </w:r>
      <w:r>
        <w:rPr>
          <w:w w:val="105"/>
        </w:rPr>
        <w:t>ry</w:t>
      </w:r>
      <w:r>
        <w:rPr>
          <w:spacing w:val="-10"/>
          <w:w w:val="105"/>
        </w:rPr>
        <w:t xml:space="preserve"> </w:t>
      </w:r>
      <w:r>
        <w:rPr>
          <w:spacing w:val="1"/>
          <w:w w:val="105"/>
        </w:rPr>
        <w:t>201</w:t>
      </w:r>
      <w:r>
        <w:rPr>
          <w:w w:val="105"/>
        </w:rPr>
        <w:t>1</w:t>
      </w:r>
      <w:r>
        <w:rPr>
          <w:spacing w:val="-10"/>
          <w:w w:val="105"/>
        </w:rPr>
        <w:t xml:space="preserve"> </w:t>
      </w:r>
      <w:r>
        <w:rPr>
          <w:w w:val="105"/>
        </w:rPr>
        <w:t>in</w:t>
      </w:r>
      <w:r>
        <w:rPr>
          <w:spacing w:val="-10"/>
          <w:w w:val="105"/>
        </w:rPr>
        <w:t xml:space="preserve"> </w:t>
      </w:r>
      <w:r>
        <w:rPr>
          <w:spacing w:val="1"/>
          <w:w w:val="105"/>
        </w:rPr>
        <w:t>no</w:t>
      </w:r>
      <w:r>
        <w:rPr>
          <w:w w:val="105"/>
        </w:rPr>
        <w:t>rt</w:t>
      </w:r>
      <w:r>
        <w:rPr>
          <w:spacing w:val="1"/>
          <w:w w:val="105"/>
        </w:rPr>
        <w:t>h</w:t>
      </w:r>
      <w:r>
        <w:rPr>
          <w:spacing w:val="2"/>
          <w:w w:val="105"/>
        </w:rPr>
        <w:t>w</w:t>
      </w:r>
      <w:r>
        <w:rPr>
          <w:spacing w:val="1"/>
          <w:w w:val="105"/>
        </w:rPr>
        <w:t>es</w:t>
      </w:r>
      <w:r>
        <w:rPr>
          <w:w w:val="105"/>
        </w:rPr>
        <w:t>t</w:t>
      </w:r>
      <w:r>
        <w:rPr>
          <w:spacing w:val="-11"/>
          <w:w w:val="105"/>
        </w:rPr>
        <w:t xml:space="preserve"> </w:t>
      </w:r>
      <w:r>
        <w:rPr>
          <w:spacing w:val="2"/>
          <w:w w:val="105"/>
        </w:rPr>
        <w:t>Q</w:t>
      </w:r>
      <w:r>
        <w:rPr>
          <w:spacing w:val="1"/>
          <w:w w:val="105"/>
        </w:rPr>
        <w:t>ueens</w:t>
      </w:r>
      <w:r>
        <w:rPr>
          <w:w w:val="105"/>
        </w:rPr>
        <w:t>l</w:t>
      </w:r>
      <w:r>
        <w:rPr>
          <w:spacing w:val="1"/>
          <w:w w:val="105"/>
        </w:rPr>
        <w:t>and,</w:t>
      </w:r>
      <w:r>
        <w:rPr>
          <w:spacing w:val="1"/>
          <w:w w:val="103"/>
        </w:rPr>
        <w:t xml:space="preserve"> </w:t>
      </w:r>
      <w:r>
        <w:rPr>
          <w:w w:val="105"/>
        </w:rPr>
        <w:t>f</w:t>
      </w:r>
      <w:r>
        <w:rPr>
          <w:spacing w:val="1"/>
          <w:w w:val="105"/>
        </w:rPr>
        <w:t>o</w:t>
      </w:r>
      <w:r>
        <w:rPr>
          <w:w w:val="105"/>
        </w:rPr>
        <w:t>ll</w:t>
      </w:r>
      <w:r>
        <w:rPr>
          <w:spacing w:val="1"/>
          <w:w w:val="105"/>
        </w:rPr>
        <w:t>o</w:t>
      </w:r>
      <w:r>
        <w:rPr>
          <w:spacing w:val="2"/>
          <w:w w:val="105"/>
        </w:rPr>
        <w:t>w</w:t>
      </w:r>
      <w:r>
        <w:rPr>
          <w:spacing w:val="1"/>
          <w:w w:val="105"/>
        </w:rPr>
        <w:t>e</w:t>
      </w:r>
      <w:r>
        <w:rPr>
          <w:w w:val="105"/>
        </w:rPr>
        <w:t>d</w:t>
      </w:r>
      <w:r>
        <w:rPr>
          <w:spacing w:val="-9"/>
          <w:w w:val="105"/>
        </w:rPr>
        <w:t xml:space="preserve"> </w:t>
      </w:r>
      <w:r>
        <w:rPr>
          <w:spacing w:val="1"/>
          <w:w w:val="105"/>
        </w:rPr>
        <w:t>b</w:t>
      </w:r>
      <w:r>
        <w:rPr>
          <w:w w:val="105"/>
        </w:rPr>
        <w:t>y</w:t>
      </w:r>
      <w:r>
        <w:rPr>
          <w:spacing w:val="-8"/>
          <w:w w:val="105"/>
        </w:rPr>
        <w:t xml:space="preserve"> </w:t>
      </w:r>
      <w:r>
        <w:rPr>
          <w:w w:val="105"/>
        </w:rPr>
        <w:t>t</w:t>
      </w:r>
      <w:r>
        <w:rPr>
          <w:spacing w:val="1"/>
          <w:w w:val="105"/>
        </w:rPr>
        <w:t>h</w:t>
      </w:r>
      <w:r>
        <w:rPr>
          <w:w w:val="105"/>
        </w:rPr>
        <w:t>e</w:t>
      </w:r>
      <w:r>
        <w:rPr>
          <w:spacing w:val="-8"/>
          <w:w w:val="105"/>
        </w:rPr>
        <w:t xml:space="preserve"> </w:t>
      </w:r>
      <w:r>
        <w:rPr>
          <w:spacing w:val="2"/>
          <w:w w:val="105"/>
        </w:rPr>
        <w:t>N</w:t>
      </w:r>
      <w:r>
        <w:rPr>
          <w:spacing w:val="1"/>
          <w:w w:val="105"/>
        </w:rPr>
        <w:t>or</w:t>
      </w:r>
      <w:r>
        <w:rPr>
          <w:w w:val="105"/>
        </w:rPr>
        <w:t>t</w:t>
      </w:r>
      <w:r>
        <w:rPr>
          <w:spacing w:val="1"/>
          <w:w w:val="105"/>
        </w:rPr>
        <w:t>her</w:t>
      </w:r>
      <w:r>
        <w:rPr>
          <w:w w:val="105"/>
        </w:rPr>
        <w:t>n</w:t>
      </w:r>
      <w:r>
        <w:rPr>
          <w:spacing w:val="-8"/>
          <w:w w:val="105"/>
        </w:rPr>
        <w:t xml:space="preserve"> </w:t>
      </w:r>
      <w:r>
        <w:rPr>
          <w:spacing w:val="2"/>
          <w:w w:val="105"/>
        </w:rPr>
        <w:t>T</w:t>
      </w:r>
      <w:r>
        <w:rPr>
          <w:spacing w:val="1"/>
          <w:w w:val="105"/>
        </w:rPr>
        <w:t>err</w:t>
      </w:r>
      <w:r>
        <w:rPr>
          <w:w w:val="105"/>
        </w:rPr>
        <w:t>it</w:t>
      </w:r>
      <w:r>
        <w:rPr>
          <w:spacing w:val="1"/>
          <w:w w:val="105"/>
        </w:rPr>
        <w:t>or</w:t>
      </w:r>
      <w:r>
        <w:rPr>
          <w:w w:val="105"/>
        </w:rPr>
        <w:t>y</w:t>
      </w:r>
      <w:r>
        <w:rPr>
          <w:spacing w:val="-8"/>
          <w:w w:val="105"/>
        </w:rPr>
        <w:t xml:space="preserve"> </w:t>
      </w:r>
      <w:r>
        <w:rPr>
          <w:spacing w:val="1"/>
          <w:w w:val="105"/>
        </w:rPr>
        <w:t>(</w:t>
      </w:r>
      <w:r>
        <w:rPr>
          <w:spacing w:val="2"/>
          <w:w w:val="105"/>
        </w:rPr>
        <w:t>NT</w:t>
      </w:r>
      <w:r>
        <w:rPr>
          <w:w w:val="105"/>
        </w:rPr>
        <w:t>)</w:t>
      </w:r>
      <w:r>
        <w:rPr>
          <w:spacing w:val="-9"/>
          <w:w w:val="105"/>
        </w:rPr>
        <w:t xml:space="preserve"> </w:t>
      </w:r>
      <w:r>
        <w:rPr>
          <w:w w:val="105"/>
        </w:rPr>
        <w:t>in</w:t>
      </w:r>
      <w:r>
        <w:rPr>
          <w:spacing w:val="-8"/>
          <w:w w:val="105"/>
        </w:rPr>
        <w:t xml:space="preserve"> </w:t>
      </w:r>
      <w:r>
        <w:rPr>
          <w:spacing w:val="1"/>
          <w:w w:val="105"/>
        </w:rPr>
        <w:t>Ju</w:t>
      </w:r>
      <w:r>
        <w:rPr>
          <w:w w:val="105"/>
        </w:rPr>
        <w:t>ly</w:t>
      </w:r>
      <w:r>
        <w:rPr>
          <w:spacing w:val="-8"/>
          <w:w w:val="105"/>
        </w:rPr>
        <w:t xml:space="preserve"> </w:t>
      </w:r>
      <w:r>
        <w:rPr>
          <w:spacing w:val="1"/>
          <w:w w:val="105"/>
        </w:rPr>
        <w:t>2013</w:t>
      </w:r>
      <w:r>
        <w:rPr>
          <w:w w:val="105"/>
        </w:rPr>
        <w:t>,</w:t>
      </w:r>
      <w:r>
        <w:rPr>
          <w:spacing w:val="-9"/>
          <w:w w:val="105"/>
        </w:rPr>
        <w:t xml:space="preserve"> </w:t>
      </w:r>
      <w:r>
        <w:rPr>
          <w:spacing w:val="1"/>
          <w:w w:val="105"/>
        </w:rPr>
        <w:t>an</w:t>
      </w:r>
      <w:r>
        <w:rPr>
          <w:w w:val="105"/>
        </w:rPr>
        <w:t>d</w:t>
      </w:r>
      <w:r>
        <w:rPr>
          <w:spacing w:val="-8"/>
          <w:w w:val="105"/>
        </w:rPr>
        <w:t xml:space="preserve"> </w:t>
      </w:r>
      <w:r>
        <w:rPr>
          <w:w w:val="105"/>
        </w:rPr>
        <w:t>t</w:t>
      </w:r>
      <w:r>
        <w:rPr>
          <w:spacing w:val="1"/>
          <w:w w:val="105"/>
        </w:rPr>
        <w:t>h</w:t>
      </w:r>
      <w:r>
        <w:rPr>
          <w:w w:val="105"/>
        </w:rPr>
        <w:t>e</w:t>
      </w:r>
      <w:r>
        <w:rPr>
          <w:spacing w:val="-8"/>
          <w:w w:val="105"/>
        </w:rPr>
        <w:t xml:space="preserve"> </w:t>
      </w:r>
      <w:r>
        <w:rPr>
          <w:spacing w:val="2"/>
          <w:w w:val="105"/>
        </w:rPr>
        <w:t>K</w:t>
      </w:r>
      <w:r>
        <w:rPr>
          <w:w w:val="105"/>
        </w:rPr>
        <w:t>i</w:t>
      </w:r>
      <w:r>
        <w:rPr>
          <w:spacing w:val="2"/>
          <w:w w:val="105"/>
        </w:rPr>
        <w:t>m</w:t>
      </w:r>
      <w:r>
        <w:rPr>
          <w:spacing w:val="1"/>
          <w:w w:val="105"/>
        </w:rPr>
        <w:t>ber</w:t>
      </w:r>
      <w:r>
        <w:rPr>
          <w:w w:val="105"/>
        </w:rPr>
        <w:t>l</w:t>
      </w:r>
      <w:r>
        <w:rPr>
          <w:spacing w:val="1"/>
          <w:w w:val="105"/>
        </w:rPr>
        <w:t>e</w:t>
      </w:r>
      <w:r>
        <w:rPr>
          <w:w w:val="105"/>
        </w:rPr>
        <w:t>y</w:t>
      </w:r>
      <w:r>
        <w:rPr>
          <w:spacing w:val="-9"/>
          <w:w w:val="105"/>
        </w:rPr>
        <w:t xml:space="preserve"> </w:t>
      </w:r>
      <w:r>
        <w:rPr>
          <w:spacing w:val="1"/>
          <w:w w:val="105"/>
        </w:rPr>
        <w:t>reg</w:t>
      </w:r>
      <w:r>
        <w:rPr>
          <w:w w:val="105"/>
        </w:rPr>
        <w:t>i</w:t>
      </w:r>
      <w:r>
        <w:rPr>
          <w:spacing w:val="1"/>
          <w:w w:val="105"/>
        </w:rPr>
        <w:t>o</w:t>
      </w:r>
      <w:r>
        <w:rPr>
          <w:w w:val="105"/>
        </w:rPr>
        <w:t>n</w:t>
      </w:r>
      <w:r>
        <w:rPr>
          <w:spacing w:val="-8"/>
          <w:w w:val="105"/>
        </w:rPr>
        <w:t xml:space="preserve"> </w:t>
      </w:r>
      <w:r>
        <w:rPr>
          <w:spacing w:val="1"/>
          <w:w w:val="105"/>
        </w:rPr>
        <w:t>o</w:t>
      </w:r>
      <w:r>
        <w:rPr>
          <w:w w:val="105"/>
        </w:rPr>
        <w:t>f</w:t>
      </w:r>
      <w:r>
        <w:rPr>
          <w:spacing w:val="-9"/>
          <w:w w:val="105"/>
        </w:rPr>
        <w:t xml:space="preserve"> </w:t>
      </w:r>
      <w:r>
        <w:rPr>
          <w:spacing w:val="3"/>
          <w:w w:val="105"/>
        </w:rPr>
        <w:t>W</w:t>
      </w:r>
      <w:r>
        <w:rPr>
          <w:spacing w:val="1"/>
          <w:w w:val="105"/>
        </w:rPr>
        <w:t>es</w:t>
      </w:r>
      <w:r>
        <w:rPr>
          <w:w w:val="105"/>
        </w:rPr>
        <w:t>t</w:t>
      </w:r>
      <w:r>
        <w:rPr>
          <w:spacing w:val="1"/>
          <w:w w:val="105"/>
        </w:rPr>
        <w:t>er</w:t>
      </w:r>
      <w:r>
        <w:rPr>
          <w:w w:val="105"/>
        </w:rPr>
        <w:t>n</w:t>
      </w:r>
      <w:r>
        <w:rPr>
          <w:spacing w:val="-8"/>
          <w:w w:val="105"/>
        </w:rPr>
        <w:t xml:space="preserve"> </w:t>
      </w:r>
      <w:r>
        <w:rPr>
          <w:spacing w:val="2"/>
          <w:w w:val="105"/>
        </w:rPr>
        <w:t>A</w:t>
      </w:r>
      <w:r>
        <w:rPr>
          <w:spacing w:val="1"/>
          <w:w w:val="105"/>
        </w:rPr>
        <w:t>us</w:t>
      </w:r>
      <w:r>
        <w:rPr>
          <w:w w:val="105"/>
        </w:rPr>
        <w:t>t</w:t>
      </w:r>
      <w:r>
        <w:rPr>
          <w:spacing w:val="1"/>
          <w:w w:val="105"/>
        </w:rPr>
        <w:t>ra</w:t>
      </w:r>
      <w:r>
        <w:rPr>
          <w:w w:val="105"/>
        </w:rPr>
        <w:t>lia</w:t>
      </w:r>
      <w:r>
        <w:rPr>
          <w:spacing w:val="-8"/>
          <w:w w:val="105"/>
        </w:rPr>
        <w:t xml:space="preserve"> </w:t>
      </w:r>
      <w:r>
        <w:rPr>
          <w:spacing w:val="1"/>
          <w:w w:val="105"/>
        </w:rPr>
        <w:t>(</w:t>
      </w:r>
      <w:r>
        <w:rPr>
          <w:spacing w:val="3"/>
          <w:w w:val="105"/>
        </w:rPr>
        <w:t>W</w:t>
      </w:r>
      <w:r>
        <w:rPr>
          <w:spacing w:val="2"/>
          <w:w w:val="105"/>
        </w:rPr>
        <w:t>A</w:t>
      </w:r>
      <w:r>
        <w:rPr>
          <w:w w:val="105"/>
        </w:rPr>
        <w:t>)</w:t>
      </w:r>
      <w:r>
        <w:rPr>
          <w:spacing w:val="-9"/>
          <w:w w:val="105"/>
        </w:rPr>
        <w:t xml:space="preserve"> </w:t>
      </w:r>
      <w:r>
        <w:rPr>
          <w:w w:val="105"/>
        </w:rPr>
        <w:t>in</w:t>
      </w:r>
      <w:r>
        <w:rPr>
          <w:spacing w:val="-8"/>
          <w:w w:val="105"/>
        </w:rPr>
        <w:t xml:space="preserve"> </w:t>
      </w:r>
      <w:r>
        <w:rPr>
          <w:spacing w:val="1"/>
          <w:w w:val="105"/>
        </w:rPr>
        <w:t>Jun</w:t>
      </w:r>
      <w:r>
        <w:rPr>
          <w:w w:val="105"/>
        </w:rPr>
        <w:t>e</w:t>
      </w:r>
      <w:r>
        <w:rPr>
          <w:w w:val="103"/>
        </w:rPr>
        <w:t xml:space="preserve"> </w:t>
      </w:r>
      <w:r>
        <w:rPr>
          <w:spacing w:val="1"/>
          <w:w w:val="105"/>
        </w:rPr>
        <w:t>2014</w:t>
      </w:r>
      <w:r>
        <w:rPr>
          <w:w w:val="105"/>
        </w:rPr>
        <w:t>.</w:t>
      </w:r>
      <w:r>
        <w:rPr>
          <w:spacing w:val="-12"/>
          <w:w w:val="105"/>
        </w:rPr>
        <w:t xml:space="preserve"> </w:t>
      </w:r>
      <w:r>
        <w:rPr>
          <w:spacing w:val="1"/>
          <w:w w:val="105"/>
        </w:rPr>
        <w:t>Th</w:t>
      </w:r>
      <w:r>
        <w:rPr>
          <w:w w:val="105"/>
        </w:rPr>
        <w:t>is</w:t>
      </w:r>
      <w:r>
        <w:rPr>
          <w:spacing w:val="-11"/>
          <w:w w:val="105"/>
        </w:rPr>
        <w:t xml:space="preserve"> </w:t>
      </w:r>
      <w:r>
        <w:rPr>
          <w:spacing w:val="1"/>
          <w:w w:val="105"/>
        </w:rPr>
        <w:t>co</w:t>
      </w:r>
      <w:r>
        <w:rPr>
          <w:spacing w:val="2"/>
          <w:w w:val="105"/>
        </w:rPr>
        <w:t>mm</w:t>
      </w:r>
      <w:r>
        <w:rPr>
          <w:spacing w:val="1"/>
          <w:w w:val="105"/>
        </w:rPr>
        <w:t>un</w:t>
      </w:r>
      <w:r>
        <w:rPr>
          <w:w w:val="105"/>
        </w:rPr>
        <w:t>i</w:t>
      </w:r>
      <w:r>
        <w:rPr>
          <w:spacing w:val="1"/>
          <w:w w:val="105"/>
        </w:rPr>
        <w:t>qu</w:t>
      </w:r>
      <w:r>
        <w:rPr>
          <w:w w:val="105"/>
        </w:rPr>
        <w:t>e</w:t>
      </w:r>
      <w:r>
        <w:rPr>
          <w:spacing w:val="-10"/>
          <w:w w:val="105"/>
        </w:rPr>
        <w:t xml:space="preserve"> </w:t>
      </w:r>
      <w:r>
        <w:rPr>
          <w:spacing w:val="1"/>
          <w:w w:val="105"/>
        </w:rPr>
        <w:t>su</w:t>
      </w:r>
      <w:r>
        <w:rPr>
          <w:spacing w:val="2"/>
          <w:w w:val="105"/>
        </w:rPr>
        <w:t>mm</w:t>
      </w:r>
      <w:r>
        <w:rPr>
          <w:spacing w:val="1"/>
          <w:w w:val="105"/>
        </w:rPr>
        <w:t>ar</w:t>
      </w:r>
      <w:r>
        <w:rPr>
          <w:w w:val="105"/>
        </w:rPr>
        <w:t>i</w:t>
      </w:r>
      <w:r>
        <w:rPr>
          <w:spacing w:val="1"/>
          <w:w w:val="105"/>
        </w:rPr>
        <w:t>se</w:t>
      </w:r>
      <w:r>
        <w:rPr>
          <w:w w:val="105"/>
        </w:rPr>
        <w:t>s</w:t>
      </w:r>
      <w:r>
        <w:rPr>
          <w:spacing w:val="-11"/>
          <w:w w:val="105"/>
        </w:rPr>
        <w:t xml:space="preserve"> </w:t>
      </w:r>
      <w:r>
        <w:rPr>
          <w:w w:val="105"/>
        </w:rPr>
        <w:t>t</w:t>
      </w:r>
      <w:r>
        <w:rPr>
          <w:spacing w:val="1"/>
          <w:w w:val="105"/>
        </w:rPr>
        <w:t>h</w:t>
      </w:r>
      <w:r>
        <w:rPr>
          <w:w w:val="105"/>
        </w:rPr>
        <w:t>e</w:t>
      </w:r>
      <w:r>
        <w:rPr>
          <w:spacing w:val="-10"/>
          <w:w w:val="105"/>
        </w:rPr>
        <w:t xml:space="preserve"> </w:t>
      </w:r>
      <w:r>
        <w:rPr>
          <w:spacing w:val="1"/>
          <w:w w:val="105"/>
        </w:rPr>
        <w:t>ou</w:t>
      </w:r>
      <w:r>
        <w:rPr>
          <w:w w:val="105"/>
        </w:rPr>
        <w:t>t</w:t>
      </w:r>
      <w:r>
        <w:rPr>
          <w:spacing w:val="1"/>
          <w:w w:val="105"/>
        </w:rPr>
        <w:t>brea</w:t>
      </w:r>
      <w:r>
        <w:rPr>
          <w:w w:val="105"/>
        </w:rPr>
        <w:t>k</w:t>
      </w:r>
      <w:r>
        <w:rPr>
          <w:spacing w:val="-10"/>
          <w:w w:val="105"/>
        </w:rPr>
        <w:t xml:space="preserve"> </w:t>
      </w:r>
      <w:r>
        <w:rPr>
          <w:spacing w:val="1"/>
          <w:w w:val="105"/>
        </w:rPr>
        <w:t>ep</w:t>
      </w:r>
      <w:r>
        <w:rPr>
          <w:w w:val="105"/>
        </w:rPr>
        <w:t>i</w:t>
      </w:r>
      <w:r>
        <w:rPr>
          <w:spacing w:val="1"/>
          <w:w w:val="105"/>
        </w:rPr>
        <w:t>de</w:t>
      </w:r>
      <w:r>
        <w:rPr>
          <w:spacing w:val="2"/>
          <w:w w:val="105"/>
        </w:rPr>
        <w:t>m</w:t>
      </w:r>
      <w:r>
        <w:rPr>
          <w:w w:val="105"/>
        </w:rPr>
        <w:t>i</w:t>
      </w:r>
      <w:r>
        <w:rPr>
          <w:spacing w:val="1"/>
          <w:w w:val="105"/>
        </w:rPr>
        <w:t>o</w:t>
      </w:r>
      <w:r>
        <w:rPr>
          <w:w w:val="105"/>
        </w:rPr>
        <w:t>l</w:t>
      </w:r>
      <w:r>
        <w:rPr>
          <w:spacing w:val="1"/>
          <w:w w:val="105"/>
        </w:rPr>
        <w:t>og</w:t>
      </w:r>
      <w:r>
        <w:rPr>
          <w:w w:val="105"/>
        </w:rPr>
        <w:t>i</w:t>
      </w:r>
      <w:r>
        <w:rPr>
          <w:spacing w:val="1"/>
          <w:w w:val="105"/>
        </w:rPr>
        <w:t>ca</w:t>
      </w:r>
      <w:r>
        <w:rPr>
          <w:w w:val="105"/>
        </w:rPr>
        <w:t>l</w:t>
      </w:r>
      <w:r>
        <w:rPr>
          <w:spacing w:val="-12"/>
          <w:w w:val="105"/>
        </w:rPr>
        <w:t xml:space="preserve"> </w:t>
      </w:r>
      <w:r>
        <w:rPr>
          <w:spacing w:val="1"/>
          <w:w w:val="105"/>
        </w:rPr>
        <w:t>da</w:t>
      </w:r>
      <w:r>
        <w:rPr>
          <w:w w:val="105"/>
        </w:rPr>
        <w:t>ta</w:t>
      </w:r>
      <w:r>
        <w:rPr>
          <w:spacing w:val="-11"/>
          <w:w w:val="105"/>
        </w:rPr>
        <w:t xml:space="preserve"> </w:t>
      </w:r>
      <w:r>
        <w:rPr>
          <w:spacing w:val="1"/>
          <w:w w:val="105"/>
        </w:rPr>
        <w:t>a</w:t>
      </w:r>
      <w:r>
        <w:rPr>
          <w:w w:val="105"/>
        </w:rPr>
        <w:t>s</w:t>
      </w:r>
      <w:r>
        <w:rPr>
          <w:spacing w:val="-10"/>
          <w:w w:val="105"/>
        </w:rPr>
        <w:t xml:space="preserve"> </w:t>
      </w:r>
      <w:r>
        <w:rPr>
          <w:spacing w:val="1"/>
          <w:w w:val="105"/>
        </w:rPr>
        <w:t>o</w:t>
      </w:r>
      <w:r>
        <w:rPr>
          <w:w w:val="105"/>
        </w:rPr>
        <w:t>f</w:t>
      </w:r>
      <w:r>
        <w:rPr>
          <w:spacing w:val="-12"/>
          <w:w w:val="105"/>
        </w:rPr>
        <w:t xml:space="preserve"> </w:t>
      </w:r>
      <w:r>
        <w:rPr>
          <w:spacing w:val="1"/>
          <w:w w:val="105"/>
        </w:rPr>
        <w:t>2</w:t>
      </w:r>
      <w:r>
        <w:rPr>
          <w:w w:val="105"/>
        </w:rPr>
        <w:t>9</w:t>
      </w:r>
      <w:r>
        <w:rPr>
          <w:spacing w:val="-10"/>
          <w:w w:val="105"/>
        </w:rPr>
        <w:t xml:space="preserve"> </w:t>
      </w:r>
      <w:r>
        <w:rPr>
          <w:spacing w:val="2"/>
          <w:w w:val="105"/>
        </w:rPr>
        <w:t>F</w:t>
      </w:r>
      <w:r>
        <w:rPr>
          <w:spacing w:val="1"/>
          <w:w w:val="105"/>
        </w:rPr>
        <w:t>eb</w:t>
      </w:r>
      <w:r>
        <w:rPr>
          <w:w w:val="105"/>
        </w:rPr>
        <w:t>r</w:t>
      </w:r>
      <w:r>
        <w:rPr>
          <w:spacing w:val="1"/>
          <w:w w:val="105"/>
        </w:rPr>
        <w:t>ua</w:t>
      </w:r>
      <w:r>
        <w:rPr>
          <w:w w:val="105"/>
        </w:rPr>
        <w:t>ry</w:t>
      </w:r>
      <w:r>
        <w:rPr>
          <w:spacing w:val="-11"/>
          <w:w w:val="105"/>
        </w:rPr>
        <w:t xml:space="preserve"> </w:t>
      </w:r>
      <w:r>
        <w:rPr>
          <w:spacing w:val="1"/>
          <w:w w:val="105"/>
        </w:rPr>
        <w:t>201</w:t>
      </w:r>
      <w:r>
        <w:rPr>
          <w:w w:val="105"/>
        </w:rPr>
        <w:t>6</w:t>
      </w:r>
      <w:r>
        <w:rPr>
          <w:spacing w:val="-11"/>
          <w:w w:val="105"/>
        </w:rPr>
        <w:t xml:space="preserve"> </w:t>
      </w:r>
      <w:r>
        <w:rPr>
          <w:spacing w:val="1"/>
          <w:w w:val="105"/>
        </w:rPr>
        <w:t>(curren</w:t>
      </w:r>
      <w:r>
        <w:rPr>
          <w:w w:val="105"/>
        </w:rPr>
        <w:t>t</w:t>
      </w:r>
      <w:r>
        <w:rPr>
          <w:spacing w:val="-11"/>
          <w:w w:val="105"/>
        </w:rPr>
        <w:t xml:space="preserve"> </w:t>
      </w:r>
      <w:r>
        <w:rPr>
          <w:spacing w:val="1"/>
          <w:w w:val="105"/>
        </w:rPr>
        <w:t>s</w:t>
      </w:r>
      <w:r>
        <w:rPr>
          <w:w w:val="105"/>
        </w:rPr>
        <w:t>t</w:t>
      </w:r>
      <w:r>
        <w:rPr>
          <w:spacing w:val="1"/>
          <w:w w:val="105"/>
        </w:rPr>
        <w:t>a</w:t>
      </w:r>
      <w:r>
        <w:rPr>
          <w:w w:val="105"/>
        </w:rPr>
        <w:t>t</w:t>
      </w:r>
      <w:r>
        <w:rPr>
          <w:spacing w:val="1"/>
          <w:w w:val="105"/>
        </w:rPr>
        <w:t>us</w:t>
      </w:r>
      <w:r>
        <w:rPr>
          <w:w w:val="105"/>
        </w:rPr>
        <w:t>),</w:t>
      </w:r>
      <w:r>
        <w:rPr>
          <w:spacing w:val="-12"/>
          <w:w w:val="105"/>
        </w:rPr>
        <w:t xml:space="preserve"> </w:t>
      </w:r>
      <w:r>
        <w:rPr>
          <w:spacing w:val="1"/>
          <w:w w:val="105"/>
        </w:rPr>
        <w:t>an</w:t>
      </w:r>
      <w:r>
        <w:rPr>
          <w:w w:val="105"/>
        </w:rPr>
        <w:t>d</w:t>
      </w:r>
      <w:r>
        <w:rPr>
          <w:w w:val="103"/>
        </w:rPr>
        <w:t xml:space="preserve"> </w:t>
      </w:r>
      <w:r>
        <w:rPr>
          <w:w w:val="105"/>
        </w:rPr>
        <w:t>t</w:t>
      </w:r>
      <w:r>
        <w:rPr>
          <w:spacing w:val="1"/>
          <w:w w:val="105"/>
        </w:rPr>
        <w:t>h</w:t>
      </w:r>
      <w:r>
        <w:rPr>
          <w:w w:val="105"/>
        </w:rPr>
        <w:t>e</w:t>
      </w:r>
      <w:r>
        <w:rPr>
          <w:spacing w:val="-11"/>
          <w:w w:val="105"/>
        </w:rPr>
        <w:t xml:space="preserve"> </w:t>
      </w:r>
      <w:r>
        <w:rPr>
          <w:spacing w:val="1"/>
          <w:w w:val="105"/>
        </w:rPr>
        <w:t>ac</w:t>
      </w:r>
      <w:r>
        <w:rPr>
          <w:w w:val="105"/>
        </w:rPr>
        <w:t>ti</w:t>
      </w:r>
      <w:r>
        <w:rPr>
          <w:spacing w:val="1"/>
          <w:w w:val="105"/>
        </w:rPr>
        <w:t>v</w:t>
      </w:r>
      <w:r>
        <w:rPr>
          <w:w w:val="105"/>
        </w:rPr>
        <w:t>iti</w:t>
      </w:r>
      <w:r>
        <w:rPr>
          <w:spacing w:val="1"/>
          <w:w w:val="105"/>
        </w:rPr>
        <w:t>e</w:t>
      </w:r>
      <w:r>
        <w:rPr>
          <w:w w:val="105"/>
        </w:rPr>
        <w:t>s</w:t>
      </w:r>
      <w:r>
        <w:rPr>
          <w:spacing w:val="-10"/>
          <w:w w:val="105"/>
        </w:rPr>
        <w:t xml:space="preserve"> </w:t>
      </w:r>
      <w:r>
        <w:rPr>
          <w:spacing w:val="1"/>
          <w:w w:val="105"/>
        </w:rPr>
        <w:t>o</w:t>
      </w:r>
      <w:r>
        <w:rPr>
          <w:w w:val="105"/>
        </w:rPr>
        <w:t>f</w:t>
      </w:r>
      <w:r>
        <w:rPr>
          <w:spacing w:val="-11"/>
          <w:w w:val="105"/>
        </w:rPr>
        <w:t xml:space="preserve"> </w:t>
      </w:r>
      <w:r>
        <w:rPr>
          <w:w w:val="105"/>
        </w:rPr>
        <w:t>t</w:t>
      </w:r>
      <w:r>
        <w:rPr>
          <w:spacing w:val="1"/>
          <w:w w:val="105"/>
        </w:rPr>
        <w:t>h</w:t>
      </w:r>
      <w:r>
        <w:rPr>
          <w:w w:val="105"/>
        </w:rPr>
        <w:t>e</w:t>
      </w:r>
      <w:r>
        <w:rPr>
          <w:spacing w:val="-10"/>
          <w:w w:val="105"/>
        </w:rPr>
        <w:t xml:space="preserve"> </w:t>
      </w:r>
      <w:r>
        <w:rPr>
          <w:spacing w:val="2"/>
          <w:w w:val="105"/>
        </w:rPr>
        <w:t>M</w:t>
      </w:r>
      <w:r>
        <w:rPr>
          <w:spacing w:val="1"/>
          <w:w w:val="105"/>
        </w:rPr>
        <w:t>J</w:t>
      </w:r>
      <w:r>
        <w:rPr>
          <w:spacing w:val="2"/>
          <w:w w:val="105"/>
        </w:rPr>
        <w:t>S</w:t>
      </w:r>
      <w:r>
        <w:rPr>
          <w:w w:val="105"/>
        </w:rPr>
        <w:t>O</w:t>
      </w:r>
      <w:r>
        <w:rPr>
          <w:spacing w:val="-9"/>
          <w:w w:val="105"/>
        </w:rPr>
        <w:t xml:space="preserve"> </w:t>
      </w:r>
      <w:r>
        <w:rPr>
          <w:w w:val="105"/>
        </w:rPr>
        <w:t>f</w:t>
      </w:r>
      <w:r>
        <w:rPr>
          <w:spacing w:val="1"/>
          <w:w w:val="105"/>
        </w:rPr>
        <w:t>ro</w:t>
      </w:r>
      <w:r>
        <w:rPr>
          <w:w w:val="105"/>
        </w:rPr>
        <w:t>m</w:t>
      </w:r>
      <w:r>
        <w:rPr>
          <w:spacing w:val="-10"/>
          <w:w w:val="105"/>
        </w:rPr>
        <w:t xml:space="preserve"> </w:t>
      </w:r>
      <w:r>
        <w:rPr>
          <w:spacing w:val="1"/>
          <w:w w:val="105"/>
        </w:rPr>
        <w:t>0</w:t>
      </w:r>
      <w:r>
        <w:rPr>
          <w:w w:val="105"/>
        </w:rPr>
        <w:t>1</w:t>
      </w:r>
      <w:r>
        <w:rPr>
          <w:spacing w:val="-10"/>
          <w:w w:val="105"/>
        </w:rPr>
        <w:t xml:space="preserve"> </w:t>
      </w:r>
      <w:r>
        <w:rPr>
          <w:spacing w:val="2"/>
          <w:w w:val="105"/>
        </w:rPr>
        <w:t>O</w:t>
      </w:r>
      <w:r>
        <w:rPr>
          <w:spacing w:val="1"/>
          <w:w w:val="105"/>
        </w:rPr>
        <w:t>c</w:t>
      </w:r>
      <w:r>
        <w:rPr>
          <w:w w:val="105"/>
        </w:rPr>
        <w:t>t</w:t>
      </w:r>
      <w:r>
        <w:rPr>
          <w:spacing w:val="1"/>
          <w:w w:val="105"/>
        </w:rPr>
        <w:t>obe</w:t>
      </w:r>
      <w:r>
        <w:rPr>
          <w:w w:val="105"/>
        </w:rPr>
        <w:t>r</w:t>
      </w:r>
      <w:r>
        <w:rPr>
          <w:spacing w:val="-11"/>
          <w:w w:val="105"/>
        </w:rPr>
        <w:t xml:space="preserve"> </w:t>
      </w:r>
      <w:r>
        <w:rPr>
          <w:spacing w:val="1"/>
          <w:w w:val="105"/>
        </w:rPr>
        <w:t>201</w:t>
      </w:r>
      <w:r>
        <w:rPr>
          <w:w w:val="105"/>
        </w:rPr>
        <w:t>5</w:t>
      </w:r>
      <w:r>
        <w:rPr>
          <w:spacing w:val="-10"/>
          <w:w w:val="105"/>
        </w:rPr>
        <w:t xml:space="preserve"> </w:t>
      </w:r>
      <w:r>
        <w:rPr>
          <w:w w:val="80"/>
        </w:rPr>
        <w:t>-­</w:t>
      </w:r>
      <w:r>
        <w:rPr>
          <w:spacing w:val="2"/>
          <w:w w:val="80"/>
        </w:rPr>
        <w:t xml:space="preserve"> </w:t>
      </w:r>
      <w:r>
        <w:rPr>
          <w:spacing w:val="1"/>
          <w:w w:val="105"/>
        </w:rPr>
        <w:t>2</w:t>
      </w:r>
      <w:r>
        <w:rPr>
          <w:w w:val="105"/>
        </w:rPr>
        <w:t>9</w:t>
      </w:r>
      <w:r>
        <w:rPr>
          <w:spacing w:val="-10"/>
          <w:w w:val="105"/>
        </w:rPr>
        <w:t xml:space="preserve"> </w:t>
      </w:r>
      <w:r>
        <w:rPr>
          <w:spacing w:val="1"/>
          <w:w w:val="105"/>
        </w:rPr>
        <w:t>Februar</w:t>
      </w:r>
      <w:r>
        <w:rPr>
          <w:w w:val="105"/>
        </w:rPr>
        <w:t>y</w:t>
      </w:r>
      <w:r>
        <w:rPr>
          <w:spacing w:val="-10"/>
          <w:w w:val="105"/>
        </w:rPr>
        <w:t xml:space="preserve"> </w:t>
      </w:r>
      <w:r>
        <w:rPr>
          <w:spacing w:val="1"/>
          <w:w w:val="105"/>
        </w:rPr>
        <w:t>2016</w:t>
      </w:r>
      <w:r>
        <w:rPr>
          <w:w w:val="105"/>
        </w:rPr>
        <w:t>.</w:t>
      </w:r>
    </w:p>
    <w:p w:rsidR="00CC0F5A" w:rsidRDefault="00CC0F5A" w:rsidP="00CC0F5A">
      <w:pPr>
        <w:rPr>
          <w:rFonts w:ascii="Arial" w:hAnsi="Arial" w:cs="Arial"/>
          <w:b/>
        </w:rPr>
      </w:pPr>
    </w:p>
    <w:p w:rsidR="00CC0F5A" w:rsidRPr="00884C9E" w:rsidRDefault="00CC0F5A" w:rsidP="006721AA">
      <w:pPr>
        <w:ind w:left="-567"/>
        <w:rPr>
          <w:rFonts w:ascii="Arial" w:hAnsi="Arial" w:cs="Arial"/>
          <w:b/>
          <w:bCs/>
        </w:rPr>
      </w:pPr>
      <w:r w:rsidRPr="00884C9E">
        <w:rPr>
          <w:rFonts w:ascii="Arial" w:hAnsi="Arial" w:cs="Arial"/>
          <w:b/>
        </w:rPr>
        <w:t>Current</w:t>
      </w:r>
      <w:r w:rsidRPr="00884C9E">
        <w:rPr>
          <w:rFonts w:ascii="Arial" w:hAnsi="Arial" w:cs="Arial"/>
          <w:b/>
          <w:spacing w:val="42"/>
        </w:rPr>
        <w:t xml:space="preserve"> </w:t>
      </w:r>
      <w:r w:rsidRPr="00884C9E">
        <w:rPr>
          <w:rFonts w:ascii="Arial" w:hAnsi="Arial" w:cs="Arial"/>
          <w:b/>
        </w:rPr>
        <w:t>status</w:t>
      </w:r>
    </w:p>
    <w:p w:rsidR="00CC0F5A" w:rsidRDefault="00CC0F5A" w:rsidP="006721AA">
      <w:pPr>
        <w:pStyle w:val="BodyText"/>
        <w:kinsoku w:val="0"/>
        <w:overflowPunct w:val="0"/>
        <w:spacing w:before="12"/>
        <w:ind w:left="-567" w:firstLine="0"/>
      </w:pPr>
      <w:r>
        <w:rPr>
          <w:spacing w:val="2"/>
          <w:w w:val="105"/>
        </w:rPr>
        <w:t>O</w:t>
      </w:r>
      <w:r>
        <w:rPr>
          <w:spacing w:val="1"/>
          <w:w w:val="105"/>
        </w:rPr>
        <w:t>u</w:t>
      </w:r>
      <w:r>
        <w:rPr>
          <w:w w:val="105"/>
        </w:rPr>
        <w:t>t</w:t>
      </w:r>
      <w:r>
        <w:rPr>
          <w:spacing w:val="1"/>
          <w:w w:val="105"/>
        </w:rPr>
        <w:t>brea</w:t>
      </w:r>
      <w:r>
        <w:rPr>
          <w:w w:val="105"/>
        </w:rPr>
        <w:t>k</w:t>
      </w:r>
      <w:r>
        <w:rPr>
          <w:spacing w:val="-8"/>
          <w:w w:val="105"/>
        </w:rPr>
        <w:t xml:space="preserve"> </w:t>
      </w:r>
      <w:r>
        <w:rPr>
          <w:spacing w:val="1"/>
          <w:w w:val="105"/>
        </w:rPr>
        <w:t>da</w:t>
      </w:r>
      <w:r>
        <w:rPr>
          <w:w w:val="105"/>
        </w:rPr>
        <w:t>ta</w:t>
      </w:r>
      <w:r>
        <w:rPr>
          <w:spacing w:val="-8"/>
          <w:w w:val="105"/>
        </w:rPr>
        <w:t xml:space="preserve"> </w:t>
      </w:r>
      <w:r>
        <w:rPr>
          <w:w w:val="105"/>
        </w:rPr>
        <w:t>to</w:t>
      </w:r>
      <w:r>
        <w:rPr>
          <w:spacing w:val="-7"/>
          <w:w w:val="105"/>
        </w:rPr>
        <w:t xml:space="preserve"> </w:t>
      </w:r>
      <w:r>
        <w:rPr>
          <w:spacing w:val="1"/>
          <w:w w:val="105"/>
        </w:rPr>
        <w:t>2</w:t>
      </w:r>
      <w:r>
        <w:rPr>
          <w:w w:val="105"/>
        </w:rPr>
        <w:t>9</w:t>
      </w:r>
      <w:r>
        <w:rPr>
          <w:spacing w:val="-8"/>
          <w:w w:val="105"/>
        </w:rPr>
        <w:t xml:space="preserve"> </w:t>
      </w:r>
      <w:r>
        <w:rPr>
          <w:spacing w:val="2"/>
          <w:w w:val="105"/>
        </w:rPr>
        <w:t>F</w:t>
      </w:r>
      <w:r>
        <w:rPr>
          <w:spacing w:val="1"/>
          <w:w w:val="105"/>
        </w:rPr>
        <w:t>ebruar</w:t>
      </w:r>
      <w:r>
        <w:rPr>
          <w:w w:val="105"/>
        </w:rPr>
        <w:t>y</w:t>
      </w:r>
      <w:r>
        <w:rPr>
          <w:spacing w:val="-7"/>
          <w:w w:val="105"/>
        </w:rPr>
        <w:t xml:space="preserve"> </w:t>
      </w:r>
      <w:r>
        <w:rPr>
          <w:spacing w:val="1"/>
          <w:w w:val="105"/>
        </w:rPr>
        <w:t>201</w:t>
      </w:r>
      <w:r>
        <w:rPr>
          <w:w w:val="105"/>
        </w:rPr>
        <w:t>6</w:t>
      </w:r>
      <w:r>
        <w:rPr>
          <w:spacing w:val="-8"/>
          <w:w w:val="105"/>
        </w:rPr>
        <w:t xml:space="preserve"> </w:t>
      </w:r>
      <w:r>
        <w:rPr>
          <w:spacing w:val="1"/>
          <w:w w:val="105"/>
        </w:rPr>
        <w:t>ar</w:t>
      </w:r>
      <w:r>
        <w:rPr>
          <w:w w:val="105"/>
        </w:rPr>
        <w:t>e</w:t>
      </w:r>
      <w:r>
        <w:rPr>
          <w:spacing w:val="-7"/>
          <w:w w:val="105"/>
        </w:rPr>
        <w:t xml:space="preserve"> </w:t>
      </w:r>
      <w:r>
        <w:rPr>
          <w:spacing w:val="1"/>
          <w:w w:val="105"/>
        </w:rPr>
        <w:t>su</w:t>
      </w:r>
      <w:r>
        <w:rPr>
          <w:spacing w:val="2"/>
          <w:w w:val="105"/>
        </w:rPr>
        <w:t>mm</w:t>
      </w:r>
      <w:r>
        <w:rPr>
          <w:spacing w:val="1"/>
          <w:w w:val="105"/>
        </w:rPr>
        <w:t>ar</w:t>
      </w:r>
      <w:r>
        <w:rPr>
          <w:w w:val="105"/>
        </w:rPr>
        <w:t>i</w:t>
      </w:r>
      <w:r>
        <w:rPr>
          <w:spacing w:val="1"/>
          <w:w w:val="105"/>
        </w:rPr>
        <w:t>se</w:t>
      </w:r>
      <w:r>
        <w:rPr>
          <w:w w:val="105"/>
        </w:rPr>
        <w:t>d</w:t>
      </w:r>
      <w:r>
        <w:rPr>
          <w:spacing w:val="-8"/>
          <w:w w:val="105"/>
        </w:rPr>
        <w:t xml:space="preserve"> </w:t>
      </w:r>
      <w:r>
        <w:rPr>
          <w:w w:val="105"/>
        </w:rPr>
        <w:t>in</w:t>
      </w:r>
      <w:r>
        <w:rPr>
          <w:spacing w:val="-8"/>
          <w:w w:val="105"/>
        </w:rPr>
        <w:t xml:space="preserve"> </w:t>
      </w:r>
      <w:r>
        <w:rPr>
          <w:spacing w:val="2"/>
          <w:w w:val="105"/>
        </w:rPr>
        <w:t>F</w:t>
      </w:r>
      <w:r>
        <w:rPr>
          <w:w w:val="105"/>
        </w:rPr>
        <w:t>i</w:t>
      </w:r>
      <w:r>
        <w:rPr>
          <w:spacing w:val="1"/>
          <w:w w:val="105"/>
        </w:rPr>
        <w:t>gu</w:t>
      </w:r>
      <w:r>
        <w:rPr>
          <w:w w:val="105"/>
        </w:rPr>
        <w:t>re</w:t>
      </w:r>
      <w:r>
        <w:rPr>
          <w:spacing w:val="-7"/>
          <w:w w:val="105"/>
        </w:rPr>
        <w:t xml:space="preserve"> </w:t>
      </w:r>
      <w:r>
        <w:rPr>
          <w:w w:val="105"/>
        </w:rPr>
        <w:t>1</w:t>
      </w:r>
      <w:r>
        <w:rPr>
          <w:spacing w:val="-8"/>
          <w:w w:val="105"/>
        </w:rPr>
        <w:t xml:space="preserve"> </w:t>
      </w:r>
      <w:r>
        <w:rPr>
          <w:spacing w:val="1"/>
          <w:w w:val="105"/>
        </w:rPr>
        <w:t>an</w:t>
      </w:r>
      <w:r>
        <w:rPr>
          <w:w w:val="105"/>
        </w:rPr>
        <w:t>d</w:t>
      </w:r>
      <w:r>
        <w:rPr>
          <w:spacing w:val="-7"/>
          <w:w w:val="105"/>
        </w:rPr>
        <w:t xml:space="preserve"> </w:t>
      </w:r>
      <w:r>
        <w:rPr>
          <w:spacing w:val="2"/>
          <w:w w:val="105"/>
        </w:rPr>
        <w:t>T</w:t>
      </w:r>
      <w:r>
        <w:rPr>
          <w:spacing w:val="1"/>
          <w:w w:val="105"/>
        </w:rPr>
        <w:t>ab</w:t>
      </w:r>
      <w:r>
        <w:rPr>
          <w:w w:val="105"/>
        </w:rPr>
        <w:t>le</w:t>
      </w:r>
      <w:r>
        <w:rPr>
          <w:spacing w:val="-8"/>
          <w:w w:val="105"/>
        </w:rPr>
        <w:t xml:space="preserve"> </w:t>
      </w:r>
      <w:r>
        <w:rPr>
          <w:w w:val="105"/>
        </w:rPr>
        <w:t>1</w:t>
      </w:r>
      <w:r>
        <w:rPr>
          <w:spacing w:val="-7"/>
          <w:w w:val="105"/>
        </w:rPr>
        <w:t xml:space="preserve"> </w:t>
      </w:r>
      <w:r>
        <w:rPr>
          <w:spacing w:val="1"/>
          <w:w w:val="105"/>
        </w:rPr>
        <w:t>be</w:t>
      </w:r>
      <w:r>
        <w:rPr>
          <w:w w:val="105"/>
        </w:rPr>
        <w:t>l</w:t>
      </w:r>
      <w:r>
        <w:rPr>
          <w:spacing w:val="1"/>
          <w:w w:val="105"/>
        </w:rPr>
        <w:t>o</w:t>
      </w:r>
      <w:r>
        <w:rPr>
          <w:spacing w:val="2"/>
          <w:w w:val="105"/>
        </w:rPr>
        <w:t>w</w:t>
      </w:r>
      <w:r>
        <w:rPr>
          <w:w w:val="105"/>
        </w:rPr>
        <w:t>.</w:t>
      </w:r>
    </w:p>
    <w:p w:rsidR="006721AA" w:rsidRDefault="006721AA" w:rsidP="006721AA">
      <w:pPr>
        <w:pStyle w:val="BodyText"/>
        <w:kinsoku w:val="0"/>
        <w:overflowPunct w:val="0"/>
        <w:spacing w:line="230" w:lineRule="exact"/>
        <w:ind w:left="-567" w:right="260" w:firstLine="0"/>
        <w:rPr>
          <w:b/>
          <w:bCs/>
          <w:spacing w:val="1"/>
          <w:w w:val="105"/>
        </w:rPr>
      </w:pPr>
    </w:p>
    <w:p w:rsidR="00CC0F5A" w:rsidRDefault="00CC0F5A" w:rsidP="006721AA">
      <w:pPr>
        <w:pStyle w:val="BodyText"/>
        <w:kinsoku w:val="0"/>
        <w:overflowPunct w:val="0"/>
        <w:spacing w:line="230" w:lineRule="exact"/>
        <w:ind w:left="-567" w:right="260" w:firstLine="0"/>
      </w:pPr>
      <w:r>
        <w:rPr>
          <w:b/>
          <w:bCs/>
          <w:spacing w:val="1"/>
          <w:w w:val="105"/>
        </w:rPr>
        <w:t>F</w:t>
      </w:r>
      <w:r>
        <w:rPr>
          <w:b/>
          <w:bCs/>
          <w:w w:val="105"/>
        </w:rPr>
        <w:t>i</w:t>
      </w:r>
      <w:r>
        <w:rPr>
          <w:b/>
          <w:bCs/>
          <w:spacing w:val="1"/>
          <w:w w:val="105"/>
        </w:rPr>
        <w:t>gur</w:t>
      </w:r>
      <w:r>
        <w:rPr>
          <w:b/>
          <w:bCs/>
          <w:w w:val="105"/>
        </w:rPr>
        <w:t>e</w:t>
      </w:r>
      <w:r>
        <w:rPr>
          <w:b/>
          <w:bCs/>
          <w:spacing w:val="-12"/>
          <w:w w:val="105"/>
        </w:rPr>
        <w:t xml:space="preserve"> </w:t>
      </w:r>
      <w:r>
        <w:rPr>
          <w:b/>
          <w:bCs/>
          <w:spacing w:val="2"/>
          <w:w w:val="105"/>
        </w:rPr>
        <w:t>1</w:t>
      </w:r>
      <w:r>
        <w:rPr>
          <w:w w:val="105"/>
        </w:rPr>
        <w:t>.</w:t>
      </w:r>
      <w:r>
        <w:rPr>
          <w:spacing w:val="-11"/>
          <w:w w:val="105"/>
        </w:rPr>
        <w:t xml:space="preserve"> </w:t>
      </w:r>
      <w:r>
        <w:rPr>
          <w:spacing w:val="2"/>
          <w:w w:val="105"/>
        </w:rPr>
        <w:t>E</w:t>
      </w:r>
      <w:r>
        <w:rPr>
          <w:spacing w:val="1"/>
          <w:w w:val="105"/>
        </w:rPr>
        <w:t>p</w:t>
      </w:r>
      <w:r>
        <w:rPr>
          <w:w w:val="105"/>
        </w:rPr>
        <w:t>i</w:t>
      </w:r>
      <w:r>
        <w:rPr>
          <w:spacing w:val="1"/>
          <w:w w:val="105"/>
        </w:rPr>
        <w:t>de</w:t>
      </w:r>
      <w:r>
        <w:rPr>
          <w:spacing w:val="2"/>
          <w:w w:val="105"/>
        </w:rPr>
        <w:t>m</w:t>
      </w:r>
      <w:r>
        <w:rPr>
          <w:w w:val="105"/>
        </w:rPr>
        <w:t>ic</w:t>
      </w:r>
      <w:r>
        <w:rPr>
          <w:spacing w:val="-11"/>
          <w:w w:val="105"/>
        </w:rPr>
        <w:t xml:space="preserve"> </w:t>
      </w:r>
      <w:r>
        <w:rPr>
          <w:spacing w:val="1"/>
          <w:w w:val="105"/>
        </w:rPr>
        <w:t>curv</w:t>
      </w:r>
      <w:r>
        <w:rPr>
          <w:w w:val="105"/>
        </w:rPr>
        <w:t>e</w:t>
      </w:r>
      <w:r>
        <w:rPr>
          <w:spacing w:val="-11"/>
          <w:w w:val="105"/>
        </w:rPr>
        <w:t xml:space="preserve"> </w:t>
      </w:r>
      <w:r>
        <w:rPr>
          <w:spacing w:val="1"/>
          <w:w w:val="105"/>
        </w:rPr>
        <w:t>sho</w:t>
      </w:r>
      <w:r>
        <w:rPr>
          <w:spacing w:val="2"/>
          <w:w w:val="105"/>
        </w:rPr>
        <w:t>w</w:t>
      </w:r>
      <w:r>
        <w:rPr>
          <w:w w:val="105"/>
        </w:rPr>
        <w:t>i</w:t>
      </w:r>
      <w:r>
        <w:rPr>
          <w:spacing w:val="1"/>
          <w:w w:val="105"/>
        </w:rPr>
        <w:t>n</w:t>
      </w:r>
      <w:r>
        <w:rPr>
          <w:w w:val="105"/>
        </w:rPr>
        <w:t>g</w:t>
      </w:r>
      <w:r>
        <w:rPr>
          <w:spacing w:val="-12"/>
          <w:w w:val="105"/>
        </w:rPr>
        <w:t xml:space="preserve"> </w:t>
      </w:r>
      <w:r>
        <w:rPr>
          <w:spacing w:val="1"/>
          <w:w w:val="105"/>
        </w:rPr>
        <w:t>ou</w:t>
      </w:r>
      <w:r>
        <w:rPr>
          <w:w w:val="105"/>
        </w:rPr>
        <w:t>t</w:t>
      </w:r>
      <w:r>
        <w:rPr>
          <w:spacing w:val="1"/>
          <w:w w:val="105"/>
        </w:rPr>
        <w:t>brea</w:t>
      </w:r>
      <w:r>
        <w:rPr>
          <w:w w:val="105"/>
        </w:rPr>
        <w:t>k</w:t>
      </w:r>
      <w:r>
        <w:rPr>
          <w:spacing w:val="-11"/>
          <w:w w:val="105"/>
        </w:rPr>
        <w:t xml:space="preserve"> </w:t>
      </w:r>
      <w:r>
        <w:rPr>
          <w:spacing w:val="1"/>
          <w:w w:val="105"/>
        </w:rPr>
        <w:t>case</w:t>
      </w:r>
      <w:r>
        <w:rPr>
          <w:w w:val="105"/>
        </w:rPr>
        <w:t>s</w:t>
      </w:r>
      <w:r>
        <w:rPr>
          <w:spacing w:val="-11"/>
          <w:w w:val="105"/>
        </w:rPr>
        <w:t xml:space="preserve"> </w:t>
      </w:r>
      <w:r>
        <w:rPr>
          <w:spacing w:val="1"/>
          <w:w w:val="105"/>
        </w:rPr>
        <w:t>o</w:t>
      </w:r>
      <w:r>
        <w:rPr>
          <w:w w:val="105"/>
        </w:rPr>
        <w:t>f</w:t>
      </w:r>
      <w:r>
        <w:rPr>
          <w:spacing w:val="-12"/>
          <w:w w:val="105"/>
        </w:rPr>
        <w:t xml:space="preserve"> </w:t>
      </w:r>
      <w:r>
        <w:rPr>
          <w:w w:val="105"/>
        </w:rPr>
        <w:t>i</w:t>
      </w:r>
      <w:r>
        <w:rPr>
          <w:spacing w:val="1"/>
          <w:w w:val="105"/>
        </w:rPr>
        <w:t>n</w:t>
      </w:r>
      <w:r>
        <w:rPr>
          <w:w w:val="105"/>
        </w:rPr>
        <w:t>f</w:t>
      </w:r>
      <w:r>
        <w:rPr>
          <w:spacing w:val="1"/>
          <w:w w:val="105"/>
        </w:rPr>
        <w:t>ec</w:t>
      </w:r>
      <w:r>
        <w:rPr>
          <w:w w:val="105"/>
        </w:rPr>
        <w:t>ti</w:t>
      </w:r>
      <w:r>
        <w:rPr>
          <w:spacing w:val="1"/>
          <w:w w:val="105"/>
        </w:rPr>
        <w:t>ou</w:t>
      </w:r>
      <w:r>
        <w:rPr>
          <w:w w:val="105"/>
        </w:rPr>
        <w:t>s</w:t>
      </w:r>
      <w:r>
        <w:rPr>
          <w:spacing w:val="-11"/>
          <w:w w:val="105"/>
        </w:rPr>
        <w:t xml:space="preserve"> </w:t>
      </w:r>
      <w:r>
        <w:rPr>
          <w:spacing w:val="1"/>
          <w:w w:val="105"/>
        </w:rPr>
        <w:t>syph</w:t>
      </w:r>
      <w:r>
        <w:rPr>
          <w:w w:val="105"/>
        </w:rPr>
        <w:t>ili</w:t>
      </w:r>
      <w:r>
        <w:rPr>
          <w:spacing w:val="1"/>
          <w:w w:val="105"/>
        </w:rPr>
        <w:t>s</w:t>
      </w:r>
      <w:r>
        <w:rPr>
          <w:rStyle w:val="FootnoteReference"/>
          <w:spacing w:val="1"/>
          <w:w w:val="105"/>
        </w:rPr>
        <w:footnoteReference w:id="1"/>
      </w:r>
      <w:r>
        <w:rPr>
          <w:spacing w:val="6"/>
          <w:w w:val="105"/>
          <w:position w:val="10"/>
          <w:sz w:val="13"/>
          <w:szCs w:val="13"/>
        </w:rPr>
        <w:t xml:space="preserve"> </w:t>
      </w:r>
      <w:r>
        <w:rPr>
          <w:spacing w:val="1"/>
          <w:w w:val="105"/>
        </w:rPr>
        <w:t>no</w:t>
      </w:r>
      <w:r>
        <w:rPr>
          <w:w w:val="105"/>
        </w:rPr>
        <w:t>tifi</w:t>
      </w:r>
      <w:r>
        <w:rPr>
          <w:spacing w:val="1"/>
          <w:w w:val="105"/>
        </w:rPr>
        <w:t>e</w:t>
      </w:r>
      <w:r>
        <w:rPr>
          <w:w w:val="105"/>
        </w:rPr>
        <w:t>d</w:t>
      </w:r>
      <w:r>
        <w:rPr>
          <w:spacing w:val="-11"/>
          <w:w w:val="105"/>
        </w:rPr>
        <w:t xml:space="preserve"> </w:t>
      </w:r>
      <w:r>
        <w:rPr>
          <w:w w:val="105"/>
        </w:rPr>
        <w:t>in</w:t>
      </w:r>
      <w:r>
        <w:rPr>
          <w:spacing w:val="-11"/>
          <w:w w:val="105"/>
        </w:rPr>
        <w:t xml:space="preserve"> </w:t>
      </w:r>
      <w:r>
        <w:rPr>
          <w:spacing w:val="1"/>
          <w:w w:val="105"/>
        </w:rPr>
        <w:t>a</w:t>
      </w:r>
      <w:r>
        <w:rPr>
          <w:w w:val="105"/>
        </w:rPr>
        <w:t>ff</w:t>
      </w:r>
      <w:r>
        <w:rPr>
          <w:spacing w:val="1"/>
          <w:w w:val="105"/>
        </w:rPr>
        <w:t>ec</w:t>
      </w:r>
      <w:r>
        <w:rPr>
          <w:w w:val="105"/>
        </w:rPr>
        <w:t>t</w:t>
      </w:r>
      <w:r>
        <w:rPr>
          <w:spacing w:val="1"/>
          <w:w w:val="105"/>
        </w:rPr>
        <w:t>e</w:t>
      </w:r>
      <w:r>
        <w:rPr>
          <w:w w:val="105"/>
        </w:rPr>
        <w:t>d</w:t>
      </w:r>
      <w:r>
        <w:rPr>
          <w:spacing w:val="-11"/>
          <w:w w:val="105"/>
        </w:rPr>
        <w:t xml:space="preserve"> </w:t>
      </w:r>
      <w:r>
        <w:rPr>
          <w:spacing w:val="1"/>
          <w:w w:val="105"/>
        </w:rPr>
        <w:t>reg</w:t>
      </w:r>
      <w:r>
        <w:rPr>
          <w:w w:val="105"/>
        </w:rPr>
        <w:t>i</w:t>
      </w:r>
      <w:r>
        <w:rPr>
          <w:spacing w:val="1"/>
          <w:w w:val="105"/>
        </w:rPr>
        <w:t>ons</w:t>
      </w:r>
      <w:r>
        <w:rPr>
          <w:rStyle w:val="FootnoteReference"/>
          <w:spacing w:val="1"/>
          <w:w w:val="105"/>
        </w:rPr>
        <w:footnoteReference w:id="2"/>
      </w:r>
      <w:r>
        <w:rPr>
          <w:spacing w:val="5"/>
          <w:w w:val="105"/>
          <w:position w:val="10"/>
          <w:sz w:val="13"/>
          <w:szCs w:val="13"/>
        </w:rPr>
        <w:t xml:space="preserve"> </w:t>
      </w:r>
      <w:r>
        <w:rPr>
          <w:spacing w:val="1"/>
          <w:w w:val="105"/>
        </w:rPr>
        <w:t>o</w:t>
      </w:r>
      <w:r>
        <w:rPr>
          <w:w w:val="105"/>
        </w:rPr>
        <w:t>f</w:t>
      </w:r>
      <w:r>
        <w:rPr>
          <w:spacing w:val="-12"/>
          <w:w w:val="105"/>
        </w:rPr>
        <w:t xml:space="preserve"> </w:t>
      </w:r>
      <w:r>
        <w:rPr>
          <w:spacing w:val="2"/>
          <w:w w:val="105"/>
        </w:rPr>
        <w:t>Q</w:t>
      </w:r>
      <w:r>
        <w:rPr>
          <w:spacing w:val="1"/>
          <w:w w:val="105"/>
        </w:rPr>
        <w:t>ueens</w:t>
      </w:r>
      <w:r>
        <w:rPr>
          <w:w w:val="105"/>
        </w:rPr>
        <w:t>l</w:t>
      </w:r>
      <w:r>
        <w:rPr>
          <w:spacing w:val="1"/>
          <w:w w:val="105"/>
        </w:rPr>
        <w:t>and,</w:t>
      </w:r>
      <w:r>
        <w:rPr>
          <w:spacing w:val="1"/>
          <w:w w:val="103"/>
        </w:rPr>
        <w:t xml:space="preserve"> </w:t>
      </w:r>
      <w:r>
        <w:rPr>
          <w:w w:val="105"/>
        </w:rPr>
        <w:t>t</w:t>
      </w:r>
      <w:r>
        <w:rPr>
          <w:spacing w:val="1"/>
          <w:w w:val="105"/>
        </w:rPr>
        <w:t>h</w:t>
      </w:r>
      <w:r>
        <w:rPr>
          <w:w w:val="105"/>
        </w:rPr>
        <w:t>e</w:t>
      </w:r>
      <w:r>
        <w:rPr>
          <w:spacing w:val="-10"/>
          <w:w w:val="105"/>
        </w:rPr>
        <w:t xml:space="preserve"> </w:t>
      </w:r>
      <w:r>
        <w:rPr>
          <w:spacing w:val="2"/>
          <w:w w:val="105"/>
        </w:rPr>
        <w:t>N</w:t>
      </w:r>
      <w:r>
        <w:rPr>
          <w:spacing w:val="1"/>
          <w:w w:val="105"/>
        </w:rPr>
        <w:t>or</w:t>
      </w:r>
      <w:r>
        <w:rPr>
          <w:w w:val="105"/>
        </w:rPr>
        <w:t>t</w:t>
      </w:r>
      <w:r>
        <w:rPr>
          <w:spacing w:val="1"/>
          <w:w w:val="105"/>
        </w:rPr>
        <w:t>her</w:t>
      </w:r>
      <w:r>
        <w:rPr>
          <w:w w:val="105"/>
        </w:rPr>
        <w:t>n</w:t>
      </w:r>
      <w:r>
        <w:rPr>
          <w:spacing w:val="-10"/>
          <w:w w:val="105"/>
        </w:rPr>
        <w:t xml:space="preserve"> </w:t>
      </w:r>
      <w:r>
        <w:rPr>
          <w:spacing w:val="2"/>
          <w:w w:val="105"/>
        </w:rPr>
        <w:t>T</w:t>
      </w:r>
      <w:r>
        <w:rPr>
          <w:spacing w:val="1"/>
          <w:w w:val="105"/>
        </w:rPr>
        <w:t>err</w:t>
      </w:r>
      <w:r>
        <w:rPr>
          <w:w w:val="105"/>
        </w:rPr>
        <w:t>it</w:t>
      </w:r>
      <w:r>
        <w:rPr>
          <w:spacing w:val="1"/>
          <w:w w:val="105"/>
        </w:rPr>
        <w:t>or</w:t>
      </w:r>
      <w:r>
        <w:rPr>
          <w:w w:val="105"/>
        </w:rPr>
        <w:t>y</w:t>
      </w:r>
      <w:r>
        <w:rPr>
          <w:spacing w:val="-9"/>
          <w:w w:val="105"/>
        </w:rPr>
        <w:t xml:space="preserve"> </w:t>
      </w:r>
      <w:r>
        <w:rPr>
          <w:spacing w:val="1"/>
          <w:w w:val="105"/>
        </w:rPr>
        <w:t>an</w:t>
      </w:r>
      <w:r>
        <w:rPr>
          <w:w w:val="105"/>
        </w:rPr>
        <w:t>d</w:t>
      </w:r>
      <w:r>
        <w:rPr>
          <w:spacing w:val="-10"/>
          <w:w w:val="105"/>
        </w:rPr>
        <w:t xml:space="preserve"> </w:t>
      </w:r>
      <w:r>
        <w:rPr>
          <w:spacing w:val="3"/>
          <w:w w:val="105"/>
        </w:rPr>
        <w:t>W</w:t>
      </w:r>
      <w:r>
        <w:rPr>
          <w:spacing w:val="1"/>
          <w:w w:val="105"/>
        </w:rPr>
        <w:t>es</w:t>
      </w:r>
      <w:r>
        <w:rPr>
          <w:w w:val="105"/>
        </w:rPr>
        <w:t>t</w:t>
      </w:r>
      <w:r>
        <w:rPr>
          <w:spacing w:val="1"/>
          <w:w w:val="105"/>
        </w:rPr>
        <w:t>er</w:t>
      </w:r>
      <w:r>
        <w:rPr>
          <w:w w:val="105"/>
        </w:rPr>
        <w:t>n</w:t>
      </w:r>
      <w:r>
        <w:rPr>
          <w:spacing w:val="-10"/>
          <w:w w:val="105"/>
        </w:rPr>
        <w:t xml:space="preserve"> </w:t>
      </w:r>
      <w:r>
        <w:rPr>
          <w:spacing w:val="2"/>
          <w:w w:val="105"/>
        </w:rPr>
        <w:t>A</w:t>
      </w:r>
      <w:r>
        <w:rPr>
          <w:spacing w:val="1"/>
          <w:w w:val="105"/>
        </w:rPr>
        <w:t>us</w:t>
      </w:r>
      <w:r>
        <w:rPr>
          <w:w w:val="105"/>
        </w:rPr>
        <w:t>t</w:t>
      </w:r>
      <w:r>
        <w:rPr>
          <w:spacing w:val="1"/>
          <w:w w:val="105"/>
        </w:rPr>
        <w:t>ra</w:t>
      </w:r>
      <w:r>
        <w:rPr>
          <w:w w:val="105"/>
        </w:rPr>
        <w:t>li</w:t>
      </w:r>
      <w:r>
        <w:rPr>
          <w:spacing w:val="1"/>
          <w:w w:val="105"/>
        </w:rPr>
        <w:t>a</w:t>
      </w:r>
      <w:r>
        <w:rPr>
          <w:w w:val="105"/>
        </w:rPr>
        <w:t>,</w:t>
      </w:r>
      <w:r>
        <w:rPr>
          <w:spacing w:val="-10"/>
          <w:w w:val="105"/>
        </w:rPr>
        <w:t xml:space="preserve"> </w:t>
      </w:r>
      <w:r>
        <w:rPr>
          <w:w w:val="105"/>
        </w:rPr>
        <w:t>f</w:t>
      </w:r>
      <w:r>
        <w:rPr>
          <w:spacing w:val="1"/>
          <w:w w:val="105"/>
        </w:rPr>
        <w:t>ro</w:t>
      </w:r>
      <w:r>
        <w:rPr>
          <w:w w:val="105"/>
        </w:rPr>
        <w:t>m</w:t>
      </w:r>
      <w:r>
        <w:rPr>
          <w:spacing w:val="-9"/>
          <w:w w:val="105"/>
        </w:rPr>
        <w:t xml:space="preserve"> </w:t>
      </w:r>
      <w:r>
        <w:rPr>
          <w:spacing w:val="1"/>
          <w:w w:val="105"/>
        </w:rPr>
        <w:t>co</w:t>
      </w:r>
      <w:r>
        <w:rPr>
          <w:spacing w:val="2"/>
          <w:w w:val="105"/>
        </w:rPr>
        <w:t>mm</w:t>
      </w:r>
      <w:r>
        <w:rPr>
          <w:spacing w:val="1"/>
          <w:w w:val="105"/>
        </w:rPr>
        <w:t>ence</w:t>
      </w:r>
      <w:r>
        <w:rPr>
          <w:spacing w:val="2"/>
          <w:w w:val="105"/>
        </w:rPr>
        <w:t>m</w:t>
      </w:r>
      <w:r>
        <w:rPr>
          <w:spacing w:val="1"/>
          <w:w w:val="105"/>
        </w:rPr>
        <w:t>en</w:t>
      </w:r>
      <w:r>
        <w:rPr>
          <w:w w:val="105"/>
        </w:rPr>
        <w:t>t</w:t>
      </w:r>
      <w:r>
        <w:rPr>
          <w:spacing w:val="-10"/>
          <w:w w:val="105"/>
        </w:rPr>
        <w:t xml:space="preserve"> </w:t>
      </w:r>
      <w:r>
        <w:rPr>
          <w:spacing w:val="1"/>
          <w:w w:val="105"/>
        </w:rPr>
        <w:t>o</w:t>
      </w:r>
      <w:r>
        <w:rPr>
          <w:w w:val="105"/>
        </w:rPr>
        <w:t>f</w:t>
      </w:r>
      <w:r>
        <w:rPr>
          <w:spacing w:val="-11"/>
          <w:w w:val="105"/>
        </w:rPr>
        <w:t xml:space="preserve"> </w:t>
      </w:r>
      <w:r>
        <w:rPr>
          <w:w w:val="105"/>
        </w:rPr>
        <w:t>t</w:t>
      </w:r>
      <w:r>
        <w:rPr>
          <w:spacing w:val="1"/>
          <w:w w:val="105"/>
        </w:rPr>
        <w:t>h</w:t>
      </w:r>
      <w:r>
        <w:rPr>
          <w:w w:val="105"/>
        </w:rPr>
        <w:t>e</w:t>
      </w:r>
      <w:r>
        <w:rPr>
          <w:spacing w:val="-9"/>
          <w:w w:val="105"/>
        </w:rPr>
        <w:t xml:space="preserve"> </w:t>
      </w:r>
      <w:r>
        <w:rPr>
          <w:spacing w:val="1"/>
          <w:w w:val="105"/>
        </w:rPr>
        <w:t>ou</w:t>
      </w:r>
      <w:r>
        <w:rPr>
          <w:w w:val="105"/>
        </w:rPr>
        <w:t>t</w:t>
      </w:r>
      <w:r>
        <w:rPr>
          <w:spacing w:val="1"/>
          <w:w w:val="105"/>
        </w:rPr>
        <w:t>brea</w:t>
      </w:r>
      <w:r>
        <w:rPr>
          <w:w w:val="105"/>
        </w:rPr>
        <w:t>k</w:t>
      </w:r>
      <w:r>
        <w:rPr>
          <w:spacing w:val="-9"/>
          <w:w w:val="105"/>
        </w:rPr>
        <w:t xml:space="preserve"> </w:t>
      </w:r>
      <w:r>
        <w:rPr>
          <w:w w:val="105"/>
        </w:rPr>
        <w:t>in</w:t>
      </w:r>
      <w:r>
        <w:rPr>
          <w:spacing w:val="-10"/>
          <w:w w:val="105"/>
        </w:rPr>
        <w:t xml:space="preserve"> </w:t>
      </w:r>
      <w:r>
        <w:rPr>
          <w:spacing w:val="1"/>
          <w:w w:val="105"/>
        </w:rPr>
        <w:t>eac</w:t>
      </w:r>
      <w:r>
        <w:rPr>
          <w:w w:val="105"/>
        </w:rPr>
        <w:t>h</w:t>
      </w:r>
      <w:r>
        <w:rPr>
          <w:spacing w:val="-10"/>
          <w:w w:val="105"/>
        </w:rPr>
        <w:t xml:space="preserve"> </w:t>
      </w:r>
      <w:r>
        <w:rPr>
          <w:w w:val="105"/>
        </w:rPr>
        <w:t>j</w:t>
      </w:r>
      <w:r>
        <w:rPr>
          <w:spacing w:val="1"/>
          <w:w w:val="105"/>
        </w:rPr>
        <w:t>ur</w:t>
      </w:r>
      <w:r>
        <w:rPr>
          <w:w w:val="105"/>
        </w:rPr>
        <w:t>i</w:t>
      </w:r>
      <w:r>
        <w:rPr>
          <w:spacing w:val="1"/>
          <w:w w:val="105"/>
        </w:rPr>
        <w:t>sd</w:t>
      </w:r>
      <w:r>
        <w:rPr>
          <w:w w:val="105"/>
        </w:rPr>
        <w:t>i</w:t>
      </w:r>
      <w:r>
        <w:rPr>
          <w:spacing w:val="1"/>
          <w:w w:val="105"/>
        </w:rPr>
        <w:t>c</w:t>
      </w:r>
      <w:r>
        <w:rPr>
          <w:w w:val="105"/>
        </w:rPr>
        <w:t>ti</w:t>
      </w:r>
      <w:r>
        <w:rPr>
          <w:spacing w:val="1"/>
          <w:w w:val="105"/>
        </w:rPr>
        <w:t>o</w:t>
      </w:r>
      <w:r>
        <w:rPr>
          <w:w w:val="105"/>
        </w:rPr>
        <w:t>n</w:t>
      </w:r>
      <w:r>
        <w:rPr>
          <w:spacing w:val="-9"/>
          <w:w w:val="105"/>
        </w:rPr>
        <w:t xml:space="preserve"> </w:t>
      </w:r>
      <w:r>
        <w:rPr>
          <w:w w:val="105"/>
        </w:rPr>
        <w:t>to</w:t>
      </w:r>
      <w:r>
        <w:rPr>
          <w:spacing w:val="-10"/>
          <w:w w:val="105"/>
        </w:rPr>
        <w:t xml:space="preserve"> </w:t>
      </w:r>
      <w:r>
        <w:rPr>
          <w:spacing w:val="1"/>
          <w:w w:val="105"/>
        </w:rPr>
        <w:t>29</w:t>
      </w:r>
      <w:r>
        <w:rPr>
          <w:spacing w:val="1"/>
          <w:w w:val="103"/>
        </w:rPr>
        <w:t xml:space="preserve"> </w:t>
      </w:r>
      <w:r>
        <w:rPr>
          <w:spacing w:val="1"/>
          <w:w w:val="105"/>
        </w:rPr>
        <w:t>Februar</w:t>
      </w:r>
      <w:r>
        <w:rPr>
          <w:w w:val="105"/>
        </w:rPr>
        <w:t>y</w:t>
      </w:r>
      <w:r>
        <w:rPr>
          <w:spacing w:val="-26"/>
          <w:w w:val="105"/>
        </w:rPr>
        <w:t xml:space="preserve"> </w:t>
      </w:r>
      <w:r>
        <w:rPr>
          <w:spacing w:val="1"/>
          <w:w w:val="105"/>
        </w:rPr>
        <w:t>201</w:t>
      </w:r>
      <w:r>
        <w:rPr>
          <w:spacing w:val="2"/>
          <w:w w:val="105"/>
        </w:rPr>
        <w:t>6</w:t>
      </w:r>
      <w:r>
        <w:rPr>
          <w:w w:val="105"/>
        </w:rPr>
        <w:t>.</w:t>
      </w:r>
    </w:p>
    <w:p w:rsidR="00CC0F5A" w:rsidRDefault="00CC0F5A" w:rsidP="006721AA">
      <w:pPr>
        <w:kinsoku w:val="0"/>
        <w:overflowPunct w:val="0"/>
        <w:spacing w:before="8" w:line="220" w:lineRule="exact"/>
      </w:pPr>
    </w:p>
    <w:p w:rsidR="00CC0F5A" w:rsidRDefault="00CC0F5A" w:rsidP="006721AA">
      <w:pPr>
        <w:kinsoku w:val="0"/>
        <w:overflowPunct w:val="0"/>
        <w:ind w:left="-567"/>
        <w:jc w:val="both"/>
        <w:rPr>
          <w:sz w:val="20"/>
          <w:szCs w:val="20"/>
        </w:rPr>
      </w:pPr>
      <w:r>
        <w:rPr>
          <w:noProof/>
          <w:lang w:eastAsia="en-AU"/>
        </w:rPr>
        <w:drawing>
          <wp:inline distT="0" distB="0" distL="0" distR="0" wp14:anchorId="31B4D6DE" wp14:editId="01A3CD82">
            <wp:extent cx="6438900" cy="2437162"/>
            <wp:effectExtent l="0" t="0" r="0" b="1270"/>
            <wp:docPr id="12" name="Picture 1" descr="Epidemic curve showing outbreak cases of infectious syphilis  notified in affected regions  of Queensland, the Northern Territory and Western Australia, from commencement of the outbreak in each jurisdiction to 29 February 2016."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0046" cy="2441381"/>
                    </a:xfrm>
                    <a:prstGeom prst="rect">
                      <a:avLst/>
                    </a:prstGeom>
                    <a:noFill/>
                    <a:ln>
                      <a:noFill/>
                    </a:ln>
                  </pic:spPr>
                </pic:pic>
              </a:graphicData>
            </a:graphic>
          </wp:inline>
        </w:drawing>
      </w:r>
    </w:p>
    <w:p w:rsidR="006721AA" w:rsidRDefault="006721AA" w:rsidP="006721AA">
      <w:pPr>
        <w:ind w:left="-283"/>
        <w:rPr>
          <w:rFonts w:ascii="Arial" w:eastAsiaTheme="minorEastAsia" w:hAnsi="Arial" w:cs="Arial"/>
          <w:b/>
          <w:bCs/>
          <w:spacing w:val="1"/>
          <w:w w:val="105"/>
          <w:sz w:val="19"/>
          <w:szCs w:val="19"/>
          <w:lang w:eastAsia="en-AU"/>
        </w:rPr>
      </w:pPr>
    </w:p>
    <w:p w:rsidR="002B6AFC" w:rsidRDefault="002B6AFC">
      <w:pPr>
        <w:rPr>
          <w:rFonts w:ascii="Arial" w:eastAsiaTheme="minorEastAsia" w:hAnsi="Arial" w:cs="Arial"/>
          <w:b/>
          <w:bCs/>
          <w:spacing w:val="1"/>
          <w:w w:val="105"/>
          <w:sz w:val="19"/>
          <w:szCs w:val="19"/>
          <w:lang w:eastAsia="en-AU"/>
        </w:rPr>
      </w:pPr>
      <w:r>
        <w:rPr>
          <w:b/>
          <w:bCs/>
          <w:spacing w:val="1"/>
          <w:w w:val="105"/>
        </w:rPr>
        <w:br w:type="page"/>
      </w:r>
    </w:p>
    <w:p w:rsidR="00CC0F5A" w:rsidRDefault="00CC0F5A" w:rsidP="002B6AFC">
      <w:pPr>
        <w:pStyle w:val="BodyText"/>
        <w:kinsoku w:val="0"/>
        <w:overflowPunct w:val="0"/>
        <w:spacing w:line="230" w:lineRule="exact"/>
        <w:ind w:left="-567" w:right="260" w:firstLine="0"/>
      </w:pPr>
      <w:r>
        <w:rPr>
          <w:b/>
          <w:bCs/>
          <w:spacing w:val="1"/>
          <w:w w:val="105"/>
        </w:rPr>
        <w:lastRenderedPageBreak/>
        <w:t>Tab</w:t>
      </w:r>
      <w:r>
        <w:rPr>
          <w:b/>
          <w:bCs/>
          <w:w w:val="105"/>
        </w:rPr>
        <w:t>le</w:t>
      </w:r>
      <w:r>
        <w:rPr>
          <w:b/>
          <w:bCs/>
          <w:spacing w:val="-10"/>
          <w:w w:val="105"/>
        </w:rPr>
        <w:t xml:space="preserve"> </w:t>
      </w:r>
      <w:r>
        <w:rPr>
          <w:b/>
          <w:bCs/>
          <w:spacing w:val="1"/>
          <w:w w:val="105"/>
        </w:rPr>
        <w:t>1</w:t>
      </w:r>
      <w:r>
        <w:rPr>
          <w:b/>
          <w:bCs/>
          <w:w w:val="105"/>
        </w:rPr>
        <w:t>.</w:t>
      </w:r>
      <w:r>
        <w:rPr>
          <w:b/>
          <w:bCs/>
          <w:spacing w:val="-10"/>
          <w:w w:val="105"/>
        </w:rPr>
        <w:t xml:space="preserve"> </w:t>
      </w:r>
      <w:r>
        <w:rPr>
          <w:spacing w:val="2"/>
          <w:w w:val="105"/>
        </w:rPr>
        <w:t>C</w:t>
      </w:r>
      <w:r>
        <w:rPr>
          <w:spacing w:val="1"/>
          <w:w w:val="105"/>
        </w:rPr>
        <w:t>harac</w:t>
      </w:r>
      <w:r>
        <w:rPr>
          <w:w w:val="105"/>
        </w:rPr>
        <w:t>t</w:t>
      </w:r>
      <w:r>
        <w:rPr>
          <w:spacing w:val="1"/>
          <w:w w:val="105"/>
        </w:rPr>
        <w:t>er</w:t>
      </w:r>
      <w:r>
        <w:rPr>
          <w:w w:val="105"/>
        </w:rPr>
        <w:t>i</w:t>
      </w:r>
      <w:r>
        <w:rPr>
          <w:spacing w:val="1"/>
          <w:w w:val="105"/>
        </w:rPr>
        <w:t>s</w:t>
      </w:r>
      <w:r>
        <w:rPr>
          <w:w w:val="105"/>
        </w:rPr>
        <w:t>ti</w:t>
      </w:r>
      <w:r>
        <w:rPr>
          <w:spacing w:val="1"/>
          <w:w w:val="105"/>
        </w:rPr>
        <w:t>c</w:t>
      </w:r>
      <w:r>
        <w:rPr>
          <w:w w:val="105"/>
        </w:rPr>
        <w:t>s</w:t>
      </w:r>
      <w:r>
        <w:rPr>
          <w:spacing w:val="-10"/>
          <w:w w:val="105"/>
        </w:rPr>
        <w:t xml:space="preserve"> </w:t>
      </w:r>
      <w:r>
        <w:rPr>
          <w:spacing w:val="1"/>
          <w:w w:val="105"/>
        </w:rPr>
        <w:t>o</w:t>
      </w:r>
      <w:r>
        <w:rPr>
          <w:w w:val="105"/>
        </w:rPr>
        <w:t>f</w:t>
      </w:r>
      <w:r>
        <w:rPr>
          <w:spacing w:val="-11"/>
          <w:w w:val="105"/>
        </w:rPr>
        <w:t xml:space="preserve"> </w:t>
      </w:r>
      <w:r>
        <w:rPr>
          <w:spacing w:val="2"/>
          <w:w w:val="105"/>
        </w:rPr>
        <w:t>o</w:t>
      </w:r>
      <w:r>
        <w:rPr>
          <w:spacing w:val="1"/>
          <w:w w:val="105"/>
        </w:rPr>
        <w:t>u</w:t>
      </w:r>
      <w:r>
        <w:rPr>
          <w:w w:val="105"/>
        </w:rPr>
        <w:t>t</w:t>
      </w:r>
      <w:r>
        <w:rPr>
          <w:spacing w:val="1"/>
          <w:w w:val="105"/>
        </w:rPr>
        <w:t>brea</w:t>
      </w:r>
      <w:r>
        <w:rPr>
          <w:w w:val="105"/>
        </w:rPr>
        <w:t>k</w:t>
      </w:r>
      <w:r>
        <w:rPr>
          <w:spacing w:val="-10"/>
          <w:w w:val="105"/>
        </w:rPr>
        <w:t xml:space="preserve"> </w:t>
      </w:r>
      <w:r>
        <w:rPr>
          <w:spacing w:val="1"/>
          <w:w w:val="105"/>
        </w:rPr>
        <w:t>case</w:t>
      </w:r>
      <w:r>
        <w:rPr>
          <w:w w:val="105"/>
        </w:rPr>
        <w:t>s</w:t>
      </w:r>
      <w:r>
        <w:rPr>
          <w:spacing w:val="-10"/>
          <w:w w:val="105"/>
        </w:rPr>
        <w:t xml:space="preserve"> </w:t>
      </w:r>
      <w:r>
        <w:rPr>
          <w:spacing w:val="1"/>
          <w:w w:val="105"/>
        </w:rPr>
        <w:t>o</w:t>
      </w:r>
      <w:r>
        <w:rPr>
          <w:w w:val="105"/>
        </w:rPr>
        <w:t>f</w:t>
      </w:r>
      <w:r>
        <w:rPr>
          <w:spacing w:val="-11"/>
          <w:w w:val="105"/>
        </w:rPr>
        <w:t xml:space="preserve"> </w:t>
      </w:r>
      <w:r>
        <w:rPr>
          <w:w w:val="105"/>
        </w:rPr>
        <w:t>i</w:t>
      </w:r>
      <w:r>
        <w:rPr>
          <w:spacing w:val="1"/>
          <w:w w:val="105"/>
        </w:rPr>
        <w:t>n</w:t>
      </w:r>
      <w:r>
        <w:rPr>
          <w:w w:val="105"/>
        </w:rPr>
        <w:t>f</w:t>
      </w:r>
      <w:r>
        <w:rPr>
          <w:spacing w:val="1"/>
          <w:w w:val="105"/>
        </w:rPr>
        <w:t>ec</w:t>
      </w:r>
      <w:r>
        <w:rPr>
          <w:w w:val="105"/>
        </w:rPr>
        <w:t>ti</w:t>
      </w:r>
      <w:r>
        <w:rPr>
          <w:spacing w:val="1"/>
          <w:w w:val="105"/>
        </w:rPr>
        <w:t>ou</w:t>
      </w:r>
      <w:r>
        <w:rPr>
          <w:w w:val="105"/>
        </w:rPr>
        <w:t>s</w:t>
      </w:r>
      <w:r>
        <w:rPr>
          <w:spacing w:val="-10"/>
          <w:w w:val="105"/>
        </w:rPr>
        <w:t xml:space="preserve"> </w:t>
      </w:r>
      <w:r>
        <w:rPr>
          <w:spacing w:val="1"/>
          <w:w w:val="105"/>
        </w:rPr>
        <w:t>syph</w:t>
      </w:r>
      <w:r>
        <w:rPr>
          <w:w w:val="105"/>
        </w:rPr>
        <w:t>ilis</w:t>
      </w:r>
      <w:r>
        <w:rPr>
          <w:spacing w:val="-10"/>
          <w:w w:val="105"/>
        </w:rPr>
        <w:t xml:space="preserve"> </w:t>
      </w:r>
      <w:r>
        <w:rPr>
          <w:spacing w:val="1"/>
          <w:w w:val="105"/>
        </w:rPr>
        <w:t>no</w:t>
      </w:r>
      <w:r>
        <w:rPr>
          <w:w w:val="105"/>
        </w:rPr>
        <w:t>tifi</w:t>
      </w:r>
      <w:r>
        <w:rPr>
          <w:spacing w:val="1"/>
          <w:w w:val="105"/>
        </w:rPr>
        <w:t>e</w:t>
      </w:r>
      <w:r>
        <w:rPr>
          <w:w w:val="105"/>
        </w:rPr>
        <w:t>d</w:t>
      </w:r>
      <w:r>
        <w:rPr>
          <w:spacing w:val="-10"/>
          <w:w w:val="105"/>
        </w:rPr>
        <w:t xml:space="preserve"> </w:t>
      </w:r>
      <w:r>
        <w:rPr>
          <w:w w:val="105"/>
        </w:rPr>
        <w:t>in</w:t>
      </w:r>
      <w:r>
        <w:rPr>
          <w:spacing w:val="-10"/>
          <w:w w:val="105"/>
        </w:rPr>
        <w:t xml:space="preserve"> </w:t>
      </w:r>
      <w:r>
        <w:rPr>
          <w:spacing w:val="1"/>
          <w:w w:val="105"/>
        </w:rPr>
        <w:t>a</w:t>
      </w:r>
      <w:r>
        <w:rPr>
          <w:w w:val="105"/>
        </w:rPr>
        <w:t>ff</w:t>
      </w:r>
      <w:r>
        <w:rPr>
          <w:spacing w:val="1"/>
          <w:w w:val="105"/>
        </w:rPr>
        <w:t>ec</w:t>
      </w:r>
      <w:r>
        <w:rPr>
          <w:w w:val="105"/>
        </w:rPr>
        <w:t>t</w:t>
      </w:r>
      <w:r>
        <w:rPr>
          <w:spacing w:val="1"/>
          <w:w w:val="105"/>
        </w:rPr>
        <w:t>e</w:t>
      </w:r>
      <w:r>
        <w:rPr>
          <w:w w:val="105"/>
        </w:rPr>
        <w:t>d</w:t>
      </w:r>
      <w:r>
        <w:rPr>
          <w:spacing w:val="-10"/>
          <w:w w:val="105"/>
        </w:rPr>
        <w:t xml:space="preserve"> </w:t>
      </w:r>
      <w:r>
        <w:rPr>
          <w:spacing w:val="1"/>
          <w:w w:val="105"/>
        </w:rPr>
        <w:t>reg</w:t>
      </w:r>
      <w:r>
        <w:rPr>
          <w:w w:val="105"/>
        </w:rPr>
        <w:t>i</w:t>
      </w:r>
      <w:r>
        <w:rPr>
          <w:spacing w:val="1"/>
          <w:w w:val="105"/>
        </w:rPr>
        <w:t>on</w:t>
      </w:r>
      <w:r>
        <w:rPr>
          <w:w w:val="105"/>
        </w:rPr>
        <w:t>s</w:t>
      </w:r>
      <w:r>
        <w:rPr>
          <w:spacing w:val="-10"/>
          <w:w w:val="105"/>
        </w:rPr>
        <w:t xml:space="preserve"> </w:t>
      </w:r>
      <w:r>
        <w:rPr>
          <w:spacing w:val="1"/>
          <w:w w:val="105"/>
        </w:rPr>
        <w:t>o</w:t>
      </w:r>
      <w:r>
        <w:rPr>
          <w:w w:val="105"/>
        </w:rPr>
        <w:t>f</w:t>
      </w:r>
      <w:r>
        <w:rPr>
          <w:spacing w:val="-10"/>
          <w:w w:val="105"/>
        </w:rPr>
        <w:t xml:space="preserve"> </w:t>
      </w:r>
      <w:r>
        <w:rPr>
          <w:spacing w:val="2"/>
          <w:w w:val="105"/>
        </w:rPr>
        <w:t>Q</w:t>
      </w:r>
      <w:r>
        <w:rPr>
          <w:spacing w:val="1"/>
          <w:w w:val="105"/>
        </w:rPr>
        <w:t>ueens</w:t>
      </w:r>
      <w:r>
        <w:rPr>
          <w:w w:val="105"/>
        </w:rPr>
        <w:t>l</w:t>
      </w:r>
      <w:r>
        <w:rPr>
          <w:spacing w:val="1"/>
          <w:w w:val="105"/>
        </w:rPr>
        <w:t>and</w:t>
      </w:r>
      <w:r>
        <w:rPr>
          <w:w w:val="105"/>
        </w:rPr>
        <w:t>,</w:t>
      </w:r>
      <w:r>
        <w:rPr>
          <w:spacing w:val="-11"/>
          <w:w w:val="105"/>
        </w:rPr>
        <w:t xml:space="preserve"> </w:t>
      </w:r>
      <w:r>
        <w:rPr>
          <w:w w:val="105"/>
        </w:rPr>
        <w:t>t</w:t>
      </w:r>
      <w:r>
        <w:rPr>
          <w:spacing w:val="1"/>
          <w:w w:val="105"/>
        </w:rPr>
        <w:t>h</w:t>
      </w:r>
      <w:r>
        <w:rPr>
          <w:w w:val="105"/>
        </w:rPr>
        <w:t>e</w:t>
      </w:r>
      <w:r>
        <w:rPr>
          <w:w w:val="103"/>
        </w:rPr>
        <w:t xml:space="preserve"> </w:t>
      </w:r>
      <w:r>
        <w:rPr>
          <w:spacing w:val="2"/>
          <w:w w:val="105"/>
        </w:rPr>
        <w:t>N</w:t>
      </w:r>
      <w:r>
        <w:rPr>
          <w:spacing w:val="1"/>
          <w:w w:val="105"/>
        </w:rPr>
        <w:t>or</w:t>
      </w:r>
      <w:r>
        <w:rPr>
          <w:w w:val="105"/>
        </w:rPr>
        <w:t>t</w:t>
      </w:r>
      <w:r>
        <w:rPr>
          <w:spacing w:val="1"/>
          <w:w w:val="105"/>
        </w:rPr>
        <w:t>her</w:t>
      </w:r>
      <w:r>
        <w:rPr>
          <w:w w:val="105"/>
        </w:rPr>
        <w:t>n</w:t>
      </w:r>
      <w:r>
        <w:rPr>
          <w:spacing w:val="-12"/>
          <w:w w:val="105"/>
        </w:rPr>
        <w:t xml:space="preserve"> </w:t>
      </w:r>
      <w:r>
        <w:rPr>
          <w:spacing w:val="1"/>
          <w:w w:val="105"/>
        </w:rPr>
        <w:t>Terr</w:t>
      </w:r>
      <w:r>
        <w:rPr>
          <w:w w:val="105"/>
        </w:rPr>
        <w:t>it</w:t>
      </w:r>
      <w:r>
        <w:rPr>
          <w:spacing w:val="1"/>
          <w:w w:val="105"/>
        </w:rPr>
        <w:t>or</w:t>
      </w:r>
      <w:r>
        <w:rPr>
          <w:w w:val="105"/>
        </w:rPr>
        <w:t>y</w:t>
      </w:r>
      <w:r>
        <w:rPr>
          <w:spacing w:val="-11"/>
          <w:w w:val="105"/>
        </w:rPr>
        <w:t xml:space="preserve"> </w:t>
      </w:r>
      <w:r>
        <w:rPr>
          <w:spacing w:val="1"/>
          <w:w w:val="105"/>
        </w:rPr>
        <w:t>an</w:t>
      </w:r>
      <w:r>
        <w:rPr>
          <w:w w:val="105"/>
        </w:rPr>
        <w:t>d</w:t>
      </w:r>
      <w:r>
        <w:rPr>
          <w:spacing w:val="-11"/>
          <w:w w:val="105"/>
        </w:rPr>
        <w:t xml:space="preserve"> </w:t>
      </w:r>
      <w:r>
        <w:rPr>
          <w:spacing w:val="3"/>
          <w:w w:val="105"/>
        </w:rPr>
        <w:t>W</w:t>
      </w:r>
      <w:r>
        <w:rPr>
          <w:spacing w:val="1"/>
          <w:w w:val="105"/>
        </w:rPr>
        <w:t>es</w:t>
      </w:r>
      <w:r>
        <w:rPr>
          <w:w w:val="105"/>
        </w:rPr>
        <w:t>t</w:t>
      </w:r>
      <w:r>
        <w:rPr>
          <w:spacing w:val="1"/>
          <w:w w:val="105"/>
        </w:rPr>
        <w:t>er</w:t>
      </w:r>
      <w:r>
        <w:rPr>
          <w:w w:val="105"/>
        </w:rPr>
        <w:t>n</w:t>
      </w:r>
      <w:r>
        <w:rPr>
          <w:spacing w:val="-11"/>
          <w:w w:val="105"/>
        </w:rPr>
        <w:t xml:space="preserve"> </w:t>
      </w:r>
      <w:r>
        <w:rPr>
          <w:spacing w:val="2"/>
          <w:w w:val="105"/>
        </w:rPr>
        <w:t>A</w:t>
      </w:r>
      <w:r>
        <w:rPr>
          <w:spacing w:val="1"/>
          <w:w w:val="105"/>
        </w:rPr>
        <w:t>us</w:t>
      </w:r>
      <w:r>
        <w:rPr>
          <w:w w:val="105"/>
        </w:rPr>
        <w:t>t</w:t>
      </w:r>
      <w:r>
        <w:rPr>
          <w:spacing w:val="1"/>
          <w:w w:val="105"/>
        </w:rPr>
        <w:t>ra</w:t>
      </w:r>
      <w:r>
        <w:rPr>
          <w:w w:val="105"/>
        </w:rPr>
        <w:t>li</w:t>
      </w:r>
      <w:r>
        <w:rPr>
          <w:spacing w:val="1"/>
          <w:w w:val="105"/>
        </w:rPr>
        <w:t>a</w:t>
      </w:r>
      <w:r>
        <w:rPr>
          <w:w w:val="105"/>
        </w:rPr>
        <w:t>,</w:t>
      </w:r>
      <w:r>
        <w:rPr>
          <w:spacing w:val="-12"/>
          <w:w w:val="105"/>
        </w:rPr>
        <w:t xml:space="preserve"> </w:t>
      </w:r>
      <w:r>
        <w:rPr>
          <w:w w:val="105"/>
        </w:rPr>
        <w:t>to</w:t>
      </w:r>
      <w:r>
        <w:rPr>
          <w:spacing w:val="-11"/>
          <w:w w:val="105"/>
        </w:rPr>
        <w:t xml:space="preserve"> </w:t>
      </w:r>
      <w:r>
        <w:rPr>
          <w:spacing w:val="1"/>
          <w:w w:val="105"/>
        </w:rPr>
        <w:t>2</w:t>
      </w:r>
      <w:r>
        <w:rPr>
          <w:w w:val="105"/>
        </w:rPr>
        <w:t>9</w:t>
      </w:r>
      <w:r>
        <w:rPr>
          <w:spacing w:val="-11"/>
          <w:w w:val="105"/>
        </w:rPr>
        <w:t xml:space="preserve"> </w:t>
      </w:r>
      <w:r>
        <w:rPr>
          <w:spacing w:val="2"/>
          <w:w w:val="105"/>
        </w:rPr>
        <w:t>F</w:t>
      </w:r>
      <w:r>
        <w:rPr>
          <w:spacing w:val="1"/>
          <w:w w:val="105"/>
        </w:rPr>
        <w:t>eb</w:t>
      </w:r>
      <w:r>
        <w:rPr>
          <w:w w:val="105"/>
        </w:rPr>
        <w:t>r</w:t>
      </w:r>
      <w:r>
        <w:rPr>
          <w:spacing w:val="1"/>
          <w:w w:val="105"/>
        </w:rPr>
        <w:t>ua</w:t>
      </w:r>
      <w:r>
        <w:rPr>
          <w:w w:val="105"/>
        </w:rPr>
        <w:t>ry</w:t>
      </w:r>
      <w:r>
        <w:rPr>
          <w:spacing w:val="-11"/>
          <w:w w:val="105"/>
        </w:rPr>
        <w:t xml:space="preserve"> </w:t>
      </w:r>
      <w:r>
        <w:rPr>
          <w:spacing w:val="1"/>
          <w:w w:val="105"/>
        </w:rPr>
        <w:t>2016</w:t>
      </w:r>
      <w:r>
        <w:rPr>
          <w:rStyle w:val="FootnoteReference"/>
          <w:spacing w:val="1"/>
          <w:w w:val="105"/>
        </w:rPr>
        <w:footnoteReference w:id="3"/>
      </w:r>
      <w:r>
        <w:rPr>
          <w:w w:val="105"/>
        </w:rPr>
        <w:t>.</w:t>
      </w:r>
    </w:p>
    <w:tbl>
      <w:tblPr>
        <w:tblW w:w="10256" w:type="dxa"/>
        <w:jc w:val="center"/>
        <w:tblLayout w:type="fixed"/>
        <w:tblCellMar>
          <w:left w:w="0" w:type="dxa"/>
          <w:right w:w="0" w:type="dxa"/>
        </w:tblCellMar>
        <w:tblLook w:val="0000" w:firstRow="0" w:lastRow="0" w:firstColumn="0" w:lastColumn="0" w:noHBand="0" w:noVBand="0"/>
      </w:tblPr>
      <w:tblGrid>
        <w:gridCol w:w="4093"/>
        <w:gridCol w:w="2126"/>
        <w:gridCol w:w="2127"/>
        <w:gridCol w:w="1910"/>
      </w:tblGrid>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ind w:firstLine="211"/>
            </w:pP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line="237" w:lineRule="exact"/>
              <w:ind w:firstLine="211"/>
            </w:pPr>
            <w:r>
              <w:rPr>
                <w:rFonts w:ascii="Calibri" w:hAnsi="Calibri" w:cs="Calibri"/>
                <w:b/>
                <w:bCs/>
                <w:spacing w:val="2"/>
                <w:w w:val="105"/>
                <w:sz w:val="19"/>
                <w:szCs w:val="19"/>
              </w:rPr>
              <w:t>N</w:t>
            </w:r>
            <w:r>
              <w:rPr>
                <w:rFonts w:ascii="Calibri" w:hAnsi="Calibri" w:cs="Calibri"/>
                <w:b/>
                <w:bCs/>
                <w:spacing w:val="1"/>
                <w:w w:val="105"/>
                <w:sz w:val="19"/>
                <w:szCs w:val="19"/>
              </w:rPr>
              <w:t>ort</w:t>
            </w:r>
            <w:r>
              <w:rPr>
                <w:rFonts w:ascii="Calibri" w:hAnsi="Calibri" w:cs="Calibri"/>
                <w:b/>
                <w:bCs/>
                <w:w w:val="105"/>
                <w:sz w:val="19"/>
                <w:szCs w:val="19"/>
              </w:rPr>
              <w:t>h</w:t>
            </w:r>
            <w:r>
              <w:rPr>
                <w:rFonts w:ascii="Calibri" w:hAnsi="Calibri" w:cs="Calibri"/>
                <w:b/>
                <w:bCs/>
                <w:spacing w:val="-12"/>
                <w:w w:val="105"/>
                <w:sz w:val="19"/>
                <w:szCs w:val="19"/>
              </w:rPr>
              <w:t xml:space="preserve"> </w:t>
            </w:r>
            <w:r>
              <w:rPr>
                <w:rFonts w:ascii="Calibri" w:hAnsi="Calibri" w:cs="Calibri"/>
                <w:b/>
                <w:bCs/>
                <w:spacing w:val="2"/>
                <w:w w:val="105"/>
                <w:sz w:val="19"/>
                <w:szCs w:val="19"/>
              </w:rPr>
              <w:t>Q</w:t>
            </w:r>
            <w:r>
              <w:rPr>
                <w:rFonts w:ascii="Calibri" w:hAnsi="Calibri" w:cs="Calibri"/>
                <w:b/>
                <w:bCs/>
                <w:w w:val="105"/>
                <w:sz w:val="19"/>
                <w:szCs w:val="19"/>
              </w:rPr>
              <w:t>ld</w:t>
            </w:r>
            <w:r>
              <w:rPr>
                <w:rFonts w:ascii="Calibri" w:hAnsi="Calibri" w:cs="Calibri"/>
                <w:b/>
                <w:bCs/>
                <w:spacing w:val="-11"/>
                <w:w w:val="105"/>
                <w:sz w:val="19"/>
                <w:szCs w:val="19"/>
              </w:rPr>
              <w:t xml:space="preserve"> </w:t>
            </w:r>
            <w:r>
              <w:rPr>
                <w:rFonts w:ascii="Calibri" w:hAnsi="Calibri" w:cs="Calibri"/>
                <w:b/>
                <w:bCs/>
                <w:w w:val="105"/>
                <w:sz w:val="19"/>
                <w:szCs w:val="19"/>
              </w:rPr>
              <w:t>(</w:t>
            </w:r>
            <w:r>
              <w:rPr>
                <w:rFonts w:ascii="Calibri" w:hAnsi="Calibri" w:cs="Calibri"/>
                <w:b/>
                <w:bCs/>
                <w:spacing w:val="1"/>
                <w:w w:val="105"/>
                <w:sz w:val="19"/>
                <w:szCs w:val="19"/>
              </w:rPr>
              <w:t>fou</w:t>
            </w:r>
            <w:r>
              <w:rPr>
                <w:rFonts w:ascii="Calibri" w:hAnsi="Calibri" w:cs="Calibri"/>
                <w:b/>
                <w:bCs/>
                <w:w w:val="105"/>
                <w:sz w:val="19"/>
                <w:szCs w:val="19"/>
              </w:rPr>
              <w:t>r</w:t>
            </w:r>
            <w:r>
              <w:rPr>
                <w:rFonts w:ascii="Calibri" w:hAnsi="Calibri" w:cs="Calibri"/>
                <w:b/>
                <w:bCs/>
                <w:spacing w:val="-11"/>
                <w:w w:val="105"/>
                <w:sz w:val="19"/>
                <w:szCs w:val="19"/>
              </w:rPr>
              <w:t xml:space="preserve"> </w:t>
            </w:r>
            <w:r>
              <w:rPr>
                <w:rFonts w:ascii="Calibri" w:hAnsi="Calibri" w:cs="Calibri"/>
                <w:b/>
                <w:bCs/>
                <w:spacing w:val="2"/>
                <w:w w:val="105"/>
                <w:sz w:val="19"/>
                <w:szCs w:val="19"/>
              </w:rPr>
              <w:t>HH</w:t>
            </w:r>
            <w:r>
              <w:rPr>
                <w:rFonts w:ascii="Calibri" w:hAnsi="Calibri" w:cs="Calibri"/>
                <w:b/>
                <w:bCs/>
                <w:spacing w:val="1"/>
                <w:w w:val="105"/>
                <w:sz w:val="19"/>
                <w:szCs w:val="19"/>
              </w:rPr>
              <w:t>Ss</w:t>
            </w:r>
            <w:r>
              <w:rPr>
                <w:rFonts w:ascii="Calibri" w:hAnsi="Calibri" w:cs="Calibri"/>
                <w:b/>
                <w:bCs/>
                <w:w w:val="105"/>
                <w:position w:val="10"/>
                <w:sz w:val="13"/>
                <w:szCs w:val="13"/>
              </w:rPr>
              <w:t>β</w:t>
            </w:r>
            <w:r>
              <w:rPr>
                <w:rFonts w:ascii="Calibri" w:hAnsi="Calibri" w:cs="Calibri"/>
                <w:b/>
                <w:bCs/>
                <w:w w:val="105"/>
                <w:sz w:val="19"/>
                <w:szCs w:val="19"/>
              </w:rPr>
              <w:t>)</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line="237" w:lineRule="exact"/>
              <w:ind w:firstLine="211"/>
            </w:pPr>
            <w:r>
              <w:rPr>
                <w:rFonts w:ascii="Calibri" w:hAnsi="Calibri" w:cs="Calibri"/>
                <w:b/>
                <w:bCs/>
                <w:spacing w:val="1"/>
                <w:sz w:val="19"/>
                <w:szCs w:val="19"/>
              </w:rPr>
              <w:t>N</w:t>
            </w:r>
            <w:r>
              <w:rPr>
                <w:rFonts w:ascii="Calibri" w:hAnsi="Calibri" w:cs="Calibri"/>
                <w:b/>
                <w:bCs/>
                <w:sz w:val="19"/>
                <w:szCs w:val="19"/>
              </w:rPr>
              <w:t>T</w:t>
            </w:r>
            <w:r>
              <w:rPr>
                <w:rFonts w:ascii="Calibri" w:hAnsi="Calibri" w:cs="Calibri"/>
                <w:b/>
                <w:bCs/>
                <w:spacing w:val="20"/>
                <w:sz w:val="19"/>
                <w:szCs w:val="19"/>
              </w:rPr>
              <w:t xml:space="preserve"> </w:t>
            </w:r>
            <w:r>
              <w:rPr>
                <w:rFonts w:ascii="Calibri" w:hAnsi="Calibri" w:cs="Calibri"/>
                <w:b/>
                <w:bCs/>
                <w:sz w:val="19"/>
                <w:szCs w:val="19"/>
              </w:rPr>
              <w:t>(four</w:t>
            </w:r>
            <w:r>
              <w:rPr>
                <w:rFonts w:ascii="Calibri" w:hAnsi="Calibri" w:cs="Calibri"/>
                <w:b/>
                <w:bCs/>
                <w:spacing w:val="20"/>
                <w:sz w:val="19"/>
                <w:szCs w:val="19"/>
              </w:rPr>
              <w:t xml:space="preserve"> </w:t>
            </w:r>
            <w:r>
              <w:rPr>
                <w:rFonts w:ascii="Calibri" w:hAnsi="Calibri" w:cs="Calibri"/>
                <w:b/>
                <w:bCs/>
                <w:sz w:val="19"/>
                <w:szCs w:val="19"/>
              </w:rPr>
              <w:t>regions</w:t>
            </w:r>
            <w:r>
              <w:rPr>
                <w:rFonts w:ascii="Calibri" w:hAnsi="Calibri" w:cs="Calibri"/>
                <w:b/>
                <w:bCs/>
                <w:spacing w:val="-2"/>
                <w:sz w:val="19"/>
                <w:szCs w:val="19"/>
              </w:rPr>
              <w:t xml:space="preserve"> </w:t>
            </w:r>
            <w:r>
              <w:rPr>
                <w:rFonts w:ascii="Calibri" w:hAnsi="Calibri" w:cs="Calibri"/>
                <w:b/>
                <w:bCs/>
                <w:position w:val="10"/>
                <w:sz w:val="13"/>
                <w:szCs w:val="13"/>
              </w:rPr>
              <w:t>β</w:t>
            </w:r>
            <w:r>
              <w:rPr>
                <w:rFonts w:ascii="Calibri" w:hAnsi="Calibri" w:cs="Calibri"/>
                <w:b/>
                <w:bCs/>
                <w:sz w:val="19"/>
                <w:szCs w:val="19"/>
              </w:rPr>
              <w:t>)</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before="5"/>
              <w:ind w:right="323" w:firstLine="211"/>
            </w:pPr>
            <w:r>
              <w:rPr>
                <w:rFonts w:ascii="Calibri" w:hAnsi="Calibri" w:cs="Calibri"/>
                <w:b/>
                <w:bCs/>
                <w:spacing w:val="2"/>
                <w:w w:val="105"/>
                <w:sz w:val="19"/>
                <w:szCs w:val="19"/>
              </w:rPr>
              <w:t>W</w:t>
            </w:r>
            <w:r>
              <w:rPr>
                <w:rFonts w:ascii="Calibri" w:hAnsi="Calibri" w:cs="Calibri"/>
                <w:b/>
                <w:bCs/>
                <w:w w:val="105"/>
                <w:sz w:val="19"/>
                <w:szCs w:val="19"/>
              </w:rPr>
              <w:t>A</w:t>
            </w:r>
            <w:r>
              <w:rPr>
                <w:rFonts w:ascii="Calibri" w:hAnsi="Calibri" w:cs="Calibri"/>
                <w:b/>
                <w:bCs/>
                <w:spacing w:val="-16"/>
                <w:w w:val="105"/>
                <w:sz w:val="19"/>
                <w:szCs w:val="19"/>
              </w:rPr>
              <w:t xml:space="preserve"> </w:t>
            </w:r>
            <w:r>
              <w:rPr>
                <w:rFonts w:ascii="Calibri" w:hAnsi="Calibri" w:cs="Calibri"/>
                <w:b/>
                <w:bCs/>
                <w:spacing w:val="1"/>
                <w:w w:val="105"/>
                <w:sz w:val="19"/>
                <w:szCs w:val="19"/>
              </w:rPr>
              <w:t>(K</w:t>
            </w:r>
            <w:r>
              <w:rPr>
                <w:rFonts w:ascii="Calibri" w:hAnsi="Calibri" w:cs="Calibri"/>
                <w:b/>
                <w:bCs/>
                <w:w w:val="105"/>
                <w:sz w:val="19"/>
                <w:szCs w:val="19"/>
              </w:rPr>
              <w:t>i</w:t>
            </w:r>
            <w:r>
              <w:rPr>
                <w:rFonts w:ascii="Calibri" w:hAnsi="Calibri" w:cs="Calibri"/>
                <w:b/>
                <w:bCs/>
                <w:spacing w:val="2"/>
                <w:w w:val="105"/>
                <w:sz w:val="19"/>
                <w:szCs w:val="19"/>
              </w:rPr>
              <w:t>m</w:t>
            </w:r>
            <w:r>
              <w:rPr>
                <w:rFonts w:ascii="Calibri" w:hAnsi="Calibri" w:cs="Calibri"/>
                <w:b/>
                <w:bCs/>
                <w:spacing w:val="1"/>
                <w:w w:val="105"/>
                <w:sz w:val="19"/>
                <w:szCs w:val="19"/>
              </w:rPr>
              <w:t>ber</w:t>
            </w:r>
            <w:r>
              <w:rPr>
                <w:rFonts w:ascii="Calibri" w:hAnsi="Calibri" w:cs="Calibri"/>
                <w:b/>
                <w:bCs/>
                <w:w w:val="105"/>
                <w:sz w:val="19"/>
                <w:szCs w:val="19"/>
              </w:rPr>
              <w:t>l</w:t>
            </w:r>
            <w:r>
              <w:rPr>
                <w:rFonts w:ascii="Calibri" w:hAnsi="Calibri" w:cs="Calibri"/>
                <w:b/>
                <w:bCs/>
                <w:spacing w:val="1"/>
                <w:w w:val="105"/>
                <w:sz w:val="19"/>
                <w:szCs w:val="19"/>
              </w:rPr>
              <w:t>e</w:t>
            </w:r>
            <w:r>
              <w:rPr>
                <w:rFonts w:ascii="Calibri" w:hAnsi="Calibri" w:cs="Calibri"/>
                <w:b/>
                <w:bCs/>
                <w:w w:val="105"/>
                <w:sz w:val="19"/>
                <w:szCs w:val="19"/>
              </w:rPr>
              <w:t>y</w:t>
            </w:r>
            <w:r>
              <w:rPr>
                <w:rFonts w:ascii="Calibri" w:hAnsi="Calibri" w:cs="Calibri"/>
                <w:b/>
                <w:bCs/>
                <w:spacing w:val="-16"/>
                <w:w w:val="105"/>
                <w:sz w:val="19"/>
                <w:szCs w:val="19"/>
              </w:rPr>
              <w:t xml:space="preserve"> </w:t>
            </w:r>
            <w:r>
              <w:rPr>
                <w:rFonts w:ascii="Calibri" w:hAnsi="Calibri" w:cs="Calibri"/>
                <w:b/>
                <w:bCs/>
                <w:spacing w:val="1"/>
                <w:w w:val="105"/>
                <w:sz w:val="19"/>
                <w:szCs w:val="19"/>
              </w:rPr>
              <w:t>reg</w:t>
            </w:r>
            <w:r>
              <w:rPr>
                <w:rFonts w:ascii="Calibri" w:hAnsi="Calibri" w:cs="Calibri"/>
                <w:b/>
                <w:bCs/>
                <w:w w:val="105"/>
                <w:sz w:val="19"/>
                <w:szCs w:val="19"/>
              </w:rPr>
              <w:t>i</w:t>
            </w:r>
            <w:r>
              <w:rPr>
                <w:rFonts w:ascii="Calibri" w:hAnsi="Calibri" w:cs="Calibri"/>
                <w:b/>
                <w:bCs/>
                <w:spacing w:val="1"/>
                <w:w w:val="105"/>
                <w:sz w:val="19"/>
                <w:szCs w:val="19"/>
              </w:rPr>
              <w:t>on</w:t>
            </w:r>
            <w:r>
              <w:rPr>
                <w:rFonts w:ascii="Calibri" w:hAnsi="Calibri" w:cs="Calibri"/>
                <w:b/>
                <w:bCs/>
                <w:w w:val="105"/>
                <w:sz w:val="19"/>
                <w:szCs w:val="19"/>
              </w:rPr>
              <w:t>)</w:t>
            </w:r>
          </w:p>
        </w:tc>
      </w:tr>
      <w:tr w:rsidR="00CC0F5A" w:rsidTr="002B6AFC">
        <w:trPr>
          <w:trHeight w:hRule="exact" w:val="254"/>
          <w:jc w:val="center"/>
        </w:trPr>
        <w:tc>
          <w:tcPr>
            <w:tcW w:w="10256" w:type="dxa"/>
            <w:gridSpan w:val="4"/>
            <w:tcBorders>
              <w:top w:val="single" w:sz="4" w:space="0" w:color="000000"/>
              <w:left w:val="single" w:sz="4" w:space="0" w:color="000000"/>
              <w:bottom w:val="single" w:sz="4" w:space="0" w:color="000000"/>
              <w:right w:val="single" w:sz="4" w:space="0" w:color="000000"/>
            </w:tcBorders>
            <w:shd w:val="clear" w:color="auto" w:fill="B8CCE4"/>
          </w:tcPr>
          <w:p w:rsidR="00CC0F5A" w:rsidRDefault="00CC0F5A" w:rsidP="006E3C8C">
            <w:pPr>
              <w:pStyle w:val="TableParagraph"/>
              <w:kinsoku w:val="0"/>
              <w:overflowPunct w:val="0"/>
              <w:spacing w:line="243" w:lineRule="exact"/>
              <w:ind w:right="323" w:firstLine="211"/>
            </w:pPr>
            <w:r>
              <w:rPr>
                <w:rFonts w:ascii="Lucida Sans Unicode" w:hAnsi="Lucida Sans Unicode" w:cs="Lucida Sans Unicode"/>
                <w:spacing w:val="1"/>
                <w:w w:val="85"/>
                <w:sz w:val="19"/>
                <w:szCs w:val="19"/>
              </w:rPr>
              <w:t>S</w:t>
            </w:r>
            <w:r>
              <w:rPr>
                <w:rFonts w:ascii="Lucida Sans Unicode" w:hAnsi="Lucida Sans Unicode" w:cs="Lucida Sans Unicode"/>
                <w:w w:val="85"/>
                <w:sz w:val="19"/>
                <w:szCs w:val="19"/>
              </w:rPr>
              <w:t>ituation</w:t>
            </w:r>
            <w:r>
              <w:rPr>
                <w:rFonts w:ascii="Lucida Sans Unicode" w:hAnsi="Lucida Sans Unicode" w:cs="Lucida Sans Unicode"/>
                <w:spacing w:val="-22"/>
                <w:w w:val="85"/>
                <w:sz w:val="19"/>
                <w:szCs w:val="19"/>
              </w:rPr>
              <w:t xml:space="preserve"> </w:t>
            </w:r>
            <w:r>
              <w:rPr>
                <w:rFonts w:ascii="Lucida Sans Unicode" w:hAnsi="Lucida Sans Unicode" w:cs="Lucida Sans Unicode"/>
                <w:w w:val="85"/>
                <w:sz w:val="19"/>
                <w:szCs w:val="19"/>
              </w:rPr>
              <w:t>t</w:t>
            </w:r>
            <w:r>
              <w:rPr>
                <w:rFonts w:ascii="Lucida Sans Unicode" w:hAnsi="Lucida Sans Unicode" w:cs="Lucida Sans Unicode"/>
                <w:spacing w:val="1"/>
                <w:w w:val="85"/>
                <w:sz w:val="19"/>
                <w:szCs w:val="19"/>
              </w:rPr>
              <w:t>o</w:t>
            </w:r>
            <w:r>
              <w:rPr>
                <w:rFonts w:ascii="Lucida Sans Unicode" w:hAnsi="Lucida Sans Unicode" w:cs="Lucida Sans Unicode"/>
                <w:w w:val="85"/>
                <w:sz w:val="19"/>
                <w:szCs w:val="19"/>
              </w:rPr>
              <w:t>-­‐date,</w:t>
            </w:r>
            <w:r>
              <w:rPr>
                <w:rFonts w:ascii="Lucida Sans Unicode" w:hAnsi="Lucida Sans Unicode" w:cs="Lucida Sans Unicode"/>
                <w:spacing w:val="-21"/>
                <w:w w:val="85"/>
                <w:sz w:val="19"/>
                <w:szCs w:val="19"/>
              </w:rPr>
              <w:t xml:space="preserve"> </w:t>
            </w:r>
            <w:r>
              <w:rPr>
                <w:rFonts w:ascii="Lucida Sans Unicode" w:hAnsi="Lucida Sans Unicode" w:cs="Lucida Sans Unicode"/>
                <w:spacing w:val="1"/>
                <w:w w:val="85"/>
                <w:sz w:val="19"/>
                <w:szCs w:val="19"/>
              </w:rPr>
              <w:t>2</w:t>
            </w:r>
            <w:r>
              <w:rPr>
                <w:rFonts w:ascii="Lucida Sans Unicode" w:hAnsi="Lucida Sans Unicode" w:cs="Lucida Sans Unicode"/>
                <w:w w:val="85"/>
                <w:sz w:val="19"/>
                <w:szCs w:val="19"/>
              </w:rPr>
              <w:t>9</w:t>
            </w:r>
            <w:r>
              <w:rPr>
                <w:rFonts w:ascii="Lucida Sans Unicode" w:hAnsi="Lucida Sans Unicode" w:cs="Lucida Sans Unicode"/>
                <w:spacing w:val="-21"/>
                <w:w w:val="85"/>
                <w:sz w:val="19"/>
                <w:szCs w:val="19"/>
              </w:rPr>
              <w:t xml:space="preserve"> </w:t>
            </w:r>
            <w:r>
              <w:rPr>
                <w:rFonts w:ascii="Lucida Sans Unicode" w:hAnsi="Lucida Sans Unicode" w:cs="Lucida Sans Unicode"/>
                <w:w w:val="85"/>
                <w:sz w:val="19"/>
                <w:szCs w:val="19"/>
              </w:rPr>
              <w:t>February</w:t>
            </w:r>
            <w:r>
              <w:rPr>
                <w:rFonts w:ascii="Lucida Sans Unicode" w:hAnsi="Lucida Sans Unicode" w:cs="Lucida Sans Unicode"/>
                <w:spacing w:val="-21"/>
                <w:w w:val="85"/>
                <w:sz w:val="19"/>
                <w:szCs w:val="19"/>
              </w:rPr>
              <w:t xml:space="preserve"> </w:t>
            </w:r>
            <w:r>
              <w:rPr>
                <w:rFonts w:ascii="Lucida Sans Unicode" w:hAnsi="Lucida Sans Unicode" w:cs="Lucida Sans Unicode"/>
                <w:spacing w:val="1"/>
                <w:w w:val="85"/>
                <w:sz w:val="19"/>
                <w:szCs w:val="19"/>
              </w:rPr>
              <w:t>201</w:t>
            </w:r>
            <w:r>
              <w:rPr>
                <w:rFonts w:ascii="Lucida Sans Unicode" w:hAnsi="Lucida Sans Unicode" w:cs="Lucida Sans Unicode"/>
                <w:w w:val="85"/>
                <w:sz w:val="19"/>
                <w:szCs w:val="19"/>
              </w:rPr>
              <w:t>6</w:t>
            </w:r>
          </w:p>
        </w:tc>
      </w:tr>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43" w:lineRule="exact"/>
              <w:ind w:firstLine="211"/>
            </w:pPr>
            <w:r>
              <w:rPr>
                <w:rFonts w:ascii="Lucida Sans Unicode" w:hAnsi="Lucida Sans Unicode" w:cs="Lucida Sans Unicode"/>
                <w:spacing w:val="1"/>
                <w:w w:val="85"/>
                <w:sz w:val="19"/>
                <w:szCs w:val="19"/>
              </w:rPr>
              <w:t>O</w:t>
            </w:r>
            <w:r>
              <w:rPr>
                <w:rFonts w:ascii="Lucida Sans Unicode" w:hAnsi="Lucida Sans Unicode" w:cs="Lucida Sans Unicode"/>
                <w:w w:val="85"/>
                <w:sz w:val="19"/>
                <w:szCs w:val="19"/>
              </w:rPr>
              <w:t>ut</w:t>
            </w:r>
            <w:r>
              <w:rPr>
                <w:rFonts w:ascii="Lucida Sans Unicode" w:hAnsi="Lucida Sans Unicode" w:cs="Lucida Sans Unicode"/>
                <w:spacing w:val="1"/>
                <w:w w:val="85"/>
                <w:sz w:val="19"/>
                <w:szCs w:val="19"/>
              </w:rPr>
              <w:t>b</w:t>
            </w:r>
            <w:r>
              <w:rPr>
                <w:rFonts w:ascii="Lucida Sans Unicode" w:hAnsi="Lucida Sans Unicode" w:cs="Lucida Sans Unicode"/>
                <w:w w:val="85"/>
                <w:sz w:val="19"/>
                <w:szCs w:val="19"/>
              </w:rPr>
              <w:t>reak</w:t>
            </w:r>
            <w:r>
              <w:rPr>
                <w:rFonts w:ascii="Lucida Sans Unicode" w:hAnsi="Lucida Sans Unicode" w:cs="Lucida Sans Unicode"/>
                <w:spacing w:val="49"/>
                <w:w w:val="85"/>
                <w:sz w:val="19"/>
                <w:szCs w:val="19"/>
              </w:rPr>
              <w:t xml:space="preserve"> </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o</w:t>
            </w:r>
            <w:r>
              <w:rPr>
                <w:rFonts w:ascii="Lucida Sans Unicode" w:hAnsi="Lucida Sans Unicode" w:cs="Lucida Sans Unicode"/>
                <w:spacing w:val="1"/>
                <w:w w:val="85"/>
                <w:sz w:val="19"/>
                <w:szCs w:val="19"/>
              </w:rPr>
              <w:t>mm</w:t>
            </w:r>
            <w:r>
              <w:rPr>
                <w:rFonts w:ascii="Lucida Sans Unicode" w:hAnsi="Lucida Sans Unicode" w:cs="Lucida Sans Unicode"/>
                <w:w w:val="85"/>
                <w:sz w:val="19"/>
                <w:szCs w:val="19"/>
              </w:rPr>
              <w:t>en</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e</w:t>
            </w:r>
            <w:r>
              <w:rPr>
                <w:rFonts w:ascii="Lucida Sans Unicode" w:hAnsi="Lucida Sans Unicode" w:cs="Lucida Sans Unicode"/>
                <w:spacing w:val="1"/>
                <w:w w:val="85"/>
                <w:sz w:val="19"/>
                <w:szCs w:val="19"/>
              </w:rPr>
              <w:t>m</w:t>
            </w:r>
            <w:r>
              <w:rPr>
                <w:rFonts w:ascii="Lucida Sans Unicode" w:hAnsi="Lucida Sans Unicode" w:cs="Lucida Sans Unicode"/>
                <w:w w:val="85"/>
                <w:sz w:val="19"/>
                <w:szCs w:val="19"/>
              </w:rPr>
              <w:t>ent</w:t>
            </w:r>
            <w:r>
              <w:rPr>
                <w:rFonts w:ascii="Lucida Sans Unicode" w:hAnsi="Lucida Sans Unicode" w:cs="Lucida Sans Unicode"/>
                <w:spacing w:val="49"/>
                <w:w w:val="85"/>
                <w:sz w:val="19"/>
                <w:szCs w:val="19"/>
              </w:rPr>
              <w:t xml:space="preserve"> </w:t>
            </w:r>
            <w:r>
              <w:rPr>
                <w:rFonts w:ascii="Lucida Sans Unicode" w:hAnsi="Lucida Sans Unicode" w:cs="Lucida Sans Unicode"/>
                <w:spacing w:val="1"/>
                <w:w w:val="85"/>
                <w:sz w:val="19"/>
                <w:szCs w:val="19"/>
              </w:rPr>
              <w:t>m</w:t>
            </w:r>
            <w:r>
              <w:rPr>
                <w:rFonts w:ascii="Lucida Sans Unicode" w:hAnsi="Lucida Sans Unicode" w:cs="Lucida Sans Unicode"/>
                <w:w w:val="85"/>
                <w:sz w:val="19"/>
                <w:szCs w:val="19"/>
              </w:rPr>
              <w:t>onth</w:t>
            </w:r>
            <w:r>
              <w:rPr>
                <w:rFonts w:ascii="Lucida Sans Unicode" w:hAnsi="Lucida Sans Unicode" w:cs="Lucida Sans Unicode"/>
                <w:spacing w:val="1"/>
                <w:w w:val="85"/>
                <w:sz w:val="19"/>
                <w:szCs w:val="19"/>
              </w:rPr>
              <w:t>/</w:t>
            </w:r>
            <w:proofErr w:type="spellStart"/>
            <w:r>
              <w:rPr>
                <w:rFonts w:ascii="Lucida Sans Unicode" w:hAnsi="Lucida Sans Unicode" w:cs="Lucida Sans Unicode"/>
                <w:w w:val="85"/>
                <w:sz w:val="19"/>
                <w:szCs w:val="19"/>
              </w:rPr>
              <w:t>yr</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line="243" w:lineRule="exact"/>
              <w:ind w:firstLine="211"/>
              <w:jc w:val="center"/>
            </w:pPr>
            <w:r>
              <w:rPr>
                <w:rFonts w:ascii="Lucida Sans Unicode" w:hAnsi="Lucida Sans Unicode" w:cs="Lucida Sans Unicode"/>
                <w:w w:val="85"/>
                <w:sz w:val="19"/>
                <w:szCs w:val="19"/>
              </w:rPr>
              <w:t>January</w:t>
            </w:r>
            <w:r>
              <w:rPr>
                <w:rFonts w:ascii="Lucida Sans Unicode" w:hAnsi="Lucida Sans Unicode" w:cs="Lucida Sans Unicode"/>
                <w:spacing w:val="23"/>
                <w:w w:val="85"/>
                <w:sz w:val="19"/>
                <w:szCs w:val="19"/>
              </w:rPr>
              <w:t xml:space="preserve"> </w:t>
            </w:r>
            <w:r>
              <w:rPr>
                <w:rFonts w:ascii="Lucida Sans Unicode" w:hAnsi="Lucida Sans Unicode" w:cs="Lucida Sans Unicode"/>
                <w:spacing w:val="1"/>
                <w:w w:val="85"/>
                <w:sz w:val="19"/>
                <w:szCs w:val="19"/>
              </w:rPr>
              <w:t>201</w:t>
            </w:r>
            <w:r>
              <w:rPr>
                <w:rFonts w:ascii="Lucida Sans Unicode" w:hAnsi="Lucida Sans Unicode" w:cs="Lucida Sans Unicode"/>
                <w:w w:val="85"/>
                <w:sz w:val="19"/>
                <w:szCs w:val="19"/>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line="243" w:lineRule="exact"/>
              <w:ind w:firstLine="211"/>
              <w:jc w:val="center"/>
            </w:pPr>
            <w:r>
              <w:rPr>
                <w:rFonts w:ascii="Lucida Sans Unicode" w:hAnsi="Lucida Sans Unicode" w:cs="Lucida Sans Unicode"/>
                <w:w w:val="85"/>
                <w:sz w:val="19"/>
                <w:szCs w:val="19"/>
              </w:rPr>
              <w:t>July</w:t>
            </w:r>
            <w:r>
              <w:rPr>
                <w:rFonts w:ascii="Lucida Sans Unicode" w:hAnsi="Lucida Sans Unicode" w:cs="Lucida Sans Unicode"/>
                <w:spacing w:val="3"/>
                <w:w w:val="85"/>
                <w:sz w:val="19"/>
                <w:szCs w:val="19"/>
              </w:rPr>
              <w:t xml:space="preserve"> </w:t>
            </w:r>
            <w:r>
              <w:rPr>
                <w:rFonts w:ascii="Lucida Sans Unicode" w:hAnsi="Lucida Sans Unicode" w:cs="Lucida Sans Unicode"/>
                <w:spacing w:val="1"/>
                <w:w w:val="85"/>
                <w:sz w:val="19"/>
                <w:szCs w:val="19"/>
              </w:rPr>
              <w:t>201</w:t>
            </w:r>
            <w:r>
              <w:rPr>
                <w:rFonts w:ascii="Lucida Sans Unicode" w:hAnsi="Lucida Sans Unicode" w:cs="Lucida Sans Unicode"/>
                <w:w w:val="85"/>
                <w:sz w:val="19"/>
                <w:szCs w:val="19"/>
              </w:rPr>
              <w:t>3</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line="243" w:lineRule="exact"/>
              <w:ind w:right="323" w:firstLine="211"/>
              <w:jc w:val="center"/>
            </w:pPr>
            <w:r>
              <w:rPr>
                <w:rFonts w:ascii="Lucida Sans Unicode" w:hAnsi="Lucida Sans Unicode" w:cs="Lucida Sans Unicode"/>
                <w:w w:val="85"/>
                <w:sz w:val="19"/>
                <w:szCs w:val="19"/>
              </w:rPr>
              <w:t>June</w:t>
            </w:r>
            <w:r>
              <w:rPr>
                <w:rFonts w:ascii="Lucida Sans Unicode" w:hAnsi="Lucida Sans Unicode" w:cs="Lucida Sans Unicode"/>
                <w:spacing w:val="12"/>
                <w:w w:val="85"/>
                <w:sz w:val="19"/>
                <w:szCs w:val="19"/>
              </w:rPr>
              <w:t xml:space="preserve"> </w:t>
            </w:r>
            <w:r>
              <w:rPr>
                <w:rFonts w:ascii="Lucida Sans Unicode" w:hAnsi="Lucida Sans Unicode" w:cs="Lucida Sans Unicode"/>
                <w:spacing w:val="1"/>
                <w:w w:val="85"/>
                <w:sz w:val="19"/>
                <w:szCs w:val="19"/>
              </w:rPr>
              <w:t>2014</w:t>
            </w:r>
          </w:p>
        </w:tc>
      </w:tr>
      <w:tr w:rsidR="00CC0F5A" w:rsidTr="002B6AFC">
        <w:trPr>
          <w:trHeight w:hRule="exact" w:val="250"/>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38" w:lineRule="exact"/>
              <w:ind w:firstLine="211"/>
            </w:pPr>
            <w:r>
              <w:rPr>
                <w:rFonts w:ascii="Lucida Sans Unicode" w:hAnsi="Lucida Sans Unicode" w:cs="Lucida Sans Unicode"/>
                <w:spacing w:val="1"/>
                <w:w w:val="85"/>
                <w:sz w:val="19"/>
                <w:szCs w:val="19"/>
              </w:rPr>
              <w:t>To</w:t>
            </w:r>
            <w:r>
              <w:rPr>
                <w:rFonts w:ascii="Lucida Sans Unicode" w:hAnsi="Lucida Sans Unicode" w:cs="Lucida Sans Unicode"/>
                <w:w w:val="85"/>
                <w:sz w:val="19"/>
                <w:szCs w:val="19"/>
              </w:rPr>
              <w:t>tal</w:t>
            </w:r>
            <w:r>
              <w:rPr>
                <w:rFonts w:ascii="Lucida Sans Unicode" w:hAnsi="Lucida Sans Unicode" w:cs="Lucida Sans Unicode"/>
                <w:spacing w:val="4"/>
                <w:w w:val="85"/>
                <w:sz w:val="19"/>
                <w:szCs w:val="19"/>
              </w:rPr>
              <w:t xml:space="preserve"> </w:t>
            </w:r>
            <w:r>
              <w:rPr>
                <w:rFonts w:ascii="Lucida Sans Unicode" w:hAnsi="Lucida Sans Unicode" w:cs="Lucida Sans Unicode"/>
                <w:w w:val="85"/>
                <w:sz w:val="19"/>
                <w:szCs w:val="19"/>
              </w:rPr>
              <w:t>nu</w:t>
            </w:r>
            <w:r>
              <w:rPr>
                <w:rFonts w:ascii="Lucida Sans Unicode" w:hAnsi="Lucida Sans Unicode" w:cs="Lucida Sans Unicode"/>
                <w:spacing w:val="1"/>
                <w:w w:val="85"/>
                <w:sz w:val="19"/>
                <w:szCs w:val="19"/>
              </w:rPr>
              <w:t>m</w:t>
            </w:r>
            <w:r>
              <w:rPr>
                <w:rFonts w:ascii="Lucida Sans Unicode" w:hAnsi="Lucida Sans Unicode" w:cs="Lucida Sans Unicode"/>
                <w:w w:val="85"/>
                <w:sz w:val="19"/>
                <w:szCs w:val="19"/>
              </w:rPr>
              <w:t>ber</w:t>
            </w:r>
            <w:r>
              <w:rPr>
                <w:rFonts w:ascii="Lucida Sans Unicode" w:hAnsi="Lucida Sans Unicode" w:cs="Lucida Sans Unicode"/>
                <w:spacing w:val="5"/>
                <w:w w:val="85"/>
                <w:sz w:val="19"/>
                <w:szCs w:val="19"/>
              </w:rPr>
              <w:t xml:space="preserve"> </w:t>
            </w:r>
            <w:r>
              <w:rPr>
                <w:rFonts w:ascii="Lucida Sans Unicode" w:hAnsi="Lucida Sans Unicode" w:cs="Lucida Sans Unicode"/>
                <w:w w:val="85"/>
                <w:sz w:val="19"/>
                <w:szCs w:val="19"/>
              </w:rPr>
              <w:t>of</w:t>
            </w:r>
            <w:r>
              <w:rPr>
                <w:rFonts w:ascii="Lucida Sans Unicode" w:hAnsi="Lucida Sans Unicode" w:cs="Lucida Sans Unicode"/>
                <w:spacing w:val="5"/>
                <w:w w:val="85"/>
                <w:sz w:val="19"/>
                <w:szCs w:val="19"/>
              </w:rPr>
              <w:t xml:space="preserve"> </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a</w:t>
            </w:r>
            <w:r>
              <w:rPr>
                <w:rFonts w:ascii="Lucida Sans Unicode" w:hAnsi="Lucida Sans Unicode" w:cs="Lucida Sans Unicode"/>
                <w:spacing w:val="1"/>
                <w:w w:val="85"/>
                <w:sz w:val="19"/>
                <w:szCs w:val="19"/>
              </w:rPr>
              <w:t>s</w:t>
            </w:r>
            <w:r>
              <w:rPr>
                <w:rFonts w:ascii="Lucida Sans Unicode" w:hAnsi="Lucida Sans Unicode" w:cs="Lucida Sans Unicode"/>
                <w:w w:val="85"/>
                <w:sz w:val="19"/>
                <w:szCs w:val="19"/>
              </w:rPr>
              <w:t>es</w:t>
            </w:r>
            <w:r>
              <w:rPr>
                <w:rFonts w:ascii="Lucida Sans Unicode" w:hAnsi="Lucida Sans Unicode" w:cs="Lucida Sans Unicode"/>
                <w:spacing w:val="-15"/>
                <w:w w:val="85"/>
                <w:sz w:val="19"/>
                <w:szCs w:val="19"/>
              </w:rPr>
              <w:t xml:space="preserve"> </w:t>
            </w:r>
            <w:r>
              <w:rPr>
                <w:rFonts w:ascii="Lucida Sans Unicode" w:hAnsi="Lucida Sans Unicode" w:cs="Lucida Sans Unicode"/>
                <w:w w:val="85"/>
                <w:position w:val="10"/>
                <w:sz w:val="13"/>
                <w:szCs w:val="13"/>
              </w:rPr>
              <w:t>α</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before="5"/>
              <w:ind w:right="5" w:firstLine="211"/>
              <w:jc w:val="center"/>
            </w:pPr>
            <w:r>
              <w:rPr>
                <w:rFonts w:ascii="Calibri" w:hAnsi="Calibri" w:cs="Calibri"/>
                <w:b/>
                <w:bCs/>
                <w:spacing w:val="1"/>
                <w:w w:val="105"/>
                <w:sz w:val="19"/>
                <w:szCs w:val="19"/>
              </w:rPr>
              <w:t>510</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before="5"/>
              <w:ind w:right="5" w:firstLine="211"/>
              <w:jc w:val="center"/>
            </w:pPr>
            <w:r>
              <w:rPr>
                <w:rFonts w:ascii="Calibri" w:hAnsi="Calibri" w:cs="Calibri"/>
                <w:b/>
                <w:bCs/>
                <w:spacing w:val="1"/>
                <w:w w:val="105"/>
                <w:sz w:val="19"/>
                <w:szCs w:val="19"/>
              </w:rPr>
              <w:t>277</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before="5"/>
              <w:ind w:right="323" w:firstLine="211"/>
              <w:jc w:val="center"/>
            </w:pPr>
            <w:r>
              <w:rPr>
                <w:rFonts w:ascii="Calibri" w:hAnsi="Calibri" w:cs="Calibri"/>
                <w:b/>
                <w:bCs/>
                <w:spacing w:val="1"/>
                <w:w w:val="105"/>
                <w:sz w:val="19"/>
                <w:szCs w:val="19"/>
              </w:rPr>
              <w:t>51</w:t>
            </w:r>
          </w:p>
        </w:tc>
      </w:tr>
      <w:tr w:rsidR="00CC0F5A" w:rsidTr="002B6AFC">
        <w:trPr>
          <w:trHeight w:hRule="exact" w:val="499"/>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before="19" w:line="197" w:lineRule="auto"/>
              <w:ind w:firstLine="211"/>
            </w:pPr>
            <w:r>
              <w:rPr>
                <w:rFonts w:ascii="Lucida Sans Unicode" w:hAnsi="Lucida Sans Unicode" w:cs="Lucida Sans Unicode"/>
                <w:w w:val="85"/>
                <w:sz w:val="19"/>
                <w:szCs w:val="19"/>
              </w:rPr>
              <w:t>Per</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ent</w:t>
            </w:r>
            <w:r>
              <w:rPr>
                <w:rFonts w:ascii="Lucida Sans Unicode" w:hAnsi="Lucida Sans Unicode" w:cs="Lucida Sans Unicode"/>
                <w:spacing w:val="-13"/>
                <w:w w:val="85"/>
                <w:sz w:val="19"/>
                <w:szCs w:val="19"/>
              </w:rPr>
              <w:t xml:space="preserve"> </w:t>
            </w:r>
            <w:r>
              <w:rPr>
                <w:rFonts w:ascii="Lucida Sans Unicode" w:hAnsi="Lucida Sans Unicode" w:cs="Lucida Sans Unicode"/>
                <w:spacing w:val="1"/>
                <w:w w:val="85"/>
                <w:sz w:val="19"/>
                <w:szCs w:val="19"/>
              </w:rPr>
              <w:t>case</w:t>
            </w:r>
            <w:r>
              <w:rPr>
                <w:rFonts w:ascii="Lucida Sans Unicode" w:hAnsi="Lucida Sans Unicode" w:cs="Lucida Sans Unicode"/>
                <w:w w:val="85"/>
                <w:sz w:val="19"/>
                <w:szCs w:val="19"/>
              </w:rPr>
              <w:t>s</w:t>
            </w:r>
            <w:r>
              <w:rPr>
                <w:rFonts w:ascii="Lucida Sans Unicode" w:hAnsi="Lucida Sans Unicode" w:cs="Lucida Sans Unicode"/>
                <w:spacing w:val="-13"/>
                <w:w w:val="85"/>
                <w:sz w:val="19"/>
                <w:szCs w:val="19"/>
              </w:rPr>
              <w:t xml:space="preserve"> </w:t>
            </w:r>
            <w:r>
              <w:rPr>
                <w:rFonts w:ascii="Lucida Sans Unicode" w:hAnsi="Lucida Sans Unicode" w:cs="Lucida Sans Unicode"/>
                <w:w w:val="85"/>
                <w:sz w:val="19"/>
                <w:szCs w:val="19"/>
              </w:rPr>
              <w:t>reported</w:t>
            </w:r>
            <w:r>
              <w:rPr>
                <w:rFonts w:ascii="Lucida Sans Unicode" w:hAnsi="Lucida Sans Unicode" w:cs="Lucida Sans Unicode"/>
                <w:spacing w:val="-12"/>
                <w:w w:val="85"/>
                <w:sz w:val="19"/>
                <w:szCs w:val="19"/>
              </w:rPr>
              <w:t xml:space="preserve"> </w:t>
            </w:r>
            <w:r>
              <w:rPr>
                <w:rFonts w:ascii="Lucida Sans Unicode" w:hAnsi="Lucida Sans Unicode" w:cs="Lucida Sans Unicode"/>
                <w:w w:val="85"/>
                <w:sz w:val="19"/>
                <w:szCs w:val="19"/>
              </w:rPr>
              <w:t>in</w:t>
            </w:r>
            <w:r>
              <w:rPr>
                <w:rFonts w:ascii="Lucida Sans Unicode" w:hAnsi="Lucida Sans Unicode" w:cs="Lucida Sans Unicode"/>
                <w:spacing w:val="-13"/>
                <w:w w:val="85"/>
                <w:sz w:val="19"/>
                <w:szCs w:val="19"/>
              </w:rPr>
              <w:t xml:space="preserve"> </w:t>
            </w:r>
            <w:r>
              <w:rPr>
                <w:rFonts w:ascii="Lucida Sans Unicode" w:hAnsi="Lucida Sans Unicode" w:cs="Lucida Sans Unicode"/>
                <w:spacing w:val="1"/>
                <w:w w:val="85"/>
                <w:sz w:val="19"/>
                <w:szCs w:val="19"/>
              </w:rPr>
              <w:t>15</w:t>
            </w:r>
            <w:r>
              <w:rPr>
                <w:rFonts w:ascii="Lucida Sans Unicode" w:hAnsi="Lucida Sans Unicode" w:cs="Lucida Sans Unicode"/>
                <w:w w:val="85"/>
                <w:sz w:val="19"/>
                <w:szCs w:val="19"/>
              </w:rPr>
              <w:t>-­‐</w:t>
            </w:r>
            <w:r>
              <w:rPr>
                <w:rFonts w:ascii="Lucida Sans Unicode" w:hAnsi="Lucida Sans Unicode" w:cs="Lucida Sans Unicode"/>
                <w:spacing w:val="1"/>
                <w:w w:val="85"/>
                <w:sz w:val="19"/>
                <w:szCs w:val="19"/>
              </w:rPr>
              <w:t>2</w:t>
            </w:r>
            <w:r>
              <w:rPr>
                <w:rFonts w:ascii="Lucida Sans Unicode" w:hAnsi="Lucida Sans Unicode" w:cs="Lucida Sans Unicode"/>
                <w:w w:val="85"/>
                <w:sz w:val="19"/>
                <w:szCs w:val="19"/>
              </w:rPr>
              <w:t>9</w:t>
            </w:r>
            <w:r>
              <w:rPr>
                <w:rFonts w:ascii="Lucida Sans Unicode" w:hAnsi="Lucida Sans Unicode" w:cs="Lucida Sans Unicode"/>
                <w:spacing w:val="-13"/>
                <w:w w:val="85"/>
                <w:sz w:val="19"/>
                <w:szCs w:val="19"/>
              </w:rPr>
              <w:t xml:space="preserve"> </w:t>
            </w:r>
            <w:r>
              <w:rPr>
                <w:rFonts w:ascii="Lucida Sans Unicode" w:hAnsi="Lucida Sans Unicode" w:cs="Lucida Sans Unicode"/>
                <w:w w:val="85"/>
                <w:sz w:val="19"/>
                <w:szCs w:val="19"/>
              </w:rPr>
              <w:t>year</w:t>
            </w:r>
            <w:r>
              <w:rPr>
                <w:rFonts w:ascii="Lucida Sans Unicode" w:hAnsi="Lucida Sans Unicode" w:cs="Lucida Sans Unicode"/>
                <w:spacing w:val="-13"/>
                <w:w w:val="85"/>
                <w:sz w:val="19"/>
                <w:szCs w:val="19"/>
              </w:rPr>
              <w:t xml:space="preserve"> </w:t>
            </w:r>
            <w:r>
              <w:rPr>
                <w:rFonts w:ascii="Lucida Sans Unicode" w:hAnsi="Lucida Sans Unicode" w:cs="Lucida Sans Unicode"/>
                <w:spacing w:val="1"/>
                <w:w w:val="85"/>
                <w:sz w:val="19"/>
                <w:szCs w:val="19"/>
              </w:rPr>
              <w:t>ag</w:t>
            </w:r>
            <w:r>
              <w:rPr>
                <w:rFonts w:ascii="Lucida Sans Unicode" w:hAnsi="Lucida Sans Unicode" w:cs="Lucida Sans Unicode"/>
                <w:w w:val="85"/>
                <w:sz w:val="19"/>
                <w:szCs w:val="19"/>
              </w:rPr>
              <w:t>e</w:t>
            </w:r>
            <w:r>
              <w:rPr>
                <w:rFonts w:ascii="Lucida Sans Unicode" w:hAnsi="Lucida Sans Unicode" w:cs="Lucida Sans Unicode"/>
                <w:w w:val="92"/>
                <w:sz w:val="19"/>
                <w:szCs w:val="19"/>
              </w:rPr>
              <w:t xml:space="preserve"> </w:t>
            </w:r>
            <w:r>
              <w:rPr>
                <w:rFonts w:ascii="Lucida Sans Unicode" w:hAnsi="Lucida Sans Unicode" w:cs="Lucida Sans Unicode"/>
                <w:spacing w:val="1"/>
                <w:w w:val="85"/>
                <w:sz w:val="19"/>
                <w:szCs w:val="19"/>
              </w:rPr>
              <w:t>gr</w:t>
            </w:r>
            <w:r>
              <w:rPr>
                <w:rFonts w:ascii="Lucida Sans Unicode" w:hAnsi="Lucida Sans Unicode" w:cs="Lucida Sans Unicode"/>
                <w:w w:val="85"/>
                <w:sz w:val="19"/>
                <w:szCs w:val="19"/>
              </w:rPr>
              <w:t>oup</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before="3" w:line="100" w:lineRule="exact"/>
              <w:ind w:firstLine="211"/>
              <w:jc w:val="center"/>
              <w:rPr>
                <w:sz w:val="10"/>
                <w:szCs w:val="10"/>
              </w:rPr>
            </w:pPr>
          </w:p>
          <w:p w:rsidR="00CC0F5A" w:rsidRDefault="00CC0F5A" w:rsidP="006E3C8C">
            <w:pPr>
              <w:pStyle w:val="TableParagraph"/>
              <w:kinsoku w:val="0"/>
              <w:overflowPunct w:val="0"/>
              <w:ind w:right="875" w:firstLine="211"/>
              <w:jc w:val="center"/>
            </w:pPr>
            <w:r>
              <w:rPr>
                <w:rFonts w:ascii="Lucida Sans Unicode" w:hAnsi="Lucida Sans Unicode" w:cs="Lucida Sans Unicode"/>
                <w:w w:val="90"/>
                <w:sz w:val="19"/>
                <w:szCs w:val="19"/>
              </w:rPr>
              <w:t>72%</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before="3" w:line="100" w:lineRule="exact"/>
              <w:ind w:firstLine="211"/>
              <w:jc w:val="center"/>
              <w:rPr>
                <w:sz w:val="10"/>
                <w:szCs w:val="10"/>
              </w:rPr>
            </w:pPr>
          </w:p>
          <w:p w:rsidR="00CC0F5A" w:rsidRDefault="00CC0F5A" w:rsidP="006E3C8C">
            <w:pPr>
              <w:pStyle w:val="TableParagraph"/>
              <w:kinsoku w:val="0"/>
              <w:overflowPunct w:val="0"/>
              <w:ind w:right="875" w:firstLine="211"/>
              <w:jc w:val="center"/>
            </w:pPr>
            <w:r>
              <w:rPr>
                <w:rFonts w:ascii="Lucida Sans Unicode" w:hAnsi="Lucida Sans Unicode" w:cs="Lucida Sans Unicode"/>
                <w:w w:val="90"/>
                <w:sz w:val="19"/>
                <w:szCs w:val="19"/>
              </w:rPr>
              <w:t>79%</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before="3" w:line="100" w:lineRule="exact"/>
              <w:ind w:right="323" w:firstLine="211"/>
              <w:jc w:val="center"/>
              <w:rPr>
                <w:sz w:val="10"/>
                <w:szCs w:val="10"/>
              </w:rPr>
            </w:pPr>
          </w:p>
          <w:p w:rsidR="00CC0F5A" w:rsidRDefault="00CC0F5A" w:rsidP="006E3C8C">
            <w:pPr>
              <w:pStyle w:val="TableParagraph"/>
              <w:kinsoku w:val="0"/>
              <w:overflowPunct w:val="0"/>
              <w:ind w:right="323" w:firstLine="211"/>
              <w:jc w:val="center"/>
            </w:pPr>
            <w:r>
              <w:rPr>
                <w:rFonts w:ascii="Lucida Sans Unicode" w:hAnsi="Lucida Sans Unicode" w:cs="Lucida Sans Unicode"/>
                <w:spacing w:val="1"/>
                <w:w w:val="90"/>
                <w:sz w:val="19"/>
                <w:szCs w:val="19"/>
              </w:rPr>
              <w:t>8</w:t>
            </w:r>
            <w:r>
              <w:rPr>
                <w:rFonts w:ascii="Lucida Sans Unicode" w:hAnsi="Lucida Sans Unicode" w:cs="Lucida Sans Unicode"/>
                <w:w w:val="90"/>
                <w:sz w:val="19"/>
                <w:szCs w:val="19"/>
              </w:rPr>
              <w:t>0%</w:t>
            </w:r>
          </w:p>
        </w:tc>
      </w:tr>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43" w:lineRule="exact"/>
              <w:ind w:firstLine="211"/>
            </w:pPr>
            <w:r>
              <w:rPr>
                <w:rFonts w:ascii="Lucida Sans Unicode" w:hAnsi="Lucida Sans Unicode" w:cs="Lucida Sans Unicode"/>
                <w:w w:val="95"/>
                <w:sz w:val="19"/>
                <w:szCs w:val="19"/>
              </w:rPr>
              <w:t>%</w:t>
            </w:r>
            <w:r>
              <w:rPr>
                <w:rFonts w:ascii="Lucida Sans Unicode" w:hAnsi="Lucida Sans Unicode" w:cs="Lucida Sans Unicode"/>
                <w:spacing w:val="-17"/>
                <w:w w:val="95"/>
                <w:sz w:val="19"/>
                <w:szCs w:val="19"/>
              </w:rPr>
              <w:t xml:space="preserve"> </w:t>
            </w:r>
            <w:r>
              <w:rPr>
                <w:rFonts w:ascii="Lucida Sans Unicode" w:hAnsi="Lucida Sans Unicode" w:cs="Lucida Sans Unicode"/>
                <w:spacing w:val="1"/>
                <w:w w:val="95"/>
                <w:sz w:val="19"/>
                <w:szCs w:val="19"/>
              </w:rPr>
              <w:t>Ma</w:t>
            </w:r>
            <w:r>
              <w:rPr>
                <w:rFonts w:ascii="Lucida Sans Unicode" w:hAnsi="Lucida Sans Unicode" w:cs="Lucida Sans Unicode"/>
                <w:w w:val="95"/>
                <w:sz w:val="19"/>
                <w:szCs w:val="19"/>
              </w:rPr>
              <w:t>le</w:t>
            </w:r>
            <w:r>
              <w:rPr>
                <w:rFonts w:ascii="Lucida Sans Unicode" w:hAnsi="Lucida Sans Unicode" w:cs="Lucida Sans Unicode"/>
                <w:spacing w:val="-17"/>
                <w:w w:val="95"/>
                <w:sz w:val="19"/>
                <w:szCs w:val="19"/>
              </w:rPr>
              <w:t xml:space="preserve"> </w:t>
            </w:r>
            <w:r>
              <w:rPr>
                <w:rFonts w:ascii="Lucida Sans Unicode" w:hAnsi="Lucida Sans Unicode" w:cs="Lucida Sans Unicode"/>
                <w:w w:val="95"/>
                <w:sz w:val="19"/>
                <w:szCs w:val="19"/>
              </w:rPr>
              <w:t>/</w:t>
            </w:r>
            <w:r>
              <w:rPr>
                <w:rFonts w:ascii="Lucida Sans Unicode" w:hAnsi="Lucida Sans Unicode" w:cs="Lucida Sans Unicode"/>
                <w:spacing w:val="-17"/>
                <w:w w:val="95"/>
                <w:sz w:val="19"/>
                <w:szCs w:val="19"/>
              </w:rPr>
              <w:t xml:space="preserve"> </w:t>
            </w:r>
            <w:r>
              <w:rPr>
                <w:rFonts w:ascii="Lucida Sans Unicode" w:hAnsi="Lucida Sans Unicode" w:cs="Lucida Sans Unicode"/>
                <w:w w:val="95"/>
                <w:sz w:val="19"/>
                <w:szCs w:val="19"/>
              </w:rPr>
              <w:t>%</w:t>
            </w:r>
            <w:r>
              <w:rPr>
                <w:rFonts w:ascii="Lucida Sans Unicode" w:hAnsi="Lucida Sans Unicode" w:cs="Lucida Sans Unicode"/>
                <w:spacing w:val="-16"/>
                <w:w w:val="95"/>
                <w:sz w:val="19"/>
                <w:szCs w:val="19"/>
              </w:rPr>
              <w:t xml:space="preserve"> </w:t>
            </w:r>
            <w:r>
              <w:rPr>
                <w:rFonts w:ascii="Lucida Sans Unicode" w:hAnsi="Lucida Sans Unicode" w:cs="Lucida Sans Unicode"/>
                <w:spacing w:val="1"/>
                <w:w w:val="95"/>
                <w:sz w:val="19"/>
                <w:szCs w:val="19"/>
              </w:rPr>
              <w:t>Fe</w:t>
            </w:r>
            <w:r>
              <w:rPr>
                <w:rFonts w:ascii="Lucida Sans Unicode" w:hAnsi="Lucida Sans Unicode" w:cs="Lucida Sans Unicode"/>
                <w:spacing w:val="2"/>
                <w:w w:val="95"/>
                <w:sz w:val="19"/>
                <w:szCs w:val="19"/>
              </w:rPr>
              <w:t>m</w:t>
            </w:r>
            <w:r>
              <w:rPr>
                <w:rFonts w:ascii="Lucida Sans Unicode" w:hAnsi="Lucida Sans Unicode" w:cs="Lucida Sans Unicode"/>
                <w:spacing w:val="1"/>
                <w:w w:val="95"/>
                <w:sz w:val="19"/>
                <w:szCs w:val="19"/>
              </w:rPr>
              <w:t>a</w:t>
            </w:r>
            <w:r>
              <w:rPr>
                <w:rFonts w:ascii="Lucida Sans Unicode" w:hAnsi="Lucida Sans Unicode" w:cs="Lucida Sans Unicode"/>
                <w:w w:val="95"/>
                <w:sz w:val="19"/>
                <w:szCs w:val="19"/>
              </w:rPr>
              <w:t>le</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line="243" w:lineRule="exact"/>
              <w:ind w:firstLine="211"/>
              <w:jc w:val="center"/>
            </w:pPr>
            <w:r>
              <w:rPr>
                <w:rFonts w:ascii="Lucida Sans Unicode" w:hAnsi="Lucida Sans Unicode" w:cs="Lucida Sans Unicode"/>
                <w:w w:val="90"/>
                <w:sz w:val="19"/>
                <w:szCs w:val="19"/>
              </w:rPr>
              <w:t>44%</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56%</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line="243" w:lineRule="exact"/>
              <w:ind w:firstLine="211"/>
              <w:jc w:val="center"/>
            </w:pPr>
            <w:r>
              <w:rPr>
                <w:rFonts w:ascii="Lucida Sans Unicode" w:hAnsi="Lucida Sans Unicode" w:cs="Lucida Sans Unicode"/>
                <w:w w:val="90"/>
                <w:sz w:val="19"/>
                <w:szCs w:val="19"/>
              </w:rPr>
              <w:t>50%</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50%</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line="243" w:lineRule="exact"/>
              <w:ind w:right="323" w:firstLine="211"/>
              <w:jc w:val="center"/>
            </w:pPr>
            <w:r>
              <w:rPr>
                <w:rFonts w:ascii="Lucida Sans Unicode" w:hAnsi="Lucida Sans Unicode" w:cs="Lucida Sans Unicode"/>
                <w:w w:val="90"/>
                <w:sz w:val="19"/>
                <w:szCs w:val="19"/>
              </w:rPr>
              <w:t>31%</w:t>
            </w:r>
            <w:r>
              <w:rPr>
                <w:rFonts w:ascii="Lucida Sans Unicode" w:hAnsi="Lucida Sans Unicode" w:cs="Lucida Sans Unicode"/>
                <w:spacing w:val="-2"/>
                <w:w w:val="90"/>
                <w:sz w:val="19"/>
                <w:szCs w:val="19"/>
              </w:rPr>
              <w:t xml:space="preserve"> </w:t>
            </w:r>
            <w:r>
              <w:rPr>
                <w:rFonts w:ascii="Lucida Sans Unicode" w:hAnsi="Lucida Sans Unicode" w:cs="Lucida Sans Unicode"/>
                <w:spacing w:val="1"/>
                <w:w w:val="90"/>
                <w:sz w:val="19"/>
                <w:szCs w:val="19"/>
              </w:rPr>
              <w:t>/</w:t>
            </w:r>
            <w:r>
              <w:rPr>
                <w:rFonts w:ascii="Lucida Sans Unicode" w:hAnsi="Lucida Sans Unicode" w:cs="Lucida Sans Unicode"/>
                <w:w w:val="90"/>
                <w:sz w:val="19"/>
                <w:szCs w:val="19"/>
              </w:rPr>
              <w:t>69%</w:t>
            </w:r>
          </w:p>
        </w:tc>
      </w:tr>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43" w:lineRule="exact"/>
              <w:ind w:firstLine="211"/>
            </w:pPr>
            <w:r>
              <w:rPr>
                <w:rFonts w:ascii="Lucida Sans Unicode" w:hAnsi="Lucida Sans Unicode" w:cs="Lucida Sans Unicode"/>
                <w:spacing w:val="1"/>
                <w:w w:val="85"/>
                <w:sz w:val="19"/>
                <w:szCs w:val="19"/>
              </w:rPr>
              <w:t>Cong</w:t>
            </w:r>
            <w:r>
              <w:rPr>
                <w:rFonts w:ascii="Lucida Sans Unicode" w:hAnsi="Lucida Sans Unicode" w:cs="Lucida Sans Unicode"/>
                <w:w w:val="85"/>
                <w:sz w:val="19"/>
                <w:szCs w:val="19"/>
              </w:rPr>
              <w:t>e</w:t>
            </w:r>
            <w:r>
              <w:rPr>
                <w:rFonts w:ascii="Lucida Sans Unicode" w:hAnsi="Lucida Sans Unicode" w:cs="Lucida Sans Unicode"/>
                <w:spacing w:val="1"/>
                <w:w w:val="85"/>
                <w:sz w:val="19"/>
                <w:szCs w:val="19"/>
              </w:rPr>
              <w:t>n</w:t>
            </w:r>
            <w:r>
              <w:rPr>
                <w:rFonts w:ascii="Lucida Sans Unicode" w:hAnsi="Lucida Sans Unicode" w:cs="Lucida Sans Unicode"/>
                <w:w w:val="85"/>
                <w:sz w:val="19"/>
                <w:szCs w:val="19"/>
              </w:rPr>
              <w:t>ital</w:t>
            </w:r>
            <w:r>
              <w:rPr>
                <w:rFonts w:ascii="Lucida Sans Unicode" w:hAnsi="Lucida Sans Unicode" w:cs="Lucida Sans Unicode"/>
                <w:spacing w:val="18"/>
                <w:w w:val="85"/>
                <w:sz w:val="19"/>
                <w:szCs w:val="19"/>
              </w:rPr>
              <w:t xml:space="preserve"> </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a</w:t>
            </w:r>
            <w:r>
              <w:rPr>
                <w:rFonts w:ascii="Lucida Sans Unicode" w:hAnsi="Lucida Sans Unicode" w:cs="Lucida Sans Unicode"/>
                <w:spacing w:val="1"/>
                <w:w w:val="85"/>
                <w:sz w:val="19"/>
                <w:szCs w:val="19"/>
              </w:rPr>
              <w:t>s</w:t>
            </w:r>
            <w:r>
              <w:rPr>
                <w:rFonts w:ascii="Lucida Sans Unicode" w:hAnsi="Lucida Sans Unicode" w:cs="Lucida Sans Unicode"/>
                <w:w w:val="85"/>
                <w:sz w:val="19"/>
                <w:szCs w:val="19"/>
              </w:rPr>
              <w:t>e</w:t>
            </w:r>
            <w:r>
              <w:rPr>
                <w:rFonts w:ascii="Lucida Sans Unicode" w:hAnsi="Lucida Sans Unicode" w:cs="Lucida Sans Unicode"/>
                <w:spacing w:val="1"/>
                <w:w w:val="85"/>
                <w:sz w:val="19"/>
                <w:szCs w:val="19"/>
              </w:rPr>
              <w:t>s</w:t>
            </w:r>
            <w:r>
              <w:rPr>
                <w:rFonts w:ascii="Lucida Sans Unicode" w:hAnsi="Lucida Sans Unicode" w:cs="Lucida Sans Unicode"/>
                <w:w w:val="85"/>
                <w:sz w:val="19"/>
                <w:szCs w:val="19"/>
              </w:rPr>
              <w:t>,</w:t>
            </w:r>
            <w:r>
              <w:rPr>
                <w:rFonts w:ascii="Lucida Sans Unicode" w:hAnsi="Lucida Sans Unicode" w:cs="Lucida Sans Unicode"/>
                <w:spacing w:val="19"/>
                <w:w w:val="85"/>
                <w:sz w:val="19"/>
                <w:szCs w:val="19"/>
              </w:rPr>
              <w:t xml:space="preserve"> </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onfir</w:t>
            </w:r>
            <w:r>
              <w:rPr>
                <w:rFonts w:ascii="Lucida Sans Unicode" w:hAnsi="Lucida Sans Unicode" w:cs="Lucida Sans Unicode"/>
                <w:spacing w:val="1"/>
                <w:w w:val="85"/>
                <w:sz w:val="19"/>
                <w:szCs w:val="19"/>
              </w:rPr>
              <w:t>m</w:t>
            </w:r>
            <w:r>
              <w:rPr>
                <w:rFonts w:ascii="Lucida Sans Unicode" w:hAnsi="Lucida Sans Unicode" w:cs="Lucida Sans Unicode"/>
                <w:w w:val="85"/>
                <w:sz w:val="19"/>
                <w:szCs w:val="19"/>
              </w:rPr>
              <w:t>ed</w:t>
            </w:r>
            <w:r>
              <w:rPr>
                <w:rFonts w:ascii="Lucida Sans Unicode" w:hAnsi="Lucida Sans Unicode" w:cs="Lucida Sans Unicode"/>
                <w:spacing w:val="20"/>
                <w:w w:val="85"/>
                <w:sz w:val="19"/>
                <w:szCs w:val="19"/>
              </w:rPr>
              <w:t xml:space="preserve"> </w:t>
            </w:r>
            <w:r>
              <w:rPr>
                <w:rFonts w:ascii="Lucida Sans Unicode" w:hAnsi="Lucida Sans Unicode" w:cs="Lucida Sans Unicode"/>
                <w:w w:val="85"/>
                <w:sz w:val="19"/>
                <w:szCs w:val="19"/>
              </w:rPr>
              <w:t>(proba</w:t>
            </w:r>
            <w:r>
              <w:rPr>
                <w:rFonts w:ascii="Lucida Sans Unicode" w:hAnsi="Lucida Sans Unicode" w:cs="Lucida Sans Unicode"/>
                <w:spacing w:val="1"/>
                <w:w w:val="85"/>
                <w:sz w:val="19"/>
                <w:szCs w:val="19"/>
              </w:rPr>
              <w:t>b</w:t>
            </w:r>
            <w:r>
              <w:rPr>
                <w:rFonts w:ascii="Lucida Sans Unicode" w:hAnsi="Lucida Sans Unicode" w:cs="Lucida Sans Unicode"/>
                <w:w w:val="85"/>
                <w:sz w:val="19"/>
                <w:szCs w:val="19"/>
              </w:rPr>
              <w:t>le)</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line="243" w:lineRule="exact"/>
              <w:ind w:right="4" w:firstLine="211"/>
              <w:jc w:val="center"/>
            </w:pPr>
            <w:r>
              <w:rPr>
                <w:rFonts w:ascii="Lucida Sans Unicode" w:hAnsi="Lucida Sans Unicode" w:cs="Lucida Sans Unicode"/>
                <w:w w:val="85"/>
                <w:sz w:val="19"/>
                <w:szCs w:val="19"/>
              </w:rPr>
              <w:t>3</w:t>
            </w:r>
            <w:r>
              <w:rPr>
                <w:rFonts w:ascii="Lucida Sans Unicode" w:hAnsi="Lucida Sans Unicode" w:cs="Lucida Sans Unicode"/>
                <w:spacing w:val="5"/>
                <w:w w:val="85"/>
                <w:sz w:val="19"/>
                <w:szCs w:val="19"/>
              </w:rPr>
              <w:t xml:space="preserve"> </w:t>
            </w:r>
            <w:r>
              <w:rPr>
                <w:rFonts w:ascii="Lucida Sans Unicode" w:hAnsi="Lucida Sans Unicode" w:cs="Lucida Sans Unicode"/>
                <w:w w:val="85"/>
                <w:sz w:val="19"/>
                <w:szCs w:val="19"/>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line="243" w:lineRule="exact"/>
              <w:ind w:right="4" w:firstLine="211"/>
              <w:jc w:val="center"/>
            </w:pPr>
            <w:r>
              <w:rPr>
                <w:rFonts w:ascii="Lucida Sans Unicode" w:hAnsi="Lucida Sans Unicode" w:cs="Lucida Sans Unicode"/>
                <w:w w:val="85"/>
                <w:sz w:val="19"/>
                <w:szCs w:val="19"/>
              </w:rPr>
              <w:t>1</w:t>
            </w:r>
            <w:r>
              <w:rPr>
                <w:rFonts w:ascii="Lucida Sans Unicode" w:hAnsi="Lucida Sans Unicode" w:cs="Lucida Sans Unicode"/>
                <w:spacing w:val="5"/>
                <w:w w:val="85"/>
                <w:sz w:val="19"/>
                <w:szCs w:val="19"/>
              </w:rPr>
              <w:t xml:space="preserve"> </w:t>
            </w:r>
            <w:r>
              <w:rPr>
                <w:rFonts w:ascii="Lucida Sans Unicode" w:hAnsi="Lucida Sans Unicode" w:cs="Lucida Sans Unicode"/>
                <w:w w:val="85"/>
                <w:sz w:val="19"/>
                <w:szCs w:val="19"/>
              </w:rPr>
              <w:t>(2)</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line="243" w:lineRule="exact"/>
              <w:ind w:right="323" w:firstLine="211"/>
              <w:jc w:val="center"/>
            </w:pPr>
            <w:r>
              <w:rPr>
                <w:rFonts w:ascii="Lucida Sans Unicode" w:hAnsi="Lucida Sans Unicode" w:cs="Lucida Sans Unicode"/>
                <w:w w:val="85"/>
                <w:sz w:val="19"/>
                <w:szCs w:val="19"/>
              </w:rPr>
              <w:t>0</w:t>
            </w:r>
            <w:r>
              <w:rPr>
                <w:rFonts w:ascii="Lucida Sans Unicode" w:hAnsi="Lucida Sans Unicode" w:cs="Lucida Sans Unicode"/>
                <w:spacing w:val="5"/>
                <w:w w:val="85"/>
                <w:sz w:val="19"/>
                <w:szCs w:val="19"/>
              </w:rPr>
              <w:t xml:space="preserve"> </w:t>
            </w:r>
            <w:r>
              <w:rPr>
                <w:rFonts w:ascii="Lucida Sans Unicode" w:hAnsi="Lucida Sans Unicode" w:cs="Lucida Sans Unicode"/>
                <w:w w:val="85"/>
                <w:sz w:val="19"/>
                <w:szCs w:val="19"/>
              </w:rPr>
              <w:t>(0)</w:t>
            </w:r>
          </w:p>
        </w:tc>
      </w:tr>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43" w:lineRule="exact"/>
              <w:ind w:firstLine="211"/>
            </w:pPr>
            <w:r>
              <w:rPr>
                <w:rFonts w:ascii="Lucida Sans Unicode" w:hAnsi="Lucida Sans Unicode" w:cs="Lucida Sans Unicode"/>
                <w:w w:val="85"/>
                <w:sz w:val="19"/>
                <w:szCs w:val="19"/>
              </w:rPr>
              <w:t>-­‐nu</w:t>
            </w:r>
            <w:r>
              <w:rPr>
                <w:rFonts w:ascii="Lucida Sans Unicode" w:hAnsi="Lucida Sans Unicode" w:cs="Lucida Sans Unicode"/>
                <w:spacing w:val="1"/>
                <w:w w:val="85"/>
                <w:sz w:val="19"/>
                <w:szCs w:val="19"/>
              </w:rPr>
              <w:t>m</w:t>
            </w:r>
            <w:r>
              <w:rPr>
                <w:rFonts w:ascii="Lucida Sans Unicode" w:hAnsi="Lucida Sans Unicode" w:cs="Lucida Sans Unicode"/>
                <w:w w:val="85"/>
                <w:sz w:val="19"/>
                <w:szCs w:val="19"/>
              </w:rPr>
              <w:t>ber</w:t>
            </w:r>
            <w:r>
              <w:rPr>
                <w:rFonts w:ascii="Lucida Sans Unicode" w:hAnsi="Lucida Sans Unicode" w:cs="Lucida Sans Unicode"/>
                <w:spacing w:val="-20"/>
                <w:w w:val="85"/>
                <w:sz w:val="19"/>
                <w:szCs w:val="19"/>
              </w:rPr>
              <w:t xml:space="preserve"> </w:t>
            </w:r>
            <w:r>
              <w:rPr>
                <w:rFonts w:ascii="Lucida Sans Unicode" w:hAnsi="Lucida Sans Unicode" w:cs="Lucida Sans Unicode"/>
                <w:w w:val="85"/>
                <w:sz w:val="19"/>
                <w:szCs w:val="19"/>
              </w:rPr>
              <w:t>of</w:t>
            </w:r>
            <w:r>
              <w:rPr>
                <w:rFonts w:ascii="Lucida Sans Unicode" w:hAnsi="Lucida Sans Unicode" w:cs="Lucida Sans Unicode"/>
                <w:spacing w:val="-19"/>
                <w:w w:val="85"/>
                <w:sz w:val="19"/>
                <w:szCs w:val="19"/>
              </w:rPr>
              <w:t xml:space="preserve"> </w:t>
            </w:r>
            <w:r>
              <w:rPr>
                <w:rFonts w:ascii="Lucida Sans Unicode" w:hAnsi="Lucida Sans Unicode" w:cs="Lucida Sans Unicode"/>
                <w:w w:val="85"/>
                <w:sz w:val="19"/>
                <w:szCs w:val="19"/>
              </w:rPr>
              <w:t>deat</w:t>
            </w:r>
            <w:r>
              <w:rPr>
                <w:rFonts w:ascii="Lucida Sans Unicode" w:hAnsi="Lucida Sans Unicode" w:cs="Lucida Sans Unicode"/>
                <w:spacing w:val="1"/>
                <w:w w:val="85"/>
                <w:sz w:val="19"/>
                <w:szCs w:val="19"/>
              </w:rPr>
              <w:t>h</w:t>
            </w:r>
            <w:r>
              <w:rPr>
                <w:rFonts w:ascii="Lucida Sans Unicode" w:hAnsi="Lucida Sans Unicode" w:cs="Lucida Sans Unicode"/>
                <w:w w:val="85"/>
                <w:sz w:val="19"/>
                <w:szCs w:val="19"/>
              </w:rPr>
              <w:t>s</w:t>
            </w:r>
            <w:r>
              <w:rPr>
                <w:rFonts w:ascii="Lucida Sans Unicode" w:hAnsi="Lucida Sans Unicode" w:cs="Lucida Sans Unicode"/>
                <w:spacing w:val="-20"/>
                <w:w w:val="85"/>
                <w:sz w:val="19"/>
                <w:szCs w:val="19"/>
              </w:rPr>
              <w:t xml:space="preserve"> </w:t>
            </w:r>
            <w:r>
              <w:rPr>
                <w:rFonts w:ascii="Lucida Sans Unicode" w:hAnsi="Lucida Sans Unicode" w:cs="Lucida Sans Unicode"/>
                <w:w w:val="85"/>
                <w:sz w:val="19"/>
                <w:szCs w:val="19"/>
              </w:rPr>
              <w:t>in</w:t>
            </w:r>
            <w:r>
              <w:rPr>
                <w:rFonts w:ascii="Lucida Sans Unicode" w:hAnsi="Lucida Sans Unicode" w:cs="Lucida Sans Unicode"/>
                <w:spacing w:val="-19"/>
                <w:w w:val="85"/>
                <w:sz w:val="19"/>
                <w:szCs w:val="19"/>
              </w:rPr>
              <w:t xml:space="preserve"> </w:t>
            </w:r>
            <w:r>
              <w:rPr>
                <w:rFonts w:ascii="Lucida Sans Unicode" w:hAnsi="Lucida Sans Unicode" w:cs="Lucida Sans Unicode"/>
                <w:spacing w:val="1"/>
                <w:w w:val="85"/>
                <w:sz w:val="19"/>
                <w:szCs w:val="19"/>
              </w:rPr>
              <w:t>cong</w:t>
            </w:r>
            <w:r>
              <w:rPr>
                <w:rFonts w:ascii="Lucida Sans Unicode" w:hAnsi="Lucida Sans Unicode" w:cs="Lucida Sans Unicode"/>
                <w:w w:val="85"/>
                <w:sz w:val="19"/>
                <w:szCs w:val="19"/>
              </w:rPr>
              <w:t>e</w:t>
            </w:r>
            <w:r>
              <w:rPr>
                <w:rFonts w:ascii="Lucida Sans Unicode" w:hAnsi="Lucida Sans Unicode" w:cs="Lucida Sans Unicode"/>
                <w:spacing w:val="1"/>
                <w:w w:val="85"/>
                <w:sz w:val="19"/>
                <w:szCs w:val="19"/>
              </w:rPr>
              <w:t>n</w:t>
            </w:r>
            <w:r>
              <w:rPr>
                <w:rFonts w:ascii="Lucida Sans Unicode" w:hAnsi="Lucida Sans Unicode" w:cs="Lucida Sans Unicode"/>
                <w:w w:val="85"/>
                <w:sz w:val="19"/>
                <w:szCs w:val="19"/>
              </w:rPr>
              <w:t>ital</w:t>
            </w:r>
            <w:r>
              <w:rPr>
                <w:rFonts w:ascii="Lucida Sans Unicode" w:hAnsi="Lucida Sans Unicode" w:cs="Lucida Sans Unicode"/>
                <w:spacing w:val="-20"/>
                <w:w w:val="85"/>
                <w:sz w:val="19"/>
                <w:szCs w:val="19"/>
              </w:rPr>
              <w:t xml:space="preserve"> </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a</w:t>
            </w:r>
            <w:r>
              <w:rPr>
                <w:rFonts w:ascii="Lucida Sans Unicode" w:hAnsi="Lucida Sans Unicode" w:cs="Lucida Sans Unicode"/>
                <w:spacing w:val="1"/>
                <w:w w:val="85"/>
                <w:sz w:val="19"/>
                <w:szCs w:val="19"/>
              </w:rPr>
              <w:t>s</w:t>
            </w:r>
            <w:r>
              <w:rPr>
                <w:rFonts w:ascii="Lucida Sans Unicode" w:hAnsi="Lucida Sans Unicode" w:cs="Lucida Sans Unicode"/>
                <w:w w:val="85"/>
                <w:sz w:val="19"/>
                <w:szCs w:val="19"/>
              </w:rPr>
              <w:t>es</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line="243" w:lineRule="exact"/>
              <w:ind w:right="990" w:firstLine="211"/>
              <w:jc w:val="center"/>
            </w:pPr>
            <w:r>
              <w:rPr>
                <w:rFonts w:ascii="Lucida Sans Unicode" w:hAnsi="Lucida Sans Unicode" w:cs="Lucida Sans Unicode"/>
                <w:w w:val="85"/>
                <w:sz w:val="19"/>
                <w:szCs w:val="19"/>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line="243" w:lineRule="exact"/>
              <w:ind w:right="990" w:firstLine="211"/>
              <w:jc w:val="center"/>
            </w:pPr>
            <w:r>
              <w:rPr>
                <w:rFonts w:ascii="Lucida Sans Unicode" w:hAnsi="Lucida Sans Unicode" w:cs="Lucida Sans Unicode"/>
                <w:w w:val="85"/>
                <w:sz w:val="19"/>
                <w:szCs w:val="19"/>
              </w:rPr>
              <w:t>0</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line="243" w:lineRule="exact"/>
              <w:ind w:right="323" w:firstLine="211"/>
              <w:jc w:val="center"/>
            </w:pPr>
            <w:r>
              <w:rPr>
                <w:rFonts w:ascii="Lucida Sans Unicode" w:hAnsi="Lucida Sans Unicode" w:cs="Lucida Sans Unicode"/>
                <w:w w:val="85"/>
                <w:sz w:val="19"/>
                <w:szCs w:val="19"/>
              </w:rPr>
              <w:t>0</w:t>
            </w:r>
          </w:p>
        </w:tc>
      </w:tr>
      <w:tr w:rsidR="00CC0F5A" w:rsidTr="002B6AFC">
        <w:trPr>
          <w:trHeight w:hRule="exact" w:val="254"/>
          <w:jc w:val="center"/>
        </w:trPr>
        <w:tc>
          <w:tcPr>
            <w:tcW w:w="10256" w:type="dxa"/>
            <w:gridSpan w:val="4"/>
            <w:tcBorders>
              <w:top w:val="single" w:sz="4" w:space="0" w:color="000000"/>
              <w:left w:val="single" w:sz="4" w:space="0" w:color="000000"/>
              <w:bottom w:val="single" w:sz="4" w:space="0" w:color="000000"/>
              <w:right w:val="single" w:sz="4" w:space="0" w:color="000000"/>
            </w:tcBorders>
            <w:shd w:val="clear" w:color="auto" w:fill="B8CCE4"/>
          </w:tcPr>
          <w:p w:rsidR="00CC0F5A" w:rsidRDefault="00CC0F5A" w:rsidP="006E3C8C">
            <w:pPr>
              <w:pStyle w:val="TableParagraph"/>
              <w:kinsoku w:val="0"/>
              <w:overflowPunct w:val="0"/>
              <w:spacing w:line="243" w:lineRule="exact"/>
              <w:ind w:right="323" w:firstLine="211"/>
            </w:pPr>
            <w:r>
              <w:rPr>
                <w:rFonts w:ascii="Lucida Sans Unicode" w:hAnsi="Lucida Sans Unicode" w:cs="Lucida Sans Unicode"/>
                <w:w w:val="80"/>
                <w:sz w:val="19"/>
                <w:szCs w:val="19"/>
              </w:rPr>
              <w:t>La</w:t>
            </w:r>
            <w:r>
              <w:rPr>
                <w:rFonts w:ascii="Lucida Sans Unicode" w:hAnsi="Lucida Sans Unicode" w:cs="Lucida Sans Unicode"/>
                <w:spacing w:val="1"/>
                <w:w w:val="80"/>
                <w:sz w:val="19"/>
                <w:szCs w:val="19"/>
              </w:rPr>
              <w:t>s</w:t>
            </w:r>
            <w:r>
              <w:rPr>
                <w:rFonts w:ascii="Lucida Sans Unicode" w:hAnsi="Lucida Sans Unicode" w:cs="Lucida Sans Unicode"/>
                <w:w w:val="80"/>
                <w:sz w:val="19"/>
                <w:szCs w:val="19"/>
              </w:rPr>
              <w:t>t</w:t>
            </w:r>
            <w:r>
              <w:rPr>
                <w:rFonts w:ascii="Lucida Sans Unicode" w:hAnsi="Lucida Sans Unicode" w:cs="Lucida Sans Unicode"/>
                <w:spacing w:val="11"/>
                <w:w w:val="80"/>
                <w:sz w:val="19"/>
                <w:szCs w:val="19"/>
              </w:rPr>
              <w:t xml:space="preserve"> </w:t>
            </w:r>
            <w:r>
              <w:rPr>
                <w:rFonts w:ascii="Lucida Sans Unicode" w:hAnsi="Lucida Sans Unicode" w:cs="Lucida Sans Unicode"/>
                <w:w w:val="80"/>
                <w:sz w:val="19"/>
                <w:szCs w:val="19"/>
              </w:rPr>
              <w:t>reporting</w:t>
            </w:r>
            <w:r>
              <w:rPr>
                <w:rFonts w:ascii="Lucida Sans Unicode" w:hAnsi="Lucida Sans Unicode" w:cs="Lucida Sans Unicode"/>
                <w:spacing w:val="12"/>
                <w:w w:val="80"/>
                <w:sz w:val="19"/>
                <w:szCs w:val="19"/>
              </w:rPr>
              <w:t xml:space="preserve"> </w:t>
            </w:r>
            <w:r>
              <w:rPr>
                <w:rFonts w:ascii="Lucida Sans Unicode" w:hAnsi="Lucida Sans Unicode" w:cs="Lucida Sans Unicode"/>
                <w:spacing w:val="1"/>
                <w:w w:val="80"/>
                <w:sz w:val="19"/>
                <w:szCs w:val="19"/>
              </w:rPr>
              <w:t>m</w:t>
            </w:r>
            <w:r>
              <w:rPr>
                <w:rFonts w:ascii="Lucida Sans Unicode" w:hAnsi="Lucida Sans Unicode" w:cs="Lucida Sans Unicode"/>
                <w:w w:val="80"/>
                <w:sz w:val="19"/>
                <w:szCs w:val="19"/>
              </w:rPr>
              <w:t>onth,</w:t>
            </w:r>
            <w:r>
              <w:rPr>
                <w:rFonts w:ascii="Lucida Sans Unicode" w:hAnsi="Lucida Sans Unicode" w:cs="Lucida Sans Unicode"/>
                <w:spacing w:val="11"/>
                <w:w w:val="80"/>
                <w:sz w:val="19"/>
                <w:szCs w:val="19"/>
              </w:rPr>
              <w:t xml:space="preserve"> </w:t>
            </w:r>
            <w:r>
              <w:rPr>
                <w:rFonts w:ascii="Lucida Sans Unicode" w:hAnsi="Lucida Sans Unicode" w:cs="Lucida Sans Unicode"/>
                <w:w w:val="80"/>
                <w:sz w:val="19"/>
                <w:szCs w:val="19"/>
              </w:rPr>
              <w:t>1-­</w:t>
            </w:r>
            <w:r>
              <w:rPr>
                <w:rFonts w:ascii="Lucida Sans Unicode" w:hAnsi="Lucida Sans Unicode" w:cs="Lucida Sans Unicode"/>
                <w:spacing w:val="3"/>
                <w:w w:val="80"/>
                <w:sz w:val="19"/>
                <w:szCs w:val="19"/>
              </w:rPr>
              <w:t>‐</w:t>
            </w:r>
            <w:r>
              <w:rPr>
                <w:rFonts w:ascii="Lucida Sans Unicode" w:hAnsi="Lucida Sans Unicode" w:cs="Lucida Sans Unicode"/>
                <w:w w:val="80"/>
                <w:sz w:val="19"/>
                <w:szCs w:val="19"/>
              </w:rPr>
              <w:t>29</w:t>
            </w:r>
            <w:r>
              <w:rPr>
                <w:rFonts w:ascii="Lucida Sans Unicode" w:hAnsi="Lucida Sans Unicode" w:cs="Lucida Sans Unicode"/>
                <w:spacing w:val="12"/>
                <w:w w:val="80"/>
                <w:sz w:val="19"/>
                <w:szCs w:val="19"/>
              </w:rPr>
              <w:t xml:space="preserve"> </w:t>
            </w:r>
            <w:r>
              <w:rPr>
                <w:rFonts w:ascii="Lucida Sans Unicode" w:hAnsi="Lucida Sans Unicode" w:cs="Lucida Sans Unicode"/>
                <w:w w:val="80"/>
                <w:sz w:val="19"/>
                <w:szCs w:val="19"/>
              </w:rPr>
              <w:t>Feb</w:t>
            </w:r>
            <w:r>
              <w:rPr>
                <w:rFonts w:ascii="Lucida Sans Unicode" w:hAnsi="Lucida Sans Unicode" w:cs="Lucida Sans Unicode"/>
                <w:spacing w:val="12"/>
                <w:w w:val="80"/>
                <w:sz w:val="19"/>
                <w:szCs w:val="19"/>
              </w:rPr>
              <w:t xml:space="preserve"> </w:t>
            </w:r>
            <w:r>
              <w:rPr>
                <w:rFonts w:ascii="Lucida Sans Unicode" w:hAnsi="Lucida Sans Unicode" w:cs="Lucida Sans Unicode"/>
                <w:w w:val="80"/>
                <w:sz w:val="19"/>
                <w:szCs w:val="19"/>
              </w:rPr>
              <w:t>2016</w:t>
            </w:r>
          </w:p>
        </w:tc>
      </w:tr>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43" w:lineRule="exact"/>
              <w:ind w:firstLine="211"/>
            </w:pPr>
            <w:r>
              <w:rPr>
                <w:rFonts w:ascii="Lucida Sans Unicode" w:hAnsi="Lucida Sans Unicode" w:cs="Lucida Sans Unicode"/>
                <w:w w:val="85"/>
                <w:sz w:val="19"/>
                <w:szCs w:val="19"/>
              </w:rPr>
              <w:t>Nu</w:t>
            </w:r>
            <w:r>
              <w:rPr>
                <w:rFonts w:ascii="Lucida Sans Unicode" w:hAnsi="Lucida Sans Unicode" w:cs="Lucida Sans Unicode"/>
                <w:spacing w:val="1"/>
                <w:w w:val="85"/>
                <w:sz w:val="19"/>
                <w:szCs w:val="19"/>
              </w:rPr>
              <w:t>mb</w:t>
            </w:r>
            <w:r>
              <w:rPr>
                <w:rFonts w:ascii="Lucida Sans Unicode" w:hAnsi="Lucida Sans Unicode" w:cs="Lucida Sans Unicode"/>
                <w:w w:val="85"/>
                <w:sz w:val="19"/>
                <w:szCs w:val="19"/>
              </w:rPr>
              <w:t>er</w:t>
            </w:r>
            <w:r>
              <w:rPr>
                <w:rFonts w:ascii="Lucida Sans Unicode" w:hAnsi="Lucida Sans Unicode" w:cs="Lucida Sans Unicode"/>
                <w:spacing w:val="6"/>
                <w:w w:val="85"/>
                <w:sz w:val="19"/>
                <w:szCs w:val="19"/>
              </w:rPr>
              <w:t xml:space="preserve"> </w:t>
            </w:r>
            <w:r>
              <w:rPr>
                <w:rFonts w:ascii="Lucida Sans Unicode" w:hAnsi="Lucida Sans Unicode" w:cs="Lucida Sans Unicode"/>
                <w:w w:val="85"/>
                <w:sz w:val="19"/>
                <w:szCs w:val="19"/>
              </w:rPr>
              <w:t>of</w:t>
            </w:r>
            <w:r>
              <w:rPr>
                <w:rFonts w:ascii="Lucida Sans Unicode" w:hAnsi="Lucida Sans Unicode" w:cs="Lucida Sans Unicode"/>
                <w:spacing w:val="7"/>
                <w:w w:val="85"/>
                <w:sz w:val="19"/>
                <w:szCs w:val="19"/>
              </w:rPr>
              <w:t xml:space="preserve"> </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a</w:t>
            </w:r>
            <w:r>
              <w:rPr>
                <w:rFonts w:ascii="Lucida Sans Unicode" w:hAnsi="Lucida Sans Unicode" w:cs="Lucida Sans Unicode"/>
                <w:spacing w:val="1"/>
                <w:w w:val="85"/>
                <w:sz w:val="19"/>
                <w:szCs w:val="19"/>
              </w:rPr>
              <w:t>s</w:t>
            </w:r>
            <w:r>
              <w:rPr>
                <w:rFonts w:ascii="Lucida Sans Unicode" w:hAnsi="Lucida Sans Unicode" w:cs="Lucida Sans Unicode"/>
                <w:w w:val="85"/>
                <w:sz w:val="19"/>
                <w:szCs w:val="19"/>
              </w:rPr>
              <w:t>es</w:t>
            </w:r>
            <w:r>
              <w:rPr>
                <w:rFonts w:ascii="Lucida Sans Unicode" w:hAnsi="Lucida Sans Unicode" w:cs="Lucida Sans Unicode"/>
                <w:spacing w:val="-14"/>
                <w:w w:val="85"/>
                <w:sz w:val="19"/>
                <w:szCs w:val="19"/>
              </w:rPr>
              <w:t xml:space="preserve"> </w:t>
            </w:r>
            <w:r>
              <w:rPr>
                <w:rFonts w:ascii="Lucida Sans Unicode" w:hAnsi="Lucida Sans Unicode" w:cs="Lucida Sans Unicode"/>
                <w:w w:val="85"/>
                <w:position w:val="10"/>
                <w:sz w:val="13"/>
                <w:szCs w:val="13"/>
              </w:rPr>
              <w:t>α</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before="5"/>
              <w:ind w:right="5" w:firstLine="211"/>
              <w:jc w:val="center"/>
            </w:pPr>
            <w:r>
              <w:rPr>
                <w:rFonts w:ascii="Calibri" w:hAnsi="Calibri" w:cs="Calibri"/>
                <w:b/>
                <w:bCs/>
                <w:spacing w:val="1"/>
                <w:w w:val="105"/>
                <w:sz w:val="19"/>
                <w:szCs w:val="19"/>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before="5"/>
              <w:ind w:right="990" w:firstLine="211"/>
              <w:jc w:val="center"/>
            </w:pPr>
            <w:r>
              <w:rPr>
                <w:rFonts w:ascii="Calibri" w:hAnsi="Calibri" w:cs="Calibri"/>
                <w:b/>
                <w:bCs/>
                <w:w w:val="105"/>
                <w:sz w:val="19"/>
                <w:szCs w:val="19"/>
              </w:rPr>
              <w:t>8</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before="5"/>
              <w:ind w:right="323" w:firstLine="211"/>
              <w:jc w:val="center"/>
            </w:pPr>
            <w:r>
              <w:rPr>
                <w:rFonts w:ascii="Calibri" w:hAnsi="Calibri" w:cs="Calibri"/>
                <w:b/>
                <w:bCs/>
                <w:w w:val="105"/>
                <w:sz w:val="19"/>
                <w:szCs w:val="19"/>
              </w:rPr>
              <w:t>2</w:t>
            </w:r>
          </w:p>
        </w:tc>
      </w:tr>
      <w:tr w:rsidR="00CC0F5A" w:rsidTr="002B6AFC">
        <w:trPr>
          <w:trHeight w:hRule="exact" w:val="499"/>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before="11" w:line="201" w:lineRule="auto"/>
              <w:ind w:firstLine="211"/>
            </w:pPr>
            <w:r>
              <w:rPr>
                <w:rFonts w:ascii="Lucida Sans Unicode" w:hAnsi="Lucida Sans Unicode" w:cs="Lucida Sans Unicode"/>
                <w:w w:val="85"/>
                <w:sz w:val="19"/>
                <w:szCs w:val="19"/>
              </w:rPr>
              <w:t>Per</w:t>
            </w:r>
            <w:r>
              <w:rPr>
                <w:rFonts w:ascii="Lucida Sans Unicode" w:hAnsi="Lucida Sans Unicode" w:cs="Lucida Sans Unicode"/>
                <w:spacing w:val="1"/>
                <w:w w:val="85"/>
                <w:sz w:val="19"/>
                <w:szCs w:val="19"/>
              </w:rPr>
              <w:t>c</w:t>
            </w:r>
            <w:r>
              <w:rPr>
                <w:rFonts w:ascii="Lucida Sans Unicode" w:hAnsi="Lucida Sans Unicode" w:cs="Lucida Sans Unicode"/>
                <w:w w:val="85"/>
                <w:sz w:val="19"/>
                <w:szCs w:val="19"/>
              </w:rPr>
              <w:t>ent</w:t>
            </w:r>
            <w:r>
              <w:rPr>
                <w:rFonts w:ascii="Lucida Sans Unicode" w:hAnsi="Lucida Sans Unicode" w:cs="Lucida Sans Unicode"/>
                <w:spacing w:val="-13"/>
                <w:w w:val="85"/>
                <w:sz w:val="19"/>
                <w:szCs w:val="19"/>
              </w:rPr>
              <w:t xml:space="preserve"> </w:t>
            </w:r>
            <w:r>
              <w:rPr>
                <w:rFonts w:ascii="Lucida Sans Unicode" w:hAnsi="Lucida Sans Unicode" w:cs="Lucida Sans Unicode"/>
                <w:spacing w:val="1"/>
                <w:w w:val="85"/>
                <w:sz w:val="19"/>
                <w:szCs w:val="19"/>
              </w:rPr>
              <w:t>case</w:t>
            </w:r>
            <w:r>
              <w:rPr>
                <w:rFonts w:ascii="Lucida Sans Unicode" w:hAnsi="Lucida Sans Unicode" w:cs="Lucida Sans Unicode"/>
                <w:w w:val="85"/>
                <w:sz w:val="19"/>
                <w:szCs w:val="19"/>
              </w:rPr>
              <w:t>s</w:t>
            </w:r>
            <w:r>
              <w:rPr>
                <w:rFonts w:ascii="Lucida Sans Unicode" w:hAnsi="Lucida Sans Unicode" w:cs="Lucida Sans Unicode"/>
                <w:spacing w:val="-13"/>
                <w:w w:val="85"/>
                <w:sz w:val="19"/>
                <w:szCs w:val="19"/>
              </w:rPr>
              <w:t xml:space="preserve"> </w:t>
            </w:r>
            <w:r>
              <w:rPr>
                <w:rFonts w:ascii="Lucida Sans Unicode" w:hAnsi="Lucida Sans Unicode" w:cs="Lucida Sans Unicode"/>
                <w:w w:val="85"/>
                <w:sz w:val="19"/>
                <w:szCs w:val="19"/>
              </w:rPr>
              <w:t>reported</w:t>
            </w:r>
            <w:r>
              <w:rPr>
                <w:rFonts w:ascii="Lucida Sans Unicode" w:hAnsi="Lucida Sans Unicode" w:cs="Lucida Sans Unicode"/>
                <w:spacing w:val="-12"/>
                <w:w w:val="85"/>
                <w:sz w:val="19"/>
                <w:szCs w:val="19"/>
              </w:rPr>
              <w:t xml:space="preserve"> </w:t>
            </w:r>
            <w:r>
              <w:rPr>
                <w:rFonts w:ascii="Lucida Sans Unicode" w:hAnsi="Lucida Sans Unicode" w:cs="Lucida Sans Unicode"/>
                <w:w w:val="85"/>
                <w:sz w:val="19"/>
                <w:szCs w:val="19"/>
              </w:rPr>
              <w:t>in</w:t>
            </w:r>
            <w:r>
              <w:rPr>
                <w:rFonts w:ascii="Lucida Sans Unicode" w:hAnsi="Lucida Sans Unicode" w:cs="Lucida Sans Unicode"/>
                <w:spacing w:val="-13"/>
                <w:w w:val="85"/>
                <w:sz w:val="19"/>
                <w:szCs w:val="19"/>
              </w:rPr>
              <w:t xml:space="preserve"> </w:t>
            </w:r>
            <w:r>
              <w:rPr>
                <w:rFonts w:ascii="Lucida Sans Unicode" w:hAnsi="Lucida Sans Unicode" w:cs="Lucida Sans Unicode"/>
                <w:spacing w:val="1"/>
                <w:w w:val="85"/>
                <w:sz w:val="19"/>
                <w:szCs w:val="19"/>
              </w:rPr>
              <w:t>15</w:t>
            </w:r>
            <w:r>
              <w:rPr>
                <w:rFonts w:ascii="Lucida Sans Unicode" w:hAnsi="Lucida Sans Unicode" w:cs="Lucida Sans Unicode"/>
                <w:w w:val="85"/>
                <w:sz w:val="19"/>
                <w:szCs w:val="19"/>
              </w:rPr>
              <w:t>-­‐</w:t>
            </w:r>
            <w:r>
              <w:rPr>
                <w:rFonts w:ascii="Lucida Sans Unicode" w:hAnsi="Lucida Sans Unicode" w:cs="Lucida Sans Unicode"/>
                <w:spacing w:val="1"/>
                <w:w w:val="85"/>
                <w:sz w:val="19"/>
                <w:szCs w:val="19"/>
              </w:rPr>
              <w:t>2</w:t>
            </w:r>
            <w:r>
              <w:rPr>
                <w:rFonts w:ascii="Lucida Sans Unicode" w:hAnsi="Lucida Sans Unicode" w:cs="Lucida Sans Unicode"/>
                <w:w w:val="85"/>
                <w:sz w:val="19"/>
                <w:szCs w:val="19"/>
              </w:rPr>
              <w:t>9</w:t>
            </w:r>
            <w:r>
              <w:rPr>
                <w:rFonts w:ascii="Lucida Sans Unicode" w:hAnsi="Lucida Sans Unicode" w:cs="Lucida Sans Unicode"/>
                <w:spacing w:val="-13"/>
                <w:w w:val="85"/>
                <w:sz w:val="19"/>
                <w:szCs w:val="19"/>
              </w:rPr>
              <w:t xml:space="preserve"> </w:t>
            </w:r>
            <w:r>
              <w:rPr>
                <w:rFonts w:ascii="Lucida Sans Unicode" w:hAnsi="Lucida Sans Unicode" w:cs="Lucida Sans Unicode"/>
                <w:w w:val="85"/>
                <w:sz w:val="19"/>
                <w:szCs w:val="19"/>
              </w:rPr>
              <w:t>year</w:t>
            </w:r>
            <w:r>
              <w:rPr>
                <w:rFonts w:ascii="Lucida Sans Unicode" w:hAnsi="Lucida Sans Unicode" w:cs="Lucida Sans Unicode"/>
                <w:spacing w:val="-13"/>
                <w:w w:val="85"/>
                <w:sz w:val="19"/>
                <w:szCs w:val="19"/>
              </w:rPr>
              <w:t xml:space="preserve"> </w:t>
            </w:r>
            <w:r>
              <w:rPr>
                <w:rFonts w:ascii="Lucida Sans Unicode" w:hAnsi="Lucida Sans Unicode" w:cs="Lucida Sans Unicode"/>
                <w:spacing w:val="1"/>
                <w:w w:val="85"/>
                <w:sz w:val="19"/>
                <w:szCs w:val="19"/>
              </w:rPr>
              <w:t>ag</w:t>
            </w:r>
            <w:r>
              <w:rPr>
                <w:rFonts w:ascii="Lucida Sans Unicode" w:hAnsi="Lucida Sans Unicode" w:cs="Lucida Sans Unicode"/>
                <w:w w:val="85"/>
                <w:sz w:val="19"/>
                <w:szCs w:val="19"/>
              </w:rPr>
              <w:t>e</w:t>
            </w:r>
            <w:r>
              <w:rPr>
                <w:rFonts w:ascii="Lucida Sans Unicode" w:hAnsi="Lucida Sans Unicode" w:cs="Lucida Sans Unicode"/>
                <w:w w:val="92"/>
                <w:sz w:val="19"/>
                <w:szCs w:val="19"/>
              </w:rPr>
              <w:t xml:space="preserve"> </w:t>
            </w:r>
            <w:r>
              <w:rPr>
                <w:rFonts w:ascii="Lucida Sans Unicode" w:hAnsi="Lucida Sans Unicode" w:cs="Lucida Sans Unicode"/>
                <w:spacing w:val="1"/>
                <w:w w:val="85"/>
                <w:sz w:val="19"/>
                <w:szCs w:val="19"/>
              </w:rPr>
              <w:t>gr</w:t>
            </w:r>
            <w:r>
              <w:rPr>
                <w:rFonts w:ascii="Lucida Sans Unicode" w:hAnsi="Lucida Sans Unicode" w:cs="Lucida Sans Unicode"/>
                <w:w w:val="85"/>
                <w:sz w:val="19"/>
                <w:szCs w:val="19"/>
              </w:rPr>
              <w:t>oup</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before="3" w:line="100" w:lineRule="exact"/>
              <w:ind w:firstLine="211"/>
              <w:jc w:val="center"/>
              <w:rPr>
                <w:sz w:val="10"/>
                <w:szCs w:val="10"/>
              </w:rPr>
            </w:pPr>
          </w:p>
          <w:p w:rsidR="00CC0F5A" w:rsidRDefault="00CC0F5A" w:rsidP="006E3C8C">
            <w:pPr>
              <w:pStyle w:val="TableParagraph"/>
              <w:kinsoku w:val="0"/>
              <w:overflowPunct w:val="0"/>
              <w:ind w:right="875" w:firstLine="211"/>
              <w:jc w:val="center"/>
            </w:pPr>
            <w:r>
              <w:rPr>
                <w:rFonts w:ascii="Lucida Sans Unicode" w:hAnsi="Lucida Sans Unicode" w:cs="Lucida Sans Unicode"/>
                <w:w w:val="90"/>
                <w:sz w:val="19"/>
                <w:szCs w:val="19"/>
              </w:rPr>
              <w:t>54%</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before="3" w:line="100" w:lineRule="exact"/>
              <w:ind w:firstLine="211"/>
              <w:jc w:val="center"/>
              <w:rPr>
                <w:sz w:val="10"/>
                <w:szCs w:val="10"/>
              </w:rPr>
            </w:pPr>
          </w:p>
          <w:p w:rsidR="00CC0F5A" w:rsidRDefault="00CC0F5A" w:rsidP="006E3C8C">
            <w:pPr>
              <w:pStyle w:val="TableParagraph"/>
              <w:kinsoku w:val="0"/>
              <w:overflowPunct w:val="0"/>
              <w:ind w:right="875" w:firstLine="211"/>
              <w:jc w:val="center"/>
            </w:pPr>
            <w:r>
              <w:rPr>
                <w:rFonts w:ascii="Lucida Sans Unicode" w:hAnsi="Lucida Sans Unicode" w:cs="Lucida Sans Unicode"/>
                <w:w w:val="90"/>
                <w:sz w:val="19"/>
                <w:szCs w:val="19"/>
              </w:rPr>
              <w:t>50%</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before="3" w:line="100" w:lineRule="exact"/>
              <w:ind w:right="323" w:firstLine="211"/>
              <w:jc w:val="center"/>
              <w:rPr>
                <w:sz w:val="10"/>
                <w:szCs w:val="10"/>
              </w:rPr>
            </w:pPr>
          </w:p>
          <w:p w:rsidR="00CC0F5A" w:rsidRDefault="00CC0F5A" w:rsidP="006E3C8C">
            <w:pPr>
              <w:pStyle w:val="TableParagraph"/>
              <w:kinsoku w:val="0"/>
              <w:overflowPunct w:val="0"/>
              <w:ind w:right="323" w:firstLine="211"/>
              <w:jc w:val="center"/>
            </w:pPr>
            <w:r>
              <w:rPr>
                <w:rFonts w:ascii="Lucida Sans Unicode" w:hAnsi="Lucida Sans Unicode" w:cs="Lucida Sans Unicode"/>
                <w:w w:val="90"/>
                <w:sz w:val="19"/>
                <w:szCs w:val="19"/>
              </w:rPr>
              <w:t>50%</w:t>
            </w:r>
          </w:p>
        </w:tc>
      </w:tr>
      <w:tr w:rsidR="00CC0F5A" w:rsidTr="002B6AFC">
        <w:trPr>
          <w:trHeight w:hRule="exact" w:val="254"/>
          <w:jc w:val="center"/>
        </w:trPr>
        <w:tc>
          <w:tcPr>
            <w:tcW w:w="4093" w:type="dxa"/>
            <w:tcBorders>
              <w:top w:val="single" w:sz="4" w:space="0" w:color="000000"/>
              <w:left w:val="single" w:sz="4" w:space="0" w:color="000000"/>
              <w:bottom w:val="single" w:sz="4" w:space="0" w:color="000000"/>
              <w:right w:val="single" w:sz="4" w:space="0" w:color="000000"/>
            </w:tcBorders>
          </w:tcPr>
          <w:p w:rsidR="00CC0F5A" w:rsidRDefault="00CC0F5A" w:rsidP="006E3C8C">
            <w:pPr>
              <w:pStyle w:val="TableParagraph"/>
              <w:kinsoku w:val="0"/>
              <w:overflowPunct w:val="0"/>
              <w:spacing w:line="243" w:lineRule="exact"/>
              <w:ind w:firstLine="211"/>
            </w:pPr>
            <w:r>
              <w:rPr>
                <w:rFonts w:ascii="Lucida Sans Unicode" w:hAnsi="Lucida Sans Unicode" w:cs="Lucida Sans Unicode"/>
                <w:w w:val="95"/>
                <w:sz w:val="19"/>
                <w:szCs w:val="19"/>
              </w:rPr>
              <w:t>%</w:t>
            </w:r>
            <w:r>
              <w:rPr>
                <w:rFonts w:ascii="Lucida Sans Unicode" w:hAnsi="Lucida Sans Unicode" w:cs="Lucida Sans Unicode"/>
                <w:spacing w:val="-17"/>
                <w:w w:val="95"/>
                <w:sz w:val="19"/>
                <w:szCs w:val="19"/>
              </w:rPr>
              <w:t xml:space="preserve"> </w:t>
            </w:r>
            <w:r>
              <w:rPr>
                <w:rFonts w:ascii="Lucida Sans Unicode" w:hAnsi="Lucida Sans Unicode" w:cs="Lucida Sans Unicode"/>
                <w:spacing w:val="1"/>
                <w:w w:val="95"/>
                <w:sz w:val="19"/>
                <w:szCs w:val="19"/>
              </w:rPr>
              <w:t>Ma</w:t>
            </w:r>
            <w:r>
              <w:rPr>
                <w:rFonts w:ascii="Lucida Sans Unicode" w:hAnsi="Lucida Sans Unicode" w:cs="Lucida Sans Unicode"/>
                <w:w w:val="95"/>
                <w:sz w:val="19"/>
                <w:szCs w:val="19"/>
              </w:rPr>
              <w:t>le</w:t>
            </w:r>
            <w:r>
              <w:rPr>
                <w:rFonts w:ascii="Lucida Sans Unicode" w:hAnsi="Lucida Sans Unicode" w:cs="Lucida Sans Unicode"/>
                <w:spacing w:val="-17"/>
                <w:w w:val="95"/>
                <w:sz w:val="19"/>
                <w:szCs w:val="19"/>
              </w:rPr>
              <w:t xml:space="preserve"> </w:t>
            </w:r>
            <w:r>
              <w:rPr>
                <w:rFonts w:ascii="Lucida Sans Unicode" w:hAnsi="Lucida Sans Unicode" w:cs="Lucida Sans Unicode"/>
                <w:w w:val="95"/>
                <w:sz w:val="19"/>
                <w:szCs w:val="19"/>
              </w:rPr>
              <w:t>/</w:t>
            </w:r>
            <w:r>
              <w:rPr>
                <w:rFonts w:ascii="Lucida Sans Unicode" w:hAnsi="Lucida Sans Unicode" w:cs="Lucida Sans Unicode"/>
                <w:spacing w:val="-17"/>
                <w:w w:val="95"/>
                <w:sz w:val="19"/>
                <w:szCs w:val="19"/>
              </w:rPr>
              <w:t xml:space="preserve"> </w:t>
            </w:r>
            <w:r>
              <w:rPr>
                <w:rFonts w:ascii="Lucida Sans Unicode" w:hAnsi="Lucida Sans Unicode" w:cs="Lucida Sans Unicode"/>
                <w:w w:val="95"/>
                <w:sz w:val="19"/>
                <w:szCs w:val="19"/>
              </w:rPr>
              <w:t>%</w:t>
            </w:r>
            <w:r>
              <w:rPr>
                <w:rFonts w:ascii="Lucida Sans Unicode" w:hAnsi="Lucida Sans Unicode" w:cs="Lucida Sans Unicode"/>
                <w:spacing w:val="-16"/>
                <w:w w:val="95"/>
                <w:sz w:val="19"/>
                <w:szCs w:val="19"/>
              </w:rPr>
              <w:t xml:space="preserve"> </w:t>
            </w:r>
            <w:r>
              <w:rPr>
                <w:rFonts w:ascii="Lucida Sans Unicode" w:hAnsi="Lucida Sans Unicode" w:cs="Lucida Sans Unicode"/>
                <w:spacing w:val="1"/>
                <w:w w:val="95"/>
                <w:sz w:val="19"/>
                <w:szCs w:val="19"/>
              </w:rPr>
              <w:t>Fe</w:t>
            </w:r>
            <w:r>
              <w:rPr>
                <w:rFonts w:ascii="Lucida Sans Unicode" w:hAnsi="Lucida Sans Unicode" w:cs="Lucida Sans Unicode"/>
                <w:spacing w:val="2"/>
                <w:w w:val="95"/>
                <w:sz w:val="19"/>
                <w:szCs w:val="19"/>
              </w:rPr>
              <w:t>m</w:t>
            </w:r>
            <w:r>
              <w:rPr>
                <w:rFonts w:ascii="Lucida Sans Unicode" w:hAnsi="Lucida Sans Unicode" w:cs="Lucida Sans Unicode"/>
                <w:spacing w:val="1"/>
                <w:w w:val="95"/>
                <w:sz w:val="19"/>
                <w:szCs w:val="19"/>
              </w:rPr>
              <w:t>a</w:t>
            </w:r>
            <w:r>
              <w:rPr>
                <w:rFonts w:ascii="Lucida Sans Unicode" w:hAnsi="Lucida Sans Unicode" w:cs="Lucida Sans Unicode"/>
                <w:w w:val="95"/>
                <w:sz w:val="19"/>
                <w:szCs w:val="19"/>
              </w:rPr>
              <w:t>le</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cPr>
          <w:p w:rsidR="00CC0F5A" w:rsidRDefault="00CC0F5A" w:rsidP="006E3C8C">
            <w:pPr>
              <w:pStyle w:val="TableParagraph"/>
              <w:kinsoku w:val="0"/>
              <w:overflowPunct w:val="0"/>
              <w:spacing w:line="243" w:lineRule="exact"/>
              <w:ind w:firstLine="211"/>
              <w:jc w:val="center"/>
            </w:pPr>
            <w:r>
              <w:rPr>
                <w:rFonts w:ascii="Lucida Sans Unicode" w:hAnsi="Lucida Sans Unicode" w:cs="Lucida Sans Unicode"/>
                <w:w w:val="90"/>
                <w:sz w:val="19"/>
                <w:szCs w:val="19"/>
              </w:rPr>
              <w:t>54%</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46%</w:t>
            </w: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CC0F5A" w:rsidRDefault="00CC0F5A" w:rsidP="006E3C8C">
            <w:pPr>
              <w:pStyle w:val="TableParagraph"/>
              <w:kinsoku w:val="0"/>
              <w:overflowPunct w:val="0"/>
              <w:spacing w:line="243" w:lineRule="exact"/>
              <w:ind w:firstLine="211"/>
              <w:jc w:val="center"/>
            </w:pPr>
            <w:r>
              <w:rPr>
                <w:rFonts w:ascii="Lucida Sans Unicode" w:hAnsi="Lucida Sans Unicode" w:cs="Lucida Sans Unicode"/>
                <w:w w:val="90"/>
                <w:sz w:val="19"/>
                <w:szCs w:val="19"/>
              </w:rPr>
              <w:t>50%</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50%</w:t>
            </w:r>
          </w:p>
        </w:tc>
        <w:tc>
          <w:tcPr>
            <w:tcW w:w="1910" w:type="dxa"/>
            <w:tcBorders>
              <w:top w:val="single" w:sz="4" w:space="0" w:color="000000"/>
              <w:left w:val="single" w:sz="4" w:space="0" w:color="000000"/>
              <w:bottom w:val="single" w:sz="4" w:space="0" w:color="000000"/>
              <w:right w:val="single" w:sz="4" w:space="0" w:color="000000"/>
            </w:tcBorders>
            <w:shd w:val="clear" w:color="auto" w:fill="E5DFEC"/>
          </w:tcPr>
          <w:p w:rsidR="00CC0F5A" w:rsidRDefault="00CC0F5A" w:rsidP="006E3C8C">
            <w:pPr>
              <w:pStyle w:val="TableParagraph"/>
              <w:kinsoku w:val="0"/>
              <w:overflowPunct w:val="0"/>
              <w:spacing w:line="243" w:lineRule="exact"/>
              <w:ind w:right="323" w:firstLine="211"/>
              <w:jc w:val="center"/>
            </w:pPr>
            <w:r>
              <w:rPr>
                <w:rFonts w:ascii="Lucida Sans Unicode" w:hAnsi="Lucida Sans Unicode" w:cs="Lucida Sans Unicode"/>
                <w:spacing w:val="1"/>
                <w:w w:val="90"/>
                <w:sz w:val="19"/>
                <w:szCs w:val="19"/>
              </w:rPr>
              <w:t>100</w:t>
            </w:r>
            <w:r>
              <w:rPr>
                <w:rFonts w:ascii="Lucida Sans Unicode" w:hAnsi="Lucida Sans Unicode" w:cs="Lucida Sans Unicode"/>
                <w:w w:val="90"/>
                <w:sz w:val="19"/>
                <w:szCs w:val="19"/>
              </w:rPr>
              <w:t>%</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w:t>
            </w:r>
            <w:r>
              <w:rPr>
                <w:rFonts w:ascii="Lucida Sans Unicode" w:hAnsi="Lucida Sans Unicode" w:cs="Lucida Sans Unicode"/>
                <w:spacing w:val="-5"/>
                <w:w w:val="90"/>
                <w:sz w:val="19"/>
                <w:szCs w:val="19"/>
              </w:rPr>
              <w:t xml:space="preserve"> </w:t>
            </w:r>
            <w:r>
              <w:rPr>
                <w:rFonts w:ascii="Lucida Sans Unicode" w:hAnsi="Lucida Sans Unicode" w:cs="Lucida Sans Unicode"/>
                <w:w w:val="90"/>
                <w:sz w:val="19"/>
                <w:szCs w:val="19"/>
              </w:rPr>
              <w:t>0%</w:t>
            </w:r>
          </w:p>
        </w:tc>
      </w:tr>
    </w:tbl>
    <w:p w:rsidR="00CC0F5A" w:rsidRDefault="00CC0F5A" w:rsidP="006721AA">
      <w:pPr>
        <w:rPr>
          <w:w w:val="95"/>
        </w:rPr>
      </w:pPr>
    </w:p>
    <w:p w:rsidR="00CC0F5A" w:rsidRPr="00884C9E" w:rsidRDefault="00CC0F5A" w:rsidP="002B6AFC">
      <w:pPr>
        <w:ind w:left="-567"/>
        <w:rPr>
          <w:rFonts w:ascii="Arial" w:hAnsi="Arial" w:cs="Arial"/>
          <w:b/>
          <w:bCs/>
        </w:rPr>
      </w:pPr>
      <w:r w:rsidRPr="00884C9E">
        <w:rPr>
          <w:rFonts w:ascii="Arial" w:hAnsi="Arial" w:cs="Arial"/>
          <w:b/>
          <w:w w:val="95"/>
        </w:rPr>
        <w:t>Activities</w:t>
      </w:r>
      <w:r w:rsidRPr="00884C9E">
        <w:rPr>
          <w:rFonts w:ascii="Arial" w:hAnsi="Arial" w:cs="Arial"/>
          <w:b/>
          <w:spacing w:val="45"/>
          <w:w w:val="95"/>
        </w:rPr>
        <w:t xml:space="preserve"> </w:t>
      </w:r>
      <w:r w:rsidRPr="00884C9E">
        <w:rPr>
          <w:rFonts w:ascii="Arial" w:hAnsi="Arial" w:cs="Arial"/>
          <w:b/>
          <w:w w:val="95"/>
        </w:rPr>
        <w:t>of</w:t>
      </w:r>
      <w:r w:rsidRPr="00884C9E">
        <w:rPr>
          <w:rFonts w:ascii="Arial" w:hAnsi="Arial" w:cs="Arial"/>
          <w:b/>
          <w:spacing w:val="43"/>
          <w:w w:val="95"/>
        </w:rPr>
        <w:t xml:space="preserve"> </w:t>
      </w:r>
      <w:r w:rsidRPr="00884C9E">
        <w:rPr>
          <w:rFonts w:ascii="Arial" w:hAnsi="Arial" w:cs="Arial"/>
          <w:b/>
          <w:w w:val="95"/>
        </w:rPr>
        <w:t>the</w:t>
      </w:r>
      <w:r w:rsidRPr="00884C9E">
        <w:rPr>
          <w:rFonts w:ascii="Arial" w:hAnsi="Arial" w:cs="Arial"/>
          <w:b/>
          <w:spacing w:val="45"/>
          <w:w w:val="95"/>
        </w:rPr>
        <w:t xml:space="preserve"> </w:t>
      </w:r>
      <w:r w:rsidRPr="00884C9E">
        <w:rPr>
          <w:rFonts w:ascii="Arial" w:hAnsi="Arial" w:cs="Arial"/>
          <w:b/>
          <w:spacing w:val="2"/>
          <w:w w:val="95"/>
        </w:rPr>
        <w:t>M</w:t>
      </w:r>
      <w:r w:rsidRPr="00884C9E">
        <w:rPr>
          <w:rFonts w:ascii="Arial" w:hAnsi="Arial" w:cs="Arial"/>
          <w:b/>
          <w:w w:val="95"/>
        </w:rPr>
        <w:t>JS</w:t>
      </w:r>
      <w:r w:rsidRPr="00884C9E">
        <w:rPr>
          <w:rFonts w:ascii="Arial" w:hAnsi="Arial" w:cs="Arial"/>
          <w:b/>
          <w:spacing w:val="2"/>
          <w:w w:val="95"/>
        </w:rPr>
        <w:t>O</w:t>
      </w:r>
      <w:r w:rsidRPr="00884C9E">
        <w:rPr>
          <w:rFonts w:ascii="Arial" w:hAnsi="Arial" w:cs="Arial"/>
          <w:b/>
          <w:w w:val="95"/>
        </w:rPr>
        <w:t>,</w:t>
      </w:r>
      <w:r w:rsidRPr="00884C9E">
        <w:rPr>
          <w:rFonts w:ascii="Arial" w:hAnsi="Arial" w:cs="Arial"/>
          <w:b/>
          <w:spacing w:val="42"/>
          <w:w w:val="95"/>
        </w:rPr>
        <w:t xml:space="preserve"> </w:t>
      </w:r>
      <w:r w:rsidRPr="00884C9E">
        <w:rPr>
          <w:rFonts w:ascii="Arial" w:hAnsi="Arial" w:cs="Arial"/>
          <w:b/>
          <w:w w:val="95"/>
        </w:rPr>
        <w:t>1</w:t>
      </w:r>
      <w:r w:rsidRPr="00884C9E">
        <w:rPr>
          <w:rFonts w:ascii="Arial" w:hAnsi="Arial" w:cs="Arial"/>
          <w:b/>
          <w:spacing w:val="44"/>
          <w:w w:val="95"/>
        </w:rPr>
        <w:t xml:space="preserve"> </w:t>
      </w:r>
      <w:r w:rsidRPr="00884C9E">
        <w:rPr>
          <w:rFonts w:ascii="Arial" w:hAnsi="Arial" w:cs="Arial"/>
          <w:b/>
          <w:spacing w:val="2"/>
          <w:w w:val="95"/>
        </w:rPr>
        <w:t>O</w:t>
      </w:r>
      <w:r w:rsidRPr="00884C9E">
        <w:rPr>
          <w:rFonts w:ascii="Arial" w:hAnsi="Arial" w:cs="Arial"/>
          <w:b/>
          <w:w w:val="95"/>
        </w:rPr>
        <w:t>ctober</w:t>
      </w:r>
      <w:r w:rsidRPr="00884C9E">
        <w:rPr>
          <w:rFonts w:ascii="Arial" w:hAnsi="Arial" w:cs="Arial"/>
          <w:b/>
          <w:spacing w:val="43"/>
          <w:w w:val="95"/>
        </w:rPr>
        <w:t xml:space="preserve"> </w:t>
      </w:r>
      <w:r w:rsidRPr="00884C9E">
        <w:rPr>
          <w:rFonts w:ascii="Arial" w:hAnsi="Arial" w:cs="Arial"/>
          <w:b/>
          <w:w w:val="95"/>
        </w:rPr>
        <w:t>2015</w:t>
      </w:r>
      <w:r w:rsidRPr="00884C9E">
        <w:rPr>
          <w:rFonts w:ascii="Arial" w:hAnsi="Arial" w:cs="Arial"/>
          <w:b/>
          <w:spacing w:val="44"/>
          <w:w w:val="95"/>
        </w:rPr>
        <w:t xml:space="preserve"> </w:t>
      </w:r>
      <w:proofErr w:type="gramStart"/>
      <w:r w:rsidRPr="00884C9E">
        <w:rPr>
          <w:rFonts w:ascii="Arial" w:hAnsi="Arial" w:cs="Arial"/>
          <w:b/>
          <w:w w:val="80"/>
        </w:rPr>
        <w:t xml:space="preserve">­ </w:t>
      </w:r>
      <w:r w:rsidRPr="00884C9E">
        <w:rPr>
          <w:rFonts w:ascii="Arial" w:hAnsi="Arial" w:cs="Arial"/>
          <w:b/>
          <w:spacing w:val="5"/>
          <w:w w:val="80"/>
        </w:rPr>
        <w:t xml:space="preserve"> </w:t>
      </w:r>
      <w:r w:rsidRPr="00884C9E">
        <w:rPr>
          <w:rFonts w:ascii="Arial" w:hAnsi="Arial" w:cs="Arial"/>
          <w:b/>
          <w:w w:val="95"/>
        </w:rPr>
        <w:t>29</w:t>
      </w:r>
      <w:proofErr w:type="gramEnd"/>
      <w:r w:rsidRPr="00884C9E">
        <w:rPr>
          <w:rFonts w:ascii="Arial" w:hAnsi="Arial" w:cs="Arial"/>
          <w:b/>
          <w:spacing w:val="44"/>
          <w:w w:val="95"/>
        </w:rPr>
        <w:t xml:space="preserve"> </w:t>
      </w:r>
      <w:r w:rsidRPr="00884C9E">
        <w:rPr>
          <w:rFonts w:ascii="Arial" w:hAnsi="Arial" w:cs="Arial"/>
          <w:b/>
          <w:w w:val="95"/>
        </w:rPr>
        <w:t>February</w:t>
      </w:r>
      <w:r w:rsidRPr="00884C9E">
        <w:rPr>
          <w:rFonts w:ascii="Arial" w:hAnsi="Arial" w:cs="Arial"/>
          <w:b/>
          <w:spacing w:val="43"/>
          <w:w w:val="95"/>
        </w:rPr>
        <w:t xml:space="preserve"> </w:t>
      </w:r>
      <w:r w:rsidRPr="00884C9E">
        <w:rPr>
          <w:rFonts w:ascii="Arial" w:hAnsi="Arial" w:cs="Arial"/>
          <w:b/>
          <w:w w:val="95"/>
        </w:rPr>
        <w:t>2016:</w:t>
      </w:r>
    </w:p>
    <w:p w:rsidR="00CC0F5A" w:rsidRPr="00DA71E2" w:rsidRDefault="00CC0F5A" w:rsidP="002B6AFC">
      <w:pPr>
        <w:pStyle w:val="ListParagraph"/>
        <w:numPr>
          <w:ilvl w:val="0"/>
          <w:numId w:val="1"/>
        </w:numPr>
        <w:spacing w:after="0" w:line="240" w:lineRule="auto"/>
        <w:ind w:left="-284" w:right="261" w:hanging="283"/>
        <w:jc w:val="both"/>
        <w:rPr>
          <w:rFonts w:ascii="Arial" w:hAnsi="Arial"/>
          <w:color w:val="000000" w:themeColor="text1"/>
          <w:sz w:val="20"/>
          <w:szCs w:val="21"/>
        </w:rPr>
      </w:pPr>
      <w:proofErr w:type="gramStart"/>
      <w:r w:rsidRPr="00DA71E2">
        <w:rPr>
          <w:rFonts w:ascii="Arial" w:hAnsi="Arial"/>
          <w:color w:val="000000" w:themeColor="text1"/>
          <w:sz w:val="20"/>
          <w:szCs w:val="21"/>
        </w:rPr>
        <w:t>updated</w:t>
      </w:r>
      <w:proofErr w:type="gramEnd"/>
      <w:r w:rsidRPr="00DA71E2">
        <w:rPr>
          <w:rFonts w:ascii="Arial" w:hAnsi="Arial"/>
          <w:color w:val="000000" w:themeColor="text1"/>
          <w:sz w:val="20"/>
          <w:szCs w:val="21"/>
        </w:rPr>
        <w:t xml:space="preserve"> CDNA of the current outbreak situation and MJSO activities. CDNA supported the proposal for a multijurisdictional campaign to increase community awareness of the outbreak and the need for testing (see community engagement below)</w:t>
      </w:r>
      <w:r>
        <w:rPr>
          <w:rFonts w:ascii="Arial" w:hAnsi="Arial"/>
          <w:color w:val="000000" w:themeColor="text1"/>
          <w:sz w:val="20"/>
          <w:szCs w:val="21"/>
        </w:rPr>
        <w:t>.</w:t>
      </w:r>
    </w:p>
    <w:p w:rsidR="00CC0F5A" w:rsidRPr="00DA71E2" w:rsidRDefault="00CC0F5A" w:rsidP="002B6AFC">
      <w:pPr>
        <w:pStyle w:val="ListParagraph"/>
        <w:numPr>
          <w:ilvl w:val="0"/>
          <w:numId w:val="1"/>
        </w:numPr>
        <w:spacing w:after="0" w:line="240" w:lineRule="auto"/>
        <w:ind w:left="-284" w:right="261" w:hanging="283"/>
        <w:jc w:val="both"/>
        <w:rPr>
          <w:rFonts w:ascii="Arial" w:hAnsi="Arial"/>
          <w:color w:val="000000" w:themeColor="text1"/>
          <w:sz w:val="20"/>
          <w:szCs w:val="21"/>
        </w:rPr>
      </w:pPr>
      <w:proofErr w:type="gramStart"/>
      <w:r w:rsidRPr="00DA71E2">
        <w:rPr>
          <w:rFonts w:ascii="Arial" w:hAnsi="Arial"/>
          <w:color w:val="000000" w:themeColor="text1"/>
          <w:sz w:val="20"/>
          <w:szCs w:val="21"/>
        </w:rPr>
        <w:t>ensured</w:t>
      </w:r>
      <w:proofErr w:type="gramEnd"/>
      <w:r w:rsidRPr="00DA71E2">
        <w:rPr>
          <w:rFonts w:ascii="Arial" w:hAnsi="Arial"/>
          <w:color w:val="000000" w:themeColor="text1"/>
          <w:sz w:val="20"/>
          <w:szCs w:val="21"/>
        </w:rPr>
        <w:t xml:space="preserve"> that correct information regarding the outbreak was in the public domain by submitting a paper describing the outbreak epidemiology to the journal Communicable Diseases Intelligence (CDI)</w:t>
      </w:r>
      <w:r>
        <w:rPr>
          <w:rFonts w:ascii="Arial" w:hAnsi="Arial"/>
          <w:color w:val="000000" w:themeColor="text1"/>
          <w:sz w:val="20"/>
          <w:szCs w:val="21"/>
        </w:rPr>
        <w:t>.</w:t>
      </w:r>
    </w:p>
    <w:p w:rsidR="00CC0F5A" w:rsidRPr="00DA71E2" w:rsidRDefault="00CC0F5A" w:rsidP="002B6AFC">
      <w:pPr>
        <w:pStyle w:val="ListParagraph"/>
        <w:numPr>
          <w:ilvl w:val="0"/>
          <w:numId w:val="1"/>
        </w:numPr>
        <w:spacing w:after="0" w:line="240" w:lineRule="auto"/>
        <w:ind w:left="-284" w:right="-234" w:hanging="283"/>
        <w:jc w:val="both"/>
        <w:rPr>
          <w:rFonts w:ascii="Arial" w:hAnsi="Arial"/>
          <w:color w:val="000000" w:themeColor="text1"/>
          <w:sz w:val="20"/>
          <w:szCs w:val="21"/>
        </w:rPr>
      </w:pPr>
      <w:proofErr w:type="gramStart"/>
      <w:r w:rsidRPr="00DA71E2">
        <w:rPr>
          <w:rFonts w:ascii="Arial" w:hAnsi="Arial"/>
          <w:color w:val="000000" w:themeColor="text1"/>
          <w:sz w:val="20"/>
          <w:szCs w:val="21"/>
        </w:rPr>
        <w:t>identified</w:t>
      </w:r>
      <w:proofErr w:type="gramEnd"/>
      <w:r w:rsidRPr="00DA71E2">
        <w:rPr>
          <w:rFonts w:ascii="Arial" w:hAnsi="Arial"/>
          <w:color w:val="000000" w:themeColor="text1"/>
          <w:sz w:val="20"/>
          <w:szCs w:val="21"/>
        </w:rPr>
        <w:t xml:space="preserve"> the need for information sharing about health promotion initiatives and set up a platform  to facilitate this</w:t>
      </w:r>
      <w:r>
        <w:rPr>
          <w:rFonts w:ascii="Arial" w:hAnsi="Arial"/>
          <w:color w:val="000000" w:themeColor="text1"/>
          <w:sz w:val="20"/>
          <w:szCs w:val="21"/>
        </w:rPr>
        <w:t>.</w:t>
      </w:r>
    </w:p>
    <w:p w:rsidR="00CC0F5A" w:rsidRPr="00DA71E2" w:rsidRDefault="00CC0F5A" w:rsidP="002B6AFC">
      <w:pPr>
        <w:pStyle w:val="ListParagraph"/>
        <w:numPr>
          <w:ilvl w:val="0"/>
          <w:numId w:val="1"/>
        </w:numPr>
        <w:spacing w:after="0" w:line="240" w:lineRule="auto"/>
        <w:ind w:left="-284" w:right="261" w:hanging="283"/>
        <w:jc w:val="both"/>
        <w:rPr>
          <w:rFonts w:ascii="Arial" w:hAnsi="Arial"/>
          <w:color w:val="000000" w:themeColor="text1"/>
          <w:sz w:val="20"/>
          <w:szCs w:val="21"/>
        </w:rPr>
      </w:pPr>
      <w:r w:rsidRPr="00DA71E2">
        <w:rPr>
          <w:rFonts w:ascii="Arial" w:hAnsi="Arial"/>
          <w:color w:val="000000" w:themeColor="text1"/>
          <w:sz w:val="20"/>
          <w:szCs w:val="21"/>
        </w:rPr>
        <w:t>created a ‘Data working group’ to address epidemiological questions pertinent to the outbreak, including: what data are needed to monitor the epidemiology of the outbreak and control efforts at the local, regional and multijurisdictional levels; and how to interpret data on testing coverage and  positivity to guide outbreak responses.</w:t>
      </w:r>
    </w:p>
    <w:p w:rsidR="00CC0F5A" w:rsidRDefault="00CC0F5A" w:rsidP="002B6AFC">
      <w:pPr>
        <w:ind w:left="-284" w:hanging="283"/>
        <w:rPr>
          <w:rFonts w:ascii="Arial" w:hAnsi="Arial" w:cs="Arial"/>
          <w:b/>
        </w:rPr>
      </w:pPr>
    </w:p>
    <w:p w:rsidR="00CC0F5A" w:rsidRPr="00884C9E" w:rsidRDefault="00CC0F5A" w:rsidP="002B6AFC">
      <w:pPr>
        <w:ind w:left="-567"/>
        <w:rPr>
          <w:rFonts w:ascii="Arial" w:hAnsi="Arial" w:cs="Arial"/>
          <w:b/>
          <w:bCs/>
        </w:rPr>
      </w:pPr>
      <w:proofErr w:type="gramStart"/>
      <w:r w:rsidRPr="00884C9E">
        <w:rPr>
          <w:rFonts w:ascii="Arial" w:hAnsi="Arial" w:cs="Arial"/>
          <w:b/>
        </w:rPr>
        <w:t>Co</w:t>
      </w:r>
      <w:r w:rsidRPr="00884C9E">
        <w:rPr>
          <w:rFonts w:ascii="Arial" w:hAnsi="Arial" w:cs="Arial"/>
          <w:b/>
          <w:spacing w:val="2"/>
        </w:rPr>
        <w:t>mm</w:t>
      </w:r>
      <w:r w:rsidRPr="00884C9E">
        <w:rPr>
          <w:rFonts w:ascii="Arial" w:hAnsi="Arial" w:cs="Arial"/>
          <w:b/>
        </w:rPr>
        <w:t xml:space="preserve">unity </w:t>
      </w:r>
      <w:r w:rsidRPr="00884C9E">
        <w:rPr>
          <w:rFonts w:ascii="Arial" w:hAnsi="Arial" w:cs="Arial"/>
          <w:b/>
          <w:spacing w:val="10"/>
        </w:rPr>
        <w:t xml:space="preserve"> </w:t>
      </w:r>
      <w:r w:rsidRPr="00884C9E">
        <w:rPr>
          <w:rFonts w:ascii="Arial" w:hAnsi="Arial" w:cs="Arial"/>
          <w:b/>
        </w:rPr>
        <w:t>engage</w:t>
      </w:r>
      <w:r w:rsidRPr="00884C9E">
        <w:rPr>
          <w:rFonts w:ascii="Arial" w:hAnsi="Arial" w:cs="Arial"/>
          <w:b/>
          <w:spacing w:val="2"/>
        </w:rPr>
        <w:t>m</w:t>
      </w:r>
      <w:r w:rsidRPr="00884C9E">
        <w:rPr>
          <w:rFonts w:ascii="Arial" w:hAnsi="Arial" w:cs="Arial"/>
          <w:b/>
        </w:rPr>
        <w:t>ent</w:t>
      </w:r>
      <w:proofErr w:type="gramEnd"/>
    </w:p>
    <w:p w:rsidR="00CC0F5A" w:rsidRDefault="00CC0F5A" w:rsidP="002B6AFC">
      <w:pPr>
        <w:pStyle w:val="BodyText"/>
        <w:kinsoku w:val="0"/>
        <w:overflowPunct w:val="0"/>
        <w:spacing w:before="7" w:line="253" w:lineRule="auto"/>
        <w:ind w:left="-567" w:right="312" w:firstLine="0"/>
      </w:pPr>
      <w:r>
        <w:rPr>
          <w:w w:val="105"/>
        </w:rPr>
        <w:t>A</w:t>
      </w:r>
      <w:r>
        <w:rPr>
          <w:spacing w:val="18"/>
          <w:w w:val="105"/>
        </w:rPr>
        <w:t xml:space="preserve"> </w:t>
      </w:r>
      <w:r>
        <w:rPr>
          <w:spacing w:val="1"/>
          <w:w w:val="105"/>
        </w:rPr>
        <w:t>sub</w:t>
      </w:r>
      <w:r>
        <w:rPr>
          <w:w w:val="105"/>
        </w:rPr>
        <w:t>-</w:t>
      </w:r>
      <w:r>
        <w:rPr>
          <w:spacing w:val="2"/>
          <w:w w:val="105"/>
        </w:rPr>
        <w:t>­</w:t>
      </w:r>
      <w:r>
        <w:rPr>
          <w:spacing w:val="1"/>
          <w:w w:val="105"/>
        </w:rPr>
        <w:t>group</w:t>
      </w:r>
      <w:r>
        <w:rPr>
          <w:w w:val="105"/>
        </w:rPr>
        <w:t>,</w:t>
      </w:r>
      <w:r>
        <w:rPr>
          <w:spacing w:val="18"/>
          <w:w w:val="105"/>
        </w:rPr>
        <w:t xml:space="preserve"> </w:t>
      </w:r>
      <w:r>
        <w:rPr>
          <w:spacing w:val="2"/>
          <w:w w:val="105"/>
        </w:rPr>
        <w:t>E</w:t>
      </w:r>
      <w:r>
        <w:rPr>
          <w:spacing w:val="1"/>
          <w:w w:val="105"/>
        </w:rPr>
        <w:t>ngag</w:t>
      </w:r>
      <w:r>
        <w:rPr>
          <w:w w:val="105"/>
        </w:rPr>
        <w:t>i</w:t>
      </w:r>
      <w:r>
        <w:rPr>
          <w:spacing w:val="1"/>
          <w:w w:val="105"/>
        </w:rPr>
        <w:t>n</w:t>
      </w:r>
      <w:r>
        <w:rPr>
          <w:w w:val="105"/>
        </w:rPr>
        <w:t>g</w:t>
      </w:r>
      <w:r>
        <w:rPr>
          <w:spacing w:val="19"/>
          <w:w w:val="105"/>
        </w:rPr>
        <w:t xml:space="preserve"> </w:t>
      </w:r>
      <w:r>
        <w:rPr>
          <w:spacing w:val="2"/>
          <w:w w:val="105"/>
        </w:rPr>
        <w:t>A</w:t>
      </w:r>
      <w:r>
        <w:rPr>
          <w:spacing w:val="1"/>
          <w:w w:val="105"/>
        </w:rPr>
        <w:t>bo</w:t>
      </w:r>
      <w:r>
        <w:rPr>
          <w:w w:val="105"/>
        </w:rPr>
        <w:t>ri</w:t>
      </w:r>
      <w:r>
        <w:rPr>
          <w:spacing w:val="1"/>
          <w:w w:val="105"/>
        </w:rPr>
        <w:t>g</w:t>
      </w:r>
      <w:r>
        <w:rPr>
          <w:w w:val="105"/>
        </w:rPr>
        <w:t>i</w:t>
      </w:r>
      <w:r>
        <w:rPr>
          <w:spacing w:val="1"/>
          <w:w w:val="105"/>
        </w:rPr>
        <w:t>na</w:t>
      </w:r>
      <w:r>
        <w:rPr>
          <w:w w:val="105"/>
        </w:rPr>
        <w:t>l</w:t>
      </w:r>
      <w:r>
        <w:rPr>
          <w:spacing w:val="17"/>
          <w:w w:val="105"/>
        </w:rPr>
        <w:t xml:space="preserve"> </w:t>
      </w:r>
      <w:r>
        <w:rPr>
          <w:spacing w:val="1"/>
          <w:w w:val="105"/>
        </w:rPr>
        <w:t>an</w:t>
      </w:r>
      <w:r>
        <w:rPr>
          <w:w w:val="105"/>
        </w:rPr>
        <w:t>d</w:t>
      </w:r>
      <w:r>
        <w:rPr>
          <w:spacing w:val="19"/>
          <w:w w:val="105"/>
        </w:rPr>
        <w:t xml:space="preserve"> </w:t>
      </w:r>
      <w:r>
        <w:rPr>
          <w:spacing w:val="2"/>
          <w:w w:val="105"/>
        </w:rPr>
        <w:t>T</w:t>
      </w:r>
      <w:r>
        <w:rPr>
          <w:spacing w:val="1"/>
          <w:w w:val="105"/>
        </w:rPr>
        <w:t>orre</w:t>
      </w:r>
      <w:r>
        <w:rPr>
          <w:w w:val="105"/>
        </w:rPr>
        <w:t>s</w:t>
      </w:r>
      <w:r>
        <w:rPr>
          <w:spacing w:val="18"/>
          <w:w w:val="105"/>
        </w:rPr>
        <w:t xml:space="preserve"> </w:t>
      </w:r>
      <w:r>
        <w:rPr>
          <w:spacing w:val="2"/>
          <w:w w:val="105"/>
        </w:rPr>
        <w:t>S</w:t>
      </w:r>
      <w:r>
        <w:rPr>
          <w:w w:val="105"/>
        </w:rPr>
        <w:t>t</w:t>
      </w:r>
      <w:r>
        <w:rPr>
          <w:spacing w:val="1"/>
          <w:w w:val="105"/>
        </w:rPr>
        <w:t>ra</w:t>
      </w:r>
      <w:r>
        <w:rPr>
          <w:w w:val="105"/>
        </w:rPr>
        <w:t>it</w:t>
      </w:r>
      <w:r>
        <w:rPr>
          <w:spacing w:val="18"/>
          <w:w w:val="105"/>
        </w:rPr>
        <w:t xml:space="preserve"> </w:t>
      </w:r>
      <w:r>
        <w:rPr>
          <w:w w:val="105"/>
        </w:rPr>
        <w:t>I</w:t>
      </w:r>
      <w:r>
        <w:rPr>
          <w:spacing w:val="1"/>
          <w:w w:val="105"/>
        </w:rPr>
        <w:t>s</w:t>
      </w:r>
      <w:r>
        <w:rPr>
          <w:w w:val="105"/>
        </w:rPr>
        <w:t>l</w:t>
      </w:r>
      <w:r>
        <w:rPr>
          <w:spacing w:val="1"/>
          <w:w w:val="105"/>
        </w:rPr>
        <w:t>ande</w:t>
      </w:r>
      <w:r>
        <w:rPr>
          <w:w w:val="105"/>
        </w:rPr>
        <w:t>r</w:t>
      </w:r>
      <w:r>
        <w:rPr>
          <w:spacing w:val="18"/>
          <w:w w:val="105"/>
        </w:rPr>
        <w:t xml:space="preserve"> </w:t>
      </w:r>
      <w:r>
        <w:rPr>
          <w:spacing w:val="2"/>
          <w:w w:val="105"/>
        </w:rPr>
        <w:t>C</w:t>
      </w:r>
      <w:r>
        <w:rPr>
          <w:spacing w:val="1"/>
          <w:w w:val="105"/>
        </w:rPr>
        <w:t>o</w:t>
      </w:r>
      <w:r>
        <w:rPr>
          <w:spacing w:val="2"/>
          <w:w w:val="105"/>
        </w:rPr>
        <w:t>mm</w:t>
      </w:r>
      <w:r>
        <w:rPr>
          <w:spacing w:val="1"/>
          <w:w w:val="105"/>
        </w:rPr>
        <w:t>un</w:t>
      </w:r>
      <w:r>
        <w:rPr>
          <w:w w:val="105"/>
        </w:rPr>
        <w:t>iti</w:t>
      </w:r>
      <w:r>
        <w:rPr>
          <w:spacing w:val="1"/>
          <w:w w:val="105"/>
        </w:rPr>
        <w:t>e</w:t>
      </w:r>
      <w:r>
        <w:rPr>
          <w:w w:val="105"/>
        </w:rPr>
        <w:t>s</w:t>
      </w:r>
      <w:r>
        <w:rPr>
          <w:spacing w:val="19"/>
          <w:w w:val="105"/>
        </w:rPr>
        <w:t xml:space="preserve"> </w:t>
      </w:r>
      <w:r>
        <w:rPr>
          <w:spacing w:val="1"/>
          <w:w w:val="105"/>
        </w:rPr>
        <w:t>(</w:t>
      </w:r>
      <w:r>
        <w:rPr>
          <w:spacing w:val="2"/>
          <w:w w:val="105"/>
        </w:rPr>
        <w:t>EAC</w:t>
      </w:r>
      <w:r>
        <w:rPr>
          <w:w w:val="105"/>
        </w:rPr>
        <w:t>)</w:t>
      </w:r>
      <w:r>
        <w:rPr>
          <w:spacing w:val="18"/>
          <w:w w:val="105"/>
        </w:rPr>
        <w:t xml:space="preserve"> </w:t>
      </w:r>
      <w:r>
        <w:rPr>
          <w:spacing w:val="2"/>
          <w:w w:val="105"/>
        </w:rPr>
        <w:t>m</w:t>
      </w:r>
      <w:r>
        <w:rPr>
          <w:spacing w:val="1"/>
          <w:w w:val="105"/>
        </w:rPr>
        <w:t>ee</w:t>
      </w:r>
      <w:r>
        <w:rPr>
          <w:w w:val="105"/>
        </w:rPr>
        <w:t>ts</w:t>
      </w:r>
      <w:r>
        <w:rPr>
          <w:spacing w:val="18"/>
          <w:w w:val="105"/>
        </w:rPr>
        <w:t xml:space="preserve"> </w:t>
      </w:r>
      <w:r>
        <w:rPr>
          <w:spacing w:val="2"/>
          <w:w w:val="105"/>
        </w:rPr>
        <w:t>m</w:t>
      </w:r>
      <w:r>
        <w:rPr>
          <w:spacing w:val="1"/>
          <w:w w:val="105"/>
        </w:rPr>
        <w:t>onth</w:t>
      </w:r>
      <w:r>
        <w:rPr>
          <w:w w:val="105"/>
        </w:rPr>
        <w:t>l</w:t>
      </w:r>
      <w:r>
        <w:rPr>
          <w:spacing w:val="1"/>
          <w:w w:val="105"/>
        </w:rPr>
        <w:t>y</w:t>
      </w:r>
      <w:r>
        <w:rPr>
          <w:w w:val="105"/>
        </w:rPr>
        <w:t>,</w:t>
      </w:r>
      <w:r>
        <w:rPr>
          <w:spacing w:val="18"/>
          <w:w w:val="105"/>
        </w:rPr>
        <w:t xml:space="preserve"> </w:t>
      </w:r>
      <w:r>
        <w:rPr>
          <w:spacing w:val="1"/>
          <w:w w:val="105"/>
        </w:rPr>
        <w:t>an</w:t>
      </w:r>
      <w:r>
        <w:rPr>
          <w:w w:val="105"/>
        </w:rPr>
        <w:t>d</w:t>
      </w:r>
      <w:r>
        <w:rPr>
          <w:spacing w:val="19"/>
          <w:w w:val="105"/>
        </w:rPr>
        <w:t xml:space="preserve"> </w:t>
      </w:r>
      <w:r>
        <w:rPr>
          <w:spacing w:val="1"/>
          <w:w w:val="105"/>
        </w:rPr>
        <w:t>report</w:t>
      </w:r>
      <w:r>
        <w:rPr>
          <w:w w:val="105"/>
        </w:rPr>
        <w:t>s</w:t>
      </w:r>
      <w:r>
        <w:rPr>
          <w:w w:val="103"/>
        </w:rPr>
        <w:t xml:space="preserve"> </w:t>
      </w:r>
      <w:r>
        <w:rPr>
          <w:spacing w:val="1"/>
          <w:w w:val="105"/>
        </w:rPr>
        <w:t>bac</w:t>
      </w:r>
      <w:r>
        <w:rPr>
          <w:w w:val="105"/>
        </w:rPr>
        <w:t>k</w:t>
      </w:r>
      <w:r>
        <w:rPr>
          <w:spacing w:val="-10"/>
          <w:w w:val="105"/>
        </w:rPr>
        <w:t xml:space="preserve"> </w:t>
      </w:r>
      <w:r>
        <w:rPr>
          <w:w w:val="105"/>
        </w:rPr>
        <w:t>to</w:t>
      </w:r>
      <w:r>
        <w:rPr>
          <w:spacing w:val="-10"/>
          <w:w w:val="105"/>
        </w:rPr>
        <w:t xml:space="preserve"> </w:t>
      </w:r>
      <w:r>
        <w:rPr>
          <w:w w:val="105"/>
        </w:rPr>
        <w:t>t</w:t>
      </w:r>
      <w:r>
        <w:rPr>
          <w:spacing w:val="1"/>
          <w:w w:val="105"/>
        </w:rPr>
        <w:t>h</w:t>
      </w:r>
      <w:r>
        <w:rPr>
          <w:w w:val="105"/>
        </w:rPr>
        <w:t>e</w:t>
      </w:r>
      <w:r>
        <w:rPr>
          <w:spacing w:val="-10"/>
          <w:w w:val="105"/>
        </w:rPr>
        <w:t xml:space="preserve"> </w:t>
      </w:r>
      <w:r>
        <w:rPr>
          <w:spacing w:val="2"/>
          <w:w w:val="105"/>
        </w:rPr>
        <w:t>M</w:t>
      </w:r>
      <w:r>
        <w:rPr>
          <w:spacing w:val="1"/>
          <w:w w:val="105"/>
        </w:rPr>
        <w:t>J</w:t>
      </w:r>
      <w:r>
        <w:rPr>
          <w:spacing w:val="2"/>
          <w:w w:val="105"/>
        </w:rPr>
        <w:t>S</w:t>
      </w:r>
      <w:r>
        <w:rPr>
          <w:w w:val="105"/>
        </w:rPr>
        <w:t>O</w:t>
      </w:r>
      <w:r>
        <w:rPr>
          <w:spacing w:val="-9"/>
          <w:w w:val="105"/>
        </w:rPr>
        <w:t xml:space="preserve"> </w:t>
      </w:r>
      <w:r>
        <w:rPr>
          <w:spacing w:val="2"/>
          <w:w w:val="105"/>
        </w:rPr>
        <w:t>w</w:t>
      </w:r>
      <w:r>
        <w:rPr>
          <w:w w:val="105"/>
        </w:rPr>
        <w:t>ith</w:t>
      </w:r>
      <w:r>
        <w:rPr>
          <w:spacing w:val="-10"/>
          <w:w w:val="105"/>
        </w:rPr>
        <w:t xml:space="preserve"> </w:t>
      </w:r>
      <w:r>
        <w:rPr>
          <w:spacing w:val="1"/>
          <w:w w:val="105"/>
        </w:rPr>
        <w:t>sugges</w:t>
      </w:r>
      <w:r>
        <w:rPr>
          <w:w w:val="105"/>
        </w:rPr>
        <w:t>ti</w:t>
      </w:r>
      <w:r>
        <w:rPr>
          <w:spacing w:val="1"/>
          <w:w w:val="105"/>
        </w:rPr>
        <w:t>on</w:t>
      </w:r>
      <w:r>
        <w:rPr>
          <w:w w:val="105"/>
        </w:rPr>
        <w:t>s</w:t>
      </w:r>
      <w:r>
        <w:rPr>
          <w:spacing w:val="-10"/>
          <w:w w:val="105"/>
        </w:rPr>
        <w:t xml:space="preserve"> </w:t>
      </w:r>
      <w:r>
        <w:rPr>
          <w:w w:val="105"/>
        </w:rPr>
        <w:t>f</w:t>
      </w:r>
      <w:r>
        <w:rPr>
          <w:spacing w:val="1"/>
          <w:w w:val="105"/>
        </w:rPr>
        <w:t>o</w:t>
      </w:r>
      <w:r>
        <w:rPr>
          <w:w w:val="105"/>
        </w:rPr>
        <w:t>r</w:t>
      </w:r>
      <w:r>
        <w:rPr>
          <w:spacing w:val="-11"/>
          <w:w w:val="105"/>
        </w:rPr>
        <w:t xml:space="preserve"> </w:t>
      </w:r>
      <w:r>
        <w:rPr>
          <w:w w:val="105"/>
        </w:rPr>
        <w:t>i</w:t>
      </w:r>
      <w:r>
        <w:rPr>
          <w:spacing w:val="2"/>
          <w:w w:val="105"/>
        </w:rPr>
        <w:t>m</w:t>
      </w:r>
      <w:r>
        <w:rPr>
          <w:spacing w:val="1"/>
          <w:w w:val="105"/>
        </w:rPr>
        <w:t>prove</w:t>
      </w:r>
      <w:r>
        <w:rPr>
          <w:w w:val="105"/>
        </w:rPr>
        <w:t>d</w:t>
      </w:r>
      <w:r>
        <w:rPr>
          <w:spacing w:val="-10"/>
          <w:w w:val="105"/>
        </w:rPr>
        <w:t xml:space="preserve"> </w:t>
      </w:r>
      <w:r>
        <w:rPr>
          <w:spacing w:val="1"/>
          <w:w w:val="105"/>
        </w:rPr>
        <w:t>co</w:t>
      </w:r>
      <w:r>
        <w:rPr>
          <w:spacing w:val="2"/>
          <w:w w:val="105"/>
        </w:rPr>
        <w:t>mm</w:t>
      </w:r>
      <w:r>
        <w:rPr>
          <w:spacing w:val="1"/>
          <w:w w:val="105"/>
        </w:rPr>
        <w:t>un</w:t>
      </w:r>
      <w:r>
        <w:rPr>
          <w:w w:val="105"/>
        </w:rPr>
        <w:t>ity</w:t>
      </w:r>
      <w:r>
        <w:rPr>
          <w:spacing w:val="-10"/>
          <w:w w:val="105"/>
        </w:rPr>
        <w:t xml:space="preserve"> </w:t>
      </w:r>
      <w:r>
        <w:rPr>
          <w:spacing w:val="1"/>
          <w:w w:val="105"/>
        </w:rPr>
        <w:t>engage</w:t>
      </w:r>
      <w:r>
        <w:rPr>
          <w:spacing w:val="2"/>
          <w:w w:val="105"/>
        </w:rPr>
        <w:t>m</w:t>
      </w:r>
      <w:r>
        <w:rPr>
          <w:spacing w:val="1"/>
          <w:w w:val="105"/>
        </w:rPr>
        <w:t>en</w:t>
      </w:r>
      <w:r>
        <w:rPr>
          <w:w w:val="105"/>
        </w:rPr>
        <w:t>t.</w:t>
      </w:r>
      <w:r>
        <w:rPr>
          <w:spacing w:val="-11"/>
          <w:w w:val="105"/>
        </w:rPr>
        <w:t xml:space="preserve"> </w:t>
      </w:r>
      <w:r>
        <w:rPr>
          <w:spacing w:val="2"/>
          <w:w w:val="105"/>
        </w:rPr>
        <w:t>D</w:t>
      </w:r>
      <w:r>
        <w:rPr>
          <w:spacing w:val="1"/>
          <w:w w:val="105"/>
        </w:rPr>
        <w:t>ur</w:t>
      </w:r>
      <w:r>
        <w:rPr>
          <w:w w:val="105"/>
        </w:rPr>
        <w:t>i</w:t>
      </w:r>
      <w:r>
        <w:rPr>
          <w:spacing w:val="1"/>
          <w:w w:val="105"/>
        </w:rPr>
        <w:t>n</w:t>
      </w:r>
      <w:r>
        <w:rPr>
          <w:w w:val="105"/>
        </w:rPr>
        <w:t>g</w:t>
      </w:r>
      <w:r>
        <w:rPr>
          <w:spacing w:val="-9"/>
          <w:w w:val="105"/>
        </w:rPr>
        <w:t xml:space="preserve"> </w:t>
      </w:r>
      <w:r>
        <w:rPr>
          <w:w w:val="105"/>
        </w:rPr>
        <w:t>t</w:t>
      </w:r>
      <w:r>
        <w:rPr>
          <w:spacing w:val="1"/>
          <w:w w:val="105"/>
        </w:rPr>
        <w:t>h</w:t>
      </w:r>
      <w:r>
        <w:rPr>
          <w:w w:val="105"/>
        </w:rPr>
        <w:t>is</w:t>
      </w:r>
      <w:r>
        <w:rPr>
          <w:spacing w:val="-10"/>
          <w:w w:val="105"/>
        </w:rPr>
        <w:t xml:space="preserve"> </w:t>
      </w:r>
      <w:r>
        <w:rPr>
          <w:spacing w:val="1"/>
          <w:w w:val="105"/>
        </w:rPr>
        <w:t>per</w:t>
      </w:r>
      <w:r>
        <w:rPr>
          <w:w w:val="105"/>
        </w:rPr>
        <w:t>i</w:t>
      </w:r>
      <w:r>
        <w:rPr>
          <w:spacing w:val="1"/>
          <w:w w:val="105"/>
        </w:rPr>
        <w:t>od</w:t>
      </w:r>
      <w:r>
        <w:rPr>
          <w:w w:val="105"/>
        </w:rPr>
        <w:t>,</w:t>
      </w:r>
      <w:r>
        <w:rPr>
          <w:spacing w:val="-11"/>
          <w:w w:val="105"/>
        </w:rPr>
        <w:t xml:space="preserve"> </w:t>
      </w:r>
      <w:r>
        <w:rPr>
          <w:w w:val="105"/>
        </w:rPr>
        <w:t>t</w:t>
      </w:r>
      <w:r>
        <w:rPr>
          <w:spacing w:val="1"/>
          <w:w w:val="105"/>
        </w:rPr>
        <w:t>h</w:t>
      </w:r>
      <w:r>
        <w:rPr>
          <w:w w:val="105"/>
        </w:rPr>
        <w:t>e</w:t>
      </w:r>
      <w:r>
        <w:rPr>
          <w:spacing w:val="-10"/>
          <w:w w:val="105"/>
        </w:rPr>
        <w:t xml:space="preserve"> </w:t>
      </w:r>
      <w:r>
        <w:rPr>
          <w:spacing w:val="2"/>
          <w:w w:val="105"/>
        </w:rPr>
        <w:t>EAC</w:t>
      </w:r>
      <w:r>
        <w:rPr>
          <w:w w:val="105"/>
        </w:rPr>
        <w:t>:</w:t>
      </w:r>
    </w:p>
    <w:p w:rsidR="00CC0F5A" w:rsidRPr="004D2D7F" w:rsidRDefault="00CC0F5A" w:rsidP="002B6AFC">
      <w:pPr>
        <w:pStyle w:val="ListParagraph"/>
        <w:numPr>
          <w:ilvl w:val="0"/>
          <w:numId w:val="1"/>
        </w:numPr>
        <w:spacing w:after="0" w:line="240" w:lineRule="auto"/>
        <w:ind w:left="-284" w:right="261" w:hanging="283"/>
        <w:jc w:val="both"/>
        <w:rPr>
          <w:rFonts w:ascii="Arial" w:hAnsi="Arial"/>
          <w:color w:val="000000" w:themeColor="text1"/>
          <w:sz w:val="20"/>
          <w:szCs w:val="21"/>
        </w:rPr>
      </w:pPr>
      <w:r w:rsidRPr="004D2D7F">
        <w:rPr>
          <w:rFonts w:ascii="Arial" w:hAnsi="Arial"/>
          <w:color w:val="000000" w:themeColor="text1"/>
          <w:sz w:val="20"/>
          <w:szCs w:val="21"/>
        </w:rPr>
        <w:t>developed a checklist for jurisdictions to use when engaging with communities</w:t>
      </w:r>
    </w:p>
    <w:p w:rsidR="00CC0F5A" w:rsidRPr="004D2D7F" w:rsidRDefault="00CC0F5A" w:rsidP="002B6AFC">
      <w:pPr>
        <w:pStyle w:val="ListParagraph"/>
        <w:numPr>
          <w:ilvl w:val="0"/>
          <w:numId w:val="1"/>
        </w:numPr>
        <w:spacing w:after="0" w:line="240" w:lineRule="auto"/>
        <w:ind w:left="-284" w:right="261" w:hanging="283"/>
        <w:jc w:val="both"/>
        <w:rPr>
          <w:rFonts w:ascii="Arial" w:hAnsi="Arial"/>
          <w:color w:val="000000" w:themeColor="text1"/>
          <w:sz w:val="20"/>
          <w:szCs w:val="21"/>
        </w:rPr>
      </w:pPr>
      <w:r w:rsidRPr="004D2D7F">
        <w:rPr>
          <w:rFonts w:ascii="Arial" w:hAnsi="Arial"/>
          <w:color w:val="000000" w:themeColor="text1"/>
          <w:sz w:val="20"/>
          <w:szCs w:val="21"/>
        </w:rPr>
        <w:t>recommended the need for infectious syphilis and antenatal testing rates to be provided to staff at the local service provider level</w:t>
      </w:r>
    </w:p>
    <w:p w:rsidR="00CC0F5A" w:rsidRPr="004D2D7F" w:rsidRDefault="00CC0F5A" w:rsidP="002B6AFC">
      <w:pPr>
        <w:pStyle w:val="ListParagraph"/>
        <w:numPr>
          <w:ilvl w:val="0"/>
          <w:numId w:val="1"/>
        </w:numPr>
        <w:spacing w:after="0" w:line="240" w:lineRule="auto"/>
        <w:ind w:left="-284" w:right="261" w:hanging="283"/>
        <w:jc w:val="both"/>
        <w:rPr>
          <w:rFonts w:ascii="Arial" w:hAnsi="Arial"/>
          <w:color w:val="000000" w:themeColor="text1"/>
          <w:sz w:val="20"/>
          <w:szCs w:val="21"/>
        </w:rPr>
      </w:pPr>
      <w:proofErr w:type="gramStart"/>
      <w:r w:rsidRPr="004D2D7F">
        <w:rPr>
          <w:rFonts w:ascii="Arial" w:hAnsi="Arial"/>
          <w:color w:val="000000" w:themeColor="text1"/>
          <w:sz w:val="20"/>
          <w:szCs w:val="21"/>
        </w:rPr>
        <w:t>submitted</w:t>
      </w:r>
      <w:proofErr w:type="gramEnd"/>
      <w:r w:rsidRPr="004D2D7F">
        <w:rPr>
          <w:rFonts w:ascii="Arial" w:hAnsi="Arial"/>
          <w:color w:val="000000" w:themeColor="text1"/>
          <w:sz w:val="20"/>
          <w:szCs w:val="21"/>
        </w:rPr>
        <w:t xml:space="preserve"> a proposal to the Commonwealth for funding of a multijurisdictional campaign to  increase community awareness of the outbreak and the need for testing.</w:t>
      </w:r>
    </w:p>
    <w:p w:rsidR="00CC0F5A" w:rsidRDefault="00CC0F5A" w:rsidP="002B6AFC">
      <w:pPr>
        <w:ind w:left="-284" w:hanging="283"/>
      </w:pPr>
      <w:r>
        <w:br w:type="page"/>
      </w:r>
    </w:p>
    <w:p w:rsidR="00CC0F5A" w:rsidRPr="00630D11" w:rsidRDefault="00CC0F5A" w:rsidP="006E3C8C">
      <w:pPr>
        <w:pStyle w:val="Heading1"/>
        <w:ind w:left="-567"/>
        <w:jc w:val="center"/>
      </w:pPr>
      <w:r w:rsidRPr="00630D11">
        <w:lastRenderedPageBreak/>
        <w:t>MULTIJURISDICTIONAL SYPHILIS OUTBREAK WORKING GROUP (MJSO)</w:t>
      </w:r>
    </w:p>
    <w:p w:rsidR="00CC0F5A" w:rsidRPr="00074DDD" w:rsidRDefault="00CC0F5A" w:rsidP="006E3C8C">
      <w:pPr>
        <w:spacing w:before="200"/>
        <w:ind w:left="-567" w:right="-613"/>
        <w:jc w:val="center"/>
        <w:rPr>
          <w:rFonts w:ascii="Arial" w:hAnsi="Arial" w:cs="Arial"/>
          <w:sz w:val="28"/>
          <w:szCs w:val="28"/>
        </w:rPr>
      </w:pPr>
      <w:r w:rsidRPr="00630D11">
        <w:rPr>
          <w:rFonts w:ascii="Arial" w:hAnsi="Arial" w:cs="Arial"/>
          <w:b/>
          <w:sz w:val="28"/>
          <w:szCs w:val="28"/>
        </w:rPr>
        <w:t>Meeting Communique</w:t>
      </w:r>
      <w:r>
        <w:rPr>
          <w:rFonts w:ascii="Arial" w:hAnsi="Arial" w:cs="Arial"/>
          <w:b/>
          <w:sz w:val="28"/>
          <w:szCs w:val="28"/>
        </w:rPr>
        <w:t>, 16 June 2016</w:t>
      </w:r>
      <w:r>
        <w:rPr>
          <w:rFonts w:ascii="Arial" w:hAnsi="Arial" w:cs="Arial"/>
          <w:sz w:val="28"/>
          <w:szCs w:val="28"/>
        </w:rPr>
        <w:t xml:space="preserve"> (2</w:t>
      </w:r>
      <w:r w:rsidRPr="00074DDD">
        <w:rPr>
          <w:rFonts w:ascii="Arial" w:hAnsi="Arial" w:cs="Arial"/>
          <w:sz w:val="28"/>
          <w:szCs w:val="28"/>
          <w:vertAlign w:val="superscript"/>
        </w:rPr>
        <w:t>nd</w:t>
      </w:r>
      <w:r>
        <w:rPr>
          <w:rFonts w:ascii="Arial" w:hAnsi="Arial" w:cs="Arial"/>
          <w:sz w:val="28"/>
          <w:szCs w:val="28"/>
        </w:rPr>
        <w:t xml:space="preserve"> communique)</w:t>
      </w:r>
    </w:p>
    <w:p w:rsidR="00CC0F5A" w:rsidRPr="009C3C6F" w:rsidRDefault="00CC0F5A" w:rsidP="006E3C8C">
      <w:pPr>
        <w:ind w:left="-567" w:right="-612"/>
        <w:jc w:val="center"/>
        <w:rPr>
          <w:rFonts w:ascii="Arial" w:hAnsi="Arial" w:cs="Arial"/>
          <w:b/>
        </w:rPr>
      </w:pPr>
      <w:r w:rsidRPr="009C3C6F">
        <w:rPr>
          <w:rFonts w:ascii="Arial" w:hAnsi="Arial" w:cs="Arial"/>
          <w:b/>
        </w:rPr>
        <w:t>This communique has been authorised by the chair of the MJSO, Dr Nathan Ryder.</w:t>
      </w:r>
    </w:p>
    <w:p w:rsidR="006E3C8C" w:rsidRDefault="006E3C8C" w:rsidP="006E3C8C">
      <w:pPr>
        <w:pStyle w:val="BodyText"/>
        <w:kinsoku w:val="0"/>
        <w:overflowPunct w:val="0"/>
        <w:spacing w:line="252" w:lineRule="auto"/>
        <w:ind w:left="-567" w:right="193" w:firstLine="0"/>
        <w:rPr>
          <w:spacing w:val="1"/>
          <w:w w:val="105"/>
        </w:rPr>
      </w:pPr>
    </w:p>
    <w:p w:rsidR="00CC0F5A" w:rsidRPr="004D2D7F" w:rsidRDefault="00CC0F5A" w:rsidP="006E3C8C">
      <w:pPr>
        <w:pStyle w:val="BodyText"/>
        <w:kinsoku w:val="0"/>
        <w:overflowPunct w:val="0"/>
        <w:spacing w:line="252" w:lineRule="auto"/>
        <w:ind w:left="-567" w:right="193" w:firstLine="0"/>
        <w:rPr>
          <w:spacing w:val="1"/>
          <w:w w:val="105"/>
        </w:rPr>
      </w:pPr>
      <w:r w:rsidRPr="004D2D7F">
        <w:rPr>
          <w:spacing w:val="1"/>
          <w:w w:val="105"/>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rural areas of northern Australia. Increased notifications associated with the outbreak in northern Australia were first reported in January 2011 in northwest Queensland, followed by the Northern Territory (NT) in July 2013, and the Kimberley region of Western Australia (WA) in June 2014. This communique summarises the outbreak </w:t>
      </w:r>
      <w:r>
        <w:rPr>
          <w:spacing w:val="1"/>
          <w:w w:val="105"/>
        </w:rPr>
        <w:t>e</w:t>
      </w:r>
      <w:r w:rsidRPr="004D2D7F">
        <w:rPr>
          <w:spacing w:val="1"/>
          <w:w w:val="105"/>
        </w:rPr>
        <w:t>pidemiological data as of 31 May 2016 (current status), and the activities of the MJSO from 1 March - 31 May 2016.</w:t>
      </w:r>
    </w:p>
    <w:p w:rsidR="00CC0F5A" w:rsidRDefault="00CC0F5A" w:rsidP="006E3C8C">
      <w:pPr>
        <w:ind w:left="-567"/>
        <w:rPr>
          <w:rFonts w:ascii="Arial" w:hAnsi="Arial" w:cs="Arial"/>
          <w:b/>
        </w:rPr>
      </w:pPr>
    </w:p>
    <w:p w:rsidR="00CC0F5A" w:rsidRPr="00884C9E" w:rsidRDefault="00CC0F5A" w:rsidP="006E3C8C">
      <w:pPr>
        <w:pStyle w:val="Heading2"/>
        <w:ind w:left="-567"/>
      </w:pPr>
      <w:r w:rsidRPr="00884C9E">
        <w:t>Current status</w:t>
      </w:r>
    </w:p>
    <w:p w:rsidR="00CC0F5A" w:rsidRPr="004D2D7F" w:rsidRDefault="00CC0F5A" w:rsidP="006E3C8C">
      <w:pPr>
        <w:pStyle w:val="BodyText"/>
        <w:kinsoku w:val="0"/>
        <w:overflowPunct w:val="0"/>
        <w:spacing w:line="252" w:lineRule="auto"/>
        <w:ind w:left="-567" w:right="193" w:firstLine="0"/>
        <w:rPr>
          <w:spacing w:val="1"/>
          <w:w w:val="105"/>
        </w:rPr>
      </w:pPr>
      <w:r w:rsidRPr="004D2D7F">
        <w:rPr>
          <w:spacing w:val="1"/>
          <w:w w:val="105"/>
        </w:rPr>
        <w:t>Outbreak data to 31 May 2016 are summarised in Figure 1 and Table 1 below.</w:t>
      </w:r>
    </w:p>
    <w:p w:rsidR="00CC0F5A" w:rsidRDefault="00CC0F5A" w:rsidP="006721AA">
      <w:pPr>
        <w:ind w:right="261"/>
        <w:jc w:val="both"/>
        <w:rPr>
          <w:rFonts w:ascii="Arial" w:hAnsi="Arial" w:cs="Arial"/>
          <w:sz w:val="20"/>
          <w:szCs w:val="20"/>
        </w:rPr>
      </w:pPr>
    </w:p>
    <w:p w:rsidR="00CC0F5A" w:rsidRDefault="00CC0F5A" w:rsidP="006E3C8C">
      <w:pPr>
        <w:ind w:left="-567"/>
        <w:rPr>
          <w:rFonts w:ascii="Arial" w:hAnsi="Arial" w:cs="Arial"/>
          <w:sz w:val="20"/>
          <w:szCs w:val="20"/>
        </w:rPr>
      </w:pPr>
      <w:r>
        <w:rPr>
          <w:rFonts w:ascii="Arial" w:hAnsi="Arial" w:cs="Arial"/>
          <w:noProof/>
          <w:sz w:val="20"/>
          <w:szCs w:val="20"/>
          <w:lang w:eastAsia="en-AU"/>
        </w:rPr>
        <w:drawing>
          <wp:inline distT="0" distB="0" distL="0" distR="0" wp14:anchorId="040F92F3" wp14:editId="648539E3">
            <wp:extent cx="6410325" cy="2438400"/>
            <wp:effectExtent l="0" t="0" r="9525" b="0"/>
            <wp:docPr id="13" name="Picture 13" descr="This figure shows outbreak cases of infectious syphilis between 1 January 2011 to 31 May 2016, notified in affected regions of Queensland, the Northern Territory and Western Australia." title="Figure 1. Epidemic curve showing outbreak cases of infectious syphilis notified in affected regions of Queensland, the Northern Territory and Western Australia, from commencement of the outbreak in each jurisdiction to 31 Ma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2438400"/>
                    </a:xfrm>
                    <a:prstGeom prst="rect">
                      <a:avLst/>
                    </a:prstGeom>
                    <a:noFill/>
                  </pic:spPr>
                </pic:pic>
              </a:graphicData>
            </a:graphic>
          </wp:inline>
        </w:drawing>
      </w:r>
      <w:r w:rsidRPr="004E075B">
        <w:rPr>
          <w:rFonts w:ascii="Arial" w:hAnsi="Arial" w:cs="Arial"/>
          <w:b/>
          <w:sz w:val="20"/>
          <w:szCs w:val="20"/>
        </w:rPr>
        <w:t>Figure 1</w:t>
      </w:r>
      <w:r w:rsidRPr="004E075B">
        <w:rPr>
          <w:rFonts w:ascii="Arial" w:hAnsi="Arial" w:cs="Arial"/>
          <w:sz w:val="20"/>
          <w:szCs w:val="20"/>
        </w:rPr>
        <w:t>. Epidemic curve showing outbreak cases of infectious syphilis</w:t>
      </w:r>
      <w:r>
        <w:rPr>
          <w:rStyle w:val="FootnoteReference"/>
          <w:rFonts w:ascii="Arial" w:hAnsi="Arial" w:cs="Arial"/>
          <w:sz w:val="20"/>
          <w:szCs w:val="20"/>
        </w:rPr>
        <w:footnoteReference w:id="4"/>
      </w:r>
      <w:r w:rsidRPr="004E075B">
        <w:rPr>
          <w:rFonts w:ascii="Arial" w:hAnsi="Arial" w:cs="Arial"/>
          <w:sz w:val="20"/>
          <w:szCs w:val="20"/>
        </w:rPr>
        <w:t xml:space="preserve"> notified in affected regions</w:t>
      </w:r>
      <w:r>
        <w:rPr>
          <w:rStyle w:val="FootnoteReference"/>
          <w:rFonts w:ascii="Arial" w:hAnsi="Arial" w:cs="Arial"/>
          <w:sz w:val="20"/>
          <w:szCs w:val="20"/>
        </w:rPr>
        <w:footnoteReference w:id="5"/>
      </w:r>
      <w:r w:rsidRPr="004E075B">
        <w:rPr>
          <w:rFonts w:ascii="Arial" w:hAnsi="Arial" w:cs="Arial"/>
          <w:sz w:val="20"/>
          <w:szCs w:val="20"/>
        </w:rPr>
        <w:t xml:space="preserve"> of Queensland, the Northern Territory</w:t>
      </w:r>
      <w:r>
        <w:rPr>
          <w:rFonts w:ascii="Arial" w:hAnsi="Arial" w:cs="Arial"/>
          <w:sz w:val="20"/>
          <w:szCs w:val="20"/>
        </w:rPr>
        <w:t xml:space="preserve"> </w:t>
      </w:r>
      <w:r w:rsidRPr="004E075B">
        <w:rPr>
          <w:rFonts w:ascii="Arial" w:hAnsi="Arial" w:cs="Arial"/>
          <w:sz w:val="20"/>
          <w:szCs w:val="20"/>
        </w:rPr>
        <w:t xml:space="preserve">and Western Australia, from commencement of the outbreak in each jurisdiction to </w:t>
      </w:r>
      <w:r>
        <w:rPr>
          <w:rFonts w:ascii="Arial" w:hAnsi="Arial" w:cs="Arial"/>
          <w:sz w:val="20"/>
          <w:szCs w:val="20"/>
        </w:rPr>
        <w:t xml:space="preserve">31 May </w:t>
      </w:r>
      <w:r w:rsidRPr="004E075B">
        <w:rPr>
          <w:rFonts w:ascii="Arial" w:hAnsi="Arial" w:cs="Arial"/>
          <w:sz w:val="20"/>
          <w:szCs w:val="20"/>
        </w:rPr>
        <w:t>2016</w:t>
      </w:r>
      <w:r w:rsidRPr="004E075B">
        <w:rPr>
          <w:rFonts w:ascii="Arial" w:hAnsi="Arial" w:cs="Arial"/>
          <w:sz w:val="20"/>
          <w:szCs w:val="20"/>
          <w:vertAlign w:val="superscript"/>
        </w:rPr>
        <w:t>ᵞ</w:t>
      </w:r>
      <w:r w:rsidRPr="004E075B">
        <w:rPr>
          <w:rFonts w:ascii="Arial" w:hAnsi="Arial" w:cs="Arial"/>
          <w:sz w:val="20"/>
          <w:szCs w:val="20"/>
        </w:rPr>
        <w:t>.</w:t>
      </w:r>
    </w:p>
    <w:p w:rsidR="00CC0F5A" w:rsidRDefault="00CC0F5A" w:rsidP="006721AA">
      <w:pPr>
        <w:rPr>
          <w:rFonts w:ascii="Arial" w:hAnsi="Arial" w:cs="Arial"/>
          <w:b/>
          <w:sz w:val="20"/>
          <w:szCs w:val="20"/>
        </w:rPr>
      </w:pPr>
    </w:p>
    <w:p w:rsidR="00CC0F5A" w:rsidRDefault="00CC0F5A" w:rsidP="006721AA">
      <w:pPr>
        <w:rPr>
          <w:rFonts w:ascii="Arial" w:hAnsi="Arial" w:cs="Arial"/>
          <w:b/>
          <w:sz w:val="20"/>
          <w:szCs w:val="20"/>
        </w:rPr>
      </w:pPr>
    </w:p>
    <w:p w:rsidR="006E3C8C" w:rsidRDefault="006E3C8C">
      <w:pPr>
        <w:rPr>
          <w:rFonts w:ascii="Arial" w:hAnsi="Arial" w:cs="Arial"/>
          <w:b/>
          <w:sz w:val="20"/>
          <w:szCs w:val="20"/>
        </w:rPr>
      </w:pPr>
      <w:r>
        <w:rPr>
          <w:rFonts w:ascii="Arial" w:hAnsi="Arial" w:cs="Arial"/>
          <w:b/>
          <w:sz w:val="20"/>
          <w:szCs w:val="20"/>
        </w:rPr>
        <w:br w:type="page"/>
      </w:r>
    </w:p>
    <w:p w:rsidR="00CC0F5A" w:rsidRDefault="00CC0F5A" w:rsidP="006E3C8C">
      <w:pPr>
        <w:ind w:left="-567"/>
        <w:rPr>
          <w:rFonts w:ascii="Arial" w:hAnsi="Arial" w:cs="Arial"/>
          <w:sz w:val="20"/>
          <w:szCs w:val="20"/>
        </w:rPr>
      </w:pPr>
      <w:r>
        <w:rPr>
          <w:rFonts w:ascii="Arial" w:hAnsi="Arial" w:cs="Arial"/>
          <w:b/>
          <w:sz w:val="20"/>
          <w:szCs w:val="20"/>
        </w:rPr>
        <w:lastRenderedPageBreak/>
        <w:t xml:space="preserve">Table 1. </w:t>
      </w:r>
      <w:r w:rsidRPr="006A1E4E">
        <w:rPr>
          <w:rFonts w:ascii="Arial" w:hAnsi="Arial" w:cs="Arial"/>
          <w:sz w:val="20"/>
          <w:szCs w:val="20"/>
        </w:rPr>
        <w:t xml:space="preserve">Characteristics of outbreak cases of infectious syphilis notified </w:t>
      </w:r>
      <w:r w:rsidRPr="004E075B">
        <w:rPr>
          <w:rFonts w:ascii="Arial" w:hAnsi="Arial" w:cs="Arial"/>
          <w:sz w:val="20"/>
          <w:szCs w:val="20"/>
        </w:rPr>
        <w:t>in affected regions of Queensland, the Northern Territory</w:t>
      </w:r>
      <w:r>
        <w:rPr>
          <w:rFonts w:ascii="Arial" w:hAnsi="Arial" w:cs="Arial"/>
          <w:sz w:val="20"/>
          <w:szCs w:val="20"/>
        </w:rPr>
        <w:t xml:space="preserve"> </w:t>
      </w:r>
      <w:r w:rsidRPr="004E075B">
        <w:rPr>
          <w:rFonts w:ascii="Arial" w:hAnsi="Arial" w:cs="Arial"/>
          <w:sz w:val="20"/>
          <w:szCs w:val="20"/>
        </w:rPr>
        <w:t xml:space="preserve">and Western Australia, to </w:t>
      </w:r>
      <w:r>
        <w:rPr>
          <w:rFonts w:ascii="Arial" w:hAnsi="Arial" w:cs="Arial"/>
          <w:sz w:val="20"/>
          <w:szCs w:val="20"/>
        </w:rPr>
        <w:t xml:space="preserve">31 May </w:t>
      </w:r>
      <w:r w:rsidRPr="004E075B">
        <w:rPr>
          <w:rFonts w:ascii="Arial" w:hAnsi="Arial" w:cs="Arial"/>
          <w:sz w:val="20"/>
          <w:szCs w:val="20"/>
        </w:rPr>
        <w:t>2016</w:t>
      </w:r>
      <w:r>
        <w:rPr>
          <w:rStyle w:val="FootnoteReference"/>
          <w:rFonts w:ascii="Arial" w:hAnsi="Arial" w:cs="Arial"/>
          <w:sz w:val="20"/>
          <w:szCs w:val="20"/>
        </w:rPr>
        <w:footnoteReference w:id="6"/>
      </w:r>
      <w:r w:rsidRPr="004E075B">
        <w:rPr>
          <w:rFonts w:ascii="Arial" w:hAnsi="Arial" w:cs="Arial"/>
          <w:sz w:val="20"/>
          <w:szCs w:val="20"/>
        </w:rPr>
        <w:t>.</w:t>
      </w:r>
    </w:p>
    <w:tbl>
      <w:tblPr>
        <w:tblStyle w:val="TableGrid1"/>
        <w:tblW w:w="10348" w:type="dxa"/>
        <w:tblInd w:w="-459" w:type="dxa"/>
        <w:tblLook w:val="04A0" w:firstRow="1" w:lastRow="0" w:firstColumn="1" w:lastColumn="0" w:noHBand="0" w:noVBand="1"/>
        <w:tblCaption w:val="Table 1. Characteristics of outbreak cases of infectious syphilis notified in affected regions of Queensland, the Northern Territory and Western Australia, to 31 May 2016"/>
        <w:tblDescription w:val="This table shows the number of infectious syphilis outbreak cases notified in affected regions and outbreak associated congenital syphilis cases and deaths."/>
      </w:tblPr>
      <w:tblGrid>
        <w:gridCol w:w="3686"/>
        <w:gridCol w:w="2126"/>
        <w:gridCol w:w="2126"/>
        <w:gridCol w:w="2410"/>
      </w:tblGrid>
      <w:tr w:rsidR="00CC0F5A" w:rsidTr="006E3C8C">
        <w:trPr>
          <w:tblHeader/>
        </w:trPr>
        <w:tc>
          <w:tcPr>
            <w:tcW w:w="3686" w:type="dxa"/>
          </w:tcPr>
          <w:p w:rsidR="00CC0F5A" w:rsidRPr="00143E81" w:rsidRDefault="00CC0F5A" w:rsidP="006721AA">
            <w:pPr>
              <w:ind w:hanging="34"/>
              <w:rPr>
                <w:sz w:val="20"/>
                <w:szCs w:val="20"/>
              </w:rPr>
            </w:pPr>
          </w:p>
        </w:tc>
        <w:tc>
          <w:tcPr>
            <w:tcW w:w="2126" w:type="dxa"/>
            <w:shd w:val="clear" w:color="auto" w:fill="C6D9F1" w:themeFill="text2" w:themeFillTint="33"/>
          </w:tcPr>
          <w:p w:rsidR="00CC0F5A" w:rsidRPr="00957270" w:rsidRDefault="00CC0F5A" w:rsidP="006721AA">
            <w:pPr>
              <w:ind w:hanging="34"/>
              <w:jc w:val="center"/>
              <w:rPr>
                <w:b/>
                <w:sz w:val="20"/>
                <w:szCs w:val="20"/>
              </w:rPr>
            </w:pPr>
            <w:r w:rsidRPr="00B909E6">
              <w:rPr>
                <w:b/>
                <w:sz w:val="20"/>
                <w:szCs w:val="20"/>
                <w:shd w:val="clear" w:color="auto" w:fill="C6D9F1" w:themeFill="text2" w:themeFillTint="33"/>
              </w:rPr>
              <w:t>North Qld (four HHSs</w:t>
            </w:r>
            <w:r w:rsidRPr="00B909E6">
              <w:rPr>
                <w:b/>
                <w:sz w:val="20"/>
                <w:szCs w:val="20"/>
                <w:shd w:val="clear" w:color="auto" w:fill="C6D9F1" w:themeFill="text2" w:themeFillTint="33"/>
                <w:vertAlign w:val="superscript"/>
              </w:rPr>
              <w:t>β</w:t>
            </w:r>
            <w:r w:rsidRPr="00957270">
              <w:rPr>
                <w:b/>
                <w:sz w:val="20"/>
                <w:szCs w:val="20"/>
              </w:rPr>
              <w:t>)</w:t>
            </w:r>
          </w:p>
        </w:tc>
        <w:tc>
          <w:tcPr>
            <w:tcW w:w="2126" w:type="dxa"/>
            <w:shd w:val="clear" w:color="auto" w:fill="DAEEF3" w:themeFill="accent5" w:themeFillTint="33"/>
          </w:tcPr>
          <w:p w:rsidR="00CC0F5A" w:rsidRPr="00957270" w:rsidRDefault="00CC0F5A" w:rsidP="006721AA">
            <w:pPr>
              <w:ind w:hanging="34"/>
              <w:jc w:val="center"/>
              <w:rPr>
                <w:b/>
                <w:sz w:val="20"/>
                <w:szCs w:val="20"/>
              </w:rPr>
            </w:pPr>
            <w:r w:rsidRPr="00957270">
              <w:rPr>
                <w:b/>
                <w:sz w:val="20"/>
                <w:szCs w:val="20"/>
              </w:rPr>
              <w:t>NT (four regions</w:t>
            </w:r>
            <w:r w:rsidRPr="00957270">
              <w:rPr>
                <w:b/>
                <w:sz w:val="20"/>
                <w:szCs w:val="20"/>
                <w:vertAlign w:val="superscript"/>
              </w:rPr>
              <w:t xml:space="preserve"> </w:t>
            </w:r>
            <w:r w:rsidRPr="00822AA7">
              <w:rPr>
                <w:b/>
                <w:sz w:val="20"/>
                <w:szCs w:val="20"/>
                <w:vertAlign w:val="superscript"/>
              </w:rPr>
              <w:t>β</w:t>
            </w:r>
            <w:r w:rsidRPr="00957270">
              <w:rPr>
                <w:b/>
                <w:sz w:val="20"/>
                <w:szCs w:val="20"/>
              </w:rPr>
              <w:t>)</w:t>
            </w:r>
          </w:p>
        </w:tc>
        <w:tc>
          <w:tcPr>
            <w:tcW w:w="2410" w:type="dxa"/>
            <w:shd w:val="clear" w:color="auto" w:fill="E5DFEC" w:themeFill="accent4" w:themeFillTint="33"/>
          </w:tcPr>
          <w:p w:rsidR="00CC0F5A" w:rsidRPr="00957270" w:rsidRDefault="00CC0F5A" w:rsidP="006721AA">
            <w:pPr>
              <w:ind w:hanging="34"/>
              <w:jc w:val="center"/>
              <w:rPr>
                <w:b/>
                <w:sz w:val="20"/>
                <w:szCs w:val="20"/>
              </w:rPr>
            </w:pPr>
            <w:r w:rsidRPr="00957270">
              <w:rPr>
                <w:b/>
                <w:sz w:val="20"/>
                <w:szCs w:val="20"/>
              </w:rPr>
              <w:t>WA (Kimberley region)</w:t>
            </w:r>
          </w:p>
        </w:tc>
      </w:tr>
      <w:tr w:rsidR="00CC0F5A" w:rsidTr="006E3C8C">
        <w:tc>
          <w:tcPr>
            <w:tcW w:w="3686" w:type="dxa"/>
            <w:shd w:val="clear" w:color="auto" w:fill="B8CCE4" w:themeFill="accent1" w:themeFillTint="66"/>
          </w:tcPr>
          <w:p w:rsidR="00CC0F5A" w:rsidRPr="00143E81" w:rsidRDefault="00CC0F5A" w:rsidP="006721AA">
            <w:pPr>
              <w:ind w:hanging="34"/>
              <w:rPr>
                <w:sz w:val="20"/>
                <w:szCs w:val="20"/>
              </w:rPr>
            </w:pPr>
            <w:r>
              <w:rPr>
                <w:sz w:val="20"/>
                <w:szCs w:val="20"/>
              </w:rPr>
              <w:t>Situation to-date, 31 May 2016</w:t>
            </w:r>
          </w:p>
        </w:tc>
        <w:tc>
          <w:tcPr>
            <w:tcW w:w="2126" w:type="dxa"/>
            <w:shd w:val="clear" w:color="auto" w:fill="B8CCE4" w:themeFill="accent1" w:themeFillTint="66"/>
          </w:tcPr>
          <w:p w:rsidR="00CC0F5A" w:rsidRPr="00143E81" w:rsidRDefault="00CC0F5A" w:rsidP="006721AA">
            <w:pPr>
              <w:ind w:hanging="34"/>
              <w:rPr>
                <w:sz w:val="20"/>
                <w:szCs w:val="20"/>
              </w:rPr>
            </w:pPr>
          </w:p>
        </w:tc>
        <w:tc>
          <w:tcPr>
            <w:tcW w:w="2126" w:type="dxa"/>
            <w:shd w:val="clear" w:color="auto" w:fill="B8CCE4" w:themeFill="accent1" w:themeFillTint="66"/>
          </w:tcPr>
          <w:p w:rsidR="00CC0F5A" w:rsidRPr="00143E81" w:rsidRDefault="00CC0F5A" w:rsidP="006721AA">
            <w:pPr>
              <w:ind w:hanging="34"/>
              <w:rPr>
                <w:sz w:val="20"/>
                <w:szCs w:val="20"/>
              </w:rPr>
            </w:pPr>
          </w:p>
        </w:tc>
        <w:tc>
          <w:tcPr>
            <w:tcW w:w="2410" w:type="dxa"/>
            <w:shd w:val="clear" w:color="auto" w:fill="B8CCE4" w:themeFill="accent1" w:themeFillTint="66"/>
          </w:tcPr>
          <w:p w:rsidR="00CC0F5A" w:rsidRPr="00143E81" w:rsidRDefault="00CC0F5A" w:rsidP="006721AA">
            <w:pPr>
              <w:ind w:hanging="34"/>
              <w:rPr>
                <w:sz w:val="20"/>
                <w:szCs w:val="20"/>
              </w:rPr>
            </w:pPr>
          </w:p>
        </w:tc>
      </w:tr>
      <w:tr w:rsidR="00CC0F5A" w:rsidTr="006E3C8C">
        <w:tc>
          <w:tcPr>
            <w:tcW w:w="3686" w:type="dxa"/>
          </w:tcPr>
          <w:p w:rsidR="00CC0F5A" w:rsidRPr="00143E81" w:rsidRDefault="00CC0F5A" w:rsidP="006721AA">
            <w:pPr>
              <w:ind w:hanging="34"/>
              <w:rPr>
                <w:sz w:val="20"/>
                <w:szCs w:val="20"/>
              </w:rPr>
            </w:pPr>
            <w:r>
              <w:rPr>
                <w:sz w:val="20"/>
                <w:szCs w:val="20"/>
              </w:rPr>
              <w:t>Outbreak commencement month/</w:t>
            </w:r>
            <w:proofErr w:type="spellStart"/>
            <w:r>
              <w:rPr>
                <w:sz w:val="20"/>
                <w:szCs w:val="20"/>
              </w:rPr>
              <w:t>yr</w:t>
            </w:r>
            <w:proofErr w:type="spellEnd"/>
          </w:p>
        </w:tc>
        <w:tc>
          <w:tcPr>
            <w:tcW w:w="2126" w:type="dxa"/>
            <w:shd w:val="clear" w:color="auto" w:fill="C6D9F1" w:themeFill="text2" w:themeFillTint="33"/>
            <w:vAlign w:val="center"/>
          </w:tcPr>
          <w:p w:rsidR="00CC0F5A" w:rsidRPr="00143E81" w:rsidRDefault="00CC0F5A" w:rsidP="006721AA">
            <w:pPr>
              <w:ind w:hanging="34"/>
              <w:jc w:val="center"/>
              <w:rPr>
                <w:sz w:val="20"/>
                <w:szCs w:val="20"/>
              </w:rPr>
            </w:pPr>
            <w:r>
              <w:rPr>
                <w:sz w:val="20"/>
                <w:szCs w:val="20"/>
              </w:rPr>
              <w:t>January 2011</w:t>
            </w:r>
          </w:p>
        </w:tc>
        <w:tc>
          <w:tcPr>
            <w:tcW w:w="2126" w:type="dxa"/>
            <w:shd w:val="clear" w:color="auto" w:fill="DAEEF3" w:themeFill="accent5" w:themeFillTint="33"/>
            <w:vAlign w:val="center"/>
          </w:tcPr>
          <w:p w:rsidR="00CC0F5A" w:rsidRPr="00143E81" w:rsidRDefault="00CC0F5A" w:rsidP="006721AA">
            <w:pPr>
              <w:ind w:hanging="34"/>
              <w:jc w:val="center"/>
              <w:rPr>
                <w:sz w:val="20"/>
                <w:szCs w:val="20"/>
              </w:rPr>
            </w:pPr>
            <w:r>
              <w:rPr>
                <w:sz w:val="20"/>
                <w:szCs w:val="20"/>
              </w:rPr>
              <w:t xml:space="preserve">July </w:t>
            </w:r>
            <w:r w:rsidRPr="003078CF">
              <w:rPr>
                <w:sz w:val="20"/>
                <w:szCs w:val="20"/>
              </w:rPr>
              <w:t>201</w:t>
            </w:r>
            <w:r>
              <w:rPr>
                <w:sz w:val="20"/>
                <w:szCs w:val="20"/>
              </w:rPr>
              <w:t>3</w:t>
            </w:r>
          </w:p>
        </w:tc>
        <w:tc>
          <w:tcPr>
            <w:tcW w:w="2410" w:type="dxa"/>
            <w:shd w:val="clear" w:color="auto" w:fill="E5DFEC" w:themeFill="accent4" w:themeFillTint="33"/>
            <w:vAlign w:val="center"/>
          </w:tcPr>
          <w:p w:rsidR="00CC0F5A" w:rsidRPr="00143E81" w:rsidRDefault="00CC0F5A" w:rsidP="006721AA">
            <w:pPr>
              <w:ind w:hanging="34"/>
              <w:jc w:val="center"/>
              <w:rPr>
                <w:sz w:val="20"/>
                <w:szCs w:val="20"/>
              </w:rPr>
            </w:pPr>
            <w:r>
              <w:rPr>
                <w:sz w:val="20"/>
                <w:szCs w:val="20"/>
              </w:rPr>
              <w:t xml:space="preserve">June </w:t>
            </w:r>
            <w:r w:rsidRPr="003078CF">
              <w:rPr>
                <w:sz w:val="20"/>
                <w:szCs w:val="20"/>
              </w:rPr>
              <w:t>2014</w:t>
            </w:r>
          </w:p>
        </w:tc>
      </w:tr>
      <w:tr w:rsidR="00CC0F5A" w:rsidTr="006E3C8C">
        <w:tc>
          <w:tcPr>
            <w:tcW w:w="3686" w:type="dxa"/>
          </w:tcPr>
          <w:p w:rsidR="00CC0F5A" w:rsidRPr="00143E81" w:rsidRDefault="00CC0F5A" w:rsidP="006721AA">
            <w:pPr>
              <w:ind w:hanging="34"/>
              <w:rPr>
                <w:sz w:val="20"/>
                <w:szCs w:val="20"/>
              </w:rPr>
            </w:pPr>
            <w:r>
              <w:rPr>
                <w:sz w:val="20"/>
                <w:szCs w:val="20"/>
              </w:rPr>
              <w:t>Total n</w:t>
            </w:r>
            <w:r w:rsidRPr="00143E81">
              <w:rPr>
                <w:sz w:val="20"/>
                <w:szCs w:val="20"/>
              </w:rPr>
              <w:t>umber of cases</w:t>
            </w:r>
            <w:r w:rsidRPr="00ED4B23">
              <w:rPr>
                <w:b/>
                <w:sz w:val="20"/>
                <w:szCs w:val="20"/>
                <w:vertAlign w:val="superscript"/>
              </w:rPr>
              <w:t xml:space="preserve"> </w:t>
            </w:r>
            <w:r w:rsidRPr="004E075B">
              <w:rPr>
                <w:sz w:val="20"/>
                <w:szCs w:val="20"/>
                <w:vertAlign w:val="superscript"/>
              </w:rPr>
              <w:t>α</w:t>
            </w:r>
          </w:p>
        </w:tc>
        <w:tc>
          <w:tcPr>
            <w:tcW w:w="2126" w:type="dxa"/>
            <w:shd w:val="clear" w:color="auto" w:fill="C6D9F1" w:themeFill="text2" w:themeFillTint="33"/>
            <w:vAlign w:val="center"/>
          </w:tcPr>
          <w:p w:rsidR="00CC0F5A" w:rsidRPr="005D3162" w:rsidRDefault="00CC0F5A" w:rsidP="006721AA">
            <w:pPr>
              <w:ind w:hanging="34"/>
              <w:jc w:val="center"/>
              <w:rPr>
                <w:b/>
                <w:sz w:val="20"/>
                <w:szCs w:val="20"/>
                <w:vertAlign w:val="superscript"/>
              </w:rPr>
            </w:pPr>
            <w:r>
              <w:rPr>
                <w:b/>
                <w:sz w:val="20"/>
                <w:szCs w:val="20"/>
              </w:rPr>
              <w:t>598</w:t>
            </w:r>
          </w:p>
        </w:tc>
        <w:tc>
          <w:tcPr>
            <w:tcW w:w="2126" w:type="dxa"/>
            <w:shd w:val="clear" w:color="auto" w:fill="DAEEF3" w:themeFill="accent5" w:themeFillTint="33"/>
            <w:vAlign w:val="center"/>
          </w:tcPr>
          <w:p w:rsidR="00CC0F5A" w:rsidRPr="00143E81" w:rsidRDefault="00CC0F5A" w:rsidP="006721AA">
            <w:pPr>
              <w:ind w:hanging="34"/>
              <w:jc w:val="center"/>
              <w:rPr>
                <w:b/>
                <w:sz w:val="20"/>
                <w:szCs w:val="20"/>
              </w:rPr>
            </w:pPr>
            <w:r>
              <w:rPr>
                <w:b/>
                <w:sz w:val="20"/>
                <w:szCs w:val="20"/>
              </w:rPr>
              <w:t>309</w:t>
            </w:r>
          </w:p>
        </w:tc>
        <w:tc>
          <w:tcPr>
            <w:tcW w:w="2410" w:type="dxa"/>
            <w:shd w:val="clear" w:color="auto" w:fill="E5DFEC" w:themeFill="accent4" w:themeFillTint="33"/>
            <w:vAlign w:val="center"/>
          </w:tcPr>
          <w:p w:rsidR="00CC0F5A" w:rsidRPr="00143E81" w:rsidRDefault="00CC0F5A" w:rsidP="006721AA">
            <w:pPr>
              <w:ind w:hanging="34"/>
              <w:jc w:val="center"/>
              <w:rPr>
                <w:b/>
                <w:sz w:val="20"/>
                <w:szCs w:val="20"/>
              </w:rPr>
            </w:pPr>
            <w:r>
              <w:rPr>
                <w:b/>
                <w:sz w:val="20"/>
                <w:szCs w:val="20"/>
              </w:rPr>
              <w:t>54</w:t>
            </w:r>
          </w:p>
        </w:tc>
      </w:tr>
      <w:tr w:rsidR="00CC0F5A" w:rsidTr="006E3C8C">
        <w:tc>
          <w:tcPr>
            <w:tcW w:w="3686" w:type="dxa"/>
          </w:tcPr>
          <w:p w:rsidR="00CC0F5A" w:rsidRPr="00143E81" w:rsidRDefault="00CC0F5A" w:rsidP="006721AA">
            <w:pPr>
              <w:ind w:hanging="34"/>
              <w:rPr>
                <w:sz w:val="20"/>
                <w:szCs w:val="20"/>
              </w:rPr>
            </w:pPr>
            <w:r>
              <w:rPr>
                <w:sz w:val="20"/>
                <w:szCs w:val="20"/>
              </w:rPr>
              <w:t>Percent cases reported in 15-29 year age group</w:t>
            </w:r>
          </w:p>
        </w:tc>
        <w:tc>
          <w:tcPr>
            <w:tcW w:w="2126" w:type="dxa"/>
            <w:shd w:val="clear" w:color="auto" w:fill="C6D9F1" w:themeFill="text2" w:themeFillTint="33"/>
            <w:vAlign w:val="center"/>
          </w:tcPr>
          <w:p w:rsidR="00CC0F5A" w:rsidRPr="00143E81" w:rsidRDefault="00CC0F5A" w:rsidP="006721AA">
            <w:pPr>
              <w:ind w:hanging="34"/>
              <w:jc w:val="center"/>
              <w:rPr>
                <w:sz w:val="20"/>
                <w:szCs w:val="20"/>
              </w:rPr>
            </w:pPr>
            <w:r>
              <w:rPr>
                <w:sz w:val="20"/>
                <w:szCs w:val="20"/>
              </w:rPr>
              <w:t>71%</w:t>
            </w:r>
          </w:p>
        </w:tc>
        <w:tc>
          <w:tcPr>
            <w:tcW w:w="2126" w:type="dxa"/>
            <w:shd w:val="clear" w:color="auto" w:fill="DAEEF3" w:themeFill="accent5" w:themeFillTint="33"/>
            <w:vAlign w:val="center"/>
          </w:tcPr>
          <w:p w:rsidR="00CC0F5A" w:rsidRPr="00143E81" w:rsidRDefault="00CC0F5A" w:rsidP="006721AA">
            <w:pPr>
              <w:ind w:hanging="34"/>
              <w:jc w:val="center"/>
              <w:rPr>
                <w:sz w:val="20"/>
                <w:szCs w:val="20"/>
              </w:rPr>
            </w:pPr>
            <w:r>
              <w:rPr>
                <w:sz w:val="20"/>
                <w:szCs w:val="20"/>
              </w:rPr>
              <w:t>84%</w:t>
            </w:r>
          </w:p>
        </w:tc>
        <w:tc>
          <w:tcPr>
            <w:tcW w:w="2410" w:type="dxa"/>
            <w:shd w:val="clear" w:color="auto" w:fill="E5DFEC" w:themeFill="accent4" w:themeFillTint="33"/>
            <w:vAlign w:val="center"/>
          </w:tcPr>
          <w:p w:rsidR="00CC0F5A" w:rsidRPr="00143E81" w:rsidRDefault="00CC0F5A" w:rsidP="006721AA">
            <w:pPr>
              <w:ind w:hanging="34"/>
              <w:jc w:val="center"/>
              <w:rPr>
                <w:sz w:val="20"/>
                <w:szCs w:val="20"/>
              </w:rPr>
            </w:pPr>
            <w:r>
              <w:rPr>
                <w:sz w:val="20"/>
                <w:szCs w:val="20"/>
              </w:rPr>
              <w:t>78%</w:t>
            </w:r>
          </w:p>
        </w:tc>
      </w:tr>
      <w:tr w:rsidR="00CC0F5A" w:rsidTr="006E3C8C">
        <w:tc>
          <w:tcPr>
            <w:tcW w:w="3686" w:type="dxa"/>
          </w:tcPr>
          <w:p w:rsidR="00CC0F5A" w:rsidRPr="00143E81" w:rsidRDefault="00CC0F5A" w:rsidP="006721AA">
            <w:pPr>
              <w:ind w:hanging="34"/>
              <w:rPr>
                <w:sz w:val="20"/>
                <w:szCs w:val="20"/>
              </w:rPr>
            </w:pPr>
            <w:r>
              <w:rPr>
                <w:sz w:val="20"/>
                <w:szCs w:val="20"/>
              </w:rPr>
              <w:t>% Male / % Female</w:t>
            </w:r>
          </w:p>
        </w:tc>
        <w:tc>
          <w:tcPr>
            <w:tcW w:w="2126" w:type="dxa"/>
            <w:shd w:val="clear" w:color="auto" w:fill="C6D9F1" w:themeFill="text2" w:themeFillTint="33"/>
            <w:vAlign w:val="center"/>
          </w:tcPr>
          <w:p w:rsidR="00CC0F5A" w:rsidRPr="00143E81" w:rsidRDefault="00CC0F5A" w:rsidP="006721AA">
            <w:pPr>
              <w:ind w:hanging="34"/>
              <w:jc w:val="center"/>
              <w:rPr>
                <w:sz w:val="20"/>
                <w:szCs w:val="20"/>
              </w:rPr>
            </w:pPr>
            <w:r>
              <w:rPr>
                <w:sz w:val="20"/>
                <w:szCs w:val="20"/>
              </w:rPr>
              <w:t>47% / 53%</w:t>
            </w:r>
          </w:p>
        </w:tc>
        <w:tc>
          <w:tcPr>
            <w:tcW w:w="2126" w:type="dxa"/>
            <w:shd w:val="clear" w:color="auto" w:fill="DAEEF3" w:themeFill="accent5" w:themeFillTint="33"/>
            <w:vAlign w:val="center"/>
          </w:tcPr>
          <w:p w:rsidR="00CC0F5A" w:rsidRPr="00143E81" w:rsidRDefault="00CC0F5A" w:rsidP="006721AA">
            <w:pPr>
              <w:ind w:hanging="34"/>
              <w:jc w:val="center"/>
              <w:rPr>
                <w:sz w:val="20"/>
                <w:szCs w:val="20"/>
              </w:rPr>
            </w:pPr>
            <w:r>
              <w:rPr>
                <w:sz w:val="20"/>
                <w:szCs w:val="20"/>
              </w:rPr>
              <w:t>47% / 53%</w:t>
            </w:r>
          </w:p>
        </w:tc>
        <w:tc>
          <w:tcPr>
            <w:tcW w:w="2410" w:type="dxa"/>
            <w:shd w:val="clear" w:color="auto" w:fill="E5DFEC" w:themeFill="accent4" w:themeFillTint="33"/>
            <w:vAlign w:val="center"/>
          </w:tcPr>
          <w:p w:rsidR="00CC0F5A" w:rsidRPr="00143E81" w:rsidRDefault="00CC0F5A" w:rsidP="006721AA">
            <w:pPr>
              <w:ind w:hanging="34"/>
              <w:jc w:val="center"/>
              <w:rPr>
                <w:sz w:val="20"/>
                <w:szCs w:val="20"/>
              </w:rPr>
            </w:pPr>
            <w:r>
              <w:rPr>
                <w:sz w:val="20"/>
                <w:szCs w:val="20"/>
              </w:rPr>
              <w:t>33% /67%</w:t>
            </w:r>
          </w:p>
        </w:tc>
      </w:tr>
      <w:tr w:rsidR="00CC0F5A" w:rsidTr="006E3C8C">
        <w:tc>
          <w:tcPr>
            <w:tcW w:w="3686" w:type="dxa"/>
          </w:tcPr>
          <w:p w:rsidR="00CC0F5A" w:rsidRDefault="00CC0F5A" w:rsidP="006721AA">
            <w:pPr>
              <w:ind w:hanging="34"/>
              <w:rPr>
                <w:sz w:val="20"/>
                <w:szCs w:val="20"/>
              </w:rPr>
            </w:pPr>
            <w:r>
              <w:rPr>
                <w:sz w:val="20"/>
                <w:szCs w:val="20"/>
              </w:rPr>
              <w:t>Congenital cases, confirmed (probable)</w:t>
            </w:r>
          </w:p>
        </w:tc>
        <w:tc>
          <w:tcPr>
            <w:tcW w:w="2126" w:type="dxa"/>
            <w:shd w:val="clear" w:color="auto" w:fill="C6D9F1" w:themeFill="text2" w:themeFillTint="33"/>
            <w:vAlign w:val="center"/>
          </w:tcPr>
          <w:p w:rsidR="00CC0F5A" w:rsidRDefault="00CC0F5A" w:rsidP="006721AA">
            <w:pPr>
              <w:ind w:hanging="34"/>
              <w:jc w:val="center"/>
              <w:rPr>
                <w:sz w:val="20"/>
                <w:szCs w:val="20"/>
              </w:rPr>
            </w:pPr>
            <w:r>
              <w:rPr>
                <w:sz w:val="20"/>
                <w:szCs w:val="20"/>
              </w:rPr>
              <w:t>3 (1)</w:t>
            </w:r>
          </w:p>
        </w:tc>
        <w:tc>
          <w:tcPr>
            <w:tcW w:w="2126" w:type="dxa"/>
            <w:shd w:val="clear" w:color="auto" w:fill="DAEEF3" w:themeFill="accent5" w:themeFillTint="33"/>
            <w:vAlign w:val="center"/>
          </w:tcPr>
          <w:p w:rsidR="00CC0F5A" w:rsidRPr="00143E81" w:rsidRDefault="00CC0F5A" w:rsidP="006721AA">
            <w:pPr>
              <w:ind w:hanging="34"/>
              <w:jc w:val="center"/>
              <w:rPr>
                <w:sz w:val="20"/>
                <w:szCs w:val="20"/>
              </w:rPr>
            </w:pPr>
            <w:r>
              <w:rPr>
                <w:sz w:val="20"/>
                <w:szCs w:val="20"/>
              </w:rPr>
              <w:t>1 (2)</w:t>
            </w:r>
          </w:p>
        </w:tc>
        <w:tc>
          <w:tcPr>
            <w:tcW w:w="2410" w:type="dxa"/>
            <w:shd w:val="clear" w:color="auto" w:fill="E5DFEC" w:themeFill="accent4" w:themeFillTint="33"/>
            <w:vAlign w:val="center"/>
          </w:tcPr>
          <w:p w:rsidR="00CC0F5A" w:rsidRPr="00143E81" w:rsidRDefault="00CC0F5A" w:rsidP="006721AA">
            <w:pPr>
              <w:ind w:hanging="34"/>
              <w:jc w:val="center"/>
              <w:rPr>
                <w:sz w:val="20"/>
                <w:szCs w:val="20"/>
              </w:rPr>
            </w:pPr>
            <w:r>
              <w:rPr>
                <w:sz w:val="20"/>
                <w:szCs w:val="20"/>
              </w:rPr>
              <w:t>0 (0)</w:t>
            </w:r>
          </w:p>
        </w:tc>
      </w:tr>
      <w:tr w:rsidR="00CC0F5A" w:rsidTr="006E3C8C">
        <w:tc>
          <w:tcPr>
            <w:tcW w:w="3686" w:type="dxa"/>
            <w:shd w:val="clear" w:color="auto" w:fill="auto"/>
          </w:tcPr>
          <w:p w:rsidR="00CC0F5A" w:rsidRDefault="00CC0F5A" w:rsidP="006721AA">
            <w:pPr>
              <w:ind w:hanging="34"/>
              <w:rPr>
                <w:sz w:val="20"/>
                <w:szCs w:val="20"/>
              </w:rPr>
            </w:pPr>
            <w:r>
              <w:rPr>
                <w:sz w:val="20"/>
                <w:szCs w:val="20"/>
              </w:rPr>
              <w:t xml:space="preserve">  -number of deaths in congenital cases</w:t>
            </w:r>
          </w:p>
        </w:tc>
        <w:tc>
          <w:tcPr>
            <w:tcW w:w="2126" w:type="dxa"/>
            <w:shd w:val="clear" w:color="auto" w:fill="C6D9F1" w:themeFill="text2" w:themeFillTint="33"/>
            <w:vAlign w:val="center"/>
          </w:tcPr>
          <w:p w:rsidR="00CC0F5A" w:rsidRDefault="00CC0F5A" w:rsidP="006721AA">
            <w:pPr>
              <w:ind w:hanging="34"/>
              <w:jc w:val="center"/>
              <w:rPr>
                <w:sz w:val="20"/>
                <w:szCs w:val="20"/>
              </w:rPr>
            </w:pPr>
            <w:r>
              <w:rPr>
                <w:sz w:val="20"/>
                <w:szCs w:val="20"/>
              </w:rPr>
              <w:t>3</w:t>
            </w:r>
          </w:p>
        </w:tc>
        <w:tc>
          <w:tcPr>
            <w:tcW w:w="2126" w:type="dxa"/>
            <w:shd w:val="clear" w:color="auto" w:fill="DAEEF3" w:themeFill="accent5" w:themeFillTint="33"/>
            <w:vAlign w:val="center"/>
          </w:tcPr>
          <w:p w:rsidR="00CC0F5A" w:rsidRDefault="00CC0F5A" w:rsidP="006721AA">
            <w:pPr>
              <w:ind w:hanging="34"/>
              <w:jc w:val="center"/>
              <w:rPr>
                <w:sz w:val="20"/>
                <w:szCs w:val="20"/>
              </w:rPr>
            </w:pPr>
            <w:r>
              <w:rPr>
                <w:sz w:val="20"/>
                <w:szCs w:val="20"/>
              </w:rPr>
              <w:t>0</w:t>
            </w:r>
          </w:p>
        </w:tc>
        <w:tc>
          <w:tcPr>
            <w:tcW w:w="2410" w:type="dxa"/>
            <w:shd w:val="clear" w:color="auto" w:fill="E5DFEC" w:themeFill="accent4" w:themeFillTint="33"/>
            <w:vAlign w:val="center"/>
          </w:tcPr>
          <w:p w:rsidR="00CC0F5A" w:rsidRDefault="00CC0F5A" w:rsidP="006721AA">
            <w:pPr>
              <w:ind w:hanging="34"/>
              <w:jc w:val="center"/>
              <w:rPr>
                <w:sz w:val="20"/>
                <w:szCs w:val="20"/>
              </w:rPr>
            </w:pPr>
            <w:r>
              <w:rPr>
                <w:sz w:val="20"/>
                <w:szCs w:val="20"/>
              </w:rPr>
              <w:t>0</w:t>
            </w:r>
          </w:p>
        </w:tc>
      </w:tr>
      <w:tr w:rsidR="00CC0F5A" w:rsidTr="006E3C8C">
        <w:tc>
          <w:tcPr>
            <w:tcW w:w="3686" w:type="dxa"/>
            <w:shd w:val="clear" w:color="auto" w:fill="B8CCE4" w:themeFill="accent1" w:themeFillTint="66"/>
            <w:vAlign w:val="center"/>
          </w:tcPr>
          <w:p w:rsidR="00CC0F5A" w:rsidRPr="00143E81" w:rsidRDefault="00CC0F5A" w:rsidP="006721AA">
            <w:pPr>
              <w:ind w:hanging="34"/>
              <w:rPr>
                <w:sz w:val="20"/>
                <w:szCs w:val="20"/>
              </w:rPr>
            </w:pPr>
            <w:r w:rsidRPr="00143E81">
              <w:rPr>
                <w:sz w:val="20"/>
                <w:szCs w:val="20"/>
              </w:rPr>
              <w:t xml:space="preserve">Last </w:t>
            </w:r>
            <w:r>
              <w:rPr>
                <w:sz w:val="20"/>
                <w:szCs w:val="20"/>
              </w:rPr>
              <w:t xml:space="preserve">reporting month, </w:t>
            </w:r>
            <w:r w:rsidRPr="00143E81">
              <w:rPr>
                <w:sz w:val="20"/>
                <w:szCs w:val="20"/>
              </w:rPr>
              <w:t>1-</w:t>
            </w:r>
            <w:r>
              <w:rPr>
                <w:sz w:val="20"/>
                <w:szCs w:val="20"/>
              </w:rPr>
              <w:t xml:space="preserve">31 May </w:t>
            </w:r>
            <w:r w:rsidRPr="00143E81">
              <w:rPr>
                <w:sz w:val="20"/>
                <w:szCs w:val="20"/>
              </w:rPr>
              <w:t>201</w:t>
            </w:r>
            <w:r>
              <w:rPr>
                <w:sz w:val="20"/>
                <w:szCs w:val="20"/>
              </w:rPr>
              <w:t>6</w:t>
            </w:r>
          </w:p>
        </w:tc>
        <w:tc>
          <w:tcPr>
            <w:tcW w:w="2126" w:type="dxa"/>
            <w:shd w:val="clear" w:color="auto" w:fill="B8CCE4" w:themeFill="accent1" w:themeFillTint="66"/>
            <w:vAlign w:val="center"/>
          </w:tcPr>
          <w:p w:rsidR="00CC0F5A" w:rsidRPr="00143E81" w:rsidRDefault="00CC0F5A" w:rsidP="006721AA">
            <w:pPr>
              <w:ind w:hanging="34"/>
              <w:rPr>
                <w:sz w:val="20"/>
                <w:szCs w:val="20"/>
              </w:rPr>
            </w:pPr>
          </w:p>
        </w:tc>
        <w:tc>
          <w:tcPr>
            <w:tcW w:w="2126" w:type="dxa"/>
            <w:shd w:val="clear" w:color="auto" w:fill="B8CCE4" w:themeFill="accent1" w:themeFillTint="66"/>
            <w:vAlign w:val="center"/>
          </w:tcPr>
          <w:p w:rsidR="00CC0F5A" w:rsidRPr="00143E81" w:rsidRDefault="00CC0F5A" w:rsidP="006721AA">
            <w:pPr>
              <w:ind w:hanging="34"/>
              <w:rPr>
                <w:sz w:val="20"/>
                <w:szCs w:val="20"/>
              </w:rPr>
            </w:pPr>
          </w:p>
        </w:tc>
        <w:tc>
          <w:tcPr>
            <w:tcW w:w="2410" w:type="dxa"/>
            <w:shd w:val="clear" w:color="auto" w:fill="B8CCE4" w:themeFill="accent1" w:themeFillTint="66"/>
            <w:vAlign w:val="center"/>
          </w:tcPr>
          <w:p w:rsidR="00CC0F5A" w:rsidRPr="00143E81" w:rsidRDefault="00CC0F5A" w:rsidP="006721AA">
            <w:pPr>
              <w:ind w:hanging="34"/>
              <w:rPr>
                <w:sz w:val="20"/>
                <w:szCs w:val="20"/>
              </w:rPr>
            </w:pPr>
          </w:p>
        </w:tc>
      </w:tr>
      <w:tr w:rsidR="00CC0F5A" w:rsidTr="006E3C8C">
        <w:tc>
          <w:tcPr>
            <w:tcW w:w="3686" w:type="dxa"/>
          </w:tcPr>
          <w:p w:rsidR="00CC0F5A" w:rsidRPr="00143E81" w:rsidRDefault="00CC0F5A" w:rsidP="006721AA">
            <w:pPr>
              <w:ind w:hanging="34"/>
              <w:rPr>
                <w:sz w:val="20"/>
                <w:szCs w:val="20"/>
              </w:rPr>
            </w:pPr>
            <w:r w:rsidRPr="00143E81">
              <w:rPr>
                <w:sz w:val="20"/>
                <w:szCs w:val="20"/>
              </w:rPr>
              <w:t>Number of cases</w:t>
            </w:r>
            <w:r w:rsidRPr="00ED4B23">
              <w:rPr>
                <w:b/>
                <w:sz w:val="20"/>
                <w:szCs w:val="20"/>
                <w:vertAlign w:val="superscript"/>
              </w:rPr>
              <w:t xml:space="preserve"> </w:t>
            </w:r>
            <w:r w:rsidRPr="004E075B">
              <w:rPr>
                <w:sz w:val="20"/>
                <w:szCs w:val="20"/>
                <w:vertAlign w:val="superscript"/>
              </w:rPr>
              <w:t>α</w:t>
            </w:r>
          </w:p>
        </w:tc>
        <w:tc>
          <w:tcPr>
            <w:tcW w:w="2126" w:type="dxa"/>
            <w:tcBorders>
              <w:bottom w:val="single" w:sz="4" w:space="0" w:color="auto"/>
            </w:tcBorders>
            <w:shd w:val="clear" w:color="auto" w:fill="C6D9F1" w:themeFill="text2" w:themeFillTint="33"/>
            <w:vAlign w:val="center"/>
          </w:tcPr>
          <w:p w:rsidR="00CC0F5A" w:rsidRPr="00143E81" w:rsidRDefault="00CC0F5A" w:rsidP="006721AA">
            <w:pPr>
              <w:ind w:hanging="34"/>
              <w:jc w:val="center"/>
              <w:rPr>
                <w:b/>
                <w:sz w:val="20"/>
                <w:szCs w:val="20"/>
              </w:rPr>
            </w:pPr>
            <w:r>
              <w:rPr>
                <w:b/>
                <w:sz w:val="20"/>
                <w:szCs w:val="20"/>
              </w:rPr>
              <w:t>12</w:t>
            </w:r>
          </w:p>
        </w:tc>
        <w:tc>
          <w:tcPr>
            <w:tcW w:w="2126" w:type="dxa"/>
            <w:shd w:val="clear" w:color="auto" w:fill="DAEEF3" w:themeFill="accent5" w:themeFillTint="33"/>
            <w:vAlign w:val="center"/>
          </w:tcPr>
          <w:p w:rsidR="00CC0F5A" w:rsidRPr="00143E81" w:rsidRDefault="00CC0F5A" w:rsidP="006721AA">
            <w:pPr>
              <w:ind w:hanging="34"/>
              <w:jc w:val="center"/>
              <w:rPr>
                <w:b/>
                <w:sz w:val="20"/>
                <w:szCs w:val="20"/>
              </w:rPr>
            </w:pPr>
            <w:r>
              <w:rPr>
                <w:b/>
                <w:sz w:val="20"/>
                <w:szCs w:val="20"/>
              </w:rPr>
              <w:t>10</w:t>
            </w:r>
          </w:p>
        </w:tc>
        <w:tc>
          <w:tcPr>
            <w:tcW w:w="2410" w:type="dxa"/>
            <w:shd w:val="clear" w:color="auto" w:fill="E5DFEC" w:themeFill="accent4" w:themeFillTint="33"/>
            <w:vAlign w:val="center"/>
          </w:tcPr>
          <w:p w:rsidR="00CC0F5A" w:rsidRPr="00143E81" w:rsidRDefault="00CC0F5A" w:rsidP="006721AA">
            <w:pPr>
              <w:ind w:hanging="34"/>
              <w:jc w:val="center"/>
              <w:rPr>
                <w:b/>
                <w:sz w:val="20"/>
                <w:szCs w:val="20"/>
              </w:rPr>
            </w:pPr>
            <w:r>
              <w:rPr>
                <w:b/>
                <w:sz w:val="20"/>
                <w:szCs w:val="20"/>
              </w:rPr>
              <w:t>1</w:t>
            </w:r>
          </w:p>
        </w:tc>
      </w:tr>
      <w:tr w:rsidR="00CC0F5A" w:rsidTr="006E3C8C">
        <w:tc>
          <w:tcPr>
            <w:tcW w:w="3686" w:type="dxa"/>
          </w:tcPr>
          <w:p w:rsidR="00CC0F5A" w:rsidRPr="00143E81" w:rsidRDefault="00CC0F5A" w:rsidP="006721AA">
            <w:pPr>
              <w:ind w:hanging="34"/>
              <w:rPr>
                <w:sz w:val="20"/>
                <w:szCs w:val="20"/>
              </w:rPr>
            </w:pPr>
            <w:r>
              <w:rPr>
                <w:sz w:val="20"/>
                <w:szCs w:val="20"/>
              </w:rPr>
              <w:t>Percent cases reported in 15-29 year age group</w:t>
            </w:r>
          </w:p>
        </w:tc>
        <w:tc>
          <w:tcPr>
            <w:tcW w:w="2126" w:type="dxa"/>
            <w:shd w:val="clear" w:color="auto" w:fill="C6D9F1" w:themeFill="text2" w:themeFillTint="33"/>
            <w:vAlign w:val="center"/>
          </w:tcPr>
          <w:p w:rsidR="00CC0F5A" w:rsidRPr="00143E81" w:rsidRDefault="00CC0F5A" w:rsidP="006721AA">
            <w:pPr>
              <w:jc w:val="center"/>
              <w:rPr>
                <w:sz w:val="20"/>
                <w:szCs w:val="20"/>
              </w:rPr>
            </w:pPr>
            <w:r>
              <w:rPr>
                <w:sz w:val="20"/>
                <w:szCs w:val="20"/>
              </w:rPr>
              <w:t>75%</w:t>
            </w:r>
          </w:p>
        </w:tc>
        <w:tc>
          <w:tcPr>
            <w:tcW w:w="2126" w:type="dxa"/>
            <w:shd w:val="clear" w:color="auto" w:fill="DAEEF3" w:themeFill="accent5" w:themeFillTint="33"/>
            <w:vAlign w:val="center"/>
          </w:tcPr>
          <w:p w:rsidR="00CC0F5A" w:rsidRPr="00143E81" w:rsidRDefault="00CC0F5A" w:rsidP="006721AA">
            <w:pPr>
              <w:ind w:hanging="34"/>
              <w:jc w:val="center"/>
              <w:rPr>
                <w:sz w:val="20"/>
                <w:szCs w:val="20"/>
              </w:rPr>
            </w:pPr>
            <w:r>
              <w:rPr>
                <w:sz w:val="20"/>
                <w:szCs w:val="20"/>
              </w:rPr>
              <w:t>100%</w:t>
            </w:r>
          </w:p>
        </w:tc>
        <w:tc>
          <w:tcPr>
            <w:tcW w:w="2410" w:type="dxa"/>
            <w:shd w:val="clear" w:color="auto" w:fill="E5DFEC" w:themeFill="accent4" w:themeFillTint="33"/>
            <w:vAlign w:val="center"/>
          </w:tcPr>
          <w:p w:rsidR="00CC0F5A" w:rsidRPr="00143E81" w:rsidRDefault="00CC0F5A" w:rsidP="006721AA">
            <w:pPr>
              <w:ind w:hanging="34"/>
              <w:jc w:val="center"/>
              <w:rPr>
                <w:sz w:val="20"/>
                <w:szCs w:val="20"/>
              </w:rPr>
            </w:pPr>
            <w:r>
              <w:rPr>
                <w:sz w:val="20"/>
                <w:szCs w:val="20"/>
              </w:rPr>
              <w:t>0%</w:t>
            </w:r>
          </w:p>
        </w:tc>
      </w:tr>
      <w:tr w:rsidR="00CC0F5A" w:rsidTr="006E3C8C">
        <w:tc>
          <w:tcPr>
            <w:tcW w:w="3686" w:type="dxa"/>
          </w:tcPr>
          <w:p w:rsidR="00CC0F5A" w:rsidRPr="00143E81" w:rsidRDefault="00CC0F5A" w:rsidP="006721AA">
            <w:pPr>
              <w:ind w:hanging="34"/>
              <w:rPr>
                <w:sz w:val="20"/>
                <w:szCs w:val="20"/>
              </w:rPr>
            </w:pPr>
            <w:r>
              <w:rPr>
                <w:sz w:val="20"/>
                <w:szCs w:val="20"/>
              </w:rPr>
              <w:t>% Male / % Female</w:t>
            </w:r>
          </w:p>
        </w:tc>
        <w:tc>
          <w:tcPr>
            <w:tcW w:w="2126" w:type="dxa"/>
            <w:shd w:val="clear" w:color="auto" w:fill="C6D9F1" w:themeFill="text2" w:themeFillTint="33"/>
            <w:vAlign w:val="center"/>
          </w:tcPr>
          <w:p w:rsidR="00CC0F5A" w:rsidRPr="00143E81" w:rsidRDefault="00CC0F5A" w:rsidP="006721AA">
            <w:pPr>
              <w:ind w:hanging="34"/>
              <w:jc w:val="center"/>
              <w:rPr>
                <w:sz w:val="20"/>
                <w:szCs w:val="20"/>
              </w:rPr>
            </w:pPr>
            <w:r>
              <w:rPr>
                <w:sz w:val="20"/>
                <w:szCs w:val="20"/>
              </w:rPr>
              <w:t>67% / 33%</w:t>
            </w:r>
          </w:p>
        </w:tc>
        <w:tc>
          <w:tcPr>
            <w:tcW w:w="2126" w:type="dxa"/>
            <w:shd w:val="clear" w:color="auto" w:fill="DAEEF3" w:themeFill="accent5" w:themeFillTint="33"/>
            <w:vAlign w:val="center"/>
          </w:tcPr>
          <w:p w:rsidR="00CC0F5A" w:rsidRPr="00143E81" w:rsidRDefault="00CC0F5A" w:rsidP="006721AA">
            <w:pPr>
              <w:ind w:hanging="34"/>
              <w:jc w:val="center"/>
              <w:rPr>
                <w:sz w:val="20"/>
                <w:szCs w:val="20"/>
              </w:rPr>
            </w:pPr>
            <w:r>
              <w:rPr>
                <w:sz w:val="20"/>
                <w:szCs w:val="20"/>
              </w:rPr>
              <w:t>30% / 70%</w:t>
            </w:r>
          </w:p>
        </w:tc>
        <w:tc>
          <w:tcPr>
            <w:tcW w:w="2410" w:type="dxa"/>
            <w:shd w:val="clear" w:color="auto" w:fill="E5DFEC" w:themeFill="accent4" w:themeFillTint="33"/>
            <w:vAlign w:val="center"/>
          </w:tcPr>
          <w:p w:rsidR="00CC0F5A" w:rsidRPr="00143E81" w:rsidRDefault="00CC0F5A" w:rsidP="006721AA">
            <w:pPr>
              <w:ind w:hanging="34"/>
              <w:jc w:val="center"/>
              <w:rPr>
                <w:sz w:val="20"/>
                <w:szCs w:val="20"/>
              </w:rPr>
            </w:pPr>
            <w:r>
              <w:rPr>
                <w:sz w:val="20"/>
                <w:szCs w:val="20"/>
              </w:rPr>
              <w:t>100% / 0%</w:t>
            </w:r>
          </w:p>
        </w:tc>
      </w:tr>
    </w:tbl>
    <w:p w:rsidR="00CC0F5A" w:rsidRDefault="00CC0F5A" w:rsidP="006721AA">
      <w:pPr>
        <w:rPr>
          <w:rFonts w:ascii="Arial" w:hAnsi="Arial" w:cs="Arial"/>
          <w:b/>
        </w:rPr>
      </w:pPr>
    </w:p>
    <w:p w:rsidR="00CC0F5A" w:rsidRPr="00FC4048" w:rsidRDefault="00CC0F5A" w:rsidP="006E3C8C">
      <w:pPr>
        <w:ind w:left="-567"/>
        <w:rPr>
          <w:rFonts w:ascii="Arial" w:hAnsi="Arial" w:cs="Arial"/>
          <w:b/>
        </w:rPr>
      </w:pPr>
      <w:r>
        <w:rPr>
          <w:rFonts w:ascii="Arial" w:hAnsi="Arial" w:cs="Arial"/>
          <w:b/>
        </w:rPr>
        <w:t>Activities</w:t>
      </w:r>
      <w:r w:rsidRPr="00FC4048">
        <w:rPr>
          <w:rFonts w:ascii="Arial" w:hAnsi="Arial" w:cs="Arial"/>
          <w:b/>
        </w:rPr>
        <w:t xml:space="preserve"> of the MJSO</w:t>
      </w:r>
      <w:r>
        <w:rPr>
          <w:rFonts w:ascii="Arial" w:hAnsi="Arial" w:cs="Arial"/>
          <w:b/>
        </w:rPr>
        <w:t>,</w:t>
      </w:r>
      <w:r w:rsidRPr="00FC4048">
        <w:rPr>
          <w:rFonts w:ascii="Arial" w:hAnsi="Arial" w:cs="Arial"/>
          <w:b/>
        </w:rPr>
        <w:t xml:space="preserve"> </w:t>
      </w:r>
      <w:r>
        <w:rPr>
          <w:rFonts w:ascii="Arial" w:hAnsi="Arial" w:cs="Arial"/>
          <w:b/>
        </w:rPr>
        <w:t>1 March 2016 – 31 May</w:t>
      </w:r>
      <w:r w:rsidRPr="00FC4048">
        <w:rPr>
          <w:rFonts w:ascii="Arial" w:hAnsi="Arial" w:cs="Arial"/>
          <w:b/>
        </w:rPr>
        <w:t xml:space="preserve"> 201</w:t>
      </w:r>
      <w:r>
        <w:rPr>
          <w:rFonts w:ascii="Arial" w:hAnsi="Arial" w:cs="Arial"/>
          <w:b/>
        </w:rPr>
        <w:t>6:</w:t>
      </w:r>
    </w:p>
    <w:p w:rsidR="00CC0F5A" w:rsidRDefault="00CC0F5A" w:rsidP="006E3C8C">
      <w:pPr>
        <w:pStyle w:val="ListParagraph"/>
        <w:numPr>
          <w:ilvl w:val="0"/>
          <w:numId w:val="1"/>
        </w:numPr>
        <w:spacing w:after="0" w:line="240" w:lineRule="auto"/>
        <w:ind w:left="-283" w:right="261" w:hanging="284"/>
        <w:jc w:val="both"/>
        <w:rPr>
          <w:rFonts w:ascii="Arial" w:hAnsi="Arial" w:cs="Arial"/>
          <w:sz w:val="20"/>
          <w:szCs w:val="20"/>
        </w:rPr>
      </w:pPr>
      <w:r>
        <w:rPr>
          <w:rFonts w:ascii="Arial" w:hAnsi="Arial" w:cs="Arial"/>
          <w:sz w:val="20"/>
          <w:szCs w:val="20"/>
        </w:rPr>
        <w:t>Updated CDNA of the current outbreak situation and MJSO activities;</w:t>
      </w:r>
    </w:p>
    <w:p w:rsidR="00CC0F5A" w:rsidRPr="003418A4" w:rsidRDefault="00CC0F5A" w:rsidP="006E3C8C">
      <w:pPr>
        <w:pStyle w:val="ListParagraph"/>
        <w:numPr>
          <w:ilvl w:val="0"/>
          <w:numId w:val="1"/>
        </w:numPr>
        <w:spacing w:after="0" w:line="240" w:lineRule="auto"/>
        <w:ind w:left="-283" w:right="261" w:hanging="284"/>
        <w:jc w:val="both"/>
        <w:rPr>
          <w:rFonts w:ascii="Arial" w:hAnsi="Arial" w:cs="Arial"/>
          <w:sz w:val="20"/>
          <w:szCs w:val="20"/>
        </w:rPr>
      </w:pPr>
      <w:r w:rsidRPr="00F05FAD">
        <w:rPr>
          <w:rFonts w:ascii="Arial" w:hAnsi="Arial" w:cs="Arial"/>
          <w:sz w:val="20"/>
          <w:szCs w:val="20"/>
        </w:rPr>
        <w:t xml:space="preserve"> </w:t>
      </w:r>
      <w:r w:rsidRPr="003418A4">
        <w:rPr>
          <w:rFonts w:ascii="Arial" w:hAnsi="Arial" w:cs="Arial"/>
          <w:sz w:val="20"/>
          <w:szCs w:val="20"/>
        </w:rPr>
        <w:t>Developed a pape</w:t>
      </w:r>
      <w:r w:rsidRPr="00F05FAD">
        <w:rPr>
          <w:rFonts w:ascii="Arial" w:hAnsi="Arial" w:cs="Arial"/>
          <w:sz w:val="20"/>
          <w:szCs w:val="20"/>
        </w:rPr>
        <w:t>r which summarise</w:t>
      </w:r>
      <w:r>
        <w:rPr>
          <w:rFonts w:ascii="Arial" w:hAnsi="Arial" w:cs="Arial"/>
          <w:sz w:val="20"/>
          <w:szCs w:val="20"/>
        </w:rPr>
        <w:t xml:space="preserve">s </w:t>
      </w:r>
      <w:r w:rsidRPr="003418A4">
        <w:rPr>
          <w:rFonts w:ascii="Arial" w:hAnsi="Arial" w:cs="Arial"/>
          <w:sz w:val="20"/>
          <w:szCs w:val="20"/>
        </w:rPr>
        <w:t>the barriers and issues identified in the outbreak response and the proposed actions to address these barriers/issues</w:t>
      </w:r>
      <w:r>
        <w:rPr>
          <w:rFonts w:ascii="Arial" w:hAnsi="Arial" w:cs="Arial"/>
          <w:sz w:val="20"/>
          <w:szCs w:val="20"/>
        </w:rPr>
        <w:t>;</w:t>
      </w:r>
      <w:r w:rsidRPr="003418A4">
        <w:rPr>
          <w:rFonts w:ascii="Arial" w:hAnsi="Arial" w:cs="Arial"/>
          <w:sz w:val="20"/>
          <w:szCs w:val="20"/>
        </w:rPr>
        <w:t xml:space="preserve"> </w:t>
      </w:r>
    </w:p>
    <w:p w:rsidR="00CC0F5A" w:rsidRPr="00D61AFB" w:rsidRDefault="00CC0F5A" w:rsidP="006E3C8C">
      <w:pPr>
        <w:pStyle w:val="ListParagraph"/>
        <w:numPr>
          <w:ilvl w:val="0"/>
          <w:numId w:val="1"/>
        </w:numPr>
        <w:spacing w:after="0" w:line="240" w:lineRule="auto"/>
        <w:ind w:left="-283" w:right="261" w:hanging="284"/>
        <w:jc w:val="both"/>
        <w:rPr>
          <w:rFonts w:ascii="Arial" w:hAnsi="Arial" w:cs="Arial"/>
          <w:sz w:val="20"/>
          <w:szCs w:val="20"/>
        </w:rPr>
      </w:pPr>
      <w:r w:rsidRPr="00D61AFB">
        <w:rPr>
          <w:rFonts w:ascii="Arial" w:hAnsi="Arial" w:cs="Arial"/>
          <w:sz w:val="20"/>
          <w:szCs w:val="20"/>
        </w:rPr>
        <w:t xml:space="preserve">Submitted various abstracts to a number of conferences; </w:t>
      </w:r>
    </w:p>
    <w:p w:rsidR="00CC0F5A" w:rsidRPr="00D61AFB" w:rsidRDefault="00CC0F5A" w:rsidP="006E3C8C">
      <w:pPr>
        <w:pStyle w:val="ListParagraph"/>
        <w:numPr>
          <w:ilvl w:val="0"/>
          <w:numId w:val="1"/>
        </w:numPr>
        <w:spacing w:after="0" w:line="240" w:lineRule="auto"/>
        <w:ind w:left="-283" w:right="261" w:hanging="284"/>
        <w:jc w:val="both"/>
        <w:rPr>
          <w:rFonts w:ascii="Arial" w:hAnsi="Arial" w:cs="Arial"/>
          <w:sz w:val="20"/>
          <w:szCs w:val="20"/>
        </w:rPr>
      </w:pPr>
      <w:r w:rsidRPr="00D61AFB">
        <w:rPr>
          <w:rFonts w:ascii="Arial" w:hAnsi="Arial" w:cs="Arial"/>
          <w:sz w:val="20"/>
          <w:szCs w:val="20"/>
        </w:rPr>
        <w:t xml:space="preserve">Disseminated information through the GP Round Table and Aboriginal and Torres Strait Islander Health Partnership Forums; </w:t>
      </w:r>
    </w:p>
    <w:p w:rsidR="00CC0F5A" w:rsidRPr="00D61AFB" w:rsidRDefault="00CC0F5A" w:rsidP="006E3C8C">
      <w:pPr>
        <w:pStyle w:val="ListParagraph"/>
        <w:numPr>
          <w:ilvl w:val="0"/>
          <w:numId w:val="1"/>
        </w:numPr>
        <w:spacing w:after="0" w:line="240" w:lineRule="auto"/>
        <w:ind w:left="-283" w:right="261" w:hanging="284"/>
        <w:jc w:val="both"/>
        <w:rPr>
          <w:rFonts w:ascii="Arial" w:hAnsi="Arial" w:cs="Arial"/>
          <w:sz w:val="20"/>
          <w:szCs w:val="20"/>
        </w:rPr>
      </w:pPr>
      <w:r w:rsidRPr="00D61AFB">
        <w:rPr>
          <w:rFonts w:ascii="Arial" w:hAnsi="Arial" w:cs="Arial"/>
          <w:sz w:val="20"/>
          <w:szCs w:val="20"/>
        </w:rPr>
        <w:t>Agreed to the development of a centralised webpage which will provide information to the public on the outbreak;</w:t>
      </w:r>
      <w:r>
        <w:rPr>
          <w:rFonts w:ascii="Arial" w:hAnsi="Arial" w:cs="Arial"/>
          <w:sz w:val="20"/>
          <w:szCs w:val="20"/>
        </w:rPr>
        <w:t xml:space="preserve"> and</w:t>
      </w:r>
      <w:r w:rsidRPr="00D61AFB">
        <w:rPr>
          <w:rFonts w:ascii="Arial" w:hAnsi="Arial" w:cs="Arial"/>
          <w:sz w:val="20"/>
          <w:szCs w:val="20"/>
        </w:rPr>
        <w:t xml:space="preserve">  </w:t>
      </w:r>
    </w:p>
    <w:p w:rsidR="00CC0F5A" w:rsidRPr="00D61AFB" w:rsidRDefault="00CC0F5A" w:rsidP="006E3C8C">
      <w:pPr>
        <w:pStyle w:val="ListParagraph"/>
        <w:numPr>
          <w:ilvl w:val="0"/>
          <w:numId w:val="1"/>
        </w:numPr>
        <w:spacing w:after="0" w:line="240" w:lineRule="auto"/>
        <w:ind w:left="-283" w:right="261" w:hanging="284"/>
        <w:jc w:val="both"/>
        <w:rPr>
          <w:rFonts w:ascii="Arial" w:hAnsi="Arial" w:cs="Arial"/>
          <w:sz w:val="20"/>
          <w:szCs w:val="20"/>
        </w:rPr>
      </w:pPr>
      <w:r w:rsidRPr="00D61AFB">
        <w:rPr>
          <w:rFonts w:ascii="Arial" w:hAnsi="Arial" w:cs="Arial"/>
          <w:sz w:val="20"/>
          <w:szCs w:val="20"/>
        </w:rPr>
        <w:t>Consulted with the MJSO’s Data Working Group (DWG), on a regular basis, to address epidemiological questions pertinent to the outbreak, including development of indicators to measure the goals in the MJSO’s Terms of Reference</w:t>
      </w:r>
      <w:r>
        <w:rPr>
          <w:rFonts w:ascii="Arial" w:hAnsi="Arial" w:cs="Arial"/>
          <w:sz w:val="20"/>
          <w:szCs w:val="20"/>
        </w:rPr>
        <w:t>.</w:t>
      </w:r>
    </w:p>
    <w:p w:rsidR="00CC0F5A" w:rsidRDefault="00CC0F5A" w:rsidP="006721AA">
      <w:pPr>
        <w:rPr>
          <w:rFonts w:ascii="Arial" w:hAnsi="Arial" w:cs="Arial"/>
          <w:b/>
        </w:rPr>
      </w:pPr>
    </w:p>
    <w:p w:rsidR="00CC0F5A" w:rsidRPr="00884C9E" w:rsidRDefault="00CC0F5A" w:rsidP="006E3C8C">
      <w:pPr>
        <w:ind w:left="-567"/>
        <w:rPr>
          <w:rFonts w:ascii="Arial" w:hAnsi="Arial" w:cs="Arial"/>
          <w:b/>
        </w:rPr>
      </w:pPr>
      <w:r w:rsidRPr="00884C9E">
        <w:rPr>
          <w:rFonts w:ascii="Arial" w:hAnsi="Arial" w:cs="Arial"/>
          <w:b/>
        </w:rPr>
        <w:t>Community engagement</w:t>
      </w:r>
    </w:p>
    <w:p w:rsidR="00CC0F5A" w:rsidRPr="00E47145" w:rsidRDefault="00CC0F5A" w:rsidP="006E3C8C">
      <w:pPr>
        <w:pStyle w:val="ListParagraph"/>
        <w:numPr>
          <w:ilvl w:val="0"/>
          <w:numId w:val="1"/>
        </w:numPr>
        <w:spacing w:after="0" w:line="240" w:lineRule="auto"/>
        <w:ind w:left="-283" w:right="261" w:hanging="284"/>
        <w:jc w:val="both"/>
        <w:rPr>
          <w:rFonts w:ascii="Arial" w:hAnsi="Arial"/>
          <w:color w:val="000000" w:themeColor="text1"/>
          <w:sz w:val="20"/>
          <w:szCs w:val="21"/>
        </w:rPr>
      </w:pPr>
      <w:r w:rsidRPr="00E47145">
        <w:rPr>
          <w:rFonts w:ascii="Arial" w:hAnsi="Arial"/>
          <w:color w:val="000000" w:themeColor="text1"/>
          <w:sz w:val="20"/>
          <w:szCs w:val="21"/>
        </w:rPr>
        <w:t>A sub-group, Engaging Aboriginal and Torres Strait Islander Communities (EAC) meets monthly, and reports back to the MJSO with suggestions for improved community engagement. During this period, the EAC received Commonwealth approval for funding of a multijurisdictional campaign to increase community awareness of the outbreak and the need for testing.</w:t>
      </w:r>
    </w:p>
    <w:p w:rsidR="00CC0F5A" w:rsidRDefault="00CC0F5A" w:rsidP="006721AA">
      <w:pPr>
        <w:ind w:right="261" w:hanging="567"/>
        <w:jc w:val="both"/>
        <w:rPr>
          <w:rFonts w:ascii="Arial" w:hAnsi="Arial" w:cs="Arial"/>
          <w:b/>
        </w:rPr>
      </w:pPr>
    </w:p>
    <w:p w:rsidR="00CC0F5A" w:rsidRPr="004A667D" w:rsidRDefault="00CC0F5A" w:rsidP="006721AA">
      <w:pPr>
        <w:ind w:right="261" w:hanging="567"/>
        <w:jc w:val="both"/>
        <w:rPr>
          <w:rFonts w:ascii="Arial" w:hAnsi="Arial" w:cs="Arial"/>
          <w:sz w:val="20"/>
          <w:szCs w:val="20"/>
        </w:rPr>
      </w:pPr>
    </w:p>
    <w:p w:rsidR="00CC0F5A" w:rsidRDefault="00CC0F5A" w:rsidP="006721AA">
      <w:r>
        <w:br w:type="page"/>
      </w:r>
    </w:p>
    <w:p w:rsidR="00CC0F5A" w:rsidRPr="004D2D7F" w:rsidRDefault="00CC0F5A" w:rsidP="002051A3">
      <w:pPr>
        <w:pStyle w:val="Heading1"/>
        <w:ind w:left="-567"/>
        <w:jc w:val="center"/>
        <w:rPr>
          <w:rFonts w:eastAsiaTheme="minorHAnsi"/>
        </w:rPr>
      </w:pPr>
      <w:r w:rsidRPr="004D2D7F">
        <w:rPr>
          <w:rFonts w:eastAsiaTheme="minorHAnsi"/>
        </w:rPr>
        <w:t>MULTIJURISDICTIONAL SYPHILIS OUTBREAK WORKING GROUP (MJSO)</w:t>
      </w:r>
    </w:p>
    <w:p w:rsidR="00CC0F5A" w:rsidRPr="004D2D7F" w:rsidRDefault="00CC0F5A" w:rsidP="006E3C8C">
      <w:pPr>
        <w:spacing w:before="200"/>
        <w:ind w:left="-567" w:right="-612"/>
        <w:jc w:val="center"/>
        <w:rPr>
          <w:rFonts w:ascii="Arial" w:hAnsi="Arial" w:cs="Arial"/>
          <w:sz w:val="28"/>
          <w:szCs w:val="28"/>
        </w:rPr>
      </w:pPr>
      <w:r w:rsidRPr="004D2D7F">
        <w:rPr>
          <w:rFonts w:ascii="Arial" w:hAnsi="Arial" w:cs="Arial"/>
          <w:b/>
          <w:sz w:val="28"/>
          <w:szCs w:val="28"/>
        </w:rPr>
        <w:t xml:space="preserve">Meeting Communique, 21 July 2016 </w:t>
      </w:r>
      <w:r w:rsidRPr="004D2D7F">
        <w:rPr>
          <w:rFonts w:ascii="Arial" w:hAnsi="Arial" w:cs="Arial"/>
          <w:sz w:val="28"/>
          <w:szCs w:val="28"/>
        </w:rPr>
        <w:t>(3</w:t>
      </w:r>
      <w:r w:rsidRPr="004D2D7F">
        <w:rPr>
          <w:rFonts w:ascii="Arial" w:hAnsi="Arial" w:cs="Arial"/>
          <w:sz w:val="28"/>
          <w:szCs w:val="28"/>
          <w:vertAlign w:val="superscript"/>
        </w:rPr>
        <w:t>rd</w:t>
      </w:r>
      <w:r w:rsidRPr="004D2D7F">
        <w:rPr>
          <w:rFonts w:ascii="Arial" w:hAnsi="Arial" w:cs="Arial"/>
          <w:sz w:val="28"/>
          <w:szCs w:val="28"/>
        </w:rPr>
        <w:t xml:space="preserve"> communique)</w:t>
      </w:r>
    </w:p>
    <w:p w:rsidR="00CC0F5A" w:rsidRPr="004D2D7F" w:rsidRDefault="00CC0F5A" w:rsidP="006E3C8C">
      <w:pPr>
        <w:ind w:left="-567" w:right="-612"/>
        <w:jc w:val="center"/>
        <w:rPr>
          <w:rFonts w:ascii="Arial" w:hAnsi="Arial" w:cs="Arial"/>
          <w:b/>
        </w:rPr>
      </w:pPr>
      <w:r w:rsidRPr="004D2D7F">
        <w:rPr>
          <w:rFonts w:ascii="Arial" w:hAnsi="Arial" w:cs="Arial"/>
          <w:b/>
        </w:rPr>
        <w:t>This communique has been authorised by the chair of the MJSO, Dr Nathan Ryder.</w:t>
      </w:r>
    </w:p>
    <w:p w:rsidR="00CC0F5A" w:rsidRPr="004D2D7F" w:rsidRDefault="00CC0F5A" w:rsidP="006E3C8C">
      <w:pPr>
        <w:ind w:left="-567" w:right="-613"/>
        <w:rPr>
          <w:rFonts w:ascii="Arial" w:hAnsi="Arial" w:cs="Arial"/>
          <w:sz w:val="12"/>
          <w:szCs w:val="12"/>
        </w:rPr>
      </w:pPr>
    </w:p>
    <w:p w:rsidR="00CC0F5A" w:rsidRPr="004D2D7F" w:rsidRDefault="00CC0F5A" w:rsidP="006E3C8C">
      <w:pPr>
        <w:ind w:left="-567"/>
        <w:rPr>
          <w:rFonts w:ascii="Arial" w:hAnsi="Arial"/>
          <w:sz w:val="20"/>
          <w:szCs w:val="21"/>
        </w:rPr>
      </w:pPr>
      <w:r w:rsidRPr="004D2D7F">
        <w:rPr>
          <w:rFonts w:ascii="Arial" w:hAnsi="Arial" w:cs="Arial"/>
          <w:sz w:val="20"/>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4D2D7F">
        <w:rPr>
          <w:rFonts w:ascii="Arial" w:hAnsi="Arial" w:cs="Arial"/>
          <w:color w:val="000000" w:themeColor="text1"/>
          <w:sz w:val="20"/>
          <w:szCs w:val="20"/>
        </w:rPr>
        <w:t xml:space="preserve">rural areas of northern Australia. </w:t>
      </w:r>
      <w:r w:rsidRPr="004D2D7F">
        <w:rPr>
          <w:rFonts w:ascii="Arial" w:hAnsi="Arial"/>
          <w:color w:val="000000" w:themeColor="text1"/>
          <w:sz w:val="20"/>
          <w:szCs w:val="21"/>
        </w:rPr>
        <w:t>Increased notifications associated with the outbreak in northern Australia were first reported in January 2011 in northwest Queensland, followed by the Northern Territory (NT) in July 2013, and the Kimberley region of Western Australia (WA) in June 2014. This communique summarises the outbreak epidemiological data as of 30 June 2016 (current status), and t</w:t>
      </w:r>
      <w:r>
        <w:rPr>
          <w:rFonts w:ascii="Arial" w:hAnsi="Arial"/>
          <w:color w:val="000000" w:themeColor="text1"/>
          <w:sz w:val="20"/>
          <w:szCs w:val="21"/>
        </w:rPr>
        <w:t xml:space="preserve">he activities of the MJSO from </w:t>
      </w:r>
      <w:r w:rsidRPr="004D2D7F">
        <w:rPr>
          <w:rFonts w:ascii="Arial" w:hAnsi="Arial"/>
          <w:color w:val="000000" w:themeColor="text1"/>
          <w:sz w:val="20"/>
          <w:szCs w:val="21"/>
        </w:rPr>
        <w:t>1 June – 30 June 2016.</w:t>
      </w:r>
    </w:p>
    <w:p w:rsidR="00CC0F5A" w:rsidRPr="004D2D7F" w:rsidRDefault="00CC0F5A" w:rsidP="006E3C8C">
      <w:pPr>
        <w:spacing w:line="180" w:lineRule="auto"/>
        <w:ind w:left="-567" w:right="261"/>
        <w:jc w:val="both"/>
        <w:rPr>
          <w:rFonts w:ascii="Arial" w:hAnsi="Arial" w:cs="Arial"/>
          <w:sz w:val="20"/>
          <w:szCs w:val="20"/>
        </w:rPr>
      </w:pPr>
    </w:p>
    <w:p w:rsidR="00CC0F5A" w:rsidRPr="00DA71E2" w:rsidRDefault="00CC0F5A" w:rsidP="006E3C8C">
      <w:pPr>
        <w:pStyle w:val="Heading2"/>
        <w:ind w:left="-567"/>
        <w:rPr>
          <w:rFonts w:eastAsiaTheme="minorHAnsi"/>
        </w:rPr>
      </w:pPr>
      <w:r w:rsidRPr="00DA71E2">
        <w:rPr>
          <w:rFonts w:eastAsiaTheme="minorHAnsi"/>
        </w:rPr>
        <w:t>Current status</w:t>
      </w:r>
    </w:p>
    <w:p w:rsidR="00CC0F5A" w:rsidRPr="004D2D7F" w:rsidRDefault="00CC0F5A" w:rsidP="006E3C8C">
      <w:pPr>
        <w:ind w:left="-567"/>
        <w:rPr>
          <w:rFonts w:ascii="Arial" w:hAnsi="Arial" w:cs="Arial"/>
          <w:sz w:val="20"/>
          <w:szCs w:val="20"/>
        </w:rPr>
      </w:pPr>
      <w:r w:rsidRPr="004D2D7F">
        <w:rPr>
          <w:rFonts w:ascii="Arial" w:hAnsi="Arial" w:cs="Arial"/>
          <w:sz w:val="20"/>
          <w:szCs w:val="20"/>
        </w:rPr>
        <w:t>Outbreak data to 30 June 2016 are summarised in Figure 1 and Table 1 below.</w:t>
      </w:r>
    </w:p>
    <w:p w:rsidR="00CC0F5A" w:rsidRPr="004D2D7F" w:rsidRDefault="00CC0F5A" w:rsidP="006E3C8C">
      <w:pPr>
        <w:ind w:left="-567" w:right="-1"/>
        <w:rPr>
          <w:rFonts w:ascii="Arial" w:hAnsi="Arial" w:cs="Arial"/>
          <w:sz w:val="20"/>
          <w:szCs w:val="20"/>
        </w:rPr>
      </w:pPr>
      <w:r w:rsidRPr="004D2D7F">
        <w:rPr>
          <w:rFonts w:ascii="Arial" w:hAnsi="Arial" w:cs="Arial"/>
          <w:b/>
          <w:sz w:val="20"/>
          <w:szCs w:val="20"/>
        </w:rPr>
        <w:t>Figure 1</w:t>
      </w:r>
      <w:r w:rsidRPr="004D2D7F">
        <w:rPr>
          <w:rFonts w:ascii="Arial" w:hAnsi="Arial" w:cs="Arial"/>
          <w:sz w:val="20"/>
          <w:szCs w:val="20"/>
        </w:rPr>
        <w:t>. Epidemic curve showing outbreak cases of infectious syphilis</w:t>
      </w:r>
      <w:r>
        <w:rPr>
          <w:rStyle w:val="FootnoteReference"/>
          <w:rFonts w:ascii="Arial" w:hAnsi="Arial" w:cs="Arial"/>
          <w:sz w:val="20"/>
          <w:szCs w:val="20"/>
        </w:rPr>
        <w:footnoteReference w:id="7"/>
      </w:r>
      <w:r w:rsidRPr="004D2D7F">
        <w:rPr>
          <w:rFonts w:ascii="Arial" w:hAnsi="Arial" w:cs="Arial"/>
          <w:sz w:val="20"/>
          <w:szCs w:val="20"/>
        </w:rPr>
        <w:t xml:space="preserve"> notified in affected regions</w:t>
      </w:r>
      <w:r>
        <w:rPr>
          <w:rStyle w:val="FootnoteReference"/>
          <w:rFonts w:ascii="Arial" w:hAnsi="Arial" w:cs="Arial"/>
          <w:sz w:val="20"/>
          <w:szCs w:val="20"/>
        </w:rPr>
        <w:footnoteReference w:id="8"/>
      </w:r>
      <w:r w:rsidRPr="004D2D7F">
        <w:rPr>
          <w:rFonts w:ascii="Arial" w:hAnsi="Arial" w:cs="Arial"/>
          <w:sz w:val="20"/>
          <w:szCs w:val="20"/>
        </w:rPr>
        <w:t xml:space="preserve"> of Queensland, the Northern Territory and Western Australia, from commencement of the outbreak in each jurisdiction to 30 June 2016</w:t>
      </w:r>
      <w:r w:rsidRPr="004D2D7F">
        <w:rPr>
          <w:rFonts w:ascii="Arial" w:hAnsi="Arial" w:cs="Arial"/>
          <w:sz w:val="20"/>
          <w:szCs w:val="20"/>
          <w:vertAlign w:val="superscript"/>
        </w:rPr>
        <w:t>ᵞ</w:t>
      </w:r>
      <w:r w:rsidRPr="004D2D7F">
        <w:rPr>
          <w:rFonts w:ascii="Arial" w:hAnsi="Arial" w:cs="Arial"/>
          <w:sz w:val="20"/>
          <w:szCs w:val="20"/>
        </w:rPr>
        <w:t>.</w:t>
      </w:r>
      <w:r w:rsidRPr="004D2D7F">
        <w:rPr>
          <w:rFonts w:ascii="Arial" w:hAnsi="Arial" w:cs="Arial"/>
          <w:noProof/>
          <w:sz w:val="20"/>
          <w:szCs w:val="20"/>
          <w:lang w:eastAsia="en-AU"/>
        </w:rPr>
        <w:drawing>
          <wp:inline distT="0" distB="0" distL="0" distR="0" wp14:anchorId="660A94FC" wp14:editId="3F026821">
            <wp:extent cx="6391490" cy="2476500"/>
            <wp:effectExtent l="0" t="0" r="9525" b="0"/>
            <wp:docPr id="14" name="Picture 14" descr="This figure shows outbreak cases of infectious syphilis between 1 January 2011 to 30 June 2016, notified in affected regions of Queensland, the Northern Territory and Western Australia." title="Figure 1. Epidemic curve showing outbreak cases of infectious syphilis notified in affected regions of Queensland, the Northern Territory and Western Australia, from commencement of the outbreak in each jurisdiction to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529" cy="2478065"/>
                    </a:xfrm>
                    <a:prstGeom prst="rect">
                      <a:avLst/>
                    </a:prstGeom>
                    <a:noFill/>
                  </pic:spPr>
                </pic:pic>
              </a:graphicData>
            </a:graphic>
          </wp:inline>
        </w:drawing>
      </w:r>
    </w:p>
    <w:p w:rsidR="00CC0F5A" w:rsidRDefault="00CC0F5A" w:rsidP="006721AA">
      <w:pPr>
        <w:rPr>
          <w:rFonts w:ascii="Arial" w:hAnsi="Arial" w:cs="Arial"/>
          <w:b/>
          <w:sz w:val="20"/>
          <w:szCs w:val="20"/>
        </w:rPr>
      </w:pPr>
    </w:p>
    <w:p w:rsidR="006E3C8C" w:rsidRDefault="006E3C8C" w:rsidP="006E3C8C">
      <w:pPr>
        <w:ind w:left="-113"/>
        <w:rPr>
          <w:rFonts w:ascii="Arial" w:hAnsi="Arial" w:cs="Arial"/>
          <w:b/>
          <w:sz w:val="20"/>
          <w:szCs w:val="20"/>
        </w:rPr>
      </w:pPr>
      <w:r>
        <w:rPr>
          <w:rFonts w:ascii="Arial" w:hAnsi="Arial" w:cs="Arial"/>
          <w:b/>
          <w:sz w:val="20"/>
          <w:szCs w:val="20"/>
        </w:rPr>
        <w:br w:type="page"/>
      </w:r>
    </w:p>
    <w:p w:rsidR="00CC0F5A" w:rsidRPr="004D2D7F" w:rsidRDefault="00CC0F5A" w:rsidP="006E3C8C">
      <w:pPr>
        <w:ind w:left="-567"/>
        <w:rPr>
          <w:rFonts w:ascii="Arial" w:hAnsi="Arial" w:cs="Arial"/>
          <w:sz w:val="20"/>
          <w:szCs w:val="20"/>
        </w:rPr>
      </w:pPr>
      <w:r w:rsidRPr="004D2D7F">
        <w:rPr>
          <w:rFonts w:ascii="Arial" w:hAnsi="Arial" w:cs="Arial"/>
          <w:b/>
          <w:sz w:val="20"/>
          <w:szCs w:val="20"/>
        </w:rPr>
        <w:t xml:space="preserve">Table 1. </w:t>
      </w:r>
      <w:r w:rsidRPr="004D2D7F">
        <w:rPr>
          <w:rFonts w:ascii="Arial" w:hAnsi="Arial" w:cs="Arial"/>
          <w:sz w:val="20"/>
          <w:szCs w:val="20"/>
        </w:rPr>
        <w:t>Characteristics of outbreak cases of infectious syphilis notified in affected regions of Queensland, the Northern Territory and Western Australia, to 30 June 2016</w:t>
      </w:r>
      <w:r>
        <w:rPr>
          <w:rStyle w:val="FootnoteReference"/>
          <w:rFonts w:ascii="Arial" w:hAnsi="Arial" w:cs="Arial"/>
          <w:sz w:val="20"/>
          <w:szCs w:val="20"/>
        </w:rPr>
        <w:footnoteReference w:id="9"/>
      </w:r>
      <w:r w:rsidRPr="004D2D7F">
        <w:rPr>
          <w:rFonts w:ascii="Arial" w:hAnsi="Arial" w:cs="Arial"/>
          <w:sz w:val="20"/>
          <w:szCs w:val="20"/>
        </w:rPr>
        <w:t>.</w:t>
      </w:r>
    </w:p>
    <w:tbl>
      <w:tblPr>
        <w:tblStyle w:val="TableGrid11"/>
        <w:tblW w:w="10348" w:type="dxa"/>
        <w:jc w:val="center"/>
        <w:tblLook w:val="04A0" w:firstRow="1" w:lastRow="0" w:firstColumn="1" w:lastColumn="0" w:noHBand="0" w:noVBand="1"/>
        <w:tblCaption w:val="Table 1. Characteristics of outbreak cases of infectious syphilis notified in affected regions of Queensland, the Northern Territory and Western Australia, to 30 June 2016"/>
        <w:tblDescription w:val="This table shows the number of infectious syphilis outbreak cases notified in affected regions and outbreak associated congenital syphilis cases and deaths."/>
      </w:tblPr>
      <w:tblGrid>
        <w:gridCol w:w="3686"/>
        <w:gridCol w:w="2126"/>
        <w:gridCol w:w="2126"/>
        <w:gridCol w:w="2410"/>
      </w:tblGrid>
      <w:tr w:rsidR="00CC0F5A" w:rsidRPr="004D2D7F" w:rsidTr="006E3C8C">
        <w:trPr>
          <w:tblHeader/>
          <w:jc w:val="center"/>
        </w:trPr>
        <w:tc>
          <w:tcPr>
            <w:tcW w:w="3686" w:type="dxa"/>
          </w:tcPr>
          <w:p w:rsidR="00CC0F5A" w:rsidRPr="004D2D7F" w:rsidRDefault="00CC0F5A" w:rsidP="006721AA">
            <w:pPr>
              <w:ind w:hanging="34"/>
              <w:rPr>
                <w:sz w:val="20"/>
                <w:szCs w:val="20"/>
              </w:rPr>
            </w:pPr>
          </w:p>
        </w:tc>
        <w:tc>
          <w:tcPr>
            <w:tcW w:w="2126" w:type="dxa"/>
            <w:shd w:val="clear" w:color="auto" w:fill="C6D9F1" w:themeFill="text2" w:themeFillTint="33"/>
          </w:tcPr>
          <w:p w:rsidR="00CC0F5A" w:rsidRPr="004D2D7F" w:rsidRDefault="00CC0F5A" w:rsidP="006721AA">
            <w:pPr>
              <w:ind w:hanging="34"/>
              <w:jc w:val="center"/>
              <w:rPr>
                <w:b/>
                <w:sz w:val="20"/>
                <w:szCs w:val="20"/>
              </w:rPr>
            </w:pPr>
            <w:r w:rsidRPr="004D2D7F">
              <w:rPr>
                <w:b/>
                <w:sz w:val="20"/>
                <w:szCs w:val="20"/>
                <w:shd w:val="clear" w:color="auto" w:fill="C6D9F1" w:themeFill="text2" w:themeFillTint="33"/>
              </w:rPr>
              <w:t>North Qld (four HHSs</w:t>
            </w:r>
            <w:r w:rsidRPr="004D2D7F">
              <w:rPr>
                <w:b/>
                <w:sz w:val="20"/>
                <w:szCs w:val="20"/>
                <w:shd w:val="clear" w:color="auto" w:fill="C6D9F1" w:themeFill="text2" w:themeFillTint="33"/>
                <w:vertAlign w:val="superscript"/>
              </w:rPr>
              <w:t>β</w:t>
            </w:r>
            <w:r w:rsidRPr="004D2D7F">
              <w:rPr>
                <w:b/>
                <w:sz w:val="20"/>
                <w:szCs w:val="20"/>
              </w:rPr>
              <w:t>)</w:t>
            </w:r>
          </w:p>
        </w:tc>
        <w:tc>
          <w:tcPr>
            <w:tcW w:w="2126" w:type="dxa"/>
            <w:shd w:val="clear" w:color="auto" w:fill="DAEEF3" w:themeFill="accent5" w:themeFillTint="33"/>
          </w:tcPr>
          <w:p w:rsidR="00CC0F5A" w:rsidRPr="004D2D7F" w:rsidRDefault="00CC0F5A" w:rsidP="006721AA">
            <w:pPr>
              <w:ind w:hanging="34"/>
              <w:jc w:val="center"/>
              <w:rPr>
                <w:b/>
                <w:sz w:val="20"/>
                <w:szCs w:val="20"/>
              </w:rPr>
            </w:pPr>
            <w:r w:rsidRPr="004D2D7F">
              <w:rPr>
                <w:b/>
                <w:sz w:val="20"/>
                <w:szCs w:val="20"/>
              </w:rPr>
              <w:t>NT (four regions</w:t>
            </w:r>
            <w:r w:rsidRPr="004D2D7F">
              <w:rPr>
                <w:b/>
                <w:sz w:val="20"/>
                <w:szCs w:val="20"/>
                <w:vertAlign w:val="superscript"/>
              </w:rPr>
              <w:t xml:space="preserve"> β</w:t>
            </w:r>
            <w:r w:rsidRPr="004D2D7F">
              <w:rPr>
                <w:b/>
                <w:sz w:val="20"/>
                <w:szCs w:val="20"/>
              </w:rPr>
              <w:t>)</w:t>
            </w:r>
          </w:p>
        </w:tc>
        <w:tc>
          <w:tcPr>
            <w:tcW w:w="2410" w:type="dxa"/>
            <w:shd w:val="clear" w:color="auto" w:fill="E5DFEC" w:themeFill="accent4" w:themeFillTint="33"/>
          </w:tcPr>
          <w:p w:rsidR="00CC0F5A" w:rsidRPr="004D2D7F" w:rsidRDefault="00CC0F5A" w:rsidP="006721AA">
            <w:pPr>
              <w:ind w:hanging="34"/>
              <w:jc w:val="center"/>
              <w:rPr>
                <w:b/>
                <w:sz w:val="20"/>
                <w:szCs w:val="20"/>
              </w:rPr>
            </w:pPr>
            <w:r w:rsidRPr="004D2D7F">
              <w:rPr>
                <w:b/>
                <w:sz w:val="20"/>
                <w:szCs w:val="20"/>
              </w:rPr>
              <w:t>WA (Kimberley region)</w:t>
            </w:r>
          </w:p>
        </w:tc>
      </w:tr>
      <w:tr w:rsidR="00CC0F5A" w:rsidRPr="004D2D7F" w:rsidTr="006E3C8C">
        <w:trPr>
          <w:jc w:val="center"/>
        </w:trPr>
        <w:tc>
          <w:tcPr>
            <w:tcW w:w="3686" w:type="dxa"/>
            <w:shd w:val="clear" w:color="auto" w:fill="B8CCE4" w:themeFill="accent1" w:themeFillTint="66"/>
          </w:tcPr>
          <w:p w:rsidR="00CC0F5A" w:rsidRPr="004D2D7F" w:rsidRDefault="00CC0F5A" w:rsidP="006721AA">
            <w:pPr>
              <w:ind w:hanging="34"/>
              <w:rPr>
                <w:sz w:val="20"/>
                <w:szCs w:val="20"/>
              </w:rPr>
            </w:pPr>
            <w:r w:rsidRPr="004D2D7F">
              <w:rPr>
                <w:sz w:val="20"/>
                <w:szCs w:val="20"/>
              </w:rPr>
              <w:t>Situation to-date, 30 June 2016</w:t>
            </w:r>
          </w:p>
        </w:tc>
        <w:tc>
          <w:tcPr>
            <w:tcW w:w="2126" w:type="dxa"/>
            <w:shd w:val="clear" w:color="auto" w:fill="B8CCE4" w:themeFill="accent1" w:themeFillTint="66"/>
          </w:tcPr>
          <w:p w:rsidR="00CC0F5A" w:rsidRPr="004D2D7F" w:rsidRDefault="00CC0F5A" w:rsidP="006721AA">
            <w:pPr>
              <w:ind w:hanging="34"/>
              <w:rPr>
                <w:sz w:val="20"/>
                <w:szCs w:val="20"/>
              </w:rPr>
            </w:pPr>
          </w:p>
        </w:tc>
        <w:tc>
          <w:tcPr>
            <w:tcW w:w="2126" w:type="dxa"/>
            <w:shd w:val="clear" w:color="auto" w:fill="B8CCE4" w:themeFill="accent1" w:themeFillTint="66"/>
          </w:tcPr>
          <w:p w:rsidR="00CC0F5A" w:rsidRPr="004D2D7F" w:rsidRDefault="00CC0F5A" w:rsidP="006721AA">
            <w:pPr>
              <w:ind w:hanging="34"/>
              <w:rPr>
                <w:sz w:val="20"/>
                <w:szCs w:val="20"/>
              </w:rPr>
            </w:pPr>
          </w:p>
        </w:tc>
        <w:tc>
          <w:tcPr>
            <w:tcW w:w="2410" w:type="dxa"/>
            <w:shd w:val="clear" w:color="auto" w:fill="B8CCE4" w:themeFill="accent1" w:themeFillTint="66"/>
          </w:tcPr>
          <w:p w:rsidR="00CC0F5A" w:rsidRPr="004D2D7F" w:rsidRDefault="00CC0F5A" w:rsidP="006721AA">
            <w:pPr>
              <w:ind w:hanging="34"/>
              <w:rPr>
                <w:sz w:val="20"/>
                <w:szCs w:val="20"/>
              </w:rPr>
            </w:pP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Outbreak commencement month/</w:t>
            </w:r>
            <w:proofErr w:type="spellStart"/>
            <w:r w:rsidRPr="004D2D7F">
              <w:rPr>
                <w:sz w:val="20"/>
                <w:szCs w:val="20"/>
              </w:rPr>
              <w:t>yr</w:t>
            </w:r>
            <w:proofErr w:type="spellEnd"/>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January 2011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July 2013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June 2014</w:t>
            </w: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Total number of cases</w:t>
            </w:r>
            <w:r w:rsidRPr="004D2D7F">
              <w:rPr>
                <w:b/>
                <w:sz w:val="20"/>
                <w:szCs w:val="20"/>
                <w:vertAlign w:val="superscript"/>
              </w:rPr>
              <w:t xml:space="preserve"> </w:t>
            </w:r>
            <w:r w:rsidRPr="004D2D7F">
              <w:rPr>
                <w:sz w:val="20"/>
                <w:szCs w:val="20"/>
                <w:vertAlign w:val="superscript"/>
              </w:rPr>
              <w:t>α</w:t>
            </w:r>
          </w:p>
        </w:tc>
        <w:tc>
          <w:tcPr>
            <w:tcW w:w="2126" w:type="dxa"/>
            <w:shd w:val="clear" w:color="auto" w:fill="C6D9F1" w:themeFill="text2" w:themeFillTint="33"/>
            <w:vAlign w:val="center"/>
          </w:tcPr>
          <w:p w:rsidR="00CC0F5A" w:rsidRPr="004D2D7F" w:rsidRDefault="00CC0F5A" w:rsidP="006721AA">
            <w:pPr>
              <w:ind w:hanging="34"/>
              <w:jc w:val="center"/>
              <w:rPr>
                <w:b/>
                <w:sz w:val="20"/>
                <w:szCs w:val="20"/>
                <w:vertAlign w:val="superscript"/>
              </w:rPr>
            </w:pPr>
            <w:r w:rsidRPr="004D2D7F">
              <w:rPr>
                <w:b/>
                <w:sz w:val="20"/>
                <w:szCs w:val="20"/>
              </w:rPr>
              <w:t>618</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316</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61</w:t>
            </w: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71%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83%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74%</w:t>
            </w: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48% / 52%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47% / 53%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34% /66%</w:t>
            </w: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Congenital cases, confirmed (probable)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 (1)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1 (2)</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 (0)</w:t>
            </w:r>
          </w:p>
        </w:tc>
      </w:tr>
      <w:tr w:rsidR="00CC0F5A" w:rsidRPr="004D2D7F" w:rsidTr="006E3C8C">
        <w:trPr>
          <w:jc w:val="center"/>
        </w:trPr>
        <w:tc>
          <w:tcPr>
            <w:tcW w:w="3686" w:type="dxa"/>
            <w:shd w:val="clear" w:color="auto" w:fill="auto"/>
          </w:tcPr>
          <w:p w:rsidR="00CC0F5A" w:rsidRPr="004D2D7F" w:rsidRDefault="00CC0F5A" w:rsidP="006721AA">
            <w:pPr>
              <w:ind w:hanging="34"/>
              <w:rPr>
                <w:sz w:val="20"/>
                <w:szCs w:val="20"/>
              </w:rPr>
            </w:pPr>
            <w:r w:rsidRPr="004D2D7F">
              <w:rPr>
                <w:sz w:val="20"/>
                <w:szCs w:val="20"/>
              </w:rPr>
              <w:t xml:space="preserve">   -number of deaths in congenital cases</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0</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6E3C8C">
        <w:trPr>
          <w:jc w:val="center"/>
        </w:trPr>
        <w:tc>
          <w:tcPr>
            <w:tcW w:w="3686" w:type="dxa"/>
            <w:shd w:val="clear" w:color="auto" w:fill="B8CCE4" w:themeFill="accent1" w:themeFillTint="66"/>
            <w:vAlign w:val="center"/>
          </w:tcPr>
          <w:p w:rsidR="00CC0F5A" w:rsidRPr="004D2D7F" w:rsidRDefault="00CC0F5A" w:rsidP="006721AA">
            <w:pPr>
              <w:ind w:hanging="34"/>
              <w:rPr>
                <w:sz w:val="20"/>
                <w:szCs w:val="20"/>
              </w:rPr>
            </w:pPr>
            <w:r w:rsidRPr="004D2D7F">
              <w:rPr>
                <w:sz w:val="20"/>
                <w:szCs w:val="20"/>
              </w:rPr>
              <w:t>Last reporting month, 1-30 June 2016</w:t>
            </w:r>
          </w:p>
        </w:tc>
        <w:tc>
          <w:tcPr>
            <w:tcW w:w="2126" w:type="dxa"/>
            <w:shd w:val="clear" w:color="auto" w:fill="B8CCE4" w:themeFill="accent1" w:themeFillTint="66"/>
            <w:vAlign w:val="center"/>
          </w:tcPr>
          <w:p w:rsidR="00CC0F5A" w:rsidRPr="004D2D7F" w:rsidRDefault="00CC0F5A" w:rsidP="006721AA">
            <w:pPr>
              <w:ind w:hanging="34"/>
              <w:rPr>
                <w:sz w:val="20"/>
                <w:szCs w:val="20"/>
              </w:rPr>
            </w:pPr>
          </w:p>
        </w:tc>
        <w:tc>
          <w:tcPr>
            <w:tcW w:w="2126" w:type="dxa"/>
            <w:shd w:val="clear" w:color="auto" w:fill="B8CCE4" w:themeFill="accent1" w:themeFillTint="66"/>
            <w:vAlign w:val="center"/>
          </w:tcPr>
          <w:p w:rsidR="00CC0F5A" w:rsidRPr="004D2D7F" w:rsidRDefault="00CC0F5A" w:rsidP="006721AA">
            <w:pPr>
              <w:ind w:hanging="34"/>
              <w:rPr>
                <w:sz w:val="20"/>
                <w:szCs w:val="20"/>
              </w:rPr>
            </w:pPr>
          </w:p>
        </w:tc>
        <w:tc>
          <w:tcPr>
            <w:tcW w:w="2410" w:type="dxa"/>
            <w:shd w:val="clear" w:color="auto" w:fill="B8CCE4" w:themeFill="accent1" w:themeFillTint="66"/>
            <w:vAlign w:val="center"/>
          </w:tcPr>
          <w:p w:rsidR="00CC0F5A" w:rsidRPr="004D2D7F" w:rsidRDefault="00CC0F5A" w:rsidP="006721AA">
            <w:pPr>
              <w:ind w:hanging="34"/>
              <w:rPr>
                <w:sz w:val="20"/>
                <w:szCs w:val="20"/>
              </w:rPr>
            </w:pP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Number of cases</w:t>
            </w:r>
            <w:r w:rsidRPr="004D2D7F">
              <w:rPr>
                <w:b/>
                <w:sz w:val="20"/>
                <w:szCs w:val="20"/>
                <w:vertAlign w:val="superscript"/>
              </w:rPr>
              <w:t xml:space="preserve"> </w:t>
            </w:r>
            <w:r w:rsidRPr="004D2D7F">
              <w:rPr>
                <w:sz w:val="20"/>
                <w:szCs w:val="20"/>
                <w:vertAlign w:val="superscript"/>
              </w:rPr>
              <w:t>α</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b/>
                <w:sz w:val="20"/>
                <w:szCs w:val="20"/>
              </w:rPr>
            </w:pPr>
            <w:r w:rsidRPr="004D2D7F">
              <w:rPr>
                <w:b/>
                <w:sz w:val="20"/>
                <w:szCs w:val="20"/>
              </w:rPr>
              <w:t>16</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6</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7</w:t>
            </w: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jc w:val="center"/>
              <w:rPr>
                <w:sz w:val="20"/>
                <w:szCs w:val="20"/>
              </w:rPr>
            </w:pPr>
            <w:r w:rsidRPr="004D2D7F">
              <w:rPr>
                <w:sz w:val="20"/>
                <w:szCs w:val="20"/>
              </w:rPr>
              <w:t>63%</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50%</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6E3C8C">
        <w:trPr>
          <w:jc w:val="center"/>
        </w:trPr>
        <w:tc>
          <w:tcPr>
            <w:tcW w:w="3686"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63% / 38%^</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50% / 50%</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43% / 57%</w:t>
            </w:r>
          </w:p>
        </w:tc>
      </w:tr>
    </w:tbl>
    <w:p w:rsidR="00CC0F5A" w:rsidRDefault="00CC0F5A" w:rsidP="006721AA">
      <w:pPr>
        <w:rPr>
          <w:rFonts w:ascii="Arial" w:hAnsi="Arial" w:cs="Arial"/>
          <w:b/>
        </w:rPr>
      </w:pPr>
    </w:p>
    <w:p w:rsidR="00CC0F5A" w:rsidRPr="004D2D7F" w:rsidRDefault="00CC0F5A" w:rsidP="006E3C8C">
      <w:pPr>
        <w:ind w:left="-567"/>
        <w:rPr>
          <w:rFonts w:ascii="Arial" w:hAnsi="Arial" w:cs="Arial"/>
          <w:b/>
        </w:rPr>
      </w:pPr>
      <w:r>
        <w:rPr>
          <w:rFonts w:ascii="Arial" w:hAnsi="Arial" w:cs="Arial"/>
          <w:b/>
        </w:rPr>
        <w:t>A</w:t>
      </w:r>
      <w:r w:rsidRPr="004D2D7F">
        <w:rPr>
          <w:rFonts w:ascii="Arial" w:hAnsi="Arial" w:cs="Arial"/>
          <w:b/>
        </w:rPr>
        <w:t>ctivities of the MJSO, 01 June 2016 – 30 June 2016:</w:t>
      </w:r>
    </w:p>
    <w:p w:rsidR="00CC0F5A" w:rsidRPr="004D2D7F" w:rsidRDefault="00CC0F5A" w:rsidP="006E3C8C">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 xml:space="preserve">Finalised the development of a paper which summarises the barriers and issues identified in the outbreak response and the proposed actions to address these barriers/issues; </w:t>
      </w:r>
    </w:p>
    <w:p w:rsidR="00CC0F5A" w:rsidRPr="004D2D7F" w:rsidRDefault="00CC0F5A" w:rsidP="006E3C8C">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 xml:space="preserve">Finalised the development of a paper which will update the Australian Health Protection Principal Committee on the current outbreak situation and MJSO activities; and </w:t>
      </w:r>
    </w:p>
    <w:p w:rsidR="00CC0F5A" w:rsidRPr="004D2D7F" w:rsidRDefault="00CC0F5A" w:rsidP="006E3C8C">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 xml:space="preserve">Endorsed a </w:t>
      </w:r>
      <w:r w:rsidRPr="004D2D7F">
        <w:rPr>
          <w:rFonts w:ascii="Arial" w:eastAsia="Times New Roman" w:hAnsi="Arial" w:cs="Arial"/>
          <w:color w:val="000000"/>
          <w:sz w:val="20"/>
          <w:szCs w:val="20"/>
        </w:rPr>
        <w:t xml:space="preserve">congenital syphilis outbreak case definition, developed by the </w:t>
      </w:r>
      <w:r w:rsidRPr="004D2D7F">
        <w:rPr>
          <w:rFonts w:ascii="Arial" w:hAnsi="Arial" w:cs="Arial"/>
          <w:sz w:val="20"/>
          <w:szCs w:val="20"/>
        </w:rPr>
        <w:t>MJSO’s Data Working Group (DWG).</w:t>
      </w:r>
      <w:r w:rsidRPr="004D2D7F">
        <w:t xml:space="preserve"> </w:t>
      </w:r>
    </w:p>
    <w:p w:rsidR="00CC0F5A" w:rsidRPr="004D2D7F" w:rsidRDefault="00CC0F5A" w:rsidP="006E3C8C">
      <w:pPr>
        <w:ind w:left="-567" w:right="261"/>
        <w:jc w:val="both"/>
        <w:rPr>
          <w:rFonts w:ascii="Arial" w:hAnsi="Arial" w:cs="Arial"/>
          <w:sz w:val="20"/>
          <w:szCs w:val="20"/>
        </w:rPr>
      </w:pPr>
    </w:p>
    <w:p w:rsidR="00CC0F5A" w:rsidRPr="004D2D7F" w:rsidRDefault="00CC0F5A" w:rsidP="006E3C8C">
      <w:pPr>
        <w:ind w:left="-567" w:right="261"/>
        <w:jc w:val="both"/>
        <w:rPr>
          <w:rFonts w:ascii="Arial" w:hAnsi="Arial" w:cs="Arial"/>
          <w:b/>
        </w:rPr>
      </w:pPr>
      <w:r w:rsidRPr="004D2D7F">
        <w:rPr>
          <w:rFonts w:ascii="Arial" w:hAnsi="Arial" w:cs="Arial"/>
          <w:b/>
        </w:rPr>
        <w:t>Community engagement</w:t>
      </w:r>
    </w:p>
    <w:p w:rsidR="00CC0F5A" w:rsidRPr="004D2D7F" w:rsidRDefault="00CC0F5A" w:rsidP="006E3C8C">
      <w:pPr>
        <w:numPr>
          <w:ilvl w:val="0"/>
          <w:numId w:val="1"/>
        </w:numPr>
        <w:ind w:left="-283" w:right="261" w:hanging="284"/>
        <w:contextualSpacing/>
        <w:jc w:val="both"/>
        <w:rPr>
          <w:rFonts w:ascii="Arial" w:hAnsi="Arial" w:cs="Arial"/>
          <w:sz w:val="20"/>
          <w:szCs w:val="20"/>
        </w:rPr>
      </w:pPr>
      <w:r w:rsidRPr="004D2D7F">
        <w:rPr>
          <w:rFonts w:ascii="Arial" w:hAnsi="Arial"/>
          <w:color w:val="000000" w:themeColor="text1"/>
          <w:sz w:val="20"/>
          <w:szCs w:val="21"/>
        </w:rPr>
        <w:t xml:space="preserve">During this period, the Community Awareness Campaign plan, arising from a proposal put forward by the MJSO’s Aboriginal and Torres Strait Islander Community Engagement Sub-committee (EAC), was </w:t>
      </w:r>
      <w:r w:rsidRPr="004D2D7F">
        <w:rPr>
          <w:rFonts w:ascii="Arial" w:hAnsi="Arial" w:cs="Arial"/>
          <w:sz w:val="20"/>
          <w:szCs w:val="20"/>
        </w:rPr>
        <w:t>approved by the Commonwealth</w:t>
      </w:r>
      <w:r w:rsidRPr="004D2D7F">
        <w:rPr>
          <w:rFonts w:ascii="Arial" w:hAnsi="Arial"/>
          <w:color w:val="000000" w:themeColor="text1"/>
          <w:sz w:val="20"/>
          <w:szCs w:val="21"/>
        </w:rPr>
        <w:t>. This multijurisdictional campaign will aim to increase community awareness of the outbreak and the need for testing</w:t>
      </w:r>
      <w:r w:rsidRPr="004D2D7F">
        <w:rPr>
          <w:rFonts w:ascii="Arial" w:hAnsi="Arial" w:cs="Arial"/>
          <w:sz w:val="20"/>
          <w:szCs w:val="20"/>
        </w:rPr>
        <w:t xml:space="preserve">. </w:t>
      </w:r>
    </w:p>
    <w:p w:rsidR="00CC0F5A" w:rsidRDefault="00CC0F5A" w:rsidP="006E3C8C">
      <w:pPr>
        <w:ind w:left="-567"/>
      </w:pPr>
      <w:r>
        <w:br w:type="page"/>
      </w:r>
    </w:p>
    <w:p w:rsidR="00CC0F5A" w:rsidRPr="004D2D7F" w:rsidRDefault="00CC0F5A" w:rsidP="002051A3">
      <w:pPr>
        <w:pStyle w:val="Heading1"/>
        <w:ind w:left="-567"/>
        <w:jc w:val="center"/>
        <w:rPr>
          <w:rFonts w:eastAsiaTheme="minorHAnsi"/>
        </w:rPr>
      </w:pPr>
      <w:r w:rsidRPr="004D2D7F">
        <w:rPr>
          <w:rFonts w:eastAsiaTheme="minorHAnsi"/>
        </w:rPr>
        <w:t>MULTIJURISDICTIONAL SYPHILIS OUTBREAK WORKING GROUP (MJSO)</w:t>
      </w:r>
    </w:p>
    <w:p w:rsidR="00CC0F5A" w:rsidRPr="004D2D7F" w:rsidRDefault="00CC0F5A" w:rsidP="004362F8">
      <w:pPr>
        <w:spacing w:before="200"/>
        <w:ind w:left="-567" w:right="-612"/>
        <w:jc w:val="center"/>
        <w:rPr>
          <w:rFonts w:ascii="Arial" w:hAnsi="Arial" w:cs="Arial"/>
          <w:sz w:val="28"/>
          <w:szCs w:val="28"/>
        </w:rPr>
      </w:pPr>
      <w:r w:rsidRPr="004D2D7F">
        <w:rPr>
          <w:rFonts w:ascii="Arial" w:hAnsi="Arial" w:cs="Arial"/>
          <w:b/>
          <w:sz w:val="28"/>
          <w:szCs w:val="28"/>
        </w:rPr>
        <w:t xml:space="preserve">Meeting Communique, 18 August 2016 </w:t>
      </w:r>
      <w:r w:rsidRPr="004D2D7F">
        <w:rPr>
          <w:rFonts w:ascii="Arial" w:hAnsi="Arial" w:cs="Arial"/>
          <w:sz w:val="28"/>
          <w:szCs w:val="28"/>
        </w:rPr>
        <w:t>(4</w:t>
      </w:r>
      <w:r w:rsidRPr="004D2D7F">
        <w:rPr>
          <w:rFonts w:ascii="Arial" w:hAnsi="Arial" w:cs="Arial"/>
          <w:sz w:val="28"/>
          <w:szCs w:val="28"/>
          <w:vertAlign w:val="superscript"/>
        </w:rPr>
        <w:t>th</w:t>
      </w:r>
      <w:r w:rsidRPr="004D2D7F">
        <w:rPr>
          <w:rFonts w:ascii="Arial" w:hAnsi="Arial" w:cs="Arial"/>
          <w:sz w:val="28"/>
          <w:szCs w:val="28"/>
        </w:rPr>
        <w:t xml:space="preserve"> communique)</w:t>
      </w:r>
    </w:p>
    <w:p w:rsidR="00CC0F5A" w:rsidRPr="004D2D7F" w:rsidRDefault="00CC0F5A" w:rsidP="006E3C8C">
      <w:pPr>
        <w:ind w:left="-567" w:right="-612"/>
        <w:jc w:val="center"/>
        <w:rPr>
          <w:rFonts w:ascii="Arial" w:hAnsi="Arial" w:cs="Arial"/>
          <w:b/>
        </w:rPr>
      </w:pPr>
      <w:r w:rsidRPr="004D2D7F">
        <w:rPr>
          <w:rFonts w:ascii="Arial" w:hAnsi="Arial" w:cs="Arial"/>
          <w:b/>
        </w:rPr>
        <w:t>This communique has been authorised by the chair of the MJSO, Dr Nathan Ryder.</w:t>
      </w:r>
    </w:p>
    <w:p w:rsidR="00CC0F5A" w:rsidRPr="004D2D7F" w:rsidRDefault="00CC0F5A" w:rsidP="006E3C8C">
      <w:pPr>
        <w:ind w:left="-567" w:right="-613"/>
        <w:rPr>
          <w:rFonts w:ascii="Arial" w:hAnsi="Arial" w:cs="Arial"/>
          <w:sz w:val="20"/>
          <w:szCs w:val="20"/>
        </w:rPr>
      </w:pPr>
    </w:p>
    <w:p w:rsidR="00CC0F5A" w:rsidRPr="004D2D7F" w:rsidRDefault="00CC0F5A" w:rsidP="006E3C8C">
      <w:pPr>
        <w:ind w:left="-567"/>
        <w:rPr>
          <w:rFonts w:ascii="Arial" w:hAnsi="Arial"/>
          <w:sz w:val="20"/>
          <w:szCs w:val="21"/>
        </w:rPr>
      </w:pPr>
      <w:r w:rsidRPr="004D2D7F">
        <w:rPr>
          <w:rFonts w:ascii="Arial" w:hAnsi="Arial" w:cs="Arial"/>
          <w:sz w:val="20"/>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4D2D7F">
        <w:rPr>
          <w:rFonts w:ascii="Arial" w:hAnsi="Arial" w:cs="Arial"/>
          <w:color w:val="000000" w:themeColor="text1"/>
          <w:sz w:val="20"/>
          <w:szCs w:val="20"/>
        </w:rPr>
        <w:t xml:space="preserve">rural areas of northern Australia. </w:t>
      </w:r>
      <w:r w:rsidRPr="004D2D7F">
        <w:rPr>
          <w:rFonts w:ascii="Arial" w:hAnsi="Arial"/>
          <w:color w:val="000000" w:themeColor="text1"/>
          <w:sz w:val="20"/>
          <w:szCs w:val="21"/>
        </w:rPr>
        <w:t>Increased notifications associated with the outbreak in northern Australia were first reported in January 2011 in northwest Queensland, followed by the Northern Territory (NT) in July 2013, and the Kimberley region of Western Australia (WA) in June 2014. This communique summarises the outbreak epidemiological data as of 31 July 2016 (current status), and the activities of the MJSO from 1 July – 31 July 2016.</w:t>
      </w:r>
    </w:p>
    <w:p w:rsidR="00CC0F5A" w:rsidRPr="004D2D7F" w:rsidRDefault="00CC0F5A" w:rsidP="006E3C8C">
      <w:pPr>
        <w:spacing w:line="180" w:lineRule="auto"/>
        <w:ind w:left="-567" w:right="261"/>
        <w:jc w:val="both"/>
        <w:rPr>
          <w:rFonts w:ascii="Arial" w:hAnsi="Arial" w:cs="Arial"/>
          <w:sz w:val="20"/>
          <w:szCs w:val="20"/>
        </w:rPr>
      </w:pPr>
    </w:p>
    <w:p w:rsidR="00CC0F5A" w:rsidRPr="004D2D7F" w:rsidRDefault="00CC0F5A" w:rsidP="006E3C8C">
      <w:pPr>
        <w:pStyle w:val="Heading2"/>
        <w:ind w:left="-567"/>
        <w:rPr>
          <w:rFonts w:eastAsiaTheme="minorHAnsi"/>
        </w:rPr>
      </w:pPr>
      <w:r w:rsidRPr="004D2D7F">
        <w:rPr>
          <w:rFonts w:eastAsiaTheme="minorHAnsi"/>
        </w:rPr>
        <w:t>Current status</w:t>
      </w:r>
    </w:p>
    <w:p w:rsidR="00CC0F5A" w:rsidRPr="004D2D7F" w:rsidRDefault="00CC0F5A" w:rsidP="006E3C8C">
      <w:pPr>
        <w:ind w:left="-567" w:right="261"/>
        <w:jc w:val="both"/>
        <w:rPr>
          <w:rFonts w:ascii="Arial" w:hAnsi="Arial" w:cs="Arial"/>
          <w:sz w:val="20"/>
          <w:szCs w:val="20"/>
        </w:rPr>
      </w:pPr>
      <w:r w:rsidRPr="00DA71E2">
        <w:rPr>
          <w:rFonts w:ascii="Arial" w:hAnsi="Arial"/>
          <w:color w:val="000000" w:themeColor="text1"/>
          <w:sz w:val="20"/>
          <w:szCs w:val="21"/>
        </w:rPr>
        <w:t>Outbreak data to 31 July 2016 are summarised in Figure 1 and Table 1 below.</w:t>
      </w:r>
    </w:p>
    <w:p w:rsidR="00CC0F5A" w:rsidRPr="004D2D7F" w:rsidRDefault="00CC0F5A" w:rsidP="006E3C8C">
      <w:pPr>
        <w:ind w:left="-567" w:right="261"/>
        <w:jc w:val="both"/>
        <w:rPr>
          <w:rFonts w:ascii="Arial" w:hAnsi="Arial" w:cs="Arial"/>
          <w:sz w:val="20"/>
          <w:szCs w:val="20"/>
        </w:rPr>
      </w:pPr>
    </w:p>
    <w:p w:rsidR="00CC0F5A" w:rsidRPr="004D2D7F" w:rsidRDefault="00CC0F5A" w:rsidP="006E3C8C">
      <w:pPr>
        <w:ind w:left="-567" w:right="-113"/>
        <w:rPr>
          <w:rFonts w:ascii="Arial" w:hAnsi="Arial" w:cs="Arial"/>
          <w:sz w:val="20"/>
          <w:szCs w:val="20"/>
        </w:rPr>
      </w:pPr>
      <w:r w:rsidRPr="004D2D7F">
        <w:rPr>
          <w:rFonts w:ascii="Arial" w:hAnsi="Arial" w:cs="Arial"/>
          <w:b/>
          <w:sz w:val="20"/>
          <w:szCs w:val="20"/>
        </w:rPr>
        <w:t>Figure 1</w:t>
      </w:r>
      <w:r w:rsidRPr="004D2D7F">
        <w:rPr>
          <w:rFonts w:ascii="Arial" w:hAnsi="Arial" w:cs="Arial"/>
          <w:sz w:val="20"/>
          <w:szCs w:val="20"/>
        </w:rPr>
        <w:t>. Epidemic curve showing outbreak cases of infectious syphilis</w:t>
      </w:r>
      <w:r>
        <w:rPr>
          <w:rStyle w:val="FootnoteReference"/>
          <w:rFonts w:ascii="Arial" w:hAnsi="Arial" w:cs="Arial"/>
          <w:sz w:val="20"/>
          <w:szCs w:val="20"/>
        </w:rPr>
        <w:footnoteReference w:id="10"/>
      </w:r>
      <w:r w:rsidRPr="004D2D7F">
        <w:rPr>
          <w:rFonts w:ascii="Arial" w:hAnsi="Arial" w:cs="Arial"/>
          <w:sz w:val="20"/>
          <w:szCs w:val="20"/>
        </w:rPr>
        <w:t xml:space="preserve"> notified in affected regions</w:t>
      </w:r>
      <w:r>
        <w:rPr>
          <w:rStyle w:val="FootnoteReference"/>
          <w:rFonts w:ascii="Arial" w:hAnsi="Arial" w:cs="Arial"/>
          <w:sz w:val="20"/>
          <w:szCs w:val="20"/>
        </w:rPr>
        <w:footnoteReference w:id="11"/>
      </w:r>
      <w:r w:rsidRPr="004D2D7F">
        <w:rPr>
          <w:rFonts w:ascii="Arial" w:hAnsi="Arial" w:cs="Arial"/>
          <w:sz w:val="20"/>
          <w:szCs w:val="20"/>
        </w:rPr>
        <w:t xml:space="preserve"> of Queensland, the Northern Territory and Western Australia, from commencement of the outbreak in each jurisdiction to 31 July 2016</w:t>
      </w:r>
      <w:r w:rsidRPr="004D2D7F">
        <w:rPr>
          <w:rFonts w:ascii="Arial" w:hAnsi="Arial" w:cs="Arial"/>
          <w:sz w:val="20"/>
          <w:szCs w:val="20"/>
          <w:vertAlign w:val="superscript"/>
        </w:rPr>
        <w:t>ᵞ</w:t>
      </w:r>
      <w:r w:rsidRPr="004D2D7F">
        <w:rPr>
          <w:rFonts w:ascii="Arial" w:hAnsi="Arial" w:cs="Arial"/>
          <w:sz w:val="20"/>
          <w:szCs w:val="20"/>
        </w:rPr>
        <w:t>.</w:t>
      </w:r>
    </w:p>
    <w:p w:rsidR="00CC0F5A" w:rsidRPr="004D2D7F" w:rsidRDefault="00CC0F5A" w:rsidP="006E3C8C">
      <w:pPr>
        <w:ind w:left="-567"/>
        <w:jc w:val="right"/>
        <w:rPr>
          <w:rFonts w:ascii="Arial" w:hAnsi="Arial" w:cs="Arial"/>
          <w:sz w:val="20"/>
          <w:szCs w:val="20"/>
        </w:rPr>
      </w:pPr>
      <w:r w:rsidRPr="004D2D7F">
        <w:rPr>
          <w:rFonts w:ascii="Arial" w:hAnsi="Arial" w:cs="Arial"/>
          <w:noProof/>
          <w:sz w:val="20"/>
          <w:szCs w:val="20"/>
          <w:lang w:eastAsia="en-AU"/>
        </w:rPr>
        <w:drawing>
          <wp:inline distT="0" distB="0" distL="0" distR="0" wp14:anchorId="5A6198FF" wp14:editId="6D3754C3">
            <wp:extent cx="6714207" cy="2552700"/>
            <wp:effectExtent l="0" t="0" r="0" b="0"/>
            <wp:docPr id="15" name="Picture 15" descr="This figure shows outbreak cases of infectious syphilis between 1 January 2011 to 31 July 2016, notified in affected regions of Queensland, the Northern Territory and Western Australia." title="Figure 1. Epidemic curve showing outbreak cases of infectious syphilis notified in affected regions of Queensland, the Northern Territory and Western Australia, from commencement of the outbreak in each jurisdiction to 31 Ju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9230" cy="2566015"/>
                    </a:xfrm>
                    <a:prstGeom prst="rect">
                      <a:avLst/>
                    </a:prstGeom>
                    <a:noFill/>
                  </pic:spPr>
                </pic:pic>
              </a:graphicData>
            </a:graphic>
          </wp:inline>
        </w:drawing>
      </w:r>
    </w:p>
    <w:p w:rsidR="00CC0F5A" w:rsidRDefault="00CC0F5A" w:rsidP="006721AA">
      <w:pPr>
        <w:spacing w:line="120" w:lineRule="auto"/>
        <w:rPr>
          <w:rFonts w:ascii="Arial" w:hAnsi="Arial" w:cs="Arial"/>
          <w:b/>
          <w:sz w:val="20"/>
          <w:szCs w:val="20"/>
        </w:rPr>
      </w:pPr>
    </w:p>
    <w:p w:rsidR="00CC0F5A" w:rsidRDefault="00CC0F5A" w:rsidP="006721AA">
      <w:pPr>
        <w:spacing w:line="120" w:lineRule="auto"/>
        <w:rPr>
          <w:rFonts w:ascii="Arial" w:hAnsi="Arial" w:cs="Arial"/>
          <w:b/>
          <w:sz w:val="20"/>
          <w:szCs w:val="20"/>
        </w:rPr>
      </w:pPr>
    </w:p>
    <w:p w:rsidR="006E3C8C" w:rsidRDefault="006E3C8C">
      <w:pPr>
        <w:rPr>
          <w:rFonts w:ascii="Arial" w:hAnsi="Arial" w:cs="Arial"/>
          <w:b/>
          <w:sz w:val="20"/>
          <w:szCs w:val="20"/>
        </w:rPr>
      </w:pPr>
      <w:r>
        <w:rPr>
          <w:rFonts w:ascii="Arial" w:hAnsi="Arial" w:cs="Arial"/>
          <w:b/>
          <w:sz w:val="20"/>
          <w:szCs w:val="20"/>
        </w:rPr>
        <w:br w:type="page"/>
      </w:r>
    </w:p>
    <w:p w:rsidR="00CC0F5A" w:rsidRPr="004D2D7F" w:rsidRDefault="00CC0F5A" w:rsidP="006E3C8C">
      <w:pPr>
        <w:ind w:left="-567"/>
        <w:rPr>
          <w:rFonts w:ascii="Arial" w:hAnsi="Arial" w:cs="Arial"/>
          <w:sz w:val="20"/>
          <w:szCs w:val="20"/>
        </w:rPr>
      </w:pPr>
      <w:r>
        <w:rPr>
          <w:rFonts w:ascii="Arial" w:hAnsi="Arial" w:cs="Arial"/>
          <w:b/>
          <w:sz w:val="20"/>
          <w:szCs w:val="20"/>
        </w:rPr>
        <w:t>T</w:t>
      </w:r>
      <w:r w:rsidRPr="004D2D7F">
        <w:rPr>
          <w:rFonts w:ascii="Arial" w:hAnsi="Arial" w:cs="Arial"/>
          <w:b/>
          <w:sz w:val="20"/>
          <w:szCs w:val="20"/>
        </w:rPr>
        <w:t xml:space="preserve">able 1. </w:t>
      </w:r>
      <w:r w:rsidRPr="004D2D7F">
        <w:rPr>
          <w:rFonts w:ascii="Arial" w:hAnsi="Arial" w:cs="Arial"/>
          <w:sz w:val="20"/>
          <w:szCs w:val="20"/>
        </w:rPr>
        <w:t>Characteristics of outbreak cases of infectious syphilis notified in affected regions of Queensland, the Northern Territory and Western Australia, to 31 July 2016</w:t>
      </w:r>
      <w:r>
        <w:rPr>
          <w:rStyle w:val="FootnoteReference"/>
          <w:rFonts w:ascii="Arial" w:hAnsi="Arial" w:cs="Arial"/>
          <w:sz w:val="20"/>
          <w:szCs w:val="20"/>
        </w:rPr>
        <w:footnoteReference w:id="12"/>
      </w:r>
      <w:r w:rsidRPr="004D2D7F">
        <w:rPr>
          <w:rFonts w:ascii="Arial" w:hAnsi="Arial" w:cs="Arial"/>
          <w:sz w:val="20"/>
          <w:szCs w:val="20"/>
        </w:rPr>
        <w:t>.</w:t>
      </w:r>
    </w:p>
    <w:tbl>
      <w:tblPr>
        <w:tblStyle w:val="TableGrid12"/>
        <w:tblW w:w="10348" w:type="dxa"/>
        <w:jc w:val="center"/>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3686"/>
        <w:gridCol w:w="2126"/>
        <w:gridCol w:w="2126"/>
        <w:gridCol w:w="2410"/>
      </w:tblGrid>
      <w:tr w:rsidR="00CC0F5A" w:rsidRPr="004D2D7F" w:rsidTr="00CC0F5A">
        <w:trPr>
          <w:tblHeader/>
          <w:jc w:val="center"/>
        </w:trPr>
        <w:tc>
          <w:tcPr>
            <w:tcW w:w="3686" w:type="dxa"/>
            <w:tcBorders>
              <w:bottom w:val="single" w:sz="4" w:space="0" w:color="auto"/>
            </w:tcBorders>
          </w:tcPr>
          <w:p w:rsidR="00CC0F5A" w:rsidRPr="004D2D7F" w:rsidRDefault="00CC0F5A" w:rsidP="006721AA">
            <w:pPr>
              <w:ind w:hanging="34"/>
              <w:rPr>
                <w:sz w:val="20"/>
                <w:szCs w:val="20"/>
              </w:rPr>
            </w:pPr>
          </w:p>
        </w:tc>
        <w:tc>
          <w:tcPr>
            <w:tcW w:w="2126" w:type="dxa"/>
            <w:tcBorders>
              <w:bottom w:val="single" w:sz="4" w:space="0" w:color="auto"/>
            </w:tcBorders>
            <w:shd w:val="clear" w:color="auto" w:fill="C6D9F1" w:themeFill="text2" w:themeFillTint="33"/>
          </w:tcPr>
          <w:p w:rsidR="00CC0F5A" w:rsidRPr="004D2D7F" w:rsidRDefault="00CC0F5A" w:rsidP="006721AA">
            <w:pPr>
              <w:ind w:hanging="34"/>
              <w:jc w:val="center"/>
              <w:rPr>
                <w:b/>
                <w:sz w:val="20"/>
                <w:szCs w:val="20"/>
              </w:rPr>
            </w:pPr>
            <w:r w:rsidRPr="004D2D7F">
              <w:rPr>
                <w:b/>
                <w:sz w:val="20"/>
                <w:szCs w:val="20"/>
                <w:shd w:val="clear" w:color="auto" w:fill="C6D9F1" w:themeFill="text2" w:themeFillTint="33"/>
              </w:rPr>
              <w:t>North Qld (four HHSs</w:t>
            </w:r>
            <w:r w:rsidRPr="004D2D7F">
              <w:rPr>
                <w:b/>
                <w:sz w:val="20"/>
                <w:szCs w:val="20"/>
                <w:shd w:val="clear" w:color="auto" w:fill="C6D9F1" w:themeFill="text2" w:themeFillTint="33"/>
                <w:vertAlign w:val="superscript"/>
              </w:rPr>
              <w:t>β</w:t>
            </w:r>
            <w:r w:rsidRPr="004D2D7F">
              <w:rPr>
                <w:b/>
                <w:sz w:val="20"/>
                <w:szCs w:val="20"/>
              </w:rPr>
              <w:t>)</w:t>
            </w:r>
          </w:p>
        </w:tc>
        <w:tc>
          <w:tcPr>
            <w:tcW w:w="2126" w:type="dxa"/>
            <w:tcBorders>
              <w:bottom w:val="single" w:sz="4" w:space="0" w:color="auto"/>
            </w:tcBorders>
            <w:shd w:val="clear" w:color="auto" w:fill="DAEEF3" w:themeFill="accent5" w:themeFillTint="33"/>
          </w:tcPr>
          <w:p w:rsidR="00CC0F5A" w:rsidRPr="004D2D7F" w:rsidRDefault="00CC0F5A" w:rsidP="006721AA">
            <w:pPr>
              <w:ind w:hanging="34"/>
              <w:jc w:val="center"/>
              <w:rPr>
                <w:b/>
                <w:sz w:val="20"/>
                <w:szCs w:val="20"/>
              </w:rPr>
            </w:pPr>
            <w:r w:rsidRPr="004D2D7F">
              <w:rPr>
                <w:b/>
                <w:sz w:val="20"/>
                <w:szCs w:val="20"/>
              </w:rPr>
              <w:t>NT (four regions</w:t>
            </w:r>
            <w:r w:rsidRPr="004D2D7F">
              <w:rPr>
                <w:b/>
                <w:sz w:val="20"/>
                <w:szCs w:val="20"/>
                <w:vertAlign w:val="superscript"/>
              </w:rPr>
              <w:t xml:space="preserve"> β</w:t>
            </w:r>
            <w:r w:rsidRPr="004D2D7F">
              <w:rPr>
                <w:b/>
                <w:sz w:val="20"/>
                <w:szCs w:val="20"/>
              </w:rPr>
              <w:t>)</w:t>
            </w:r>
          </w:p>
        </w:tc>
        <w:tc>
          <w:tcPr>
            <w:tcW w:w="2410" w:type="dxa"/>
            <w:tcBorders>
              <w:bottom w:val="single" w:sz="4" w:space="0" w:color="auto"/>
            </w:tcBorders>
            <w:shd w:val="clear" w:color="auto" w:fill="E5DFEC" w:themeFill="accent4" w:themeFillTint="33"/>
          </w:tcPr>
          <w:p w:rsidR="00CC0F5A" w:rsidRPr="004D2D7F" w:rsidRDefault="00CC0F5A" w:rsidP="006721AA">
            <w:pPr>
              <w:ind w:hanging="34"/>
              <w:jc w:val="center"/>
              <w:rPr>
                <w:b/>
                <w:sz w:val="20"/>
                <w:szCs w:val="20"/>
              </w:rPr>
            </w:pPr>
            <w:r w:rsidRPr="004D2D7F">
              <w:rPr>
                <w:b/>
                <w:sz w:val="20"/>
                <w:szCs w:val="20"/>
              </w:rPr>
              <w:t>WA (Kimberley region)</w:t>
            </w:r>
          </w:p>
        </w:tc>
      </w:tr>
      <w:tr w:rsidR="00CC0F5A" w:rsidRPr="004D2D7F" w:rsidTr="00CC0F5A">
        <w:trPr>
          <w:jc w:val="center"/>
        </w:trPr>
        <w:tc>
          <w:tcPr>
            <w:tcW w:w="3686" w:type="dxa"/>
            <w:tcBorders>
              <w:right w:val="nil"/>
            </w:tcBorders>
            <w:shd w:val="clear" w:color="auto" w:fill="B8CCE4" w:themeFill="accent1" w:themeFillTint="66"/>
          </w:tcPr>
          <w:p w:rsidR="00CC0F5A" w:rsidRPr="004D2D7F" w:rsidRDefault="00CC0F5A" w:rsidP="006721AA">
            <w:pPr>
              <w:ind w:hanging="34"/>
              <w:rPr>
                <w:sz w:val="20"/>
                <w:szCs w:val="20"/>
              </w:rPr>
            </w:pPr>
            <w:r w:rsidRPr="004D2D7F">
              <w:rPr>
                <w:sz w:val="20"/>
                <w:szCs w:val="20"/>
              </w:rPr>
              <w:t>Situation to-date, 31 July 2016</w:t>
            </w: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rPr>
            </w:pP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rPr>
            </w:pPr>
          </w:p>
        </w:tc>
        <w:tc>
          <w:tcPr>
            <w:tcW w:w="2410" w:type="dxa"/>
            <w:tcBorders>
              <w:left w:val="nil"/>
            </w:tcBorders>
            <w:shd w:val="clear" w:color="auto" w:fill="B8CCE4" w:themeFill="accent1" w:themeFillTint="66"/>
          </w:tcPr>
          <w:p w:rsidR="00CC0F5A" w:rsidRPr="004D2D7F" w:rsidRDefault="00CC0F5A" w:rsidP="006721AA">
            <w:pPr>
              <w:ind w:hanging="34"/>
              <w:rPr>
                <w:sz w:val="20"/>
                <w:szCs w:val="20"/>
              </w:rPr>
            </w:pP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Outbreak commencement month/</w:t>
            </w:r>
            <w:proofErr w:type="spellStart"/>
            <w:r w:rsidRPr="004D2D7F">
              <w:rPr>
                <w:sz w:val="20"/>
                <w:szCs w:val="20"/>
              </w:rPr>
              <w:t>yr</w:t>
            </w:r>
            <w:proofErr w:type="spellEnd"/>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January 2011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July 2013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June 2014</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Total number of cases</w:t>
            </w:r>
            <w:r w:rsidRPr="004D2D7F">
              <w:rPr>
                <w:b/>
                <w:sz w:val="20"/>
                <w:szCs w:val="20"/>
                <w:vertAlign w:val="superscript"/>
              </w:rPr>
              <w:t xml:space="preserve"> </w:t>
            </w:r>
            <w:r w:rsidRPr="004D2D7F">
              <w:rPr>
                <w:sz w:val="20"/>
                <w:szCs w:val="20"/>
                <w:vertAlign w:val="superscript"/>
              </w:rPr>
              <w:t>α</w:t>
            </w:r>
          </w:p>
        </w:tc>
        <w:tc>
          <w:tcPr>
            <w:tcW w:w="2126" w:type="dxa"/>
            <w:shd w:val="clear" w:color="auto" w:fill="C6D9F1" w:themeFill="text2" w:themeFillTint="33"/>
            <w:vAlign w:val="center"/>
          </w:tcPr>
          <w:p w:rsidR="00CC0F5A" w:rsidRPr="004D2D7F" w:rsidRDefault="00CC0F5A" w:rsidP="006721AA">
            <w:pPr>
              <w:ind w:hanging="34"/>
              <w:jc w:val="center"/>
              <w:rPr>
                <w:b/>
                <w:sz w:val="20"/>
                <w:szCs w:val="20"/>
                <w:vertAlign w:val="superscript"/>
              </w:rPr>
            </w:pPr>
            <w:r w:rsidRPr="004D2D7F">
              <w:rPr>
                <w:b/>
                <w:sz w:val="20"/>
                <w:szCs w:val="20"/>
              </w:rPr>
              <w:t>633</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328</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64</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71%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83%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72%</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48% / 52%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47% / 53%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36% / 64%</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Congenital cases, confirmed (probable)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 (1)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1 (2)</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 (0)</w:t>
            </w:r>
          </w:p>
        </w:tc>
      </w:tr>
      <w:tr w:rsidR="00CC0F5A" w:rsidRPr="004D2D7F" w:rsidTr="00CC0F5A">
        <w:trPr>
          <w:jc w:val="center"/>
        </w:trPr>
        <w:tc>
          <w:tcPr>
            <w:tcW w:w="3686" w:type="dxa"/>
            <w:tcBorders>
              <w:bottom w:val="single" w:sz="4" w:space="0" w:color="auto"/>
            </w:tcBorders>
            <w:shd w:val="clear" w:color="auto" w:fill="auto"/>
          </w:tcPr>
          <w:p w:rsidR="00CC0F5A" w:rsidRPr="004D2D7F" w:rsidRDefault="00CC0F5A" w:rsidP="006721AA">
            <w:pPr>
              <w:ind w:hanging="34"/>
              <w:rPr>
                <w:sz w:val="20"/>
                <w:szCs w:val="20"/>
              </w:rPr>
            </w:pPr>
            <w:r w:rsidRPr="004D2D7F">
              <w:rPr>
                <w:sz w:val="20"/>
                <w:szCs w:val="20"/>
              </w:rPr>
              <w:t xml:space="preserve">   -number of deaths in congenital cases</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w:t>
            </w:r>
          </w:p>
        </w:tc>
        <w:tc>
          <w:tcPr>
            <w:tcW w:w="2126" w:type="dxa"/>
            <w:tcBorders>
              <w:bottom w:val="single" w:sz="4" w:space="0" w:color="auto"/>
            </w:tcBorders>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0</w:t>
            </w:r>
          </w:p>
        </w:tc>
        <w:tc>
          <w:tcPr>
            <w:tcW w:w="2410" w:type="dxa"/>
            <w:tcBorders>
              <w:bottom w:val="single" w:sz="4" w:space="0" w:color="auto"/>
            </w:tcBorders>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CC0F5A">
        <w:trPr>
          <w:jc w:val="center"/>
        </w:trPr>
        <w:tc>
          <w:tcPr>
            <w:tcW w:w="3686" w:type="dxa"/>
            <w:tcBorders>
              <w:right w:val="nil"/>
            </w:tcBorders>
            <w:shd w:val="clear" w:color="auto" w:fill="B8CCE4" w:themeFill="accent1" w:themeFillTint="66"/>
            <w:vAlign w:val="center"/>
          </w:tcPr>
          <w:p w:rsidR="00CC0F5A" w:rsidRPr="004D2D7F" w:rsidRDefault="00CC0F5A" w:rsidP="006721AA">
            <w:pPr>
              <w:ind w:hanging="34"/>
              <w:rPr>
                <w:sz w:val="20"/>
                <w:szCs w:val="20"/>
              </w:rPr>
            </w:pPr>
            <w:r w:rsidRPr="004D2D7F">
              <w:rPr>
                <w:sz w:val="20"/>
                <w:szCs w:val="20"/>
              </w:rPr>
              <w:t>Last reporting month, 1-31 July 2016</w:t>
            </w: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rPr>
            </w:pP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rPr>
            </w:pPr>
          </w:p>
        </w:tc>
        <w:tc>
          <w:tcPr>
            <w:tcW w:w="2410" w:type="dxa"/>
            <w:tcBorders>
              <w:left w:val="nil"/>
            </w:tcBorders>
            <w:shd w:val="clear" w:color="auto" w:fill="B8CCE4" w:themeFill="accent1" w:themeFillTint="66"/>
            <w:vAlign w:val="center"/>
          </w:tcPr>
          <w:p w:rsidR="00CC0F5A" w:rsidRPr="004D2D7F" w:rsidRDefault="00CC0F5A" w:rsidP="006721AA">
            <w:pPr>
              <w:ind w:hanging="34"/>
              <w:rPr>
                <w:sz w:val="20"/>
                <w:szCs w:val="20"/>
              </w:rPr>
            </w:pP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Number of cases</w:t>
            </w:r>
            <w:r w:rsidRPr="004D2D7F">
              <w:rPr>
                <w:b/>
                <w:sz w:val="20"/>
                <w:szCs w:val="20"/>
                <w:vertAlign w:val="superscript"/>
              </w:rPr>
              <w:t xml:space="preserve"> </w:t>
            </w:r>
            <w:r w:rsidRPr="004D2D7F">
              <w:rPr>
                <w:sz w:val="20"/>
                <w:szCs w:val="20"/>
                <w:vertAlign w:val="superscript"/>
              </w:rPr>
              <w:t>α</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b/>
                <w:sz w:val="20"/>
                <w:szCs w:val="20"/>
              </w:rPr>
            </w:pPr>
            <w:r w:rsidRPr="004D2D7F">
              <w:rPr>
                <w:b/>
                <w:sz w:val="20"/>
                <w:szCs w:val="20"/>
              </w:rPr>
              <w:t>14</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11</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3</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jc w:val="center"/>
              <w:rPr>
                <w:sz w:val="20"/>
                <w:szCs w:val="20"/>
              </w:rPr>
            </w:pPr>
            <w:r w:rsidRPr="004D2D7F">
              <w:rPr>
                <w:sz w:val="20"/>
                <w:szCs w:val="20"/>
              </w:rPr>
              <w:t>50%</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82%</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67%</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57% / 43%</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45% / 55%</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67% / 33%</w:t>
            </w:r>
          </w:p>
        </w:tc>
      </w:tr>
    </w:tbl>
    <w:p w:rsidR="00CC0F5A" w:rsidRDefault="00CC0F5A" w:rsidP="006721AA">
      <w:pPr>
        <w:ind w:right="261"/>
        <w:jc w:val="both"/>
        <w:rPr>
          <w:rFonts w:ascii="Arial" w:hAnsi="Arial" w:cs="Arial"/>
          <w:b/>
        </w:rPr>
      </w:pPr>
    </w:p>
    <w:p w:rsidR="00CC0F5A" w:rsidRPr="004D2D7F" w:rsidRDefault="00CC0F5A" w:rsidP="006E3C8C">
      <w:pPr>
        <w:ind w:left="-567" w:right="261"/>
        <w:jc w:val="both"/>
        <w:rPr>
          <w:rFonts w:ascii="Arial" w:hAnsi="Arial" w:cs="Arial"/>
          <w:b/>
        </w:rPr>
      </w:pPr>
      <w:r w:rsidRPr="004D2D7F">
        <w:rPr>
          <w:rFonts w:ascii="Arial" w:hAnsi="Arial" w:cs="Arial"/>
          <w:b/>
        </w:rPr>
        <w:t>Activities of the MJSO, 1 July 2016 – 31 July 2016:</w:t>
      </w:r>
    </w:p>
    <w:p w:rsidR="00CC0F5A" w:rsidRPr="004D2D7F" w:rsidRDefault="00CC0F5A" w:rsidP="006E3C8C">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 xml:space="preserve">Proposed a number of actions to address some of the barriers and issues identified in the outbreak response; and </w:t>
      </w:r>
    </w:p>
    <w:p w:rsidR="00CC0F5A" w:rsidRPr="004D2D7F" w:rsidRDefault="00CC0F5A" w:rsidP="006E3C8C">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 xml:space="preserve">Provided an update to the Australian Health Protection Principal Committee on the current outbreak situation and MJSO activities. </w:t>
      </w:r>
    </w:p>
    <w:p w:rsidR="00CC0F5A" w:rsidRPr="004D2D7F" w:rsidRDefault="00CC0F5A" w:rsidP="006E3C8C">
      <w:pPr>
        <w:ind w:left="-283" w:right="261"/>
        <w:jc w:val="both"/>
        <w:rPr>
          <w:rFonts w:ascii="Arial" w:hAnsi="Arial" w:cs="Arial"/>
          <w:b/>
          <w:sz w:val="20"/>
          <w:szCs w:val="20"/>
        </w:rPr>
      </w:pPr>
    </w:p>
    <w:p w:rsidR="00CC0F5A" w:rsidRPr="004D2D7F" w:rsidRDefault="00CC0F5A" w:rsidP="006E3C8C">
      <w:pPr>
        <w:ind w:left="-567" w:right="261"/>
        <w:jc w:val="both"/>
        <w:rPr>
          <w:rFonts w:ascii="Arial" w:hAnsi="Arial" w:cs="Arial"/>
          <w:b/>
        </w:rPr>
      </w:pPr>
      <w:r w:rsidRPr="004D2D7F">
        <w:rPr>
          <w:rFonts w:ascii="Arial" w:hAnsi="Arial" w:cs="Arial"/>
          <w:b/>
        </w:rPr>
        <w:t>Community engagement</w:t>
      </w:r>
    </w:p>
    <w:p w:rsidR="00CC0F5A" w:rsidRPr="00DA71E2" w:rsidRDefault="00CC0F5A" w:rsidP="006E3C8C">
      <w:pPr>
        <w:numPr>
          <w:ilvl w:val="0"/>
          <w:numId w:val="1"/>
        </w:numPr>
        <w:ind w:left="-283" w:right="261" w:hanging="284"/>
        <w:contextualSpacing/>
        <w:jc w:val="both"/>
        <w:rPr>
          <w:rFonts w:ascii="Arial" w:hAnsi="Arial"/>
          <w:color w:val="000000" w:themeColor="text1"/>
          <w:sz w:val="20"/>
          <w:szCs w:val="21"/>
        </w:rPr>
      </w:pPr>
      <w:r w:rsidRPr="004D2D7F">
        <w:rPr>
          <w:rFonts w:ascii="Arial" w:hAnsi="Arial"/>
          <w:color w:val="000000" w:themeColor="text1"/>
          <w:sz w:val="20"/>
          <w:szCs w:val="21"/>
        </w:rPr>
        <w:t>A sub-group, Engaging Aboriginal and Torres Strait Islander Communities (EAC) meets monthly, and reports back to the MJSO with suggestions for improved community engagement. During this period, the EAC discussed alternative testing methods to be used alongside the Commonwealth funded Community Awareness Campaign. The purpose of this approach is to increase testing among young Aboriginal and Torres Strait people</w:t>
      </w:r>
      <w:r w:rsidRPr="00DA71E2">
        <w:rPr>
          <w:rFonts w:ascii="Arial" w:hAnsi="Arial"/>
          <w:color w:val="000000" w:themeColor="text1"/>
          <w:sz w:val="20"/>
          <w:szCs w:val="21"/>
        </w:rPr>
        <w:t xml:space="preserve">. </w:t>
      </w:r>
    </w:p>
    <w:p w:rsidR="00CC0F5A" w:rsidRDefault="00CC0F5A" w:rsidP="006721AA">
      <w:r>
        <w:br w:type="page"/>
      </w:r>
    </w:p>
    <w:p w:rsidR="00CC0F5A" w:rsidRPr="004D2D7F" w:rsidRDefault="00CC0F5A" w:rsidP="002051A3">
      <w:pPr>
        <w:pStyle w:val="Heading1"/>
        <w:ind w:left="-567"/>
        <w:jc w:val="center"/>
        <w:rPr>
          <w:rFonts w:eastAsiaTheme="minorHAnsi"/>
        </w:rPr>
      </w:pPr>
      <w:r w:rsidRPr="004D2D7F">
        <w:rPr>
          <w:rFonts w:eastAsiaTheme="minorHAnsi"/>
        </w:rPr>
        <w:t>MULTIJURISDICTIONAL SYPHILIS OUTBREAK WORKING GROUP (MJSO)</w:t>
      </w:r>
    </w:p>
    <w:p w:rsidR="00CC0F5A" w:rsidRPr="004D2D7F" w:rsidRDefault="00CC0F5A" w:rsidP="004362F8">
      <w:pPr>
        <w:spacing w:before="200"/>
        <w:ind w:left="-567" w:right="-612"/>
        <w:jc w:val="center"/>
        <w:rPr>
          <w:rFonts w:ascii="Arial" w:hAnsi="Arial" w:cs="Arial"/>
          <w:sz w:val="28"/>
          <w:szCs w:val="28"/>
        </w:rPr>
      </w:pPr>
      <w:r w:rsidRPr="004D2D7F">
        <w:rPr>
          <w:rFonts w:ascii="Arial" w:hAnsi="Arial" w:cs="Arial"/>
          <w:b/>
          <w:sz w:val="28"/>
          <w:szCs w:val="28"/>
        </w:rPr>
        <w:t xml:space="preserve">Meeting Communique, 15 September 2016 </w:t>
      </w:r>
      <w:r w:rsidRPr="004D2D7F">
        <w:rPr>
          <w:rFonts w:ascii="Arial" w:hAnsi="Arial" w:cs="Arial"/>
          <w:sz w:val="28"/>
          <w:szCs w:val="28"/>
        </w:rPr>
        <w:t>(5</w:t>
      </w:r>
      <w:r w:rsidRPr="004D2D7F">
        <w:rPr>
          <w:rFonts w:ascii="Arial" w:hAnsi="Arial" w:cs="Arial"/>
          <w:sz w:val="28"/>
          <w:szCs w:val="28"/>
          <w:vertAlign w:val="superscript"/>
        </w:rPr>
        <w:t>th</w:t>
      </w:r>
      <w:r w:rsidRPr="004D2D7F">
        <w:rPr>
          <w:rFonts w:ascii="Arial" w:hAnsi="Arial" w:cs="Arial"/>
          <w:sz w:val="28"/>
          <w:szCs w:val="28"/>
        </w:rPr>
        <w:t xml:space="preserve"> communique)</w:t>
      </w:r>
    </w:p>
    <w:p w:rsidR="00CC0F5A" w:rsidRPr="004D2D7F" w:rsidRDefault="00CC0F5A" w:rsidP="002051A3">
      <w:pPr>
        <w:ind w:left="-567" w:right="-612"/>
        <w:jc w:val="center"/>
        <w:rPr>
          <w:rFonts w:ascii="Arial" w:hAnsi="Arial" w:cs="Arial"/>
          <w:b/>
        </w:rPr>
      </w:pPr>
      <w:r w:rsidRPr="004D2D7F">
        <w:rPr>
          <w:rFonts w:ascii="Arial" w:hAnsi="Arial" w:cs="Arial"/>
          <w:b/>
        </w:rPr>
        <w:t>This communique has been authorised by the chair of the MJSO, Dr Nathan Ryder.</w:t>
      </w:r>
    </w:p>
    <w:p w:rsidR="00CC0F5A" w:rsidRPr="004D2D7F" w:rsidRDefault="00CC0F5A" w:rsidP="002B248B">
      <w:pPr>
        <w:ind w:left="-567" w:right="-613"/>
        <w:rPr>
          <w:rFonts w:ascii="Arial" w:hAnsi="Arial" w:cs="Arial"/>
          <w:sz w:val="20"/>
          <w:szCs w:val="20"/>
        </w:rPr>
      </w:pPr>
    </w:p>
    <w:p w:rsidR="00CC0F5A" w:rsidRPr="004D2D7F" w:rsidRDefault="00CC0F5A" w:rsidP="002B248B">
      <w:pPr>
        <w:ind w:left="-567"/>
        <w:rPr>
          <w:rFonts w:ascii="Arial" w:hAnsi="Arial"/>
          <w:sz w:val="20"/>
          <w:szCs w:val="21"/>
        </w:rPr>
      </w:pPr>
      <w:r w:rsidRPr="004D2D7F">
        <w:rPr>
          <w:rFonts w:ascii="Arial" w:hAnsi="Arial" w:cs="Arial"/>
          <w:sz w:val="20"/>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4D2D7F">
        <w:rPr>
          <w:rFonts w:ascii="Arial" w:hAnsi="Arial" w:cs="Arial"/>
          <w:color w:val="000000" w:themeColor="text1"/>
          <w:sz w:val="20"/>
          <w:szCs w:val="20"/>
        </w:rPr>
        <w:t xml:space="preserve">rural areas of northern Australia. </w:t>
      </w:r>
      <w:r w:rsidRPr="004D2D7F">
        <w:rPr>
          <w:rFonts w:ascii="Arial" w:hAnsi="Arial"/>
          <w:color w:val="000000" w:themeColor="text1"/>
          <w:sz w:val="20"/>
          <w:szCs w:val="21"/>
        </w:rPr>
        <w:t>Increased notifications associated with the outbreak in northern Australia were first reported in January 2011 in northwest Queensland, followed by the Northern Territory (NT) in July 2013, and the Kimberley region of Western Australia (WA) in June 2014. This communique summarises the outbreak epidemiological data as of 31 August 2016 (current status), and the activities of the MJSO from 1 August – 31 August 2016.</w:t>
      </w:r>
    </w:p>
    <w:p w:rsidR="00CC0F5A" w:rsidRPr="004D2D7F" w:rsidRDefault="00CC0F5A" w:rsidP="002B248B">
      <w:pPr>
        <w:spacing w:line="180" w:lineRule="auto"/>
        <w:ind w:left="-567" w:right="261"/>
        <w:jc w:val="both"/>
        <w:rPr>
          <w:rFonts w:ascii="Arial" w:hAnsi="Arial" w:cs="Arial"/>
          <w:sz w:val="20"/>
          <w:szCs w:val="20"/>
        </w:rPr>
      </w:pPr>
    </w:p>
    <w:p w:rsidR="00CC0F5A" w:rsidRPr="004D2D7F" w:rsidRDefault="00CC0F5A" w:rsidP="002B248B">
      <w:pPr>
        <w:pStyle w:val="Heading2"/>
        <w:ind w:left="-567"/>
        <w:rPr>
          <w:rFonts w:eastAsiaTheme="minorHAnsi"/>
        </w:rPr>
      </w:pPr>
      <w:r w:rsidRPr="004D2D7F">
        <w:rPr>
          <w:rFonts w:eastAsiaTheme="minorHAnsi"/>
        </w:rPr>
        <w:t>Current status</w:t>
      </w:r>
    </w:p>
    <w:p w:rsidR="00CC0F5A" w:rsidRPr="004D2D7F" w:rsidRDefault="00CC0F5A" w:rsidP="002B248B">
      <w:pPr>
        <w:ind w:left="-567" w:right="261"/>
        <w:jc w:val="both"/>
        <w:rPr>
          <w:rFonts w:ascii="Arial" w:hAnsi="Arial" w:cs="Arial"/>
          <w:sz w:val="20"/>
          <w:szCs w:val="20"/>
        </w:rPr>
      </w:pPr>
      <w:r w:rsidRPr="004D2D7F">
        <w:rPr>
          <w:rFonts w:ascii="Arial" w:hAnsi="Arial" w:cs="Arial"/>
          <w:sz w:val="20"/>
          <w:szCs w:val="20"/>
        </w:rPr>
        <w:t>Outbreak data to 31 August 2016 are summarised in Figure 1 and Table 1 below.</w:t>
      </w:r>
    </w:p>
    <w:p w:rsidR="00CC0F5A" w:rsidRPr="004D2D7F" w:rsidRDefault="00CC0F5A" w:rsidP="002B248B">
      <w:pPr>
        <w:ind w:left="-567" w:right="261"/>
        <w:jc w:val="both"/>
        <w:rPr>
          <w:rFonts w:ascii="Arial" w:hAnsi="Arial" w:cs="Arial"/>
          <w:sz w:val="20"/>
          <w:szCs w:val="20"/>
        </w:rPr>
      </w:pPr>
    </w:p>
    <w:p w:rsidR="00CC0F5A" w:rsidRPr="004D2D7F" w:rsidRDefault="00CC0F5A" w:rsidP="002B248B">
      <w:pPr>
        <w:ind w:left="-567"/>
        <w:rPr>
          <w:rFonts w:ascii="Arial" w:hAnsi="Arial" w:cs="Arial"/>
          <w:sz w:val="20"/>
          <w:szCs w:val="20"/>
        </w:rPr>
      </w:pPr>
      <w:r w:rsidRPr="004D2D7F">
        <w:rPr>
          <w:rFonts w:ascii="Arial" w:hAnsi="Arial" w:cs="Arial"/>
          <w:b/>
          <w:sz w:val="20"/>
          <w:szCs w:val="20"/>
        </w:rPr>
        <w:t>Figure 1</w:t>
      </w:r>
      <w:r w:rsidRPr="004D2D7F">
        <w:rPr>
          <w:rFonts w:ascii="Arial" w:hAnsi="Arial" w:cs="Arial"/>
          <w:sz w:val="20"/>
          <w:szCs w:val="20"/>
        </w:rPr>
        <w:t>. Epidemic curve showing outbreak cases of infectious syphilis</w:t>
      </w:r>
      <w:r>
        <w:rPr>
          <w:rStyle w:val="FootnoteReference"/>
          <w:rFonts w:ascii="Arial" w:hAnsi="Arial" w:cs="Arial"/>
          <w:sz w:val="20"/>
          <w:szCs w:val="20"/>
        </w:rPr>
        <w:footnoteReference w:id="13"/>
      </w:r>
      <w:r w:rsidRPr="004D2D7F">
        <w:rPr>
          <w:rFonts w:ascii="Arial" w:hAnsi="Arial" w:cs="Arial"/>
          <w:sz w:val="20"/>
          <w:szCs w:val="20"/>
        </w:rPr>
        <w:t xml:space="preserve"> notified in affected regions</w:t>
      </w:r>
      <w:r>
        <w:rPr>
          <w:rStyle w:val="FootnoteReference"/>
          <w:rFonts w:ascii="Arial" w:hAnsi="Arial" w:cs="Arial"/>
          <w:sz w:val="20"/>
          <w:szCs w:val="20"/>
        </w:rPr>
        <w:footnoteReference w:id="14"/>
      </w:r>
      <w:r w:rsidRPr="004D2D7F">
        <w:rPr>
          <w:rFonts w:ascii="Arial" w:hAnsi="Arial" w:cs="Arial"/>
          <w:sz w:val="20"/>
          <w:szCs w:val="20"/>
        </w:rPr>
        <w:t xml:space="preserve"> of Queensland, the Northern Territory and Western Australia, from commencement of the outbreak in each jurisdiction to 31 August 2016</w:t>
      </w:r>
      <w:r w:rsidRPr="004D2D7F">
        <w:rPr>
          <w:rFonts w:ascii="Arial" w:hAnsi="Arial" w:cs="Arial"/>
          <w:sz w:val="20"/>
          <w:szCs w:val="20"/>
          <w:vertAlign w:val="superscript"/>
        </w:rPr>
        <w:t>ᵞ</w:t>
      </w:r>
      <w:r w:rsidRPr="004D2D7F">
        <w:rPr>
          <w:rFonts w:ascii="Arial" w:hAnsi="Arial" w:cs="Arial"/>
          <w:sz w:val="20"/>
          <w:szCs w:val="20"/>
        </w:rPr>
        <w:t>.</w:t>
      </w:r>
    </w:p>
    <w:p w:rsidR="00CC0F5A" w:rsidRPr="004D2D7F" w:rsidRDefault="00CC0F5A" w:rsidP="002051A3">
      <w:pPr>
        <w:ind w:left="-567"/>
        <w:jc w:val="right"/>
        <w:rPr>
          <w:rFonts w:ascii="Arial" w:hAnsi="Arial" w:cs="Arial"/>
          <w:b/>
          <w:sz w:val="20"/>
          <w:szCs w:val="20"/>
        </w:rPr>
      </w:pPr>
      <w:r w:rsidRPr="004D2D7F">
        <w:rPr>
          <w:rFonts w:ascii="Arial" w:hAnsi="Arial" w:cs="Arial"/>
          <w:b/>
          <w:noProof/>
          <w:sz w:val="20"/>
          <w:szCs w:val="20"/>
          <w:lang w:eastAsia="en-AU"/>
        </w:rPr>
        <w:drawing>
          <wp:inline distT="0" distB="0" distL="0" distR="0" wp14:anchorId="7EBBACC7" wp14:editId="00E05CE3">
            <wp:extent cx="6438900" cy="2495550"/>
            <wp:effectExtent l="0" t="0" r="0" b="0"/>
            <wp:docPr id="16" name="Picture 16" descr="This figure shows outbreak cases of infectious syphilis between 1 January 2011 to 31 August 2016, notified in affected regions of Queensland, the Northern Territory and Western Australia." title="Epidemic curve showing outbreak cases of infectious syphilis notified in affected regions of Queensland, the Northern Territory and Western Australia, from the commencement of the outbreak in each jurisdiction to 31 Augus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3917" cy="2509122"/>
                    </a:xfrm>
                    <a:prstGeom prst="rect">
                      <a:avLst/>
                    </a:prstGeom>
                    <a:noFill/>
                  </pic:spPr>
                </pic:pic>
              </a:graphicData>
            </a:graphic>
          </wp:inline>
        </w:drawing>
      </w:r>
    </w:p>
    <w:p w:rsidR="00CC0F5A" w:rsidRPr="004D2D7F" w:rsidRDefault="00CC0F5A" w:rsidP="006721AA">
      <w:pPr>
        <w:rPr>
          <w:rFonts w:ascii="Arial" w:hAnsi="Arial" w:cs="Arial"/>
          <w:b/>
          <w:sz w:val="12"/>
          <w:szCs w:val="20"/>
        </w:rPr>
      </w:pPr>
    </w:p>
    <w:p w:rsidR="00CC0F5A" w:rsidRDefault="00CC0F5A" w:rsidP="006721AA">
      <w:pPr>
        <w:rPr>
          <w:rFonts w:ascii="Arial" w:hAnsi="Arial" w:cs="Arial"/>
          <w:b/>
          <w:sz w:val="20"/>
          <w:szCs w:val="20"/>
        </w:rPr>
      </w:pPr>
    </w:p>
    <w:p w:rsidR="00CC0F5A" w:rsidRPr="004D2D7F" w:rsidRDefault="00CC0F5A" w:rsidP="002051A3">
      <w:pPr>
        <w:ind w:left="-567"/>
        <w:rPr>
          <w:rFonts w:ascii="Arial" w:hAnsi="Arial" w:cs="Arial"/>
          <w:sz w:val="20"/>
          <w:szCs w:val="20"/>
        </w:rPr>
      </w:pPr>
      <w:r w:rsidRPr="004D2D7F">
        <w:rPr>
          <w:rFonts w:ascii="Arial" w:hAnsi="Arial" w:cs="Arial"/>
          <w:b/>
          <w:sz w:val="20"/>
          <w:szCs w:val="20"/>
        </w:rPr>
        <w:t xml:space="preserve">Table 1. </w:t>
      </w:r>
      <w:r w:rsidRPr="004D2D7F">
        <w:rPr>
          <w:rFonts w:ascii="Arial" w:hAnsi="Arial" w:cs="Arial"/>
          <w:sz w:val="20"/>
          <w:szCs w:val="20"/>
        </w:rPr>
        <w:t>Characteristics of outbreak cases of infectious syphilis notified in affected regions of Queensland, the Northern Territory and Western Australia, to 31 August 2016</w:t>
      </w:r>
      <w:r>
        <w:rPr>
          <w:rStyle w:val="FootnoteReference"/>
          <w:rFonts w:ascii="Arial" w:hAnsi="Arial" w:cs="Arial"/>
          <w:sz w:val="20"/>
          <w:szCs w:val="20"/>
        </w:rPr>
        <w:footnoteReference w:id="15"/>
      </w:r>
      <w:r w:rsidRPr="004D2D7F">
        <w:rPr>
          <w:rFonts w:ascii="Arial" w:hAnsi="Arial" w:cs="Arial"/>
          <w:sz w:val="20"/>
          <w:szCs w:val="20"/>
        </w:rPr>
        <w:t>.</w:t>
      </w:r>
    </w:p>
    <w:tbl>
      <w:tblPr>
        <w:tblStyle w:val="TableGrid13"/>
        <w:tblW w:w="10348" w:type="dxa"/>
        <w:jc w:val="center"/>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3686"/>
        <w:gridCol w:w="2126"/>
        <w:gridCol w:w="2126"/>
        <w:gridCol w:w="2410"/>
      </w:tblGrid>
      <w:tr w:rsidR="00CC0F5A" w:rsidRPr="004D2D7F" w:rsidTr="00CC0F5A">
        <w:trPr>
          <w:tblHeader/>
          <w:jc w:val="center"/>
        </w:trPr>
        <w:tc>
          <w:tcPr>
            <w:tcW w:w="3686" w:type="dxa"/>
            <w:tcBorders>
              <w:bottom w:val="single" w:sz="4" w:space="0" w:color="auto"/>
            </w:tcBorders>
          </w:tcPr>
          <w:p w:rsidR="00CC0F5A" w:rsidRPr="004D2D7F" w:rsidRDefault="00CC0F5A" w:rsidP="006721AA">
            <w:pPr>
              <w:ind w:hanging="34"/>
              <w:rPr>
                <w:sz w:val="20"/>
                <w:szCs w:val="20"/>
              </w:rPr>
            </w:pPr>
          </w:p>
        </w:tc>
        <w:tc>
          <w:tcPr>
            <w:tcW w:w="2126" w:type="dxa"/>
            <w:tcBorders>
              <w:bottom w:val="single" w:sz="4" w:space="0" w:color="auto"/>
            </w:tcBorders>
            <w:shd w:val="clear" w:color="auto" w:fill="C6D9F1" w:themeFill="text2" w:themeFillTint="33"/>
          </w:tcPr>
          <w:p w:rsidR="00CC0F5A" w:rsidRPr="004D2D7F" w:rsidRDefault="00CC0F5A" w:rsidP="006721AA">
            <w:pPr>
              <w:ind w:hanging="34"/>
              <w:jc w:val="center"/>
              <w:rPr>
                <w:b/>
                <w:sz w:val="20"/>
                <w:szCs w:val="20"/>
              </w:rPr>
            </w:pPr>
            <w:r w:rsidRPr="004D2D7F">
              <w:rPr>
                <w:b/>
                <w:sz w:val="20"/>
                <w:szCs w:val="20"/>
                <w:shd w:val="clear" w:color="auto" w:fill="C6D9F1" w:themeFill="text2" w:themeFillTint="33"/>
              </w:rPr>
              <w:t>North Qld (four HHSs</w:t>
            </w:r>
            <w:r w:rsidRPr="004D2D7F">
              <w:rPr>
                <w:b/>
                <w:sz w:val="20"/>
                <w:szCs w:val="20"/>
                <w:shd w:val="clear" w:color="auto" w:fill="C6D9F1" w:themeFill="text2" w:themeFillTint="33"/>
                <w:vertAlign w:val="superscript"/>
              </w:rPr>
              <w:t>β</w:t>
            </w:r>
            <w:r w:rsidRPr="004D2D7F">
              <w:rPr>
                <w:b/>
                <w:sz w:val="20"/>
                <w:szCs w:val="20"/>
              </w:rPr>
              <w:t>)</w:t>
            </w:r>
          </w:p>
        </w:tc>
        <w:tc>
          <w:tcPr>
            <w:tcW w:w="2126" w:type="dxa"/>
            <w:tcBorders>
              <w:bottom w:val="single" w:sz="4" w:space="0" w:color="auto"/>
            </w:tcBorders>
            <w:shd w:val="clear" w:color="auto" w:fill="DAEEF3" w:themeFill="accent5" w:themeFillTint="33"/>
          </w:tcPr>
          <w:p w:rsidR="00CC0F5A" w:rsidRPr="004D2D7F" w:rsidRDefault="00CC0F5A" w:rsidP="006721AA">
            <w:pPr>
              <w:ind w:hanging="34"/>
              <w:jc w:val="center"/>
              <w:rPr>
                <w:b/>
                <w:sz w:val="20"/>
                <w:szCs w:val="20"/>
              </w:rPr>
            </w:pPr>
            <w:r w:rsidRPr="004D2D7F">
              <w:rPr>
                <w:b/>
                <w:sz w:val="20"/>
                <w:szCs w:val="20"/>
              </w:rPr>
              <w:t>NT (four regions</w:t>
            </w:r>
            <w:r w:rsidRPr="004D2D7F">
              <w:rPr>
                <w:b/>
                <w:sz w:val="20"/>
                <w:szCs w:val="20"/>
                <w:vertAlign w:val="superscript"/>
              </w:rPr>
              <w:t xml:space="preserve"> β</w:t>
            </w:r>
            <w:r w:rsidRPr="004D2D7F">
              <w:rPr>
                <w:b/>
                <w:sz w:val="20"/>
                <w:szCs w:val="20"/>
              </w:rPr>
              <w:t>)</w:t>
            </w:r>
          </w:p>
        </w:tc>
        <w:tc>
          <w:tcPr>
            <w:tcW w:w="2410" w:type="dxa"/>
            <w:tcBorders>
              <w:bottom w:val="single" w:sz="4" w:space="0" w:color="auto"/>
            </w:tcBorders>
            <w:shd w:val="clear" w:color="auto" w:fill="E5DFEC" w:themeFill="accent4" w:themeFillTint="33"/>
          </w:tcPr>
          <w:p w:rsidR="00CC0F5A" w:rsidRPr="004D2D7F" w:rsidRDefault="00CC0F5A" w:rsidP="006721AA">
            <w:pPr>
              <w:ind w:hanging="34"/>
              <w:jc w:val="center"/>
              <w:rPr>
                <w:b/>
                <w:sz w:val="20"/>
                <w:szCs w:val="20"/>
              </w:rPr>
            </w:pPr>
            <w:r w:rsidRPr="004D2D7F">
              <w:rPr>
                <w:b/>
                <w:sz w:val="20"/>
                <w:szCs w:val="20"/>
              </w:rPr>
              <w:t>WA (Kimberley region)</w:t>
            </w:r>
          </w:p>
        </w:tc>
      </w:tr>
      <w:tr w:rsidR="00CC0F5A" w:rsidRPr="004D2D7F" w:rsidTr="00CC0F5A">
        <w:trPr>
          <w:jc w:val="center"/>
        </w:trPr>
        <w:tc>
          <w:tcPr>
            <w:tcW w:w="3686" w:type="dxa"/>
            <w:tcBorders>
              <w:right w:val="nil"/>
            </w:tcBorders>
            <w:shd w:val="clear" w:color="auto" w:fill="B8CCE4" w:themeFill="accent1" w:themeFillTint="66"/>
          </w:tcPr>
          <w:p w:rsidR="00CC0F5A" w:rsidRPr="004D2D7F" w:rsidRDefault="00CC0F5A" w:rsidP="006721AA">
            <w:pPr>
              <w:ind w:hanging="34"/>
              <w:rPr>
                <w:sz w:val="20"/>
                <w:szCs w:val="20"/>
              </w:rPr>
            </w:pPr>
            <w:r w:rsidRPr="004D2D7F">
              <w:rPr>
                <w:sz w:val="20"/>
                <w:szCs w:val="20"/>
              </w:rPr>
              <w:t>Situation to-date, 31 August 2016</w:t>
            </w: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rPr>
            </w:pP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rPr>
            </w:pPr>
          </w:p>
        </w:tc>
        <w:tc>
          <w:tcPr>
            <w:tcW w:w="2410" w:type="dxa"/>
            <w:tcBorders>
              <w:left w:val="nil"/>
            </w:tcBorders>
            <w:shd w:val="clear" w:color="auto" w:fill="B8CCE4" w:themeFill="accent1" w:themeFillTint="66"/>
          </w:tcPr>
          <w:p w:rsidR="00CC0F5A" w:rsidRPr="004D2D7F" w:rsidRDefault="00CC0F5A" w:rsidP="006721AA">
            <w:pPr>
              <w:ind w:hanging="34"/>
              <w:rPr>
                <w:sz w:val="20"/>
                <w:szCs w:val="20"/>
              </w:rPr>
            </w:pP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Outbreak commencement month/</w:t>
            </w:r>
            <w:proofErr w:type="spellStart"/>
            <w:r w:rsidRPr="004D2D7F">
              <w:rPr>
                <w:sz w:val="20"/>
                <w:szCs w:val="20"/>
              </w:rPr>
              <w:t>yr</w:t>
            </w:r>
            <w:proofErr w:type="spellEnd"/>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January 2011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July 2013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June 2014</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Total number of cases</w:t>
            </w:r>
            <w:r w:rsidRPr="004D2D7F">
              <w:rPr>
                <w:b/>
                <w:sz w:val="20"/>
                <w:szCs w:val="20"/>
                <w:vertAlign w:val="superscript"/>
              </w:rPr>
              <w:t xml:space="preserve"> </w:t>
            </w:r>
            <w:r w:rsidRPr="004D2D7F">
              <w:rPr>
                <w:sz w:val="20"/>
                <w:szCs w:val="20"/>
                <w:vertAlign w:val="superscript"/>
              </w:rPr>
              <w:t>α</w:t>
            </w:r>
          </w:p>
        </w:tc>
        <w:tc>
          <w:tcPr>
            <w:tcW w:w="2126" w:type="dxa"/>
            <w:shd w:val="clear" w:color="auto" w:fill="C6D9F1" w:themeFill="text2" w:themeFillTint="33"/>
            <w:vAlign w:val="center"/>
          </w:tcPr>
          <w:p w:rsidR="00CC0F5A" w:rsidRPr="004D2D7F" w:rsidRDefault="00CC0F5A" w:rsidP="006721AA">
            <w:pPr>
              <w:ind w:hanging="34"/>
              <w:jc w:val="center"/>
              <w:rPr>
                <w:b/>
                <w:sz w:val="20"/>
                <w:szCs w:val="20"/>
                <w:vertAlign w:val="superscript"/>
              </w:rPr>
            </w:pPr>
            <w:r w:rsidRPr="004D2D7F">
              <w:rPr>
                <w:b/>
                <w:sz w:val="20"/>
                <w:szCs w:val="20"/>
              </w:rPr>
              <w:t>653</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342</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69</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70%</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79%</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71%</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48% / 52%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46% / 54%</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35% / 65%</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Congenital cases, confirmed (probable)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 (1)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1 (2)</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 (0)</w:t>
            </w:r>
          </w:p>
        </w:tc>
      </w:tr>
      <w:tr w:rsidR="00CC0F5A" w:rsidRPr="004D2D7F" w:rsidTr="00CC0F5A">
        <w:trPr>
          <w:jc w:val="center"/>
        </w:trPr>
        <w:tc>
          <w:tcPr>
            <w:tcW w:w="3686" w:type="dxa"/>
            <w:tcBorders>
              <w:bottom w:val="single" w:sz="4" w:space="0" w:color="auto"/>
            </w:tcBorders>
            <w:shd w:val="clear" w:color="auto" w:fill="auto"/>
          </w:tcPr>
          <w:p w:rsidR="00CC0F5A" w:rsidRPr="004D2D7F" w:rsidRDefault="00CC0F5A" w:rsidP="006721AA">
            <w:pPr>
              <w:ind w:hanging="34"/>
              <w:rPr>
                <w:sz w:val="20"/>
                <w:szCs w:val="20"/>
              </w:rPr>
            </w:pPr>
            <w:r w:rsidRPr="004D2D7F">
              <w:rPr>
                <w:sz w:val="20"/>
                <w:szCs w:val="20"/>
              </w:rPr>
              <w:t xml:space="preserve">   -number of deaths in congenital cases</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w:t>
            </w:r>
          </w:p>
        </w:tc>
        <w:tc>
          <w:tcPr>
            <w:tcW w:w="2126" w:type="dxa"/>
            <w:tcBorders>
              <w:bottom w:val="single" w:sz="4" w:space="0" w:color="auto"/>
            </w:tcBorders>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0</w:t>
            </w:r>
          </w:p>
        </w:tc>
        <w:tc>
          <w:tcPr>
            <w:tcW w:w="2410" w:type="dxa"/>
            <w:tcBorders>
              <w:bottom w:val="single" w:sz="4" w:space="0" w:color="auto"/>
            </w:tcBorders>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CC0F5A">
        <w:trPr>
          <w:jc w:val="center"/>
        </w:trPr>
        <w:tc>
          <w:tcPr>
            <w:tcW w:w="3686" w:type="dxa"/>
            <w:tcBorders>
              <w:right w:val="nil"/>
            </w:tcBorders>
            <w:shd w:val="clear" w:color="auto" w:fill="B8CCE4" w:themeFill="accent1" w:themeFillTint="66"/>
            <w:vAlign w:val="center"/>
          </w:tcPr>
          <w:p w:rsidR="00CC0F5A" w:rsidRPr="004D2D7F" w:rsidRDefault="00CC0F5A" w:rsidP="006721AA">
            <w:pPr>
              <w:ind w:hanging="34"/>
              <w:rPr>
                <w:sz w:val="20"/>
                <w:szCs w:val="20"/>
              </w:rPr>
            </w:pPr>
            <w:r w:rsidRPr="004D2D7F">
              <w:rPr>
                <w:sz w:val="20"/>
                <w:szCs w:val="20"/>
              </w:rPr>
              <w:t>Last reporting month, 1-31 August 2016</w:t>
            </w: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rPr>
            </w:pP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rPr>
            </w:pPr>
          </w:p>
        </w:tc>
        <w:tc>
          <w:tcPr>
            <w:tcW w:w="2410" w:type="dxa"/>
            <w:tcBorders>
              <w:left w:val="nil"/>
            </w:tcBorders>
            <w:shd w:val="clear" w:color="auto" w:fill="B8CCE4" w:themeFill="accent1" w:themeFillTint="66"/>
            <w:vAlign w:val="center"/>
          </w:tcPr>
          <w:p w:rsidR="00CC0F5A" w:rsidRPr="004D2D7F" w:rsidRDefault="00CC0F5A" w:rsidP="006721AA">
            <w:pPr>
              <w:ind w:hanging="34"/>
              <w:rPr>
                <w:sz w:val="20"/>
                <w:szCs w:val="20"/>
              </w:rPr>
            </w:pP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Number of cases</w:t>
            </w:r>
            <w:r w:rsidRPr="004D2D7F">
              <w:rPr>
                <w:b/>
                <w:sz w:val="20"/>
                <w:szCs w:val="20"/>
                <w:vertAlign w:val="superscript"/>
              </w:rPr>
              <w:t xml:space="preserve"> </w:t>
            </w:r>
            <w:r w:rsidRPr="004D2D7F">
              <w:rPr>
                <w:sz w:val="20"/>
                <w:szCs w:val="20"/>
                <w:vertAlign w:val="superscript"/>
              </w:rPr>
              <w:t>α</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b/>
                <w:sz w:val="20"/>
                <w:szCs w:val="20"/>
              </w:rPr>
            </w:pPr>
            <w:r w:rsidRPr="004D2D7F">
              <w:rPr>
                <w:b/>
                <w:sz w:val="20"/>
                <w:szCs w:val="20"/>
              </w:rPr>
              <w:t>17</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9</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5</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jc w:val="center"/>
              <w:rPr>
                <w:sz w:val="20"/>
                <w:szCs w:val="20"/>
              </w:rPr>
            </w:pPr>
            <w:r w:rsidRPr="004D2D7F">
              <w:rPr>
                <w:sz w:val="20"/>
                <w:szCs w:val="20"/>
              </w:rPr>
              <w:t>41%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77%</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60%</w:t>
            </w:r>
          </w:p>
        </w:tc>
      </w:tr>
      <w:tr w:rsidR="00CC0F5A" w:rsidRPr="004D2D7F" w:rsidTr="00CC0F5A">
        <w:trPr>
          <w:jc w:val="center"/>
        </w:trPr>
        <w:tc>
          <w:tcPr>
            <w:tcW w:w="3686"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65% / 35%</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44% / 56%</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20% / 80%</w:t>
            </w:r>
          </w:p>
        </w:tc>
      </w:tr>
    </w:tbl>
    <w:p w:rsidR="00CC0F5A" w:rsidRDefault="00CC0F5A" w:rsidP="002051A3">
      <w:pPr>
        <w:ind w:left="-567" w:right="261"/>
        <w:jc w:val="both"/>
        <w:rPr>
          <w:rFonts w:ascii="Arial" w:hAnsi="Arial" w:cs="Arial"/>
          <w:b/>
        </w:rPr>
      </w:pPr>
    </w:p>
    <w:p w:rsidR="00CC0F5A" w:rsidRPr="004D2D7F" w:rsidRDefault="00CC0F5A" w:rsidP="002051A3">
      <w:pPr>
        <w:ind w:left="-567" w:right="261"/>
        <w:jc w:val="both"/>
        <w:rPr>
          <w:rFonts w:ascii="Arial" w:hAnsi="Arial" w:cs="Arial"/>
          <w:b/>
        </w:rPr>
      </w:pPr>
      <w:r w:rsidRPr="004D2D7F">
        <w:rPr>
          <w:rFonts w:ascii="Arial" w:hAnsi="Arial" w:cs="Arial"/>
          <w:b/>
        </w:rPr>
        <w:t>Activities of the MJSO, 1 August 2016 – 31 August 2016:</w:t>
      </w:r>
    </w:p>
    <w:p w:rsidR="00CC0F5A" w:rsidRPr="004D2D7F" w:rsidRDefault="00CC0F5A" w:rsidP="002051A3">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Provided an update to CDNA on the current outbreak situation and MJSO activities;</w:t>
      </w:r>
    </w:p>
    <w:p w:rsidR="00CC0F5A" w:rsidRPr="004D2D7F" w:rsidRDefault="00CC0F5A" w:rsidP="002051A3">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 xml:space="preserve">Agreed to streamline the MJSO reporting requirements; and </w:t>
      </w:r>
    </w:p>
    <w:p w:rsidR="00CC0F5A" w:rsidRPr="004D2D7F" w:rsidRDefault="00CC0F5A" w:rsidP="002051A3">
      <w:pPr>
        <w:numPr>
          <w:ilvl w:val="0"/>
          <w:numId w:val="1"/>
        </w:numPr>
        <w:ind w:left="-283" w:right="261" w:hanging="284"/>
        <w:contextualSpacing/>
        <w:jc w:val="both"/>
        <w:rPr>
          <w:rFonts w:ascii="Arial" w:hAnsi="Arial" w:cs="Arial"/>
          <w:sz w:val="20"/>
          <w:szCs w:val="20"/>
        </w:rPr>
      </w:pPr>
      <w:r w:rsidRPr="004D2D7F">
        <w:rPr>
          <w:rFonts w:ascii="Arial" w:hAnsi="Arial" w:cs="Arial"/>
          <w:sz w:val="20"/>
          <w:szCs w:val="20"/>
        </w:rPr>
        <w:t>Agreed to review the current targets outlined in the Syphilis National guidelines for public health units and adapting those as necessary to the context of the syphilis outbreak.</w:t>
      </w:r>
    </w:p>
    <w:p w:rsidR="00CC0F5A" w:rsidRPr="004D2D7F" w:rsidRDefault="00CC0F5A" w:rsidP="002051A3">
      <w:pPr>
        <w:ind w:left="-567" w:right="261"/>
        <w:contextualSpacing/>
        <w:jc w:val="both"/>
        <w:rPr>
          <w:rFonts w:ascii="Arial" w:hAnsi="Arial" w:cs="Arial"/>
          <w:sz w:val="20"/>
          <w:szCs w:val="20"/>
        </w:rPr>
      </w:pPr>
    </w:p>
    <w:p w:rsidR="00CC0F5A" w:rsidRPr="004D2D7F" w:rsidRDefault="00CC0F5A" w:rsidP="002051A3">
      <w:pPr>
        <w:ind w:left="-567" w:right="261"/>
        <w:jc w:val="both"/>
        <w:rPr>
          <w:rFonts w:ascii="Arial" w:hAnsi="Arial" w:cs="Arial"/>
          <w:b/>
        </w:rPr>
      </w:pPr>
      <w:r w:rsidRPr="004D2D7F">
        <w:rPr>
          <w:rFonts w:ascii="Arial" w:hAnsi="Arial" w:cs="Arial"/>
          <w:b/>
        </w:rPr>
        <w:t>Community engagement</w:t>
      </w:r>
    </w:p>
    <w:p w:rsidR="00CC0F5A" w:rsidRPr="004D2D7F" w:rsidRDefault="00CC0F5A" w:rsidP="002051A3">
      <w:pPr>
        <w:numPr>
          <w:ilvl w:val="0"/>
          <w:numId w:val="1"/>
        </w:numPr>
        <w:ind w:left="-283" w:right="261" w:hanging="284"/>
        <w:contextualSpacing/>
        <w:jc w:val="both"/>
        <w:rPr>
          <w:rFonts w:ascii="Arial" w:hAnsi="Arial" w:cs="Arial"/>
          <w:sz w:val="20"/>
          <w:szCs w:val="20"/>
        </w:rPr>
      </w:pPr>
      <w:r w:rsidRPr="004D2D7F">
        <w:rPr>
          <w:rFonts w:ascii="Arial" w:hAnsi="Arial"/>
          <w:color w:val="000000" w:themeColor="text1"/>
          <w:sz w:val="20"/>
          <w:szCs w:val="21"/>
        </w:rPr>
        <w:t xml:space="preserve">A sub-group, Engaging Aboriginal and Torres Strait Islander Communities (EAC) meets monthly, and reports back to the MJSO with suggestions for improved community engagement. During this period, the EAC agreed to provide </w:t>
      </w:r>
      <w:r w:rsidRPr="004D2D7F">
        <w:rPr>
          <w:rFonts w:ascii="Arial" w:hAnsi="Arial" w:cs="Arial"/>
          <w:sz w:val="20"/>
          <w:szCs w:val="20"/>
        </w:rPr>
        <w:t xml:space="preserve">comments on </w:t>
      </w:r>
      <w:r w:rsidRPr="004D2D7F">
        <w:rPr>
          <w:rFonts w:ascii="Arial" w:hAnsi="Arial"/>
          <w:color w:val="000000" w:themeColor="text1"/>
          <w:sz w:val="20"/>
          <w:szCs w:val="21"/>
        </w:rPr>
        <w:t>the Community Awareness Campaign</w:t>
      </w:r>
      <w:r w:rsidRPr="004D2D7F">
        <w:rPr>
          <w:rFonts w:ascii="Arial" w:hAnsi="Arial" w:cs="Arial"/>
          <w:sz w:val="20"/>
          <w:szCs w:val="20"/>
        </w:rPr>
        <w:t>’s plans and materials.  Given the coverage of the campaign across northern Australia, it is important that members of this group have input from their local area perspective.</w:t>
      </w:r>
    </w:p>
    <w:p w:rsidR="00CC0F5A" w:rsidRDefault="00CC0F5A" w:rsidP="006721AA">
      <w:r>
        <w:br w:type="page"/>
      </w:r>
    </w:p>
    <w:p w:rsidR="00CC0F5A" w:rsidRPr="004D2D7F" w:rsidRDefault="00CC0F5A" w:rsidP="002051A3">
      <w:pPr>
        <w:pStyle w:val="Heading1"/>
        <w:ind w:left="-567"/>
        <w:rPr>
          <w:rFonts w:eastAsiaTheme="minorHAnsi"/>
        </w:rPr>
      </w:pPr>
      <w:r w:rsidRPr="004D2D7F">
        <w:rPr>
          <w:rFonts w:eastAsiaTheme="minorHAnsi"/>
        </w:rPr>
        <w:t>MULTIJURISDICTIONAL SYPHILIS OUTBREAK WORKING GROUP (MJSO)</w:t>
      </w:r>
    </w:p>
    <w:p w:rsidR="00CC0F5A" w:rsidRPr="004D2D7F" w:rsidRDefault="00CC0F5A" w:rsidP="004362F8">
      <w:pPr>
        <w:spacing w:before="200"/>
        <w:ind w:left="-567" w:right="-612"/>
        <w:jc w:val="center"/>
        <w:rPr>
          <w:rFonts w:ascii="Arial" w:hAnsi="Arial" w:cs="Arial"/>
          <w:sz w:val="28"/>
          <w:szCs w:val="28"/>
        </w:rPr>
      </w:pPr>
      <w:r w:rsidRPr="004D2D7F">
        <w:rPr>
          <w:rFonts w:ascii="Arial" w:hAnsi="Arial" w:cs="Arial"/>
          <w:b/>
          <w:sz w:val="28"/>
          <w:szCs w:val="28"/>
        </w:rPr>
        <w:t xml:space="preserve">Meeting Communique, 20 October 2016 </w:t>
      </w:r>
      <w:r w:rsidRPr="004D2D7F">
        <w:rPr>
          <w:rFonts w:ascii="Arial" w:hAnsi="Arial" w:cs="Arial"/>
          <w:sz w:val="28"/>
          <w:szCs w:val="28"/>
        </w:rPr>
        <w:t>(6</w:t>
      </w:r>
      <w:r w:rsidRPr="004D2D7F">
        <w:rPr>
          <w:rFonts w:ascii="Arial" w:hAnsi="Arial" w:cs="Arial"/>
          <w:sz w:val="28"/>
          <w:szCs w:val="28"/>
          <w:vertAlign w:val="superscript"/>
        </w:rPr>
        <w:t>th</w:t>
      </w:r>
      <w:r w:rsidRPr="004D2D7F">
        <w:rPr>
          <w:rFonts w:ascii="Arial" w:hAnsi="Arial" w:cs="Arial"/>
          <w:sz w:val="28"/>
          <w:szCs w:val="28"/>
        </w:rPr>
        <w:t xml:space="preserve"> communique)</w:t>
      </w:r>
    </w:p>
    <w:p w:rsidR="00CC0F5A" w:rsidRPr="004D2D7F" w:rsidRDefault="00CC0F5A" w:rsidP="002051A3">
      <w:pPr>
        <w:ind w:left="-567" w:right="-612"/>
        <w:jc w:val="center"/>
        <w:rPr>
          <w:rFonts w:ascii="Arial" w:hAnsi="Arial" w:cs="Arial"/>
          <w:b/>
        </w:rPr>
      </w:pPr>
      <w:r w:rsidRPr="004D2D7F">
        <w:rPr>
          <w:rFonts w:ascii="Arial" w:hAnsi="Arial" w:cs="Arial"/>
          <w:b/>
        </w:rPr>
        <w:t>This communique has been authorised by the chair of the MJSO, Dr Nathan Ryder.</w:t>
      </w:r>
    </w:p>
    <w:p w:rsidR="00CC0F5A" w:rsidRPr="004D2D7F" w:rsidRDefault="00CC0F5A" w:rsidP="002051A3">
      <w:pPr>
        <w:ind w:left="-567" w:right="-613"/>
        <w:rPr>
          <w:rFonts w:ascii="Arial" w:hAnsi="Arial" w:cs="Arial"/>
          <w:sz w:val="20"/>
          <w:szCs w:val="20"/>
        </w:rPr>
      </w:pPr>
    </w:p>
    <w:p w:rsidR="00CC0F5A" w:rsidRPr="004D2D7F" w:rsidRDefault="00CC0F5A" w:rsidP="002051A3">
      <w:pPr>
        <w:ind w:left="-567"/>
        <w:rPr>
          <w:rFonts w:ascii="Arial" w:hAnsi="Arial"/>
          <w:sz w:val="20"/>
          <w:szCs w:val="21"/>
        </w:rPr>
      </w:pPr>
      <w:r w:rsidRPr="004D2D7F">
        <w:rPr>
          <w:rFonts w:ascii="Arial" w:hAnsi="Arial" w:cs="Arial"/>
          <w:sz w:val="20"/>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4D2D7F">
        <w:rPr>
          <w:rFonts w:ascii="Arial" w:hAnsi="Arial" w:cs="Arial"/>
          <w:color w:val="000000" w:themeColor="text1"/>
          <w:sz w:val="20"/>
          <w:szCs w:val="20"/>
        </w:rPr>
        <w:t xml:space="preserve">rural areas of northern Australia. </w:t>
      </w:r>
      <w:r w:rsidRPr="004D2D7F">
        <w:rPr>
          <w:rFonts w:ascii="Arial" w:hAnsi="Arial"/>
          <w:color w:val="000000" w:themeColor="text1"/>
          <w:sz w:val="20"/>
          <w:szCs w:val="21"/>
        </w:rPr>
        <w:t xml:space="preserve">Increased notifications associated with the outbreak in northern Australia were first reported in January 2011 in northwest Queensland, followed by the Northern Territory (NT) in July 2013, and the Kimberley region of Western Australia (WA) in </w:t>
      </w:r>
      <w:r w:rsidRPr="004D2D7F">
        <w:rPr>
          <w:rFonts w:ascii="Arial" w:hAnsi="Arial"/>
          <w:color w:val="000000" w:themeColor="text1"/>
          <w:sz w:val="20"/>
          <w:szCs w:val="21"/>
        </w:rPr>
        <w:br/>
        <w:t>June 2014. This communique summarises the outbreak epidemiological data as of 30 September 2016 (current status), and the activities of the MJSO from 1 September – 30 September 2016.</w:t>
      </w:r>
    </w:p>
    <w:p w:rsidR="00CC0F5A" w:rsidRPr="004D2D7F" w:rsidRDefault="00CC0F5A" w:rsidP="002051A3">
      <w:pPr>
        <w:spacing w:line="180" w:lineRule="auto"/>
        <w:ind w:left="-567" w:right="261"/>
        <w:jc w:val="both"/>
        <w:rPr>
          <w:rFonts w:ascii="Arial" w:hAnsi="Arial" w:cs="Arial"/>
          <w:sz w:val="20"/>
          <w:szCs w:val="20"/>
        </w:rPr>
      </w:pPr>
    </w:p>
    <w:p w:rsidR="00CC0F5A" w:rsidRPr="004D2D7F" w:rsidRDefault="00CC0F5A" w:rsidP="002051A3">
      <w:pPr>
        <w:pStyle w:val="Heading2"/>
        <w:ind w:left="-567"/>
        <w:rPr>
          <w:rFonts w:eastAsiaTheme="minorHAnsi"/>
        </w:rPr>
      </w:pPr>
      <w:r w:rsidRPr="004D2D7F">
        <w:rPr>
          <w:rFonts w:eastAsiaTheme="minorHAnsi"/>
        </w:rPr>
        <w:t>Current status</w:t>
      </w:r>
    </w:p>
    <w:p w:rsidR="00CC0F5A" w:rsidRPr="004D2D7F" w:rsidRDefault="00CC0F5A" w:rsidP="002051A3">
      <w:pPr>
        <w:ind w:left="-567" w:right="261"/>
        <w:jc w:val="both"/>
        <w:rPr>
          <w:rFonts w:ascii="Arial" w:hAnsi="Arial" w:cs="Arial"/>
          <w:sz w:val="20"/>
          <w:szCs w:val="20"/>
        </w:rPr>
      </w:pPr>
      <w:r w:rsidRPr="004D2D7F">
        <w:rPr>
          <w:rFonts w:ascii="Arial" w:hAnsi="Arial" w:cs="Arial"/>
          <w:sz w:val="20"/>
          <w:szCs w:val="20"/>
        </w:rPr>
        <w:t>Outbreak data to 30 September 2016 are summarised in Figure 1 and Table 1 below.</w:t>
      </w:r>
    </w:p>
    <w:p w:rsidR="00CC0F5A" w:rsidRPr="004D2D7F" w:rsidRDefault="00CC0F5A" w:rsidP="002051A3">
      <w:pPr>
        <w:ind w:left="-567" w:right="261"/>
        <w:jc w:val="both"/>
        <w:rPr>
          <w:rFonts w:ascii="Arial" w:hAnsi="Arial" w:cs="Arial"/>
          <w:sz w:val="20"/>
          <w:szCs w:val="20"/>
        </w:rPr>
      </w:pPr>
    </w:p>
    <w:p w:rsidR="00CC0F5A" w:rsidRPr="004D2D7F" w:rsidRDefault="00CC0F5A" w:rsidP="002051A3">
      <w:pPr>
        <w:ind w:left="-567" w:right="-255"/>
        <w:rPr>
          <w:rFonts w:ascii="Arial" w:hAnsi="Arial" w:cs="Arial"/>
          <w:sz w:val="20"/>
          <w:szCs w:val="20"/>
        </w:rPr>
      </w:pPr>
      <w:r w:rsidRPr="004D2D7F">
        <w:rPr>
          <w:rFonts w:ascii="Arial" w:hAnsi="Arial" w:cs="Arial"/>
          <w:b/>
          <w:sz w:val="20"/>
          <w:szCs w:val="20"/>
        </w:rPr>
        <w:t>Figure 1</w:t>
      </w:r>
      <w:r w:rsidRPr="004D2D7F">
        <w:rPr>
          <w:rFonts w:ascii="Arial" w:hAnsi="Arial" w:cs="Arial"/>
          <w:sz w:val="20"/>
          <w:szCs w:val="20"/>
        </w:rPr>
        <w:t>. Epidemic curve showing outbreak cases of infectious syphilis</w:t>
      </w:r>
      <w:r>
        <w:rPr>
          <w:rStyle w:val="FootnoteReference"/>
          <w:rFonts w:ascii="Arial" w:hAnsi="Arial" w:cs="Arial"/>
          <w:sz w:val="20"/>
          <w:szCs w:val="20"/>
        </w:rPr>
        <w:footnoteReference w:id="16"/>
      </w:r>
      <w:r w:rsidRPr="004D2D7F">
        <w:rPr>
          <w:rFonts w:ascii="Arial" w:hAnsi="Arial" w:cs="Arial"/>
          <w:sz w:val="20"/>
          <w:szCs w:val="20"/>
        </w:rPr>
        <w:t xml:space="preserve"> notified in affected regions</w:t>
      </w:r>
      <w:r>
        <w:rPr>
          <w:rStyle w:val="FootnoteReference"/>
          <w:rFonts w:ascii="Arial" w:hAnsi="Arial" w:cs="Arial"/>
          <w:sz w:val="20"/>
          <w:szCs w:val="20"/>
        </w:rPr>
        <w:footnoteReference w:id="17"/>
      </w:r>
      <w:r w:rsidRPr="004D2D7F">
        <w:rPr>
          <w:rFonts w:ascii="Arial" w:hAnsi="Arial" w:cs="Arial"/>
          <w:sz w:val="20"/>
          <w:szCs w:val="20"/>
        </w:rPr>
        <w:t xml:space="preserve"> of Queensland, the Northern Territory and Western Australia, from commencement of the outbreak in each jurisdiction to </w:t>
      </w:r>
      <w:r>
        <w:rPr>
          <w:rFonts w:ascii="Arial" w:hAnsi="Arial" w:cs="Arial"/>
          <w:sz w:val="20"/>
          <w:szCs w:val="20"/>
        </w:rPr>
        <w:br/>
      </w:r>
      <w:r w:rsidRPr="004D2D7F">
        <w:rPr>
          <w:rFonts w:ascii="Arial" w:hAnsi="Arial" w:cs="Arial"/>
          <w:sz w:val="20"/>
          <w:szCs w:val="20"/>
        </w:rPr>
        <w:t>30 September 2016</w:t>
      </w:r>
      <w:r w:rsidRPr="004D2D7F">
        <w:rPr>
          <w:rFonts w:ascii="Arial" w:hAnsi="Arial" w:cs="Arial"/>
          <w:sz w:val="20"/>
          <w:szCs w:val="20"/>
          <w:vertAlign w:val="superscript"/>
        </w:rPr>
        <w:t>ᵞ</w:t>
      </w:r>
      <w:r w:rsidRPr="004D2D7F">
        <w:rPr>
          <w:rFonts w:ascii="Arial" w:hAnsi="Arial" w:cs="Arial"/>
          <w:sz w:val="20"/>
          <w:szCs w:val="20"/>
        </w:rPr>
        <w:t>.</w:t>
      </w:r>
    </w:p>
    <w:p w:rsidR="00CC0F5A" w:rsidRPr="004D2D7F" w:rsidRDefault="00CC0F5A" w:rsidP="002051A3">
      <w:pPr>
        <w:ind w:left="-567"/>
        <w:jc w:val="right"/>
        <w:rPr>
          <w:rFonts w:ascii="Arial" w:hAnsi="Arial" w:cs="Arial"/>
          <w:b/>
          <w:sz w:val="20"/>
          <w:szCs w:val="20"/>
        </w:rPr>
      </w:pPr>
      <w:r w:rsidRPr="004D2D7F">
        <w:rPr>
          <w:rFonts w:ascii="Arial" w:hAnsi="Arial" w:cs="Arial"/>
          <w:b/>
          <w:noProof/>
          <w:sz w:val="20"/>
          <w:szCs w:val="20"/>
          <w:lang w:eastAsia="en-AU"/>
        </w:rPr>
        <w:drawing>
          <wp:inline distT="0" distB="0" distL="0" distR="0" wp14:anchorId="3A58170E" wp14:editId="60793C77">
            <wp:extent cx="6551244" cy="2515444"/>
            <wp:effectExtent l="0" t="0" r="2540" b="0"/>
            <wp:docPr id="17" name="Picture 17" descr="This figure shows outbreak cases of infectious syphilis between 1 January 2011 to 30 September 2016, notified in affected regions of Queensland, the Northern Territory and Western Australia." title="Figure 1. Epidemic curve showing outbreak cases of infectious syphilisα notified in affected regionsβ of Queensland, the Northern Territory and Western Australia, from commencement of the outbreak in each jurisdictio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7382" cy="2536999"/>
                    </a:xfrm>
                    <a:prstGeom prst="rect">
                      <a:avLst/>
                    </a:prstGeom>
                    <a:noFill/>
                  </pic:spPr>
                </pic:pic>
              </a:graphicData>
            </a:graphic>
          </wp:inline>
        </w:drawing>
      </w:r>
    </w:p>
    <w:p w:rsidR="00CC0F5A" w:rsidRPr="004D2D7F" w:rsidRDefault="00CC0F5A" w:rsidP="006721AA">
      <w:pPr>
        <w:rPr>
          <w:rFonts w:ascii="Arial" w:hAnsi="Arial" w:cs="Arial"/>
          <w:b/>
          <w:sz w:val="12"/>
          <w:szCs w:val="20"/>
        </w:rPr>
      </w:pPr>
    </w:p>
    <w:p w:rsidR="00CC0F5A" w:rsidRDefault="00CC0F5A" w:rsidP="006721AA">
      <w:pPr>
        <w:rPr>
          <w:rFonts w:ascii="Arial" w:hAnsi="Arial" w:cs="Arial"/>
          <w:b/>
          <w:sz w:val="20"/>
          <w:szCs w:val="20"/>
        </w:rPr>
      </w:pPr>
    </w:p>
    <w:p w:rsidR="00CC0F5A" w:rsidRPr="004D2D7F" w:rsidRDefault="00CC0F5A" w:rsidP="002051A3">
      <w:pPr>
        <w:ind w:left="-567"/>
        <w:rPr>
          <w:rFonts w:ascii="Arial" w:hAnsi="Arial" w:cs="Arial"/>
          <w:sz w:val="20"/>
          <w:szCs w:val="20"/>
        </w:rPr>
      </w:pPr>
      <w:r w:rsidRPr="004D2D7F">
        <w:rPr>
          <w:rFonts w:ascii="Arial" w:hAnsi="Arial" w:cs="Arial"/>
          <w:b/>
          <w:sz w:val="20"/>
          <w:szCs w:val="20"/>
        </w:rPr>
        <w:t xml:space="preserve">Table 1. </w:t>
      </w:r>
      <w:r w:rsidRPr="004D2D7F">
        <w:rPr>
          <w:rFonts w:ascii="Arial" w:hAnsi="Arial" w:cs="Arial"/>
          <w:sz w:val="20"/>
          <w:szCs w:val="20"/>
        </w:rPr>
        <w:t>Characteristics of outbreak cases of infectious syphilis notified in affected regions of Queensland, the Northern Territory and Western Australia, to 30 September 2016</w:t>
      </w:r>
      <w:r>
        <w:rPr>
          <w:rStyle w:val="FootnoteReference"/>
          <w:rFonts w:ascii="Arial" w:hAnsi="Arial" w:cs="Arial"/>
          <w:sz w:val="20"/>
          <w:szCs w:val="20"/>
        </w:rPr>
        <w:footnoteReference w:id="18"/>
      </w:r>
      <w:r w:rsidRPr="004D2D7F">
        <w:rPr>
          <w:rFonts w:ascii="Arial" w:hAnsi="Arial" w:cs="Arial"/>
          <w:sz w:val="20"/>
          <w:szCs w:val="20"/>
        </w:rPr>
        <w:t>.</w:t>
      </w:r>
    </w:p>
    <w:tbl>
      <w:tblPr>
        <w:tblStyle w:val="TableGrid14"/>
        <w:tblW w:w="10575" w:type="dxa"/>
        <w:jc w:val="center"/>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3913"/>
        <w:gridCol w:w="2126"/>
        <w:gridCol w:w="2126"/>
        <w:gridCol w:w="2410"/>
      </w:tblGrid>
      <w:tr w:rsidR="00CC0F5A" w:rsidRPr="004D2D7F" w:rsidTr="00CC0F5A">
        <w:trPr>
          <w:tblHeader/>
          <w:jc w:val="center"/>
        </w:trPr>
        <w:tc>
          <w:tcPr>
            <w:tcW w:w="3913" w:type="dxa"/>
            <w:tcBorders>
              <w:bottom w:val="single" w:sz="4" w:space="0" w:color="auto"/>
            </w:tcBorders>
          </w:tcPr>
          <w:p w:rsidR="00CC0F5A" w:rsidRPr="004D2D7F" w:rsidRDefault="00CC0F5A" w:rsidP="006721AA">
            <w:pPr>
              <w:ind w:hanging="34"/>
              <w:rPr>
                <w:sz w:val="20"/>
                <w:szCs w:val="20"/>
              </w:rPr>
            </w:pPr>
          </w:p>
        </w:tc>
        <w:tc>
          <w:tcPr>
            <w:tcW w:w="2126" w:type="dxa"/>
            <w:tcBorders>
              <w:bottom w:val="single" w:sz="4" w:space="0" w:color="auto"/>
            </w:tcBorders>
            <w:shd w:val="clear" w:color="auto" w:fill="C6D9F1" w:themeFill="text2" w:themeFillTint="33"/>
          </w:tcPr>
          <w:p w:rsidR="00CC0F5A" w:rsidRPr="004D2D7F" w:rsidRDefault="00CC0F5A" w:rsidP="006721AA">
            <w:pPr>
              <w:ind w:hanging="34"/>
              <w:jc w:val="center"/>
              <w:rPr>
                <w:b/>
                <w:sz w:val="20"/>
                <w:szCs w:val="20"/>
              </w:rPr>
            </w:pPr>
            <w:r w:rsidRPr="004D2D7F">
              <w:rPr>
                <w:b/>
                <w:sz w:val="20"/>
                <w:szCs w:val="20"/>
                <w:shd w:val="clear" w:color="auto" w:fill="C6D9F1" w:themeFill="text2" w:themeFillTint="33"/>
              </w:rPr>
              <w:t>North Qld (four HHSs</w:t>
            </w:r>
            <w:r w:rsidRPr="004D2D7F">
              <w:rPr>
                <w:b/>
                <w:sz w:val="20"/>
                <w:szCs w:val="20"/>
                <w:shd w:val="clear" w:color="auto" w:fill="C6D9F1" w:themeFill="text2" w:themeFillTint="33"/>
                <w:vertAlign w:val="superscript"/>
              </w:rPr>
              <w:t>β</w:t>
            </w:r>
            <w:r w:rsidRPr="004D2D7F">
              <w:rPr>
                <w:b/>
                <w:sz w:val="20"/>
                <w:szCs w:val="20"/>
              </w:rPr>
              <w:t>)</w:t>
            </w:r>
          </w:p>
        </w:tc>
        <w:tc>
          <w:tcPr>
            <w:tcW w:w="2126" w:type="dxa"/>
            <w:tcBorders>
              <w:bottom w:val="single" w:sz="4" w:space="0" w:color="auto"/>
            </w:tcBorders>
            <w:shd w:val="clear" w:color="auto" w:fill="DAEEF3" w:themeFill="accent5" w:themeFillTint="33"/>
          </w:tcPr>
          <w:p w:rsidR="00CC0F5A" w:rsidRPr="004D2D7F" w:rsidRDefault="00CC0F5A" w:rsidP="006721AA">
            <w:pPr>
              <w:ind w:hanging="34"/>
              <w:jc w:val="center"/>
              <w:rPr>
                <w:b/>
                <w:sz w:val="20"/>
                <w:szCs w:val="20"/>
              </w:rPr>
            </w:pPr>
            <w:r w:rsidRPr="004D2D7F">
              <w:rPr>
                <w:b/>
                <w:sz w:val="20"/>
                <w:szCs w:val="20"/>
              </w:rPr>
              <w:t>NT (four regions</w:t>
            </w:r>
            <w:r w:rsidRPr="004D2D7F">
              <w:rPr>
                <w:b/>
                <w:sz w:val="20"/>
                <w:szCs w:val="20"/>
                <w:vertAlign w:val="superscript"/>
              </w:rPr>
              <w:t xml:space="preserve"> β</w:t>
            </w:r>
            <w:r w:rsidRPr="004D2D7F">
              <w:rPr>
                <w:b/>
                <w:sz w:val="20"/>
                <w:szCs w:val="20"/>
              </w:rPr>
              <w:t>)</w:t>
            </w:r>
          </w:p>
        </w:tc>
        <w:tc>
          <w:tcPr>
            <w:tcW w:w="2410" w:type="dxa"/>
            <w:tcBorders>
              <w:bottom w:val="single" w:sz="4" w:space="0" w:color="auto"/>
            </w:tcBorders>
            <w:shd w:val="clear" w:color="auto" w:fill="E5DFEC" w:themeFill="accent4" w:themeFillTint="33"/>
          </w:tcPr>
          <w:p w:rsidR="00CC0F5A" w:rsidRPr="004D2D7F" w:rsidRDefault="00CC0F5A" w:rsidP="006721AA">
            <w:pPr>
              <w:ind w:hanging="34"/>
              <w:jc w:val="center"/>
              <w:rPr>
                <w:b/>
                <w:sz w:val="20"/>
                <w:szCs w:val="20"/>
              </w:rPr>
            </w:pPr>
            <w:r w:rsidRPr="004D2D7F">
              <w:rPr>
                <w:b/>
                <w:sz w:val="20"/>
                <w:szCs w:val="20"/>
              </w:rPr>
              <w:t>WA (Kimberley region)</w:t>
            </w:r>
          </w:p>
        </w:tc>
      </w:tr>
      <w:tr w:rsidR="00CC0F5A" w:rsidRPr="004D2D7F" w:rsidTr="00CC0F5A">
        <w:trPr>
          <w:jc w:val="center"/>
        </w:trPr>
        <w:tc>
          <w:tcPr>
            <w:tcW w:w="3913" w:type="dxa"/>
            <w:tcBorders>
              <w:right w:val="nil"/>
            </w:tcBorders>
            <w:shd w:val="clear" w:color="auto" w:fill="B8CCE4" w:themeFill="accent1" w:themeFillTint="66"/>
          </w:tcPr>
          <w:p w:rsidR="00CC0F5A" w:rsidRPr="004D2D7F" w:rsidRDefault="00CC0F5A" w:rsidP="006721AA">
            <w:pPr>
              <w:ind w:hanging="34"/>
              <w:rPr>
                <w:sz w:val="20"/>
                <w:szCs w:val="20"/>
              </w:rPr>
            </w:pPr>
            <w:r w:rsidRPr="004D2D7F">
              <w:rPr>
                <w:sz w:val="20"/>
                <w:szCs w:val="20"/>
              </w:rPr>
              <w:t>Situation to-date, 30 September 2016</w:t>
            </w: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rPr>
            </w:pP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rPr>
            </w:pPr>
          </w:p>
        </w:tc>
        <w:tc>
          <w:tcPr>
            <w:tcW w:w="2410" w:type="dxa"/>
            <w:tcBorders>
              <w:left w:val="nil"/>
            </w:tcBorders>
            <w:shd w:val="clear" w:color="auto" w:fill="B8CCE4" w:themeFill="accent1" w:themeFillTint="66"/>
          </w:tcPr>
          <w:p w:rsidR="00CC0F5A" w:rsidRPr="004D2D7F" w:rsidRDefault="00CC0F5A" w:rsidP="006721AA">
            <w:pPr>
              <w:ind w:hanging="34"/>
              <w:rPr>
                <w:sz w:val="20"/>
                <w:szCs w:val="20"/>
              </w:rPr>
            </w:pP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Outbreak commencement month/</w:t>
            </w:r>
            <w:proofErr w:type="spellStart"/>
            <w:r w:rsidRPr="004D2D7F">
              <w:rPr>
                <w:sz w:val="20"/>
                <w:szCs w:val="20"/>
              </w:rPr>
              <w:t>yr</w:t>
            </w:r>
            <w:proofErr w:type="spellEnd"/>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January 2011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July 2013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June 2014</w:t>
            </w: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Total number of cases</w:t>
            </w:r>
            <w:r w:rsidRPr="004D2D7F">
              <w:rPr>
                <w:b/>
                <w:sz w:val="20"/>
                <w:szCs w:val="20"/>
                <w:vertAlign w:val="superscript"/>
              </w:rPr>
              <w:t xml:space="preserve"> </w:t>
            </w:r>
            <w:r w:rsidRPr="004D2D7F">
              <w:rPr>
                <w:sz w:val="20"/>
                <w:szCs w:val="20"/>
                <w:vertAlign w:val="superscript"/>
              </w:rPr>
              <w:t>α</w:t>
            </w:r>
          </w:p>
        </w:tc>
        <w:tc>
          <w:tcPr>
            <w:tcW w:w="2126" w:type="dxa"/>
            <w:shd w:val="clear" w:color="auto" w:fill="C6D9F1" w:themeFill="text2" w:themeFillTint="33"/>
            <w:vAlign w:val="center"/>
          </w:tcPr>
          <w:p w:rsidR="00CC0F5A" w:rsidRPr="004D2D7F" w:rsidRDefault="00CC0F5A" w:rsidP="006721AA">
            <w:pPr>
              <w:ind w:hanging="34"/>
              <w:jc w:val="center"/>
              <w:rPr>
                <w:b/>
                <w:sz w:val="20"/>
                <w:szCs w:val="20"/>
                <w:vertAlign w:val="superscript"/>
              </w:rPr>
            </w:pPr>
            <w:r w:rsidRPr="004D2D7F">
              <w:rPr>
                <w:b/>
                <w:sz w:val="20"/>
                <w:szCs w:val="20"/>
              </w:rPr>
              <w:t>681</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361</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75</w:t>
            </w: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70%</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79%</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68%</w:t>
            </w: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48% / 52%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47% / 53%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36% / 64%</w:t>
            </w: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Congenital cases, confirmed (probable)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 (2)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1 (2)</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 (0)</w:t>
            </w:r>
          </w:p>
        </w:tc>
      </w:tr>
      <w:tr w:rsidR="00CC0F5A" w:rsidRPr="004D2D7F" w:rsidTr="00CC0F5A">
        <w:trPr>
          <w:jc w:val="center"/>
        </w:trPr>
        <w:tc>
          <w:tcPr>
            <w:tcW w:w="3913" w:type="dxa"/>
            <w:tcBorders>
              <w:bottom w:val="single" w:sz="4" w:space="0" w:color="auto"/>
            </w:tcBorders>
            <w:shd w:val="clear" w:color="auto" w:fill="auto"/>
          </w:tcPr>
          <w:p w:rsidR="00CC0F5A" w:rsidRPr="004D2D7F" w:rsidRDefault="00CC0F5A" w:rsidP="006721AA">
            <w:pPr>
              <w:ind w:hanging="34"/>
              <w:rPr>
                <w:sz w:val="20"/>
                <w:szCs w:val="20"/>
              </w:rPr>
            </w:pPr>
            <w:r w:rsidRPr="004D2D7F">
              <w:rPr>
                <w:sz w:val="20"/>
                <w:szCs w:val="20"/>
              </w:rPr>
              <w:t xml:space="preserve">   -number of deaths in congenital cases</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w:t>
            </w:r>
          </w:p>
        </w:tc>
        <w:tc>
          <w:tcPr>
            <w:tcW w:w="2126" w:type="dxa"/>
            <w:tcBorders>
              <w:bottom w:val="single" w:sz="4" w:space="0" w:color="auto"/>
            </w:tcBorders>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0</w:t>
            </w:r>
          </w:p>
        </w:tc>
        <w:tc>
          <w:tcPr>
            <w:tcW w:w="2410" w:type="dxa"/>
            <w:tcBorders>
              <w:bottom w:val="single" w:sz="4" w:space="0" w:color="auto"/>
            </w:tcBorders>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CC0F5A">
        <w:trPr>
          <w:jc w:val="center"/>
        </w:trPr>
        <w:tc>
          <w:tcPr>
            <w:tcW w:w="3913" w:type="dxa"/>
            <w:tcBorders>
              <w:right w:val="nil"/>
            </w:tcBorders>
            <w:shd w:val="clear" w:color="auto" w:fill="B8CCE4" w:themeFill="accent1" w:themeFillTint="66"/>
            <w:vAlign w:val="center"/>
          </w:tcPr>
          <w:p w:rsidR="00CC0F5A" w:rsidRPr="004D2D7F" w:rsidRDefault="00CC0F5A" w:rsidP="006721AA">
            <w:pPr>
              <w:ind w:hanging="34"/>
              <w:rPr>
                <w:sz w:val="20"/>
                <w:szCs w:val="20"/>
              </w:rPr>
            </w:pPr>
            <w:r w:rsidRPr="004D2D7F">
              <w:rPr>
                <w:sz w:val="20"/>
                <w:szCs w:val="20"/>
              </w:rPr>
              <w:t>Last reporting month, 1-30 September 2016</w:t>
            </w: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rPr>
            </w:pP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rPr>
            </w:pPr>
          </w:p>
        </w:tc>
        <w:tc>
          <w:tcPr>
            <w:tcW w:w="2410" w:type="dxa"/>
            <w:tcBorders>
              <w:left w:val="nil"/>
            </w:tcBorders>
            <w:shd w:val="clear" w:color="auto" w:fill="B8CCE4" w:themeFill="accent1" w:themeFillTint="66"/>
            <w:vAlign w:val="center"/>
          </w:tcPr>
          <w:p w:rsidR="00CC0F5A" w:rsidRPr="004D2D7F" w:rsidRDefault="00CC0F5A" w:rsidP="006721AA">
            <w:pPr>
              <w:ind w:hanging="34"/>
              <w:rPr>
                <w:sz w:val="20"/>
                <w:szCs w:val="20"/>
              </w:rPr>
            </w:pP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Number of cases</w:t>
            </w:r>
            <w:r w:rsidRPr="004D2D7F">
              <w:rPr>
                <w:b/>
                <w:sz w:val="20"/>
                <w:szCs w:val="20"/>
                <w:vertAlign w:val="superscript"/>
              </w:rPr>
              <w:t xml:space="preserve"> </w:t>
            </w:r>
            <w:r w:rsidRPr="004D2D7F">
              <w:rPr>
                <w:sz w:val="20"/>
                <w:szCs w:val="20"/>
                <w:vertAlign w:val="superscript"/>
              </w:rPr>
              <w:t>α</w:t>
            </w:r>
          </w:p>
        </w:tc>
        <w:tc>
          <w:tcPr>
            <w:tcW w:w="2126"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b/>
                <w:sz w:val="20"/>
                <w:szCs w:val="20"/>
              </w:rPr>
            </w:pPr>
            <w:r w:rsidRPr="004D2D7F">
              <w:rPr>
                <w:b/>
                <w:sz w:val="20"/>
                <w:szCs w:val="20"/>
              </w:rPr>
              <w:t>20</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14</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6</w:t>
            </w: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Percent cases reported in 15-29 year age group</w:t>
            </w:r>
          </w:p>
        </w:tc>
        <w:tc>
          <w:tcPr>
            <w:tcW w:w="2126" w:type="dxa"/>
            <w:shd w:val="clear" w:color="auto" w:fill="C6D9F1" w:themeFill="text2" w:themeFillTint="33"/>
            <w:vAlign w:val="center"/>
          </w:tcPr>
          <w:p w:rsidR="00CC0F5A" w:rsidRPr="004D2D7F" w:rsidRDefault="00CC0F5A" w:rsidP="006721AA">
            <w:pPr>
              <w:jc w:val="center"/>
              <w:rPr>
                <w:sz w:val="20"/>
                <w:szCs w:val="20"/>
              </w:rPr>
            </w:pPr>
            <w:r w:rsidRPr="004D2D7F">
              <w:rPr>
                <w:sz w:val="20"/>
                <w:szCs w:val="20"/>
              </w:rPr>
              <w:t>65%</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86%</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33%</w:t>
            </w:r>
          </w:p>
        </w:tc>
      </w:tr>
      <w:tr w:rsidR="00CC0F5A" w:rsidRPr="004D2D7F" w:rsidTr="00CC0F5A">
        <w:trPr>
          <w:jc w:val="center"/>
        </w:trPr>
        <w:tc>
          <w:tcPr>
            <w:tcW w:w="3913" w:type="dxa"/>
          </w:tcPr>
          <w:p w:rsidR="00CC0F5A" w:rsidRPr="004D2D7F" w:rsidRDefault="00CC0F5A" w:rsidP="006721AA">
            <w:pPr>
              <w:ind w:hanging="34"/>
              <w:rPr>
                <w:sz w:val="20"/>
                <w:szCs w:val="20"/>
              </w:rPr>
            </w:pPr>
            <w:r w:rsidRPr="004D2D7F">
              <w:rPr>
                <w:sz w:val="20"/>
                <w:szCs w:val="20"/>
              </w:rPr>
              <w:t>% Male / % Female</w:t>
            </w:r>
          </w:p>
        </w:tc>
        <w:tc>
          <w:tcPr>
            <w:tcW w:w="2126"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30% / 70%</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64% / 36%</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50% / 50%</w:t>
            </w:r>
          </w:p>
        </w:tc>
      </w:tr>
    </w:tbl>
    <w:p w:rsidR="00CC0F5A" w:rsidRDefault="00CC0F5A" w:rsidP="006721AA">
      <w:pPr>
        <w:ind w:right="261"/>
        <w:jc w:val="both"/>
        <w:rPr>
          <w:rFonts w:ascii="Arial" w:hAnsi="Arial" w:cs="Arial"/>
          <w:b/>
        </w:rPr>
      </w:pPr>
    </w:p>
    <w:p w:rsidR="00CC0F5A" w:rsidRPr="004D2D7F" w:rsidRDefault="00CC0F5A" w:rsidP="002051A3">
      <w:pPr>
        <w:ind w:left="-567" w:right="261"/>
        <w:jc w:val="both"/>
        <w:rPr>
          <w:rFonts w:ascii="Arial" w:hAnsi="Arial" w:cs="Arial"/>
          <w:b/>
        </w:rPr>
      </w:pPr>
      <w:r w:rsidRPr="004D2D7F">
        <w:rPr>
          <w:rFonts w:ascii="Arial" w:hAnsi="Arial" w:cs="Arial"/>
          <w:b/>
        </w:rPr>
        <w:t>Activities of the MJSO, 1 September 2016 – 30 September 2016:</w:t>
      </w:r>
    </w:p>
    <w:p w:rsidR="00CC0F5A" w:rsidRPr="00DA71E2" w:rsidRDefault="00CC0F5A" w:rsidP="002051A3">
      <w:pPr>
        <w:numPr>
          <w:ilvl w:val="0"/>
          <w:numId w:val="1"/>
        </w:numPr>
        <w:ind w:left="-283" w:right="261" w:hanging="284"/>
        <w:contextualSpacing/>
        <w:jc w:val="both"/>
        <w:rPr>
          <w:rFonts w:ascii="Arial" w:hAnsi="Arial"/>
          <w:color w:val="000000" w:themeColor="text1"/>
          <w:sz w:val="20"/>
          <w:szCs w:val="21"/>
        </w:rPr>
      </w:pPr>
      <w:r w:rsidRPr="00DA71E2">
        <w:rPr>
          <w:rFonts w:ascii="Arial" w:hAnsi="Arial"/>
          <w:color w:val="000000" w:themeColor="text1"/>
          <w:sz w:val="20"/>
          <w:szCs w:val="21"/>
        </w:rPr>
        <w:t>Published a webpage on the Department of Health’s website to provide information regarding the infectious syphilis outbreak affecting Aboriginal and Torres Strait Islander people living in northern Australia;</w:t>
      </w:r>
    </w:p>
    <w:p w:rsidR="00CC0F5A" w:rsidRPr="00DA71E2" w:rsidRDefault="00CC0F5A" w:rsidP="002051A3">
      <w:pPr>
        <w:numPr>
          <w:ilvl w:val="0"/>
          <w:numId w:val="1"/>
        </w:numPr>
        <w:ind w:left="-283" w:right="261" w:hanging="284"/>
        <w:contextualSpacing/>
        <w:jc w:val="both"/>
        <w:rPr>
          <w:rFonts w:ascii="Arial" w:hAnsi="Arial"/>
          <w:color w:val="000000" w:themeColor="text1"/>
          <w:sz w:val="20"/>
          <w:szCs w:val="21"/>
        </w:rPr>
      </w:pPr>
      <w:r w:rsidRPr="00DA71E2">
        <w:rPr>
          <w:rFonts w:ascii="Arial" w:hAnsi="Arial"/>
          <w:color w:val="000000" w:themeColor="text1"/>
          <w:sz w:val="20"/>
          <w:szCs w:val="21"/>
        </w:rPr>
        <w:t>Sought agreement from CDNA to review the current targets outlined in the Syphilis National guidelines for public health units and adapting those as necessary to the context of the syphilis outbreak;</w:t>
      </w:r>
    </w:p>
    <w:p w:rsidR="00CC0F5A" w:rsidRPr="00DA71E2" w:rsidRDefault="00CC0F5A" w:rsidP="002051A3">
      <w:pPr>
        <w:numPr>
          <w:ilvl w:val="0"/>
          <w:numId w:val="1"/>
        </w:numPr>
        <w:ind w:left="-283" w:right="261" w:hanging="284"/>
        <w:contextualSpacing/>
        <w:jc w:val="both"/>
        <w:rPr>
          <w:rFonts w:ascii="Arial" w:hAnsi="Arial"/>
          <w:color w:val="000000" w:themeColor="text1"/>
          <w:sz w:val="20"/>
          <w:szCs w:val="21"/>
        </w:rPr>
      </w:pPr>
      <w:r w:rsidRPr="00DA71E2">
        <w:rPr>
          <w:rFonts w:ascii="Arial" w:hAnsi="Arial"/>
          <w:color w:val="000000" w:themeColor="text1"/>
          <w:sz w:val="20"/>
          <w:szCs w:val="21"/>
        </w:rPr>
        <w:t xml:space="preserve">Considered the possible role of the syphilis point of care tests as part of the outbreak response strategy to rapidly screen communities and provide immediate treatment to those with a positive result; and </w:t>
      </w:r>
    </w:p>
    <w:p w:rsidR="00CC0F5A" w:rsidRPr="00DA71E2" w:rsidRDefault="00CC0F5A" w:rsidP="002051A3">
      <w:pPr>
        <w:numPr>
          <w:ilvl w:val="0"/>
          <w:numId w:val="1"/>
        </w:numPr>
        <w:ind w:left="-283" w:right="261" w:hanging="284"/>
        <w:contextualSpacing/>
        <w:jc w:val="both"/>
        <w:rPr>
          <w:rFonts w:ascii="Arial" w:hAnsi="Arial"/>
          <w:color w:val="000000" w:themeColor="text1"/>
          <w:sz w:val="20"/>
          <w:szCs w:val="21"/>
        </w:rPr>
      </w:pPr>
      <w:r w:rsidRPr="00DA71E2">
        <w:rPr>
          <w:rFonts w:ascii="Arial" w:hAnsi="Arial"/>
          <w:color w:val="000000" w:themeColor="text1"/>
          <w:sz w:val="20"/>
          <w:szCs w:val="21"/>
        </w:rPr>
        <w:t>Explored new changes to the syphilis case definition.</w:t>
      </w:r>
    </w:p>
    <w:p w:rsidR="00CC0F5A" w:rsidRPr="004D2D7F" w:rsidRDefault="00CC0F5A" w:rsidP="006721AA">
      <w:pPr>
        <w:ind w:right="261"/>
        <w:contextualSpacing/>
        <w:jc w:val="both"/>
        <w:rPr>
          <w:rFonts w:ascii="Arial" w:hAnsi="Arial" w:cs="Arial"/>
          <w:sz w:val="20"/>
          <w:szCs w:val="20"/>
        </w:rPr>
      </w:pPr>
    </w:p>
    <w:p w:rsidR="00CC0F5A" w:rsidRPr="004D2D7F" w:rsidRDefault="00CC0F5A" w:rsidP="002051A3">
      <w:pPr>
        <w:ind w:left="-567" w:right="261"/>
        <w:jc w:val="both"/>
        <w:rPr>
          <w:rFonts w:ascii="Arial" w:hAnsi="Arial" w:cs="Arial"/>
          <w:b/>
        </w:rPr>
      </w:pPr>
      <w:r w:rsidRPr="004D2D7F">
        <w:rPr>
          <w:rFonts w:ascii="Arial" w:hAnsi="Arial" w:cs="Arial"/>
          <w:b/>
        </w:rPr>
        <w:t>Community engagement</w:t>
      </w:r>
    </w:p>
    <w:p w:rsidR="00CC0F5A" w:rsidRPr="00DA71E2" w:rsidRDefault="00CC0F5A" w:rsidP="002051A3">
      <w:pPr>
        <w:numPr>
          <w:ilvl w:val="0"/>
          <w:numId w:val="1"/>
        </w:numPr>
        <w:ind w:left="-283" w:right="261" w:hanging="284"/>
        <w:contextualSpacing/>
        <w:jc w:val="both"/>
        <w:rPr>
          <w:rFonts w:ascii="Arial" w:hAnsi="Arial"/>
          <w:color w:val="000000" w:themeColor="text1"/>
          <w:sz w:val="20"/>
          <w:szCs w:val="21"/>
        </w:rPr>
      </w:pPr>
      <w:r w:rsidRPr="004D2D7F">
        <w:rPr>
          <w:rFonts w:ascii="Arial" w:hAnsi="Arial"/>
          <w:color w:val="000000" w:themeColor="text1"/>
          <w:sz w:val="20"/>
          <w:szCs w:val="21"/>
        </w:rPr>
        <w:t>A sub-group, Engaging Aboriginal and Torres Strait Islander Communities (EAC) meets monthly, and reports back to the MJSO with suggestions for improved community engagement. During this period, the EAC shared promotional material and engagement plans aimed to encourage testing and increase awareness among Aboriginal and Torres Strait Islander communities</w:t>
      </w:r>
      <w:r w:rsidRPr="00DA71E2">
        <w:rPr>
          <w:rFonts w:ascii="Arial" w:hAnsi="Arial"/>
          <w:color w:val="000000" w:themeColor="text1"/>
          <w:sz w:val="20"/>
          <w:szCs w:val="21"/>
        </w:rPr>
        <w:t>.</w:t>
      </w:r>
    </w:p>
    <w:p w:rsidR="00CC0F5A" w:rsidRDefault="00CC0F5A" w:rsidP="006721AA">
      <w:r>
        <w:br w:type="page"/>
      </w:r>
    </w:p>
    <w:p w:rsidR="00CC0F5A" w:rsidRPr="00884C9E" w:rsidRDefault="00CC0F5A" w:rsidP="004362F8">
      <w:pPr>
        <w:pStyle w:val="Heading1"/>
        <w:ind w:left="-567"/>
        <w:jc w:val="center"/>
      </w:pPr>
      <w:r w:rsidRPr="00884C9E">
        <w:t>MULTIJURISDICTIONAL SYPHILIS OUTBREAK WORKING GROUP (MJSO)</w:t>
      </w:r>
    </w:p>
    <w:p w:rsidR="00CC0F5A" w:rsidRPr="004362F8" w:rsidRDefault="00CC0F5A" w:rsidP="004362F8">
      <w:pPr>
        <w:spacing w:before="200"/>
        <w:ind w:left="-567"/>
        <w:jc w:val="center"/>
        <w:rPr>
          <w:rFonts w:ascii="Arial" w:hAnsi="Arial" w:cs="Arial"/>
          <w:b/>
          <w:i/>
          <w:sz w:val="28"/>
          <w:szCs w:val="28"/>
        </w:rPr>
      </w:pPr>
      <w:r w:rsidRPr="004362F8">
        <w:rPr>
          <w:rFonts w:ascii="Arial" w:hAnsi="Arial" w:cs="Arial"/>
          <w:b/>
          <w:sz w:val="28"/>
          <w:szCs w:val="28"/>
        </w:rPr>
        <w:t xml:space="preserve">Meeting Communique, 24 November 2016 </w:t>
      </w:r>
      <w:r w:rsidRPr="004362F8">
        <w:rPr>
          <w:rFonts w:ascii="Arial" w:hAnsi="Arial" w:cs="Arial"/>
          <w:sz w:val="28"/>
          <w:szCs w:val="28"/>
        </w:rPr>
        <w:t>(7</w:t>
      </w:r>
      <w:r w:rsidRPr="004362F8">
        <w:rPr>
          <w:rFonts w:ascii="Arial" w:hAnsi="Arial" w:cs="Arial"/>
          <w:sz w:val="28"/>
          <w:szCs w:val="28"/>
          <w:vertAlign w:val="superscript"/>
        </w:rPr>
        <w:t>th</w:t>
      </w:r>
      <w:r w:rsidRPr="004362F8">
        <w:rPr>
          <w:rFonts w:ascii="Arial" w:hAnsi="Arial" w:cs="Arial"/>
          <w:sz w:val="28"/>
          <w:szCs w:val="28"/>
        </w:rPr>
        <w:t xml:space="preserve"> communique)</w:t>
      </w:r>
    </w:p>
    <w:p w:rsidR="00CC0F5A" w:rsidRPr="00884C9E" w:rsidRDefault="00CC0F5A" w:rsidP="002051A3">
      <w:pPr>
        <w:ind w:left="-567"/>
        <w:jc w:val="center"/>
        <w:rPr>
          <w:rFonts w:ascii="Arial" w:hAnsi="Arial" w:cs="Arial"/>
          <w:b/>
        </w:rPr>
      </w:pPr>
      <w:r w:rsidRPr="00884C9E">
        <w:rPr>
          <w:rFonts w:ascii="Arial" w:hAnsi="Arial" w:cs="Arial"/>
          <w:b/>
        </w:rPr>
        <w:t>This communique has been authorised by the chair of the MJSO, Dr Nathan Ryder.</w:t>
      </w:r>
    </w:p>
    <w:p w:rsidR="00CC0F5A" w:rsidRDefault="00CC0F5A" w:rsidP="002051A3">
      <w:pPr>
        <w:ind w:left="-567" w:right="-613"/>
        <w:rPr>
          <w:rFonts w:ascii="Arial" w:hAnsi="Arial" w:cs="Arial"/>
          <w:sz w:val="20"/>
          <w:szCs w:val="20"/>
        </w:rPr>
      </w:pPr>
    </w:p>
    <w:p w:rsidR="00CC0F5A" w:rsidRPr="004E075B" w:rsidRDefault="00CC0F5A" w:rsidP="002051A3">
      <w:pPr>
        <w:pStyle w:val="PlainText"/>
        <w:ind w:left="-567"/>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with the outbreak in northern Australia were first reported in January 2011 in northwest Queensland, followed by the Northern Territory (NT) in July 2013, and the Kimberley region of Western Australia (WA) in </w:t>
      </w:r>
      <w:r>
        <w:rPr>
          <w:color w:val="000000" w:themeColor="text1"/>
        </w:rPr>
        <w:br/>
      </w:r>
      <w:r w:rsidRPr="00E27FA1">
        <w:rPr>
          <w:color w:val="000000" w:themeColor="text1"/>
        </w:rPr>
        <w:t xml:space="preserve">June 2014. This communique summarises the outbreak </w:t>
      </w:r>
      <w:r>
        <w:rPr>
          <w:color w:val="000000" w:themeColor="text1"/>
        </w:rPr>
        <w:t xml:space="preserve">epidemiological data as of 31 October </w:t>
      </w:r>
      <w:r w:rsidRPr="00E27FA1">
        <w:rPr>
          <w:color w:val="000000" w:themeColor="text1"/>
        </w:rPr>
        <w:t xml:space="preserve">2016 (current status), and the activities of the MJSO </w:t>
      </w:r>
      <w:r>
        <w:rPr>
          <w:color w:val="000000" w:themeColor="text1"/>
        </w:rPr>
        <w:t>from 1 –</w:t>
      </w:r>
      <w:r w:rsidRPr="00E27FA1">
        <w:rPr>
          <w:color w:val="000000" w:themeColor="text1"/>
        </w:rPr>
        <w:t xml:space="preserve"> </w:t>
      </w:r>
      <w:r>
        <w:rPr>
          <w:color w:val="000000" w:themeColor="text1"/>
        </w:rPr>
        <w:t xml:space="preserve">31 October </w:t>
      </w:r>
      <w:r w:rsidRPr="00E27FA1">
        <w:rPr>
          <w:color w:val="000000" w:themeColor="text1"/>
        </w:rPr>
        <w:t>2016.</w:t>
      </w:r>
    </w:p>
    <w:p w:rsidR="00CC0F5A" w:rsidRDefault="00CC0F5A" w:rsidP="002051A3">
      <w:pPr>
        <w:ind w:left="-567"/>
        <w:rPr>
          <w:rFonts w:ascii="Arial" w:hAnsi="Arial" w:cs="Arial"/>
          <w:b/>
        </w:rPr>
      </w:pPr>
    </w:p>
    <w:p w:rsidR="00CC0F5A" w:rsidRPr="00884C9E" w:rsidRDefault="00CC0F5A" w:rsidP="002051A3">
      <w:pPr>
        <w:pStyle w:val="Heading2"/>
        <w:ind w:left="-567"/>
      </w:pPr>
      <w:r w:rsidRPr="00884C9E">
        <w:t>Current status</w:t>
      </w:r>
    </w:p>
    <w:p w:rsidR="00CC0F5A" w:rsidRDefault="00CC0F5A" w:rsidP="002051A3">
      <w:pPr>
        <w:ind w:left="-567" w:right="261"/>
        <w:jc w:val="both"/>
        <w:rPr>
          <w:rFonts w:ascii="Arial" w:hAnsi="Arial" w:cs="Arial"/>
          <w:sz w:val="20"/>
          <w:szCs w:val="20"/>
        </w:rPr>
      </w:pPr>
      <w:r w:rsidRPr="009C3C6F">
        <w:rPr>
          <w:rFonts w:ascii="Arial" w:hAnsi="Arial" w:cs="Arial"/>
          <w:sz w:val="20"/>
          <w:szCs w:val="20"/>
        </w:rPr>
        <w:t xml:space="preserve">Outbreak data </w:t>
      </w:r>
      <w:r>
        <w:rPr>
          <w:rFonts w:ascii="Arial" w:hAnsi="Arial" w:cs="Arial"/>
          <w:sz w:val="20"/>
          <w:szCs w:val="20"/>
        </w:rPr>
        <w:t xml:space="preserve">to 31 October 2016 </w:t>
      </w:r>
      <w:r w:rsidRPr="009C3C6F">
        <w:rPr>
          <w:rFonts w:ascii="Arial" w:hAnsi="Arial" w:cs="Arial"/>
          <w:sz w:val="20"/>
          <w:szCs w:val="20"/>
        </w:rPr>
        <w:t>are summarised in Figure 1 and Table 1 below.</w:t>
      </w:r>
    </w:p>
    <w:p w:rsidR="00CC0F5A" w:rsidRDefault="00CC0F5A" w:rsidP="002051A3">
      <w:pPr>
        <w:ind w:left="-567" w:right="261"/>
        <w:jc w:val="both"/>
        <w:rPr>
          <w:rFonts w:ascii="Arial" w:hAnsi="Arial" w:cs="Arial"/>
          <w:sz w:val="20"/>
          <w:szCs w:val="20"/>
        </w:rPr>
      </w:pPr>
    </w:p>
    <w:p w:rsidR="00CC0F5A" w:rsidRDefault="00CC0F5A" w:rsidP="002051A3">
      <w:pPr>
        <w:ind w:left="-567"/>
        <w:rPr>
          <w:rFonts w:ascii="Arial" w:hAnsi="Arial" w:cs="Arial"/>
          <w:sz w:val="20"/>
          <w:szCs w:val="20"/>
        </w:rPr>
      </w:pPr>
      <w:r w:rsidRPr="00F12A54">
        <w:rPr>
          <w:rFonts w:ascii="Arial" w:hAnsi="Arial" w:cs="Arial"/>
          <w:b/>
          <w:sz w:val="20"/>
          <w:szCs w:val="20"/>
        </w:rPr>
        <w:t>Figure 1</w:t>
      </w:r>
      <w:r w:rsidRPr="00F12A54">
        <w:rPr>
          <w:rFonts w:ascii="Arial" w:hAnsi="Arial" w:cs="Arial"/>
          <w:sz w:val="20"/>
          <w:szCs w:val="20"/>
        </w:rPr>
        <w:t>. Epidemic curve showing outbreak cases of infectious syphilis</w:t>
      </w:r>
      <w:r>
        <w:rPr>
          <w:rStyle w:val="FootnoteReference"/>
          <w:rFonts w:ascii="Arial" w:hAnsi="Arial" w:cs="Arial"/>
          <w:sz w:val="20"/>
          <w:szCs w:val="20"/>
        </w:rPr>
        <w:footnoteReference w:id="19"/>
      </w:r>
      <w:r w:rsidRPr="00F12A54">
        <w:rPr>
          <w:rFonts w:ascii="Arial" w:hAnsi="Arial" w:cs="Arial"/>
          <w:sz w:val="20"/>
          <w:szCs w:val="20"/>
        </w:rPr>
        <w:t xml:space="preserve"> notified in affected regions</w:t>
      </w:r>
      <w:r>
        <w:rPr>
          <w:rStyle w:val="FootnoteReference"/>
          <w:rFonts w:ascii="Arial" w:hAnsi="Arial" w:cs="Arial"/>
          <w:sz w:val="20"/>
          <w:szCs w:val="20"/>
        </w:rPr>
        <w:footnoteReference w:id="20"/>
      </w:r>
      <w:r w:rsidRPr="00F12A54">
        <w:rPr>
          <w:rFonts w:ascii="Arial" w:hAnsi="Arial" w:cs="Arial"/>
          <w:sz w:val="20"/>
          <w:szCs w:val="20"/>
        </w:rPr>
        <w:t xml:space="preserve"> of Queensland, the Northern Territory and Western Australia, from commencement of the outbreak in each jurisdiction to 31 October 2016</w:t>
      </w:r>
      <w:r w:rsidRPr="00F12A54">
        <w:rPr>
          <w:rFonts w:ascii="Arial" w:hAnsi="Arial" w:cs="Arial"/>
          <w:sz w:val="20"/>
          <w:szCs w:val="20"/>
          <w:vertAlign w:val="superscript"/>
        </w:rPr>
        <w:t>ᵞ</w:t>
      </w:r>
      <w:r w:rsidRPr="00F12A54">
        <w:rPr>
          <w:rFonts w:ascii="Arial" w:hAnsi="Arial" w:cs="Arial"/>
          <w:sz w:val="20"/>
          <w:szCs w:val="20"/>
        </w:rPr>
        <w:t>.</w:t>
      </w:r>
    </w:p>
    <w:p w:rsidR="00CC0F5A" w:rsidRDefault="00CC0F5A" w:rsidP="002051A3">
      <w:pPr>
        <w:ind w:left="-567"/>
        <w:jc w:val="right"/>
        <w:rPr>
          <w:rFonts w:ascii="Arial" w:hAnsi="Arial" w:cs="Arial"/>
          <w:sz w:val="20"/>
          <w:szCs w:val="20"/>
        </w:rPr>
      </w:pPr>
      <w:r>
        <w:rPr>
          <w:rFonts w:ascii="Arial" w:hAnsi="Arial" w:cs="Arial"/>
          <w:noProof/>
          <w:sz w:val="20"/>
          <w:szCs w:val="20"/>
          <w:lang w:eastAsia="en-AU"/>
        </w:rPr>
        <w:drawing>
          <wp:inline distT="0" distB="0" distL="0" distR="0" wp14:anchorId="2611985E" wp14:editId="0C0F20A6">
            <wp:extent cx="6673579" cy="2526813"/>
            <wp:effectExtent l="0" t="0" r="0" b="6985"/>
            <wp:docPr id="18" name="Picture 18" descr="This figure shows outbreak cases of infectious syphilis between 1 January 2011 to 31 October2016, notified in affected regions of Queensland, the Northern Territory and Western Australia." title="Epidemic curve showing outbreak cases of infectious syphilis notified in affected regionsβ of Queensland, the Northern Territory and Western Australia, from commencement of the outbreak in each jurisdictio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9731" cy="2536715"/>
                    </a:xfrm>
                    <a:prstGeom prst="rect">
                      <a:avLst/>
                    </a:prstGeom>
                    <a:noFill/>
                  </pic:spPr>
                </pic:pic>
              </a:graphicData>
            </a:graphic>
          </wp:inline>
        </w:drawing>
      </w:r>
    </w:p>
    <w:p w:rsidR="00CC0F5A" w:rsidRDefault="00CC0F5A" w:rsidP="006721AA">
      <w:pPr>
        <w:rPr>
          <w:rFonts w:ascii="Arial" w:hAnsi="Arial" w:cs="Arial"/>
          <w:b/>
          <w:sz w:val="20"/>
          <w:szCs w:val="20"/>
        </w:rPr>
      </w:pPr>
    </w:p>
    <w:p w:rsidR="00CC0F5A" w:rsidRDefault="00CC0F5A" w:rsidP="006721AA">
      <w:pPr>
        <w:rPr>
          <w:rFonts w:ascii="Arial" w:hAnsi="Arial" w:cs="Arial"/>
          <w:b/>
          <w:sz w:val="20"/>
          <w:szCs w:val="20"/>
        </w:rPr>
      </w:pPr>
    </w:p>
    <w:p w:rsidR="002051A3" w:rsidRDefault="002051A3">
      <w:pPr>
        <w:rPr>
          <w:rFonts w:ascii="Arial" w:hAnsi="Arial" w:cs="Arial"/>
          <w:b/>
          <w:sz w:val="20"/>
          <w:szCs w:val="20"/>
        </w:rPr>
      </w:pPr>
      <w:r>
        <w:rPr>
          <w:rFonts w:ascii="Arial" w:hAnsi="Arial" w:cs="Arial"/>
          <w:b/>
          <w:sz w:val="20"/>
          <w:szCs w:val="20"/>
        </w:rPr>
        <w:br w:type="page"/>
      </w:r>
    </w:p>
    <w:p w:rsidR="00CC0F5A" w:rsidRDefault="00CC0F5A" w:rsidP="002051A3">
      <w:pPr>
        <w:ind w:left="-567"/>
        <w:rPr>
          <w:rFonts w:ascii="Arial" w:hAnsi="Arial" w:cs="Arial"/>
          <w:sz w:val="20"/>
          <w:szCs w:val="20"/>
        </w:rPr>
      </w:pPr>
      <w:r>
        <w:rPr>
          <w:rFonts w:ascii="Arial" w:hAnsi="Arial" w:cs="Arial"/>
          <w:b/>
          <w:sz w:val="20"/>
          <w:szCs w:val="20"/>
        </w:rPr>
        <w:t xml:space="preserve">Table 1. </w:t>
      </w:r>
      <w:r w:rsidRPr="006A1E4E">
        <w:rPr>
          <w:rFonts w:ascii="Arial" w:hAnsi="Arial" w:cs="Arial"/>
          <w:sz w:val="20"/>
          <w:szCs w:val="20"/>
        </w:rPr>
        <w:t xml:space="preserve">Characteristics of outbreak cases of infectious syphilis notified </w:t>
      </w:r>
      <w:r w:rsidRPr="004E075B">
        <w:rPr>
          <w:rFonts w:ascii="Arial" w:hAnsi="Arial" w:cs="Arial"/>
          <w:sz w:val="20"/>
          <w:szCs w:val="20"/>
        </w:rPr>
        <w:t>in affected regions of Queensland, the Northern Territory</w:t>
      </w:r>
      <w:r>
        <w:rPr>
          <w:rFonts w:ascii="Arial" w:hAnsi="Arial" w:cs="Arial"/>
          <w:sz w:val="20"/>
          <w:szCs w:val="20"/>
        </w:rPr>
        <w:t xml:space="preserve"> </w:t>
      </w:r>
      <w:r w:rsidRPr="004E075B">
        <w:rPr>
          <w:rFonts w:ascii="Arial" w:hAnsi="Arial" w:cs="Arial"/>
          <w:sz w:val="20"/>
          <w:szCs w:val="20"/>
        </w:rPr>
        <w:t xml:space="preserve">and Western Australia, to </w:t>
      </w:r>
      <w:r>
        <w:rPr>
          <w:rFonts w:ascii="Arial" w:hAnsi="Arial" w:cs="Arial"/>
          <w:sz w:val="20"/>
          <w:szCs w:val="20"/>
        </w:rPr>
        <w:t xml:space="preserve">31 October </w:t>
      </w:r>
      <w:r w:rsidRPr="004E075B">
        <w:rPr>
          <w:rFonts w:ascii="Arial" w:hAnsi="Arial" w:cs="Arial"/>
          <w:sz w:val="20"/>
          <w:szCs w:val="20"/>
        </w:rPr>
        <w:t>2016</w:t>
      </w:r>
      <w:r>
        <w:rPr>
          <w:rStyle w:val="FootnoteReference"/>
          <w:rFonts w:ascii="Arial" w:hAnsi="Arial" w:cs="Arial"/>
          <w:sz w:val="20"/>
          <w:szCs w:val="20"/>
        </w:rPr>
        <w:footnoteReference w:id="21"/>
      </w:r>
      <w:r w:rsidRPr="004E075B">
        <w:rPr>
          <w:rFonts w:ascii="Arial" w:hAnsi="Arial" w:cs="Arial"/>
          <w:sz w:val="20"/>
          <w:szCs w:val="20"/>
        </w:rPr>
        <w:t>.</w:t>
      </w:r>
    </w:p>
    <w:tbl>
      <w:tblPr>
        <w:tblStyle w:val="TableGrid1"/>
        <w:tblW w:w="10348" w:type="dxa"/>
        <w:jc w:val="center"/>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3686"/>
        <w:gridCol w:w="2126"/>
        <w:gridCol w:w="2126"/>
        <w:gridCol w:w="2410"/>
      </w:tblGrid>
      <w:tr w:rsidR="00CC0F5A" w:rsidRPr="00AE78F2" w:rsidTr="002051A3">
        <w:trPr>
          <w:tblHeader/>
          <w:jc w:val="center"/>
        </w:trPr>
        <w:tc>
          <w:tcPr>
            <w:tcW w:w="3686" w:type="dxa"/>
            <w:tcBorders>
              <w:bottom w:val="single" w:sz="4" w:space="0" w:color="auto"/>
            </w:tcBorders>
          </w:tcPr>
          <w:p w:rsidR="00CC0F5A" w:rsidRPr="00143E81" w:rsidRDefault="00CC0F5A" w:rsidP="006721AA">
            <w:pPr>
              <w:ind w:hanging="34"/>
              <w:rPr>
                <w:sz w:val="20"/>
                <w:szCs w:val="20"/>
              </w:rPr>
            </w:pPr>
          </w:p>
        </w:tc>
        <w:tc>
          <w:tcPr>
            <w:tcW w:w="2126" w:type="dxa"/>
            <w:tcBorders>
              <w:bottom w:val="single" w:sz="4" w:space="0" w:color="auto"/>
            </w:tcBorders>
            <w:shd w:val="clear" w:color="auto" w:fill="C6D9F1" w:themeFill="text2" w:themeFillTint="33"/>
          </w:tcPr>
          <w:p w:rsidR="00CC0F5A" w:rsidRPr="00F12A54" w:rsidRDefault="00CC0F5A" w:rsidP="006721AA">
            <w:pPr>
              <w:ind w:hanging="34"/>
              <w:jc w:val="center"/>
              <w:rPr>
                <w:b/>
                <w:sz w:val="20"/>
                <w:szCs w:val="20"/>
              </w:rPr>
            </w:pPr>
            <w:r w:rsidRPr="00F12A54">
              <w:rPr>
                <w:b/>
                <w:sz w:val="20"/>
                <w:szCs w:val="20"/>
                <w:shd w:val="clear" w:color="auto" w:fill="C6D9F1" w:themeFill="text2" w:themeFillTint="33"/>
              </w:rPr>
              <w:t>North Qld (four HHSs</w:t>
            </w:r>
            <w:r w:rsidRPr="00F12A54">
              <w:rPr>
                <w:b/>
                <w:sz w:val="20"/>
                <w:szCs w:val="20"/>
                <w:shd w:val="clear" w:color="auto" w:fill="C6D9F1" w:themeFill="text2" w:themeFillTint="33"/>
                <w:vertAlign w:val="superscript"/>
              </w:rPr>
              <w:t>β</w:t>
            </w:r>
            <w:r w:rsidRPr="00F12A54">
              <w:rPr>
                <w:b/>
                <w:sz w:val="20"/>
                <w:szCs w:val="20"/>
              </w:rPr>
              <w:t>)</w:t>
            </w:r>
          </w:p>
        </w:tc>
        <w:tc>
          <w:tcPr>
            <w:tcW w:w="2126" w:type="dxa"/>
            <w:tcBorders>
              <w:bottom w:val="single" w:sz="4" w:space="0" w:color="auto"/>
            </w:tcBorders>
            <w:shd w:val="clear" w:color="auto" w:fill="DAEEF3" w:themeFill="accent5" w:themeFillTint="33"/>
          </w:tcPr>
          <w:p w:rsidR="00CC0F5A" w:rsidRPr="00F12A54" w:rsidRDefault="00CC0F5A" w:rsidP="006721AA">
            <w:pPr>
              <w:ind w:hanging="34"/>
              <w:jc w:val="center"/>
              <w:rPr>
                <w:b/>
                <w:sz w:val="20"/>
                <w:szCs w:val="20"/>
              </w:rPr>
            </w:pPr>
            <w:r w:rsidRPr="00F12A54">
              <w:rPr>
                <w:b/>
                <w:sz w:val="20"/>
                <w:szCs w:val="20"/>
              </w:rPr>
              <w:t>NT (four regions</w:t>
            </w:r>
            <w:r w:rsidRPr="00F12A54">
              <w:rPr>
                <w:b/>
                <w:sz w:val="20"/>
                <w:szCs w:val="20"/>
                <w:vertAlign w:val="superscript"/>
              </w:rPr>
              <w:t xml:space="preserve"> β</w:t>
            </w:r>
            <w:r w:rsidRPr="00F12A54">
              <w:rPr>
                <w:b/>
                <w:sz w:val="20"/>
                <w:szCs w:val="20"/>
              </w:rPr>
              <w:t>)</w:t>
            </w:r>
          </w:p>
        </w:tc>
        <w:tc>
          <w:tcPr>
            <w:tcW w:w="2410" w:type="dxa"/>
            <w:tcBorders>
              <w:bottom w:val="single" w:sz="4" w:space="0" w:color="auto"/>
            </w:tcBorders>
            <w:shd w:val="clear" w:color="auto" w:fill="E5DFEC" w:themeFill="accent4" w:themeFillTint="33"/>
          </w:tcPr>
          <w:p w:rsidR="00CC0F5A" w:rsidRPr="00B9220B" w:rsidRDefault="00CC0F5A" w:rsidP="006721AA">
            <w:pPr>
              <w:ind w:hanging="34"/>
              <w:jc w:val="center"/>
              <w:rPr>
                <w:b/>
                <w:sz w:val="20"/>
                <w:szCs w:val="20"/>
              </w:rPr>
            </w:pPr>
            <w:r w:rsidRPr="00B9220B">
              <w:rPr>
                <w:b/>
                <w:sz w:val="20"/>
                <w:szCs w:val="20"/>
              </w:rPr>
              <w:t>WA (Kimberley region)</w:t>
            </w:r>
          </w:p>
        </w:tc>
      </w:tr>
      <w:tr w:rsidR="00CC0F5A" w:rsidRPr="00AE78F2" w:rsidTr="002051A3">
        <w:trPr>
          <w:jc w:val="center"/>
        </w:trPr>
        <w:tc>
          <w:tcPr>
            <w:tcW w:w="3686" w:type="dxa"/>
            <w:tcBorders>
              <w:right w:val="nil"/>
            </w:tcBorders>
            <w:shd w:val="clear" w:color="auto" w:fill="B8CCE4" w:themeFill="accent1" w:themeFillTint="66"/>
          </w:tcPr>
          <w:p w:rsidR="00CC0F5A" w:rsidRPr="00F12A54" w:rsidRDefault="00CC0F5A" w:rsidP="006721AA">
            <w:pPr>
              <w:ind w:hanging="34"/>
              <w:rPr>
                <w:sz w:val="20"/>
                <w:szCs w:val="20"/>
              </w:rPr>
            </w:pPr>
            <w:r w:rsidRPr="00F12A54">
              <w:rPr>
                <w:sz w:val="20"/>
                <w:szCs w:val="20"/>
              </w:rPr>
              <w:t>Situation to-date, 31 October 2016</w:t>
            </w:r>
          </w:p>
        </w:tc>
        <w:tc>
          <w:tcPr>
            <w:tcW w:w="2126" w:type="dxa"/>
            <w:tcBorders>
              <w:left w:val="nil"/>
              <w:right w:val="nil"/>
            </w:tcBorders>
            <w:shd w:val="clear" w:color="auto" w:fill="B8CCE4" w:themeFill="accent1" w:themeFillTint="66"/>
          </w:tcPr>
          <w:p w:rsidR="00CC0F5A" w:rsidRPr="00F12A54" w:rsidRDefault="00CC0F5A" w:rsidP="006721AA">
            <w:pPr>
              <w:ind w:hanging="34"/>
              <w:rPr>
                <w:sz w:val="20"/>
                <w:szCs w:val="20"/>
              </w:rPr>
            </w:pPr>
          </w:p>
        </w:tc>
        <w:tc>
          <w:tcPr>
            <w:tcW w:w="2126" w:type="dxa"/>
            <w:tcBorders>
              <w:left w:val="nil"/>
              <w:right w:val="nil"/>
            </w:tcBorders>
            <w:shd w:val="clear" w:color="auto" w:fill="B8CCE4" w:themeFill="accent1" w:themeFillTint="66"/>
          </w:tcPr>
          <w:p w:rsidR="00CC0F5A" w:rsidRPr="00F12A54" w:rsidRDefault="00CC0F5A" w:rsidP="006721AA">
            <w:pPr>
              <w:ind w:hanging="34"/>
              <w:rPr>
                <w:sz w:val="20"/>
                <w:szCs w:val="20"/>
              </w:rPr>
            </w:pPr>
          </w:p>
        </w:tc>
        <w:tc>
          <w:tcPr>
            <w:tcW w:w="2410" w:type="dxa"/>
            <w:tcBorders>
              <w:left w:val="nil"/>
            </w:tcBorders>
            <w:shd w:val="clear" w:color="auto" w:fill="B8CCE4" w:themeFill="accent1" w:themeFillTint="66"/>
          </w:tcPr>
          <w:p w:rsidR="00CC0F5A" w:rsidRPr="00B9220B" w:rsidRDefault="00CC0F5A" w:rsidP="006721AA">
            <w:pPr>
              <w:ind w:hanging="34"/>
              <w:rPr>
                <w:sz w:val="20"/>
                <w:szCs w:val="20"/>
              </w:rPr>
            </w:pP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Outbreak commencement month/</w:t>
            </w:r>
            <w:proofErr w:type="spellStart"/>
            <w:r w:rsidRPr="00F12A54">
              <w:rPr>
                <w:sz w:val="20"/>
                <w:szCs w:val="20"/>
              </w:rPr>
              <w:t>yr</w:t>
            </w:r>
            <w:proofErr w:type="spellEnd"/>
          </w:p>
        </w:tc>
        <w:tc>
          <w:tcPr>
            <w:tcW w:w="2126" w:type="dxa"/>
            <w:shd w:val="clear" w:color="auto" w:fill="C6D9F1" w:themeFill="text2" w:themeFillTint="33"/>
            <w:vAlign w:val="center"/>
          </w:tcPr>
          <w:p w:rsidR="00CC0F5A" w:rsidRPr="00F12A54" w:rsidRDefault="00CC0F5A" w:rsidP="006721AA">
            <w:pPr>
              <w:ind w:hanging="34"/>
              <w:jc w:val="center"/>
              <w:rPr>
                <w:sz w:val="20"/>
                <w:szCs w:val="20"/>
              </w:rPr>
            </w:pPr>
            <w:r w:rsidRPr="00F12A54">
              <w:rPr>
                <w:sz w:val="20"/>
                <w:szCs w:val="20"/>
              </w:rPr>
              <w:t>January 2011</w:t>
            </w:r>
          </w:p>
        </w:tc>
        <w:tc>
          <w:tcPr>
            <w:tcW w:w="2126" w:type="dxa"/>
            <w:shd w:val="clear" w:color="auto" w:fill="DAEEF3" w:themeFill="accent5" w:themeFillTint="33"/>
            <w:vAlign w:val="center"/>
          </w:tcPr>
          <w:p w:rsidR="00CC0F5A" w:rsidRPr="00F12A54" w:rsidRDefault="00CC0F5A" w:rsidP="006721AA">
            <w:pPr>
              <w:ind w:hanging="34"/>
              <w:jc w:val="center"/>
              <w:rPr>
                <w:sz w:val="20"/>
                <w:szCs w:val="20"/>
              </w:rPr>
            </w:pPr>
            <w:r w:rsidRPr="00F12A54">
              <w:rPr>
                <w:sz w:val="20"/>
                <w:szCs w:val="20"/>
              </w:rPr>
              <w:t>July 2013</w:t>
            </w:r>
          </w:p>
        </w:tc>
        <w:tc>
          <w:tcPr>
            <w:tcW w:w="2410" w:type="dxa"/>
            <w:shd w:val="clear" w:color="auto" w:fill="E5DFEC" w:themeFill="accent4" w:themeFillTint="33"/>
            <w:vAlign w:val="center"/>
          </w:tcPr>
          <w:p w:rsidR="00CC0F5A" w:rsidRPr="00B9220B" w:rsidRDefault="00CC0F5A" w:rsidP="006721AA">
            <w:pPr>
              <w:ind w:hanging="34"/>
              <w:jc w:val="center"/>
              <w:rPr>
                <w:sz w:val="20"/>
                <w:szCs w:val="20"/>
              </w:rPr>
            </w:pPr>
            <w:r w:rsidRPr="00B9220B">
              <w:rPr>
                <w:sz w:val="20"/>
                <w:szCs w:val="20"/>
              </w:rPr>
              <w:t>June 2014</w:t>
            </w: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Total number of cases</w:t>
            </w:r>
            <w:r w:rsidRPr="00F12A54">
              <w:rPr>
                <w:b/>
                <w:sz w:val="20"/>
                <w:szCs w:val="20"/>
                <w:vertAlign w:val="superscript"/>
              </w:rPr>
              <w:t xml:space="preserve"> </w:t>
            </w:r>
            <w:r w:rsidRPr="00F12A54">
              <w:rPr>
                <w:sz w:val="20"/>
                <w:szCs w:val="20"/>
                <w:vertAlign w:val="superscript"/>
              </w:rPr>
              <w:t>α</w:t>
            </w:r>
          </w:p>
        </w:tc>
        <w:tc>
          <w:tcPr>
            <w:tcW w:w="2126" w:type="dxa"/>
            <w:shd w:val="clear" w:color="auto" w:fill="C6D9F1" w:themeFill="text2" w:themeFillTint="33"/>
            <w:vAlign w:val="center"/>
          </w:tcPr>
          <w:p w:rsidR="00CC0F5A" w:rsidRPr="00AE78F2" w:rsidRDefault="00CC0F5A" w:rsidP="006721AA">
            <w:pPr>
              <w:ind w:hanging="34"/>
              <w:jc w:val="center"/>
              <w:rPr>
                <w:b/>
                <w:sz w:val="20"/>
                <w:szCs w:val="20"/>
                <w:highlight w:val="yellow"/>
                <w:vertAlign w:val="superscript"/>
              </w:rPr>
            </w:pPr>
            <w:r w:rsidRPr="00F12A54">
              <w:rPr>
                <w:b/>
                <w:sz w:val="20"/>
                <w:szCs w:val="20"/>
              </w:rPr>
              <w:t>693</w:t>
            </w:r>
          </w:p>
        </w:tc>
        <w:tc>
          <w:tcPr>
            <w:tcW w:w="2126" w:type="dxa"/>
            <w:shd w:val="clear" w:color="auto" w:fill="DAEEF3" w:themeFill="accent5" w:themeFillTint="33"/>
            <w:vAlign w:val="center"/>
          </w:tcPr>
          <w:p w:rsidR="00CC0F5A" w:rsidRPr="00F12A54" w:rsidRDefault="00CC0F5A" w:rsidP="006721AA">
            <w:pPr>
              <w:ind w:hanging="34"/>
              <w:jc w:val="center"/>
              <w:rPr>
                <w:b/>
                <w:sz w:val="20"/>
                <w:szCs w:val="20"/>
              </w:rPr>
            </w:pPr>
            <w:r w:rsidRPr="00F12A54">
              <w:rPr>
                <w:b/>
                <w:sz w:val="20"/>
                <w:szCs w:val="20"/>
              </w:rPr>
              <w:t>372</w:t>
            </w:r>
          </w:p>
        </w:tc>
        <w:tc>
          <w:tcPr>
            <w:tcW w:w="2410" w:type="dxa"/>
            <w:shd w:val="clear" w:color="auto" w:fill="E5DFEC" w:themeFill="accent4" w:themeFillTint="33"/>
            <w:vAlign w:val="center"/>
          </w:tcPr>
          <w:p w:rsidR="00CC0F5A" w:rsidRPr="00B9220B" w:rsidRDefault="00CC0F5A" w:rsidP="006721AA">
            <w:pPr>
              <w:ind w:hanging="34"/>
              <w:jc w:val="center"/>
              <w:rPr>
                <w:b/>
                <w:sz w:val="20"/>
                <w:szCs w:val="20"/>
              </w:rPr>
            </w:pPr>
            <w:r w:rsidRPr="00B9220B">
              <w:rPr>
                <w:b/>
                <w:sz w:val="20"/>
                <w:szCs w:val="20"/>
              </w:rPr>
              <w:t>84</w:t>
            </w: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Percent cases reported in 15-29 year age group</w:t>
            </w:r>
          </w:p>
        </w:tc>
        <w:tc>
          <w:tcPr>
            <w:tcW w:w="2126" w:type="dxa"/>
            <w:shd w:val="clear" w:color="auto" w:fill="C6D9F1" w:themeFill="text2" w:themeFillTint="33"/>
            <w:vAlign w:val="center"/>
          </w:tcPr>
          <w:p w:rsidR="00CC0F5A" w:rsidRPr="00AE78F2" w:rsidRDefault="00CC0F5A" w:rsidP="006721AA">
            <w:pPr>
              <w:ind w:hanging="34"/>
              <w:jc w:val="center"/>
              <w:rPr>
                <w:sz w:val="20"/>
                <w:szCs w:val="20"/>
                <w:highlight w:val="yellow"/>
              </w:rPr>
            </w:pPr>
            <w:r w:rsidRPr="00F12A54">
              <w:rPr>
                <w:sz w:val="20"/>
                <w:szCs w:val="20"/>
              </w:rPr>
              <w:t>70%</w:t>
            </w:r>
          </w:p>
        </w:tc>
        <w:tc>
          <w:tcPr>
            <w:tcW w:w="2126" w:type="dxa"/>
            <w:shd w:val="clear" w:color="auto" w:fill="DAEEF3" w:themeFill="accent5" w:themeFillTint="33"/>
            <w:vAlign w:val="center"/>
          </w:tcPr>
          <w:p w:rsidR="00CC0F5A" w:rsidRPr="00AE78F2" w:rsidRDefault="00CC0F5A" w:rsidP="006721AA">
            <w:pPr>
              <w:ind w:hanging="34"/>
              <w:jc w:val="center"/>
              <w:rPr>
                <w:sz w:val="20"/>
                <w:szCs w:val="20"/>
                <w:highlight w:val="yellow"/>
              </w:rPr>
            </w:pPr>
            <w:r w:rsidRPr="00F12A54">
              <w:rPr>
                <w:sz w:val="20"/>
                <w:szCs w:val="20"/>
              </w:rPr>
              <w:t>79%</w:t>
            </w:r>
          </w:p>
        </w:tc>
        <w:tc>
          <w:tcPr>
            <w:tcW w:w="2410" w:type="dxa"/>
            <w:shd w:val="clear" w:color="auto" w:fill="E5DFEC" w:themeFill="accent4" w:themeFillTint="33"/>
            <w:vAlign w:val="center"/>
          </w:tcPr>
          <w:p w:rsidR="00CC0F5A" w:rsidRPr="00AE78F2" w:rsidRDefault="00CC0F5A" w:rsidP="006721AA">
            <w:pPr>
              <w:ind w:hanging="34"/>
              <w:jc w:val="center"/>
              <w:rPr>
                <w:sz w:val="20"/>
                <w:szCs w:val="20"/>
                <w:highlight w:val="yellow"/>
              </w:rPr>
            </w:pPr>
            <w:r w:rsidRPr="00B9220B">
              <w:rPr>
                <w:sz w:val="20"/>
                <w:szCs w:val="20"/>
              </w:rPr>
              <w:t>69%</w:t>
            </w: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 Male / % Female</w:t>
            </w:r>
          </w:p>
        </w:tc>
        <w:tc>
          <w:tcPr>
            <w:tcW w:w="2126" w:type="dxa"/>
            <w:shd w:val="clear" w:color="auto" w:fill="C6D9F1" w:themeFill="text2" w:themeFillTint="33"/>
            <w:vAlign w:val="center"/>
          </w:tcPr>
          <w:p w:rsidR="00CC0F5A" w:rsidRPr="00AE78F2" w:rsidRDefault="00CC0F5A" w:rsidP="006721AA">
            <w:pPr>
              <w:ind w:hanging="34"/>
              <w:jc w:val="center"/>
              <w:rPr>
                <w:sz w:val="20"/>
                <w:szCs w:val="20"/>
                <w:highlight w:val="yellow"/>
              </w:rPr>
            </w:pPr>
            <w:r w:rsidRPr="00B9220B">
              <w:rPr>
                <w:sz w:val="20"/>
                <w:szCs w:val="20"/>
              </w:rPr>
              <w:t>48% / 52%</w:t>
            </w:r>
          </w:p>
        </w:tc>
        <w:tc>
          <w:tcPr>
            <w:tcW w:w="2126" w:type="dxa"/>
            <w:shd w:val="clear" w:color="auto" w:fill="DAEEF3" w:themeFill="accent5" w:themeFillTint="33"/>
            <w:vAlign w:val="center"/>
          </w:tcPr>
          <w:p w:rsidR="00CC0F5A" w:rsidRPr="00AE78F2" w:rsidRDefault="00CC0F5A" w:rsidP="006721AA">
            <w:pPr>
              <w:ind w:hanging="34"/>
              <w:jc w:val="center"/>
              <w:rPr>
                <w:sz w:val="20"/>
                <w:szCs w:val="20"/>
                <w:highlight w:val="yellow"/>
              </w:rPr>
            </w:pPr>
            <w:r w:rsidRPr="00F12A54">
              <w:rPr>
                <w:sz w:val="20"/>
                <w:szCs w:val="20"/>
              </w:rPr>
              <w:t>47% / 53%</w:t>
            </w:r>
          </w:p>
        </w:tc>
        <w:tc>
          <w:tcPr>
            <w:tcW w:w="2410" w:type="dxa"/>
            <w:shd w:val="clear" w:color="auto" w:fill="E5DFEC" w:themeFill="accent4" w:themeFillTint="33"/>
            <w:vAlign w:val="center"/>
          </w:tcPr>
          <w:p w:rsidR="00CC0F5A" w:rsidRPr="008D31F3" w:rsidRDefault="00CC0F5A" w:rsidP="006721AA">
            <w:pPr>
              <w:ind w:hanging="34"/>
              <w:jc w:val="center"/>
              <w:rPr>
                <w:sz w:val="20"/>
                <w:szCs w:val="20"/>
              </w:rPr>
            </w:pPr>
            <w:r w:rsidRPr="008D31F3">
              <w:rPr>
                <w:sz w:val="20"/>
                <w:szCs w:val="20"/>
              </w:rPr>
              <w:t>34% / 66%</w:t>
            </w: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Congenital cases, confirmed (probable)</w:t>
            </w:r>
          </w:p>
        </w:tc>
        <w:tc>
          <w:tcPr>
            <w:tcW w:w="2126" w:type="dxa"/>
            <w:shd w:val="clear" w:color="auto" w:fill="C6D9F1" w:themeFill="text2" w:themeFillTint="33"/>
            <w:vAlign w:val="center"/>
          </w:tcPr>
          <w:p w:rsidR="00CC0F5A" w:rsidRPr="00B9220B" w:rsidRDefault="00CC0F5A" w:rsidP="006721AA">
            <w:pPr>
              <w:ind w:hanging="34"/>
              <w:jc w:val="center"/>
              <w:rPr>
                <w:sz w:val="20"/>
                <w:szCs w:val="20"/>
              </w:rPr>
            </w:pPr>
            <w:r w:rsidRPr="00B9220B">
              <w:rPr>
                <w:sz w:val="20"/>
                <w:szCs w:val="20"/>
              </w:rPr>
              <w:t>3 (2)</w:t>
            </w:r>
          </w:p>
        </w:tc>
        <w:tc>
          <w:tcPr>
            <w:tcW w:w="2126" w:type="dxa"/>
            <w:shd w:val="clear" w:color="auto" w:fill="DAEEF3" w:themeFill="accent5" w:themeFillTint="33"/>
            <w:vAlign w:val="center"/>
          </w:tcPr>
          <w:p w:rsidR="00CC0F5A" w:rsidRPr="00F12A54" w:rsidRDefault="00CC0F5A" w:rsidP="006721AA">
            <w:pPr>
              <w:ind w:hanging="34"/>
              <w:jc w:val="center"/>
              <w:rPr>
                <w:sz w:val="20"/>
                <w:szCs w:val="20"/>
              </w:rPr>
            </w:pPr>
            <w:r w:rsidRPr="00F12A54">
              <w:rPr>
                <w:sz w:val="20"/>
                <w:szCs w:val="20"/>
              </w:rPr>
              <w:t>1 (2)</w:t>
            </w:r>
          </w:p>
        </w:tc>
        <w:tc>
          <w:tcPr>
            <w:tcW w:w="2410" w:type="dxa"/>
            <w:shd w:val="clear" w:color="auto" w:fill="E5DFEC" w:themeFill="accent4" w:themeFillTint="33"/>
            <w:vAlign w:val="center"/>
          </w:tcPr>
          <w:p w:rsidR="00CC0F5A" w:rsidRPr="008D31F3" w:rsidRDefault="00CC0F5A" w:rsidP="006721AA">
            <w:pPr>
              <w:ind w:hanging="34"/>
              <w:jc w:val="center"/>
              <w:rPr>
                <w:sz w:val="20"/>
                <w:szCs w:val="20"/>
              </w:rPr>
            </w:pPr>
            <w:r w:rsidRPr="008D31F3">
              <w:rPr>
                <w:sz w:val="20"/>
                <w:szCs w:val="20"/>
              </w:rPr>
              <w:t>0 (0)</w:t>
            </w:r>
          </w:p>
        </w:tc>
      </w:tr>
      <w:tr w:rsidR="00CC0F5A" w:rsidRPr="00AE78F2" w:rsidTr="002051A3">
        <w:trPr>
          <w:jc w:val="center"/>
        </w:trPr>
        <w:tc>
          <w:tcPr>
            <w:tcW w:w="3686" w:type="dxa"/>
            <w:tcBorders>
              <w:bottom w:val="single" w:sz="4" w:space="0" w:color="auto"/>
            </w:tcBorders>
            <w:shd w:val="clear" w:color="auto" w:fill="auto"/>
          </w:tcPr>
          <w:p w:rsidR="00CC0F5A" w:rsidRPr="00F12A54" w:rsidRDefault="00CC0F5A" w:rsidP="006721AA">
            <w:pPr>
              <w:ind w:hanging="34"/>
              <w:rPr>
                <w:sz w:val="20"/>
                <w:szCs w:val="20"/>
              </w:rPr>
            </w:pPr>
            <w:r w:rsidRPr="00F12A54">
              <w:rPr>
                <w:sz w:val="20"/>
                <w:szCs w:val="20"/>
              </w:rPr>
              <w:t xml:space="preserve">   -number of deaths in congenital cases</w:t>
            </w:r>
          </w:p>
        </w:tc>
        <w:tc>
          <w:tcPr>
            <w:tcW w:w="2126" w:type="dxa"/>
            <w:tcBorders>
              <w:bottom w:val="single" w:sz="4" w:space="0" w:color="auto"/>
            </w:tcBorders>
            <w:shd w:val="clear" w:color="auto" w:fill="C6D9F1" w:themeFill="text2" w:themeFillTint="33"/>
            <w:vAlign w:val="center"/>
          </w:tcPr>
          <w:p w:rsidR="00CC0F5A" w:rsidRPr="00B9220B" w:rsidRDefault="00CC0F5A" w:rsidP="006721AA">
            <w:pPr>
              <w:ind w:hanging="34"/>
              <w:jc w:val="center"/>
              <w:rPr>
                <w:sz w:val="20"/>
                <w:szCs w:val="20"/>
              </w:rPr>
            </w:pPr>
            <w:r w:rsidRPr="00B9220B">
              <w:rPr>
                <w:sz w:val="20"/>
                <w:szCs w:val="20"/>
              </w:rPr>
              <w:t>4</w:t>
            </w:r>
          </w:p>
        </w:tc>
        <w:tc>
          <w:tcPr>
            <w:tcW w:w="2126" w:type="dxa"/>
            <w:tcBorders>
              <w:bottom w:val="single" w:sz="4" w:space="0" w:color="auto"/>
            </w:tcBorders>
            <w:shd w:val="clear" w:color="auto" w:fill="DAEEF3" w:themeFill="accent5" w:themeFillTint="33"/>
            <w:vAlign w:val="center"/>
          </w:tcPr>
          <w:p w:rsidR="00CC0F5A" w:rsidRPr="00F12A54" w:rsidRDefault="00CC0F5A" w:rsidP="006721AA">
            <w:pPr>
              <w:ind w:hanging="34"/>
              <w:jc w:val="center"/>
              <w:rPr>
                <w:sz w:val="20"/>
                <w:szCs w:val="20"/>
              </w:rPr>
            </w:pPr>
            <w:r w:rsidRPr="00F12A54">
              <w:rPr>
                <w:sz w:val="20"/>
                <w:szCs w:val="20"/>
              </w:rPr>
              <w:t>0</w:t>
            </w:r>
          </w:p>
        </w:tc>
        <w:tc>
          <w:tcPr>
            <w:tcW w:w="2410" w:type="dxa"/>
            <w:tcBorders>
              <w:bottom w:val="single" w:sz="4" w:space="0" w:color="auto"/>
            </w:tcBorders>
            <w:shd w:val="clear" w:color="auto" w:fill="E5DFEC" w:themeFill="accent4" w:themeFillTint="33"/>
            <w:vAlign w:val="center"/>
          </w:tcPr>
          <w:p w:rsidR="00CC0F5A" w:rsidRPr="008D31F3" w:rsidRDefault="00CC0F5A" w:rsidP="006721AA">
            <w:pPr>
              <w:ind w:hanging="34"/>
              <w:jc w:val="center"/>
              <w:rPr>
                <w:sz w:val="20"/>
                <w:szCs w:val="20"/>
              </w:rPr>
            </w:pPr>
            <w:r w:rsidRPr="008D31F3">
              <w:rPr>
                <w:sz w:val="20"/>
                <w:szCs w:val="20"/>
              </w:rPr>
              <w:t>0</w:t>
            </w:r>
          </w:p>
        </w:tc>
      </w:tr>
      <w:tr w:rsidR="00CC0F5A" w:rsidRPr="00AE78F2" w:rsidTr="002051A3">
        <w:trPr>
          <w:jc w:val="center"/>
        </w:trPr>
        <w:tc>
          <w:tcPr>
            <w:tcW w:w="3686" w:type="dxa"/>
            <w:tcBorders>
              <w:right w:val="nil"/>
            </w:tcBorders>
            <w:shd w:val="clear" w:color="auto" w:fill="B8CCE4" w:themeFill="accent1" w:themeFillTint="66"/>
            <w:vAlign w:val="center"/>
          </w:tcPr>
          <w:p w:rsidR="00CC0F5A" w:rsidRPr="00F12A54" w:rsidRDefault="00CC0F5A" w:rsidP="006721AA">
            <w:pPr>
              <w:ind w:hanging="34"/>
              <w:rPr>
                <w:sz w:val="20"/>
                <w:szCs w:val="20"/>
              </w:rPr>
            </w:pPr>
            <w:r w:rsidRPr="00F12A54">
              <w:rPr>
                <w:sz w:val="20"/>
                <w:szCs w:val="20"/>
              </w:rPr>
              <w:t>Last reporting month, 1-31October 2016</w:t>
            </w:r>
          </w:p>
        </w:tc>
        <w:tc>
          <w:tcPr>
            <w:tcW w:w="2126" w:type="dxa"/>
            <w:tcBorders>
              <w:left w:val="nil"/>
              <w:right w:val="nil"/>
            </w:tcBorders>
            <w:shd w:val="clear" w:color="auto" w:fill="B8CCE4" w:themeFill="accent1" w:themeFillTint="66"/>
            <w:vAlign w:val="center"/>
          </w:tcPr>
          <w:p w:rsidR="00CC0F5A" w:rsidRPr="00AE78F2" w:rsidRDefault="00CC0F5A" w:rsidP="006721AA">
            <w:pPr>
              <w:ind w:hanging="34"/>
              <w:rPr>
                <w:sz w:val="20"/>
                <w:szCs w:val="20"/>
                <w:highlight w:val="yellow"/>
              </w:rPr>
            </w:pPr>
          </w:p>
        </w:tc>
        <w:tc>
          <w:tcPr>
            <w:tcW w:w="2126" w:type="dxa"/>
            <w:tcBorders>
              <w:left w:val="nil"/>
              <w:right w:val="nil"/>
            </w:tcBorders>
            <w:shd w:val="clear" w:color="auto" w:fill="B8CCE4" w:themeFill="accent1" w:themeFillTint="66"/>
            <w:vAlign w:val="center"/>
          </w:tcPr>
          <w:p w:rsidR="00CC0F5A" w:rsidRPr="00AE78F2" w:rsidRDefault="00CC0F5A" w:rsidP="006721AA">
            <w:pPr>
              <w:ind w:hanging="34"/>
              <w:rPr>
                <w:sz w:val="20"/>
                <w:szCs w:val="20"/>
                <w:highlight w:val="yellow"/>
              </w:rPr>
            </w:pPr>
          </w:p>
        </w:tc>
        <w:tc>
          <w:tcPr>
            <w:tcW w:w="2410" w:type="dxa"/>
            <w:tcBorders>
              <w:left w:val="nil"/>
            </w:tcBorders>
            <w:shd w:val="clear" w:color="auto" w:fill="B8CCE4" w:themeFill="accent1" w:themeFillTint="66"/>
            <w:vAlign w:val="center"/>
          </w:tcPr>
          <w:p w:rsidR="00CC0F5A" w:rsidRPr="00AE78F2" w:rsidRDefault="00CC0F5A" w:rsidP="006721AA">
            <w:pPr>
              <w:ind w:hanging="34"/>
              <w:rPr>
                <w:sz w:val="20"/>
                <w:szCs w:val="20"/>
                <w:highlight w:val="yellow"/>
              </w:rPr>
            </w:pP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Number of cases</w:t>
            </w:r>
            <w:r w:rsidRPr="00F12A54">
              <w:rPr>
                <w:b/>
                <w:sz w:val="20"/>
                <w:szCs w:val="20"/>
                <w:vertAlign w:val="superscript"/>
              </w:rPr>
              <w:t xml:space="preserve"> </w:t>
            </w:r>
            <w:r w:rsidRPr="00F12A54">
              <w:rPr>
                <w:sz w:val="20"/>
                <w:szCs w:val="20"/>
                <w:vertAlign w:val="superscript"/>
              </w:rPr>
              <w:t>α</w:t>
            </w:r>
          </w:p>
        </w:tc>
        <w:tc>
          <w:tcPr>
            <w:tcW w:w="2126" w:type="dxa"/>
            <w:tcBorders>
              <w:bottom w:val="single" w:sz="4" w:space="0" w:color="auto"/>
            </w:tcBorders>
            <w:shd w:val="clear" w:color="auto" w:fill="C6D9F1" w:themeFill="text2" w:themeFillTint="33"/>
            <w:vAlign w:val="center"/>
          </w:tcPr>
          <w:p w:rsidR="00CC0F5A" w:rsidRPr="00F12A54" w:rsidRDefault="00CC0F5A" w:rsidP="006721AA">
            <w:pPr>
              <w:ind w:hanging="34"/>
              <w:jc w:val="center"/>
              <w:rPr>
                <w:b/>
                <w:sz w:val="20"/>
                <w:szCs w:val="20"/>
              </w:rPr>
            </w:pPr>
            <w:r w:rsidRPr="00F12A54">
              <w:rPr>
                <w:b/>
                <w:sz w:val="20"/>
                <w:szCs w:val="20"/>
              </w:rPr>
              <w:t>12</w:t>
            </w:r>
          </w:p>
        </w:tc>
        <w:tc>
          <w:tcPr>
            <w:tcW w:w="2126" w:type="dxa"/>
            <w:shd w:val="clear" w:color="auto" w:fill="DAEEF3" w:themeFill="accent5" w:themeFillTint="33"/>
            <w:vAlign w:val="center"/>
          </w:tcPr>
          <w:p w:rsidR="00CC0F5A" w:rsidRPr="00F12A54" w:rsidRDefault="00CC0F5A" w:rsidP="006721AA">
            <w:pPr>
              <w:ind w:hanging="34"/>
              <w:jc w:val="center"/>
              <w:rPr>
                <w:b/>
                <w:sz w:val="20"/>
                <w:szCs w:val="20"/>
              </w:rPr>
            </w:pPr>
            <w:r w:rsidRPr="00F12A54">
              <w:rPr>
                <w:b/>
                <w:sz w:val="20"/>
                <w:szCs w:val="20"/>
              </w:rPr>
              <w:t>12</w:t>
            </w:r>
          </w:p>
        </w:tc>
        <w:tc>
          <w:tcPr>
            <w:tcW w:w="2410" w:type="dxa"/>
            <w:shd w:val="clear" w:color="auto" w:fill="E5DFEC" w:themeFill="accent4" w:themeFillTint="33"/>
            <w:vAlign w:val="center"/>
          </w:tcPr>
          <w:p w:rsidR="00CC0F5A" w:rsidRPr="00F12A54" w:rsidRDefault="00CC0F5A" w:rsidP="006721AA">
            <w:pPr>
              <w:ind w:hanging="34"/>
              <w:jc w:val="center"/>
              <w:rPr>
                <w:b/>
                <w:sz w:val="20"/>
                <w:szCs w:val="20"/>
              </w:rPr>
            </w:pPr>
            <w:r w:rsidRPr="00F12A54">
              <w:rPr>
                <w:b/>
                <w:sz w:val="20"/>
                <w:szCs w:val="20"/>
              </w:rPr>
              <w:t>9</w:t>
            </w:r>
          </w:p>
        </w:tc>
      </w:tr>
      <w:tr w:rsidR="00CC0F5A" w:rsidRPr="00AE78F2" w:rsidTr="002051A3">
        <w:trPr>
          <w:jc w:val="center"/>
        </w:trPr>
        <w:tc>
          <w:tcPr>
            <w:tcW w:w="3686" w:type="dxa"/>
          </w:tcPr>
          <w:p w:rsidR="00CC0F5A" w:rsidRPr="00F12A54" w:rsidRDefault="00CC0F5A" w:rsidP="006721AA">
            <w:pPr>
              <w:ind w:hanging="34"/>
              <w:rPr>
                <w:sz w:val="20"/>
                <w:szCs w:val="20"/>
              </w:rPr>
            </w:pPr>
            <w:r w:rsidRPr="00F12A54">
              <w:rPr>
                <w:sz w:val="20"/>
                <w:szCs w:val="20"/>
              </w:rPr>
              <w:t>Percent cases reported in 15-29 year age group</w:t>
            </w:r>
          </w:p>
        </w:tc>
        <w:tc>
          <w:tcPr>
            <w:tcW w:w="2126" w:type="dxa"/>
            <w:shd w:val="clear" w:color="auto" w:fill="C6D9F1" w:themeFill="text2" w:themeFillTint="33"/>
            <w:vAlign w:val="center"/>
          </w:tcPr>
          <w:p w:rsidR="00CC0F5A" w:rsidRPr="00AE78F2" w:rsidRDefault="00CC0F5A" w:rsidP="006721AA">
            <w:pPr>
              <w:jc w:val="center"/>
              <w:rPr>
                <w:sz w:val="20"/>
                <w:szCs w:val="20"/>
                <w:highlight w:val="yellow"/>
              </w:rPr>
            </w:pPr>
            <w:r w:rsidRPr="00B9220B">
              <w:rPr>
                <w:sz w:val="20"/>
                <w:szCs w:val="20"/>
              </w:rPr>
              <w:t>75%</w:t>
            </w:r>
          </w:p>
        </w:tc>
        <w:tc>
          <w:tcPr>
            <w:tcW w:w="2126" w:type="dxa"/>
            <w:shd w:val="clear" w:color="auto" w:fill="DAEEF3" w:themeFill="accent5" w:themeFillTint="33"/>
            <w:vAlign w:val="center"/>
          </w:tcPr>
          <w:p w:rsidR="00CC0F5A" w:rsidRPr="00AE78F2" w:rsidRDefault="00CC0F5A" w:rsidP="006721AA">
            <w:pPr>
              <w:ind w:hanging="34"/>
              <w:jc w:val="center"/>
              <w:rPr>
                <w:sz w:val="20"/>
                <w:szCs w:val="20"/>
                <w:highlight w:val="yellow"/>
              </w:rPr>
            </w:pPr>
            <w:r w:rsidRPr="00F12A54">
              <w:rPr>
                <w:sz w:val="20"/>
                <w:szCs w:val="20"/>
              </w:rPr>
              <w:t>92%</w:t>
            </w:r>
          </w:p>
        </w:tc>
        <w:tc>
          <w:tcPr>
            <w:tcW w:w="2410" w:type="dxa"/>
            <w:shd w:val="clear" w:color="auto" w:fill="E5DFEC" w:themeFill="accent4" w:themeFillTint="33"/>
            <w:vAlign w:val="center"/>
          </w:tcPr>
          <w:p w:rsidR="00CC0F5A" w:rsidRPr="008D31F3" w:rsidRDefault="00CC0F5A" w:rsidP="006721AA">
            <w:pPr>
              <w:ind w:hanging="34"/>
              <w:jc w:val="center"/>
              <w:rPr>
                <w:sz w:val="20"/>
                <w:szCs w:val="20"/>
              </w:rPr>
            </w:pPr>
            <w:r w:rsidRPr="008D31F3">
              <w:rPr>
                <w:sz w:val="20"/>
                <w:szCs w:val="20"/>
              </w:rPr>
              <w:t>66%</w:t>
            </w:r>
          </w:p>
        </w:tc>
      </w:tr>
      <w:tr w:rsidR="00CC0F5A" w:rsidTr="002051A3">
        <w:trPr>
          <w:jc w:val="center"/>
        </w:trPr>
        <w:tc>
          <w:tcPr>
            <w:tcW w:w="3686" w:type="dxa"/>
          </w:tcPr>
          <w:p w:rsidR="00CC0F5A" w:rsidRPr="00F12A54" w:rsidRDefault="00CC0F5A" w:rsidP="006721AA">
            <w:pPr>
              <w:ind w:hanging="34"/>
              <w:rPr>
                <w:sz w:val="20"/>
                <w:szCs w:val="20"/>
              </w:rPr>
            </w:pPr>
            <w:r w:rsidRPr="00F12A54">
              <w:rPr>
                <w:sz w:val="20"/>
                <w:szCs w:val="20"/>
              </w:rPr>
              <w:t>% Male / % Female</w:t>
            </w:r>
          </w:p>
        </w:tc>
        <w:tc>
          <w:tcPr>
            <w:tcW w:w="2126" w:type="dxa"/>
            <w:shd w:val="clear" w:color="auto" w:fill="C6D9F1" w:themeFill="text2" w:themeFillTint="33"/>
            <w:vAlign w:val="center"/>
          </w:tcPr>
          <w:p w:rsidR="00CC0F5A" w:rsidRPr="00AE78F2" w:rsidRDefault="00CC0F5A" w:rsidP="006721AA">
            <w:pPr>
              <w:ind w:hanging="34"/>
              <w:jc w:val="center"/>
              <w:rPr>
                <w:sz w:val="20"/>
                <w:szCs w:val="20"/>
                <w:highlight w:val="yellow"/>
              </w:rPr>
            </w:pPr>
            <w:r w:rsidRPr="00B9220B">
              <w:rPr>
                <w:sz w:val="20"/>
                <w:szCs w:val="20"/>
              </w:rPr>
              <w:t>42% / 58%</w:t>
            </w:r>
          </w:p>
        </w:tc>
        <w:tc>
          <w:tcPr>
            <w:tcW w:w="2126" w:type="dxa"/>
            <w:shd w:val="clear" w:color="auto" w:fill="DAEEF3" w:themeFill="accent5" w:themeFillTint="33"/>
            <w:vAlign w:val="center"/>
          </w:tcPr>
          <w:p w:rsidR="00CC0F5A" w:rsidRPr="00AE78F2" w:rsidRDefault="00CC0F5A" w:rsidP="006721AA">
            <w:pPr>
              <w:ind w:hanging="34"/>
              <w:jc w:val="center"/>
              <w:rPr>
                <w:sz w:val="20"/>
                <w:szCs w:val="20"/>
                <w:highlight w:val="yellow"/>
              </w:rPr>
            </w:pPr>
            <w:r w:rsidRPr="00F12A54">
              <w:rPr>
                <w:sz w:val="20"/>
                <w:szCs w:val="20"/>
              </w:rPr>
              <w:t>42% / 58%</w:t>
            </w:r>
          </w:p>
        </w:tc>
        <w:tc>
          <w:tcPr>
            <w:tcW w:w="2410" w:type="dxa"/>
            <w:shd w:val="clear" w:color="auto" w:fill="E5DFEC" w:themeFill="accent4" w:themeFillTint="33"/>
            <w:vAlign w:val="center"/>
          </w:tcPr>
          <w:p w:rsidR="00CC0F5A" w:rsidRPr="008D31F3" w:rsidRDefault="00CC0F5A" w:rsidP="006721AA">
            <w:pPr>
              <w:ind w:hanging="34"/>
              <w:jc w:val="center"/>
              <w:rPr>
                <w:sz w:val="20"/>
                <w:szCs w:val="20"/>
              </w:rPr>
            </w:pPr>
            <w:r w:rsidRPr="008D31F3">
              <w:rPr>
                <w:sz w:val="20"/>
                <w:szCs w:val="20"/>
              </w:rPr>
              <w:t>22% / 78%</w:t>
            </w:r>
          </w:p>
        </w:tc>
      </w:tr>
    </w:tbl>
    <w:p w:rsidR="00CC0F5A" w:rsidRDefault="00CC0F5A" w:rsidP="006721AA">
      <w:pPr>
        <w:pStyle w:val="ListParagraph"/>
        <w:spacing w:before="60"/>
        <w:ind w:left="0"/>
        <w:contextualSpacing w:val="0"/>
        <w:rPr>
          <w:b/>
          <w:sz w:val="16"/>
          <w:szCs w:val="16"/>
          <w:vertAlign w:val="superscript"/>
        </w:rPr>
      </w:pPr>
    </w:p>
    <w:p w:rsidR="00CC0F5A" w:rsidRPr="006022E1" w:rsidRDefault="00CC0F5A" w:rsidP="002051A3">
      <w:pPr>
        <w:pStyle w:val="ListParagraph"/>
        <w:ind w:left="-567"/>
        <w:contextualSpacing w:val="0"/>
        <w:rPr>
          <w:rFonts w:ascii="Arial" w:hAnsi="Arial" w:cs="Arial"/>
          <w:b/>
        </w:rPr>
      </w:pPr>
      <w:r w:rsidRPr="006022E1">
        <w:rPr>
          <w:rFonts w:ascii="Arial" w:hAnsi="Arial" w:cs="Arial"/>
          <w:b/>
        </w:rPr>
        <w:t>Activities of the MJSO, 1 October – 31 October 2016:</w:t>
      </w:r>
    </w:p>
    <w:p w:rsidR="00CC0F5A" w:rsidRPr="00004026" w:rsidRDefault="00CC0F5A" w:rsidP="002051A3">
      <w:pPr>
        <w:numPr>
          <w:ilvl w:val="0"/>
          <w:numId w:val="1"/>
        </w:numPr>
        <w:ind w:left="-283" w:right="261" w:hanging="284"/>
        <w:contextualSpacing/>
        <w:jc w:val="both"/>
        <w:rPr>
          <w:rFonts w:ascii="Arial" w:hAnsi="Arial"/>
          <w:color w:val="000000" w:themeColor="text1"/>
          <w:sz w:val="20"/>
          <w:szCs w:val="21"/>
        </w:rPr>
      </w:pPr>
      <w:r w:rsidRPr="00004026">
        <w:rPr>
          <w:rFonts w:ascii="Arial" w:hAnsi="Arial"/>
          <w:color w:val="000000" w:themeColor="text1"/>
          <w:sz w:val="20"/>
          <w:szCs w:val="21"/>
        </w:rPr>
        <w:t xml:space="preserve">Presented epidemiological data and public health response activities at the 2016 Australasian Sexual Health Conference.  </w:t>
      </w:r>
    </w:p>
    <w:p w:rsidR="00CC0F5A" w:rsidRPr="00004026" w:rsidRDefault="00CC0F5A" w:rsidP="002051A3">
      <w:pPr>
        <w:numPr>
          <w:ilvl w:val="0"/>
          <w:numId w:val="1"/>
        </w:numPr>
        <w:ind w:left="-283" w:right="261" w:hanging="284"/>
        <w:contextualSpacing/>
        <w:jc w:val="both"/>
        <w:rPr>
          <w:rFonts w:ascii="Arial" w:hAnsi="Arial"/>
          <w:color w:val="000000" w:themeColor="text1"/>
          <w:sz w:val="20"/>
          <w:szCs w:val="21"/>
        </w:rPr>
      </w:pPr>
      <w:r w:rsidRPr="00004026">
        <w:rPr>
          <w:rFonts w:ascii="Arial" w:hAnsi="Arial"/>
          <w:color w:val="000000" w:themeColor="text1"/>
          <w:sz w:val="20"/>
          <w:szCs w:val="21"/>
        </w:rPr>
        <w:t>Sought agreement from CDNA to review the current targets outlined in the Syphilis National guidelines for public health units and adapting those as necessary to the context of the syphilis outbreak.</w:t>
      </w:r>
    </w:p>
    <w:p w:rsidR="00CC0F5A" w:rsidRPr="00004026" w:rsidRDefault="00CC0F5A" w:rsidP="002051A3">
      <w:pPr>
        <w:numPr>
          <w:ilvl w:val="0"/>
          <w:numId w:val="1"/>
        </w:numPr>
        <w:ind w:left="-283" w:right="261" w:hanging="284"/>
        <w:contextualSpacing/>
        <w:jc w:val="both"/>
        <w:rPr>
          <w:rFonts w:ascii="Arial" w:hAnsi="Arial"/>
          <w:color w:val="000000" w:themeColor="text1"/>
          <w:sz w:val="20"/>
          <w:szCs w:val="21"/>
        </w:rPr>
      </w:pPr>
      <w:r w:rsidRPr="00004026">
        <w:rPr>
          <w:rFonts w:ascii="Arial" w:hAnsi="Arial"/>
          <w:color w:val="000000" w:themeColor="text1"/>
          <w:sz w:val="20"/>
          <w:szCs w:val="21"/>
        </w:rPr>
        <w:t>Considered the possible role of the syphilis point of care tests as part of the outbreak response strategy to rapidly screen communities and provide immediate treatment to those with a positive result.</w:t>
      </w:r>
    </w:p>
    <w:p w:rsidR="00CC0F5A" w:rsidRDefault="00CC0F5A" w:rsidP="006721AA">
      <w:pPr>
        <w:ind w:right="261"/>
        <w:jc w:val="both"/>
        <w:rPr>
          <w:rFonts w:ascii="Arial" w:hAnsi="Arial" w:cs="Arial"/>
        </w:rPr>
      </w:pPr>
    </w:p>
    <w:p w:rsidR="00CC0F5A" w:rsidRPr="006022E1" w:rsidRDefault="00CC0F5A" w:rsidP="002051A3">
      <w:pPr>
        <w:pStyle w:val="ListParagraph"/>
        <w:ind w:left="-567"/>
        <w:contextualSpacing w:val="0"/>
        <w:rPr>
          <w:rFonts w:ascii="Arial" w:hAnsi="Arial" w:cs="Arial"/>
          <w:b/>
        </w:rPr>
      </w:pPr>
      <w:r w:rsidRPr="006022E1">
        <w:rPr>
          <w:rFonts w:ascii="Arial" w:hAnsi="Arial" w:cs="Arial"/>
          <w:b/>
        </w:rPr>
        <w:t>Community engagement</w:t>
      </w:r>
    </w:p>
    <w:p w:rsidR="00CC0F5A" w:rsidRPr="00004026" w:rsidRDefault="00CC0F5A" w:rsidP="002051A3">
      <w:pPr>
        <w:numPr>
          <w:ilvl w:val="0"/>
          <w:numId w:val="1"/>
        </w:numPr>
        <w:ind w:left="-283" w:right="261" w:hanging="284"/>
        <w:contextualSpacing/>
        <w:jc w:val="both"/>
        <w:rPr>
          <w:rFonts w:ascii="Arial" w:hAnsi="Arial"/>
          <w:color w:val="000000" w:themeColor="text1"/>
          <w:sz w:val="20"/>
          <w:szCs w:val="21"/>
        </w:rPr>
      </w:pPr>
      <w:r w:rsidRPr="00004026">
        <w:rPr>
          <w:rFonts w:ascii="Arial" w:hAnsi="Arial"/>
          <w:color w:val="000000" w:themeColor="text1"/>
          <w:sz w:val="20"/>
          <w:szCs w:val="21"/>
        </w:rPr>
        <w:t>A sub-group, Engaging Aboriginal and Torres Strait Islander Communities (EAC) meets monthly, and reports back to the MJSO with suggestions for improved community engagement. During this period, the EAC shared promotional material and engagement plans aimed to encourage testing and increase awareness among Aboriginal and Torres Strait Islander communities.</w:t>
      </w:r>
    </w:p>
    <w:p w:rsidR="00CC0F5A" w:rsidRDefault="00CC0F5A" w:rsidP="006721AA">
      <w:r>
        <w:br w:type="page"/>
      </w:r>
    </w:p>
    <w:p w:rsidR="00CC0F5A" w:rsidRPr="004D2D7F" w:rsidRDefault="00CC0F5A" w:rsidP="002051A3">
      <w:pPr>
        <w:pStyle w:val="Heading1"/>
        <w:ind w:left="-567"/>
        <w:jc w:val="center"/>
        <w:rPr>
          <w:rFonts w:eastAsiaTheme="minorHAnsi"/>
        </w:rPr>
      </w:pPr>
      <w:r w:rsidRPr="004D2D7F">
        <w:rPr>
          <w:rFonts w:eastAsiaTheme="minorHAnsi"/>
        </w:rPr>
        <w:t>MULTIJURISDICTIONAL SYPHILIS OUTBREAK WORKING GROUP (MJSO)</w:t>
      </w:r>
    </w:p>
    <w:p w:rsidR="00CC0F5A" w:rsidRPr="004D2D7F" w:rsidRDefault="00CC0F5A" w:rsidP="004362F8">
      <w:pPr>
        <w:spacing w:before="200"/>
        <w:ind w:left="-567" w:right="-612"/>
        <w:jc w:val="center"/>
        <w:rPr>
          <w:rFonts w:ascii="Arial" w:hAnsi="Arial" w:cs="Arial"/>
          <w:sz w:val="28"/>
          <w:szCs w:val="28"/>
        </w:rPr>
      </w:pPr>
      <w:r w:rsidRPr="004D2D7F">
        <w:rPr>
          <w:rFonts w:ascii="Arial" w:hAnsi="Arial" w:cs="Arial"/>
          <w:b/>
          <w:sz w:val="28"/>
          <w:szCs w:val="28"/>
        </w:rPr>
        <w:t xml:space="preserve">Meeting Communique, 15 December 2016 </w:t>
      </w:r>
      <w:r w:rsidRPr="004D2D7F">
        <w:rPr>
          <w:rFonts w:ascii="Arial" w:hAnsi="Arial" w:cs="Arial"/>
          <w:sz w:val="28"/>
          <w:szCs w:val="28"/>
        </w:rPr>
        <w:t>(8</w:t>
      </w:r>
      <w:r w:rsidRPr="004D2D7F">
        <w:rPr>
          <w:rFonts w:ascii="Arial" w:hAnsi="Arial" w:cs="Arial"/>
          <w:sz w:val="28"/>
          <w:szCs w:val="28"/>
          <w:vertAlign w:val="superscript"/>
        </w:rPr>
        <w:t>th</w:t>
      </w:r>
      <w:r w:rsidRPr="004D2D7F">
        <w:rPr>
          <w:rFonts w:ascii="Arial" w:hAnsi="Arial" w:cs="Arial"/>
          <w:sz w:val="28"/>
          <w:szCs w:val="28"/>
        </w:rPr>
        <w:t xml:space="preserve"> communique)</w:t>
      </w:r>
    </w:p>
    <w:p w:rsidR="00CC0F5A" w:rsidRPr="004D2D7F" w:rsidRDefault="00CC0F5A" w:rsidP="002051A3">
      <w:pPr>
        <w:ind w:left="-567" w:right="-612"/>
        <w:jc w:val="center"/>
        <w:rPr>
          <w:rFonts w:ascii="Arial" w:hAnsi="Arial" w:cs="Arial"/>
          <w:b/>
        </w:rPr>
      </w:pPr>
      <w:r w:rsidRPr="004D2D7F">
        <w:rPr>
          <w:rFonts w:ascii="Arial" w:hAnsi="Arial" w:cs="Arial"/>
          <w:b/>
        </w:rPr>
        <w:t>This communique has been authorised by the chair of the MJSO, Dr Nathan Ryder.</w:t>
      </w:r>
    </w:p>
    <w:p w:rsidR="00CC0F5A" w:rsidRPr="004D2D7F" w:rsidRDefault="00CC0F5A" w:rsidP="002051A3">
      <w:pPr>
        <w:ind w:left="-567" w:right="-613"/>
        <w:rPr>
          <w:rFonts w:ascii="Arial" w:hAnsi="Arial" w:cs="Arial"/>
          <w:sz w:val="20"/>
          <w:szCs w:val="20"/>
        </w:rPr>
      </w:pPr>
    </w:p>
    <w:p w:rsidR="00CC0F5A" w:rsidRPr="004D2D7F" w:rsidRDefault="00CC0F5A" w:rsidP="002051A3">
      <w:pPr>
        <w:ind w:left="-567"/>
        <w:rPr>
          <w:rFonts w:ascii="Arial" w:hAnsi="Arial"/>
          <w:sz w:val="20"/>
          <w:szCs w:val="21"/>
        </w:rPr>
      </w:pPr>
      <w:r w:rsidRPr="004D2D7F">
        <w:rPr>
          <w:rFonts w:ascii="Arial" w:hAnsi="Arial" w:cs="Arial"/>
          <w:sz w:val="20"/>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4D2D7F">
        <w:rPr>
          <w:rFonts w:ascii="Arial" w:hAnsi="Arial" w:cs="Arial"/>
          <w:color w:val="000000" w:themeColor="text1"/>
          <w:sz w:val="20"/>
          <w:szCs w:val="20"/>
        </w:rPr>
        <w:t xml:space="preserve">rural areas of northern Australia. </w:t>
      </w:r>
      <w:r w:rsidRPr="004D2D7F">
        <w:rPr>
          <w:rFonts w:ascii="Arial" w:hAnsi="Arial"/>
          <w:color w:val="000000" w:themeColor="text1"/>
          <w:sz w:val="20"/>
          <w:szCs w:val="21"/>
        </w:rPr>
        <w:t xml:space="preserve">Increased notifications associated with the outbreak in northern Australia were first reported in January 2011 in northwest Queensland, followed by the Northern Territory (NT) in July 2013, and the Kimberley region of Western Australia (WA) in </w:t>
      </w:r>
      <w:r w:rsidRPr="004D2D7F">
        <w:rPr>
          <w:rFonts w:ascii="Arial" w:hAnsi="Arial"/>
          <w:color w:val="000000" w:themeColor="text1"/>
          <w:sz w:val="20"/>
          <w:szCs w:val="21"/>
        </w:rPr>
        <w:br/>
        <w:t>June 2014. This communique summarises the outbreak epidemiological data as of 30 November 2016 (current status), and the activities of the MJSO from 1 – 30 November 2016.</w:t>
      </w:r>
    </w:p>
    <w:p w:rsidR="00CC0F5A" w:rsidRPr="004D2D7F" w:rsidRDefault="00CC0F5A" w:rsidP="002051A3">
      <w:pPr>
        <w:spacing w:line="180" w:lineRule="auto"/>
        <w:ind w:left="-567" w:right="261"/>
        <w:jc w:val="both"/>
        <w:rPr>
          <w:rFonts w:ascii="Arial" w:hAnsi="Arial" w:cs="Arial"/>
          <w:sz w:val="20"/>
          <w:szCs w:val="20"/>
        </w:rPr>
      </w:pPr>
    </w:p>
    <w:p w:rsidR="00CC0F5A" w:rsidRPr="004D2D7F" w:rsidRDefault="00CC0F5A" w:rsidP="002051A3">
      <w:pPr>
        <w:pStyle w:val="Heading2"/>
        <w:ind w:left="-567"/>
        <w:rPr>
          <w:rFonts w:eastAsiaTheme="minorHAnsi"/>
        </w:rPr>
      </w:pPr>
      <w:r w:rsidRPr="004D2D7F">
        <w:rPr>
          <w:rFonts w:eastAsiaTheme="minorHAnsi"/>
        </w:rPr>
        <w:t>Current status</w:t>
      </w:r>
    </w:p>
    <w:p w:rsidR="00CC0F5A" w:rsidRPr="004D2D7F" w:rsidRDefault="00CC0F5A" w:rsidP="002051A3">
      <w:pPr>
        <w:ind w:left="-567" w:right="261"/>
        <w:jc w:val="both"/>
        <w:rPr>
          <w:rFonts w:ascii="Arial" w:hAnsi="Arial" w:cs="Arial"/>
          <w:sz w:val="20"/>
          <w:szCs w:val="20"/>
        </w:rPr>
      </w:pPr>
      <w:r w:rsidRPr="004D2D7F">
        <w:rPr>
          <w:rFonts w:ascii="Arial" w:hAnsi="Arial" w:cs="Arial"/>
          <w:sz w:val="20"/>
          <w:szCs w:val="20"/>
        </w:rPr>
        <w:t>Outbreak data to 30 November 2016 are summarised in Figure 1 and Table 1 below.</w:t>
      </w:r>
    </w:p>
    <w:p w:rsidR="00CC0F5A" w:rsidRPr="004D2D7F" w:rsidRDefault="00CC0F5A" w:rsidP="002051A3">
      <w:pPr>
        <w:ind w:left="-567" w:right="261"/>
        <w:jc w:val="both"/>
        <w:rPr>
          <w:rFonts w:ascii="Arial" w:hAnsi="Arial" w:cs="Arial"/>
          <w:sz w:val="20"/>
          <w:szCs w:val="20"/>
        </w:rPr>
      </w:pPr>
    </w:p>
    <w:p w:rsidR="00CC0F5A" w:rsidRPr="004D2D7F" w:rsidRDefault="00CC0F5A" w:rsidP="002051A3">
      <w:pPr>
        <w:ind w:left="-567"/>
        <w:rPr>
          <w:rFonts w:ascii="Arial" w:hAnsi="Arial" w:cs="Arial"/>
          <w:sz w:val="20"/>
          <w:szCs w:val="20"/>
        </w:rPr>
      </w:pPr>
      <w:r w:rsidRPr="004D2D7F">
        <w:rPr>
          <w:rFonts w:ascii="Arial" w:hAnsi="Arial" w:cs="Arial"/>
          <w:b/>
          <w:sz w:val="20"/>
          <w:szCs w:val="20"/>
        </w:rPr>
        <w:t>Figure 1</w:t>
      </w:r>
      <w:r w:rsidRPr="004D2D7F">
        <w:rPr>
          <w:rFonts w:ascii="Arial" w:hAnsi="Arial" w:cs="Arial"/>
          <w:sz w:val="20"/>
          <w:szCs w:val="20"/>
        </w:rPr>
        <w:t>. Epidemic curve showing outbreak cases of infectious syphilis</w:t>
      </w:r>
      <w:r>
        <w:rPr>
          <w:rStyle w:val="FootnoteReference"/>
          <w:rFonts w:ascii="Arial" w:hAnsi="Arial" w:cs="Arial"/>
          <w:sz w:val="20"/>
          <w:szCs w:val="20"/>
        </w:rPr>
        <w:footnoteReference w:id="22"/>
      </w:r>
      <w:r w:rsidRPr="004D2D7F">
        <w:rPr>
          <w:rFonts w:ascii="Arial" w:hAnsi="Arial" w:cs="Arial"/>
          <w:sz w:val="20"/>
          <w:szCs w:val="20"/>
        </w:rPr>
        <w:t xml:space="preserve"> notified in affected regions</w:t>
      </w:r>
      <w:r>
        <w:rPr>
          <w:rStyle w:val="FootnoteReference"/>
          <w:rFonts w:ascii="Arial" w:hAnsi="Arial" w:cs="Arial"/>
          <w:sz w:val="20"/>
          <w:szCs w:val="20"/>
        </w:rPr>
        <w:footnoteReference w:id="23"/>
      </w:r>
      <w:r w:rsidRPr="004D2D7F">
        <w:rPr>
          <w:rFonts w:ascii="Arial" w:hAnsi="Arial" w:cs="Arial"/>
          <w:sz w:val="20"/>
          <w:szCs w:val="20"/>
        </w:rPr>
        <w:t xml:space="preserve"> of Queensland, the Northern Territory and Western Australia, from commencement of the outbreak in each jurisdiction to 30 November 2016</w:t>
      </w:r>
      <w:r w:rsidRPr="004D2D7F">
        <w:rPr>
          <w:rFonts w:ascii="Arial" w:hAnsi="Arial" w:cs="Arial"/>
          <w:sz w:val="20"/>
          <w:szCs w:val="20"/>
          <w:vertAlign w:val="superscript"/>
        </w:rPr>
        <w:t>ᵞ</w:t>
      </w:r>
      <w:r w:rsidRPr="004D2D7F">
        <w:rPr>
          <w:rFonts w:ascii="Arial" w:hAnsi="Arial" w:cs="Arial"/>
          <w:sz w:val="20"/>
          <w:szCs w:val="20"/>
        </w:rPr>
        <w:t>.</w:t>
      </w:r>
    </w:p>
    <w:p w:rsidR="00CC0F5A" w:rsidRPr="004D2D7F" w:rsidRDefault="00CC0F5A" w:rsidP="002051A3">
      <w:pPr>
        <w:ind w:left="-567"/>
        <w:jc w:val="right"/>
        <w:rPr>
          <w:rFonts w:ascii="Arial" w:hAnsi="Arial" w:cs="Arial"/>
          <w:sz w:val="20"/>
          <w:szCs w:val="20"/>
        </w:rPr>
      </w:pPr>
      <w:r w:rsidRPr="004D2D7F">
        <w:rPr>
          <w:rFonts w:ascii="Arial" w:hAnsi="Arial" w:cs="Arial"/>
          <w:noProof/>
          <w:sz w:val="20"/>
          <w:szCs w:val="20"/>
          <w:lang w:eastAsia="en-AU"/>
        </w:rPr>
        <w:drawing>
          <wp:inline distT="0" distB="0" distL="0" distR="0" wp14:anchorId="3B643342" wp14:editId="0E0F323D">
            <wp:extent cx="6618814" cy="2619375"/>
            <wp:effectExtent l="0" t="0" r="0" b="0"/>
            <wp:docPr id="19" name="Picture 19" descr="This figure shows outbreak cases of infectious syphilis between 1 January 2011 to 30November 2016, notified in affected regions of Queensland, the Northern Territory and Western Australia." title="Epidemic curve showing outbreak cases of infectious syph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7989" cy="2623006"/>
                    </a:xfrm>
                    <a:prstGeom prst="rect">
                      <a:avLst/>
                    </a:prstGeom>
                    <a:noFill/>
                  </pic:spPr>
                </pic:pic>
              </a:graphicData>
            </a:graphic>
          </wp:inline>
        </w:drawing>
      </w:r>
    </w:p>
    <w:p w:rsidR="00CC0F5A" w:rsidRDefault="00CC0F5A" w:rsidP="006721AA">
      <w:pPr>
        <w:rPr>
          <w:rFonts w:ascii="Arial" w:hAnsi="Arial" w:cs="Arial"/>
          <w:b/>
          <w:sz w:val="20"/>
          <w:szCs w:val="20"/>
        </w:rPr>
      </w:pPr>
    </w:p>
    <w:p w:rsidR="00CC0F5A" w:rsidRDefault="00CC0F5A" w:rsidP="006721AA">
      <w:pPr>
        <w:rPr>
          <w:rFonts w:ascii="Arial" w:hAnsi="Arial" w:cs="Arial"/>
          <w:b/>
          <w:sz w:val="20"/>
          <w:szCs w:val="20"/>
        </w:rPr>
      </w:pPr>
    </w:p>
    <w:p w:rsidR="00CC0F5A" w:rsidRPr="004D2D7F" w:rsidRDefault="00CC0F5A" w:rsidP="00566AB2">
      <w:pPr>
        <w:ind w:left="-567"/>
        <w:rPr>
          <w:rFonts w:ascii="Arial" w:hAnsi="Arial" w:cs="Arial"/>
          <w:sz w:val="20"/>
          <w:szCs w:val="20"/>
        </w:rPr>
      </w:pPr>
      <w:r w:rsidRPr="004D2D7F">
        <w:rPr>
          <w:rFonts w:ascii="Arial" w:hAnsi="Arial" w:cs="Arial"/>
          <w:b/>
          <w:sz w:val="20"/>
          <w:szCs w:val="20"/>
        </w:rPr>
        <w:t xml:space="preserve">Table 1. </w:t>
      </w:r>
      <w:r w:rsidRPr="004D2D7F">
        <w:rPr>
          <w:rFonts w:ascii="Arial" w:hAnsi="Arial" w:cs="Arial"/>
          <w:sz w:val="20"/>
          <w:szCs w:val="20"/>
        </w:rPr>
        <w:t>Characteristics of outbreak cases of infectious syphilis notified in affected regions of Queensland, the Northern Territory and Western Australia, to 30 November 2016</w:t>
      </w:r>
      <w:r>
        <w:rPr>
          <w:rStyle w:val="FootnoteReference"/>
          <w:rFonts w:ascii="Arial" w:hAnsi="Arial" w:cs="Arial"/>
          <w:sz w:val="20"/>
          <w:szCs w:val="20"/>
        </w:rPr>
        <w:footnoteReference w:id="24"/>
      </w:r>
      <w:r w:rsidRPr="004D2D7F">
        <w:rPr>
          <w:rFonts w:ascii="Arial" w:hAnsi="Arial" w:cs="Arial"/>
          <w:sz w:val="20"/>
          <w:szCs w:val="20"/>
        </w:rPr>
        <w:t>.</w:t>
      </w:r>
    </w:p>
    <w:tbl>
      <w:tblPr>
        <w:tblStyle w:val="TableGrid15"/>
        <w:tblW w:w="10348" w:type="dxa"/>
        <w:jc w:val="center"/>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3969"/>
        <w:gridCol w:w="1843"/>
        <w:gridCol w:w="2126"/>
        <w:gridCol w:w="2410"/>
      </w:tblGrid>
      <w:tr w:rsidR="00CC0F5A" w:rsidRPr="004D2D7F" w:rsidTr="00CC0F5A">
        <w:trPr>
          <w:tblHeader/>
          <w:jc w:val="center"/>
        </w:trPr>
        <w:tc>
          <w:tcPr>
            <w:tcW w:w="3969" w:type="dxa"/>
            <w:tcBorders>
              <w:bottom w:val="single" w:sz="4" w:space="0" w:color="auto"/>
            </w:tcBorders>
          </w:tcPr>
          <w:p w:rsidR="00CC0F5A" w:rsidRPr="004D2D7F" w:rsidRDefault="00CC0F5A" w:rsidP="006721AA">
            <w:pPr>
              <w:ind w:hanging="34"/>
              <w:rPr>
                <w:sz w:val="20"/>
                <w:szCs w:val="20"/>
              </w:rPr>
            </w:pPr>
          </w:p>
        </w:tc>
        <w:tc>
          <w:tcPr>
            <w:tcW w:w="1843" w:type="dxa"/>
            <w:tcBorders>
              <w:bottom w:val="single" w:sz="4" w:space="0" w:color="auto"/>
            </w:tcBorders>
            <w:shd w:val="clear" w:color="auto" w:fill="C6D9F1" w:themeFill="text2" w:themeFillTint="33"/>
          </w:tcPr>
          <w:p w:rsidR="00CC0F5A" w:rsidRPr="004D2D7F" w:rsidRDefault="00CC0F5A" w:rsidP="006721AA">
            <w:pPr>
              <w:ind w:hanging="34"/>
              <w:jc w:val="center"/>
              <w:rPr>
                <w:b/>
                <w:sz w:val="20"/>
                <w:szCs w:val="20"/>
              </w:rPr>
            </w:pPr>
            <w:r w:rsidRPr="004D2D7F">
              <w:rPr>
                <w:b/>
                <w:sz w:val="20"/>
                <w:szCs w:val="20"/>
                <w:shd w:val="clear" w:color="auto" w:fill="C6D9F1" w:themeFill="text2" w:themeFillTint="33"/>
              </w:rPr>
              <w:t>North Qld (four HHSs</w:t>
            </w:r>
            <w:r w:rsidRPr="004D2D7F">
              <w:rPr>
                <w:b/>
                <w:sz w:val="20"/>
                <w:szCs w:val="20"/>
                <w:shd w:val="clear" w:color="auto" w:fill="C6D9F1" w:themeFill="text2" w:themeFillTint="33"/>
                <w:vertAlign w:val="superscript"/>
              </w:rPr>
              <w:t>β</w:t>
            </w:r>
            <w:r w:rsidRPr="004D2D7F">
              <w:rPr>
                <w:b/>
                <w:sz w:val="20"/>
                <w:szCs w:val="20"/>
              </w:rPr>
              <w:t>)</w:t>
            </w:r>
          </w:p>
        </w:tc>
        <w:tc>
          <w:tcPr>
            <w:tcW w:w="2126" w:type="dxa"/>
            <w:tcBorders>
              <w:bottom w:val="single" w:sz="4" w:space="0" w:color="auto"/>
            </w:tcBorders>
            <w:shd w:val="clear" w:color="auto" w:fill="DAEEF3" w:themeFill="accent5" w:themeFillTint="33"/>
          </w:tcPr>
          <w:p w:rsidR="00CC0F5A" w:rsidRPr="004D2D7F" w:rsidRDefault="00CC0F5A" w:rsidP="006721AA">
            <w:pPr>
              <w:ind w:hanging="34"/>
              <w:jc w:val="center"/>
              <w:rPr>
                <w:b/>
                <w:sz w:val="20"/>
                <w:szCs w:val="20"/>
              </w:rPr>
            </w:pPr>
            <w:r w:rsidRPr="004D2D7F">
              <w:rPr>
                <w:b/>
                <w:sz w:val="20"/>
                <w:szCs w:val="20"/>
              </w:rPr>
              <w:t>NT (four regions</w:t>
            </w:r>
            <w:r w:rsidRPr="004D2D7F">
              <w:rPr>
                <w:b/>
                <w:sz w:val="20"/>
                <w:szCs w:val="20"/>
                <w:vertAlign w:val="superscript"/>
              </w:rPr>
              <w:t xml:space="preserve"> β</w:t>
            </w:r>
            <w:r w:rsidRPr="004D2D7F">
              <w:rPr>
                <w:b/>
                <w:sz w:val="20"/>
                <w:szCs w:val="20"/>
              </w:rPr>
              <w:t>)</w:t>
            </w:r>
          </w:p>
        </w:tc>
        <w:tc>
          <w:tcPr>
            <w:tcW w:w="2410" w:type="dxa"/>
            <w:tcBorders>
              <w:bottom w:val="single" w:sz="4" w:space="0" w:color="auto"/>
            </w:tcBorders>
            <w:shd w:val="clear" w:color="auto" w:fill="E5DFEC" w:themeFill="accent4" w:themeFillTint="33"/>
          </w:tcPr>
          <w:p w:rsidR="00CC0F5A" w:rsidRPr="004D2D7F" w:rsidRDefault="00CC0F5A" w:rsidP="006721AA">
            <w:pPr>
              <w:ind w:hanging="34"/>
              <w:jc w:val="center"/>
              <w:rPr>
                <w:b/>
                <w:sz w:val="20"/>
                <w:szCs w:val="20"/>
              </w:rPr>
            </w:pPr>
            <w:r w:rsidRPr="004D2D7F">
              <w:rPr>
                <w:b/>
                <w:sz w:val="20"/>
                <w:szCs w:val="20"/>
              </w:rPr>
              <w:t>WA (Kimberley region)</w:t>
            </w:r>
          </w:p>
        </w:tc>
      </w:tr>
      <w:tr w:rsidR="00CC0F5A" w:rsidRPr="004D2D7F" w:rsidTr="00CC0F5A">
        <w:trPr>
          <w:jc w:val="center"/>
        </w:trPr>
        <w:tc>
          <w:tcPr>
            <w:tcW w:w="3969" w:type="dxa"/>
            <w:tcBorders>
              <w:right w:val="nil"/>
            </w:tcBorders>
            <w:shd w:val="clear" w:color="auto" w:fill="B8CCE4" w:themeFill="accent1" w:themeFillTint="66"/>
          </w:tcPr>
          <w:p w:rsidR="00CC0F5A" w:rsidRPr="004D2D7F" w:rsidRDefault="00CC0F5A" w:rsidP="006721AA">
            <w:pPr>
              <w:ind w:hanging="34"/>
              <w:rPr>
                <w:sz w:val="20"/>
                <w:szCs w:val="20"/>
              </w:rPr>
            </w:pPr>
            <w:r w:rsidRPr="004D2D7F">
              <w:rPr>
                <w:sz w:val="20"/>
                <w:szCs w:val="20"/>
              </w:rPr>
              <w:t>Situation to-date, 30 November 2016</w:t>
            </w:r>
          </w:p>
        </w:tc>
        <w:tc>
          <w:tcPr>
            <w:tcW w:w="1843" w:type="dxa"/>
            <w:tcBorders>
              <w:left w:val="nil"/>
              <w:right w:val="nil"/>
            </w:tcBorders>
            <w:shd w:val="clear" w:color="auto" w:fill="B8CCE4" w:themeFill="accent1" w:themeFillTint="66"/>
          </w:tcPr>
          <w:p w:rsidR="00CC0F5A" w:rsidRPr="004D2D7F" w:rsidRDefault="00CC0F5A" w:rsidP="006721AA">
            <w:pPr>
              <w:ind w:hanging="34"/>
              <w:rPr>
                <w:sz w:val="20"/>
                <w:szCs w:val="20"/>
                <w:highlight w:val="yellow"/>
              </w:rPr>
            </w:pPr>
          </w:p>
        </w:tc>
        <w:tc>
          <w:tcPr>
            <w:tcW w:w="2126" w:type="dxa"/>
            <w:tcBorders>
              <w:left w:val="nil"/>
              <w:right w:val="nil"/>
            </w:tcBorders>
            <w:shd w:val="clear" w:color="auto" w:fill="B8CCE4" w:themeFill="accent1" w:themeFillTint="66"/>
          </w:tcPr>
          <w:p w:rsidR="00CC0F5A" w:rsidRPr="004D2D7F" w:rsidRDefault="00CC0F5A" w:rsidP="006721AA">
            <w:pPr>
              <w:ind w:hanging="34"/>
              <w:rPr>
                <w:sz w:val="20"/>
                <w:szCs w:val="20"/>
                <w:highlight w:val="yellow"/>
              </w:rPr>
            </w:pPr>
          </w:p>
        </w:tc>
        <w:tc>
          <w:tcPr>
            <w:tcW w:w="2410" w:type="dxa"/>
            <w:tcBorders>
              <w:left w:val="nil"/>
            </w:tcBorders>
            <w:shd w:val="clear" w:color="auto" w:fill="B8CCE4" w:themeFill="accent1" w:themeFillTint="66"/>
          </w:tcPr>
          <w:p w:rsidR="00CC0F5A" w:rsidRPr="004D2D7F" w:rsidRDefault="00CC0F5A" w:rsidP="006721AA">
            <w:pPr>
              <w:ind w:hanging="34"/>
              <w:rPr>
                <w:sz w:val="20"/>
                <w:szCs w:val="20"/>
                <w:highlight w:val="yellow"/>
              </w:rPr>
            </w:pP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Outbreak commencement month/</w:t>
            </w:r>
            <w:proofErr w:type="spellStart"/>
            <w:r w:rsidRPr="004D2D7F">
              <w:rPr>
                <w:sz w:val="20"/>
                <w:szCs w:val="20"/>
              </w:rPr>
              <w:t>yr</w:t>
            </w:r>
            <w:proofErr w:type="spellEnd"/>
          </w:p>
        </w:tc>
        <w:tc>
          <w:tcPr>
            <w:tcW w:w="1843"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January 2011</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July 2013</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June 2014</w:t>
            </w: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Total number of cases</w:t>
            </w:r>
            <w:r w:rsidRPr="004D2D7F">
              <w:rPr>
                <w:b/>
                <w:sz w:val="20"/>
                <w:szCs w:val="20"/>
                <w:vertAlign w:val="superscript"/>
              </w:rPr>
              <w:t xml:space="preserve"> </w:t>
            </w:r>
            <w:r w:rsidRPr="004D2D7F">
              <w:rPr>
                <w:sz w:val="20"/>
                <w:szCs w:val="20"/>
                <w:vertAlign w:val="superscript"/>
              </w:rPr>
              <w:t>α</w:t>
            </w:r>
          </w:p>
        </w:tc>
        <w:tc>
          <w:tcPr>
            <w:tcW w:w="1843" w:type="dxa"/>
            <w:shd w:val="clear" w:color="auto" w:fill="C6D9F1" w:themeFill="text2" w:themeFillTint="33"/>
            <w:vAlign w:val="center"/>
          </w:tcPr>
          <w:p w:rsidR="00CC0F5A" w:rsidRPr="004D2D7F" w:rsidRDefault="00CC0F5A" w:rsidP="006721AA">
            <w:pPr>
              <w:ind w:hanging="34"/>
              <w:jc w:val="center"/>
              <w:rPr>
                <w:b/>
                <w:sz w:val="20"/>
                <w:szCs w:val="20"/>
                <w:vertAlign w:val="superscript"/>
              </w:rPr>
            </w:pPr>
            <w:r w:rsidRPr="004D2D7F">
              <w:rPr>
                <w:b/>
                <w:sz w:val="20"/>
                <w:szCs w:val="20"/>
              </w:rPr>
              <w:t>709</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397</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86</w:t>
            </w: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Percent cases reported in 15-29 year age group</w:t>
            </w:r>
          </w:p>
        </w:tc>
        <w:tc>
          <w:tcPr>
            <w:tcW w:w="1843" w:type="dxa"/>
            <w:shd w:val="clear" w:color="auto" w:fill="C6D9F1" w:themeFill="text2" w:themeFillTint="33"/>
            <w:vAlign w:val="center"/>
          </w:tcPr>
          <w:p w:rsidR="00CC0F5A" w:rsidRPr="004D2D7F" w:rsidRDefault="00CC0F5A" w:rsidP="006721AA">
            <w:pPr>
              <w:ind w:hanging="34"/>
              <w:jc w:val="center"/>
              <w:rPr>
                <w:sz w:val="20"/>
                <w:szCs w:val="20"/>
                <w:highlight w:val="yellow"/>
              </w:rPr>
            </w:pPr>
            <w:r w:rsidRPr="004D2D7F">
              <w:rPr>
                <w:sz w:val="20"/>
                <w:szCs w:val="20"/>
              </w:rPr>
              <w:t>70%</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79%</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67%</w:t>
            </w: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 Male / % Female</w:t>
            </w:r>
          </w:p>
        </w:tc>
        <w:tc>
          <w:tcPr>
            <w:tcW w:w="1843"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48% / 52%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46% / 54%</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35% / 65%</w:t>
            </w: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Congenital cases, confirmed (probable)</w:t>
            </w:r>
          </w:p>
        </w:tc>
        <w:tc>
          <w:tcPr>
            <w:tcW w:w="1843"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3 (2)</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1 (2)</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 (0)</w:t>
            </w:r>
          </w:p>
        </w:tc>
      </w:tr>
      <w:tr w:rsidR="00CC0F5A" w:rsidRPr="004D2D7F" w:rsidTr="00CC0F5A">
        <w:trPr>
          <w:jc w:val="center"/>
        </w:trPr>
        <w:tc>
          <w:tcPr>
            <w:tcW w:w="3969" w:type="dxa"/>
            <w:tcBorders>
              <w:bottom w:val="single" w:sz="4" w:space="0" w:color="auto"/>
            </w:tcBorders>
            <w:shd w:val="clear" w:color="auto" w:fill="auto"/>
          </w:tcPr>
          <w:p w:rsidR="00CC0F5A" w:rsidRPr="004D2D7F" w:rsidRDefault="00CC0F5A" w:rsidP="006721AA">
            <w:pPr>
              <w:ind w:hanging="34"/>
              <w:rPr>
                <w:sz w:val="20"/>
                <w:szCs w:val="20"/>
              </w:rPr>
            </w:pPr>
            <w:r w:rsidRPr="004D2D7F">
              <w:rPr>
                <w:sz w:val="20"/>
                <w:szCs w:val="20"/>
              </w:rPr>
              <w:t xml:space="preserve">   -number of deaths in congenital cases</w:t>
            </w:r>
          </w:p>
        </w:tc>
        <w:tc>
          <w:tcPr>
            <w:tcW w:w="1843"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4</w:t>
            </w:r>
          </w:p>
        </w:tc>
        <w:tc>
          <w:tcPr>
            <w:tcW w:w="2126" w:type="dxa"/>
            <w:tcBorders>
              <w:bottom w:val="single" w:sz="4" w:space="0" w:color="auto"/>
            </w:tcBorders>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0</w:t>
            </w:r>
          </w:p>
        </w:tc>
        <w:tc>
          <w:tcPr>
            <w:tcW w:w="2410" w:type="dxa"/>
            <w:tcBorders>
              <w:bottom w:val="single" w:sz="4" w:space="0" w:color="auto"/>
            </w:tcBorders>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CC0F5A">
        <w:trPr>
          <w:jc w:val="center"/>
        </w:trPr>
        <w:tc>
          <w:tcPr>
            <w:tcW w:w="3969" w:type="dxa"/>
            <w:tcBorders>
              <w:right w:val="nil"/>
            </w:tcBorders>
            <w:shd w:val="clear" w:color="auto" w:fill="B8CCE4" w:themeFill="accent1" w:themeFillTint="66"/>
            <w:vAlign w:val="center"/>
          </w:tcPr>
          <w:p w:rsidR="00CC0F5A" w:rsidRPr="004D2D7F" w:rsidRDefault="00CC0F5A" w:rsidP="006721AA">
            <w:pPr>
              <w:ind w:hanging="34"/>
              <w:rPr>
                <w:sz w:val="20"/>
                <w:szCs w:val="20"/>
                <w:highlight w:val="yellow"/>
              </w:rPr>
            </w:pPr>
            <w:r w:rsidRPr="004D2D7F">
              <w:rPr>
                <w:sz w:val="20"/>
                <w:szCs w:val="20"/>
              </w:rPr>
              <w:t>Last reporting month, 1-30 November 2016</w:t>
            </w:r>
          </w:p>
        </w:tc>
        <w:tc>
          <w:tcPr>
            <w:tcW w:w="1843"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highlight w:val="yellow"/>
              </w:rPr>
            </w:pPr>
          </w:p>
        </w:tc>
        <w:tc>
          <w:tcPr>
            <w:tcW w:w="2126" w:type="dxa"/>
            <w:tcBorders>
              <w:left w:val="nil"/>
              <w:right w:val="nil"/>
            </w:tcBorders>
            <w:shd w:val="clear" w:color="auto" w:fill="B8CCE4" w:themeFill="accent1" w:themeFillTint="66"/>
            <w:vAlign w:val="center"/>
          </w:tcPr>
          <w:p w:rsidR="00CC0F5A" w:rsidRPr="004D2D7F" w:rsidRDefault="00CC0F5A" w:rsidP="006721AA">
            <w:pPr>
              <w:ind w:hanging="34"/>
              <w:rPr>
                <w:sz w:val="20"/>
                <w:szCs w:val="20"/>
                <w:highlight w:val="yellow"/>
              </w:rPr>
            </w:pPr>
          </w:p>
        </w:tc>
        <w:tc>
          <w:tcPr>
            <w:tcW w:w="2410" w:type="dxa"/>
            <w:tcBorders>
              <w:left w:val="nil"/>
            </w:tcBorders>
            <w:shd w:val="clear" w:color="auto" w:fill="B8CCE4" w:themeFill="accent1" w:themeFillTint="66"/>
            <w:vAlign w:val="center"/>
          </w:tcPr>
          <w:p w:rsidR="00CC0F5A" w:rsidRPr="004D2D7F" w:rsidRDefault="00CC0F5A" w:rsidP="006721AA">
            <w:pPr>
              <w:ind w:hanging="34"/>
              <w:rPr>
                <w:sz w:val="20"/>
                <w:szCs w:val="20"/>
                <w:highlight w:val="yellow"/>
              </w:rPr>
            </w:pP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Number of cases</w:t>
            </w:r>
            <w:r w:rsidRPr="004D2D7F">
              <w:rPr>
                <w:b/>
                <w:sz w:val="20"/>
                <w:szCs w:val="20"/>
                <w:vertAlign w:val="superscript"/>
              </w:rPr>
              <w:t xml:space="preserve"> </w:t>
            </w:r>
            <w:r w:rsidRPr="004D2D7F">
              <w:rPr>
                <w:sz w:val="20"/>
                <w:szCs w:val="20"/>
                <w:vertAlign w:val="superscript"/>
              </w:rPr>
              <w:t>α</w:t>
            </w:r>
          </w:p>
        </w:tc>
        <w:tc>
          <w:tcPr>
            <w:tcW w:w="1843" w:type="dxa"/>
            <w:tcBorders>
              <w:bottom w:val="single" w:sz="4" w:space="0" w:color="auto"/>
            </w:tcBorders>
            <w:shd w:val="clear" w:color="auto" w:fill="C6D9F1" w:themeFill="text2" w:themeFillTint="33"/>
            <w:vAlign w:val="center"/>
          </w:tcPr>
          <w:p w:rsidR="00CC0F5A" w:rsidRPr="004D2D7F" w:rsidRDefault="00CC0F5A" w:rsidP="006721AA">
            <w:pPr>
              <w:ind w:hanging="34"/>
              <w:jc w:val="center"/>
              <w:rPr>
                <w:b/>
                <w:sz w:val="20"/>
                <w:szCs w:val="20"/>
              </w:rPr>
            </w:pPr>
            <w:r w:rsidRPr="004D2D7F">
              <w:rPr>
                <w:b/>
                <w:sz w:val="20"/>
                <w:szCs w:val="20"/>
              </w:rPr>
              <w:t>15</w:t>
            </w:r>
          </w:p>
        </w:tc>
        <w:tc>
          <w:tcPr>
            <w:tcW w:w="2126" w:type="dxa"/>
            <w:shd w:val="clear" w:color="auto" w:fill="DAEEF3" w:themeFill="accent5" w:themeFillTint="33"/>
            <w:vAlign w:val="center"/>
          </w:tcPr>
          <w:p w:rsidR="00CC0F5A" w:rsidRPr="004D2D7F" w:rsidRDefault="00CC0F5A" w:rsidP="006721AA">
            <w:pPr>
              <w:ind w:hanging="34"/>
              <w:jc w:val="center"/>
              <w:rPr>
                <w:b/>
                <w:sz w:val="20"/>
                <w:szCs w:val="20"/>
              </w:rPr>
            </w:pPr>
            <w:r w:rsidRPr="004D2D7F">
              <w:rPr>
                <w:b/>
                <w:sz w:val="20"/>
                <w:szCs w:val="20"/>
              </w:rPr>
              <w:t>25</w:t>
            </w:r>
          </w:p>
        </w:tc>
        <w:tc>
          <w:tcPr>
            <w:tcW w:w="2410" w:type="dxa"/>
            <w:shd w:val="clear" w:color="auto" w:fill="E5DFEC" w:themeFill="accent4" w:themeFillTint="33"/>
            <w:vAlign w:val="center"/>
          </w:tcPr>
          <w:p w:rsidR="00CC0F5A" w:rsidRPr="004D2D7F" w:rsidRDefault="00CC0F5A" w:rsidP="006721AA">
            <w:pPr>
              <w:ind w:hanging="34"/>
              <w:jc w:val="center"/>
              <w:rPr>
                <w:b/>
                <w:sz w:val="20"/>
                <w:szCs w:val="20"/>
              </w:rPr>
            </w:pPr>
            <w:r w:rsidRPr="004D2D7F">
              <w:rPr>
                <w:b/>
                <w:sz w:val="20"/>
                <w:szCs w:val="20"/>
              </w:rPr>
              <w:t>2</w:t>
            </w: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Percent cases reported in 15-29 year age group</w:t>
            </w:r>
          </w:p>
        </w:tc>
        <w:tc>
          <w:tcPr>
            <w:tcW w:w="1843" w:type="dxa"/>
            <w:shd w:val="clear" w:color="auto" w:fill="C6D9F1" w:themeFill="text2" w:themeFillTint="33"/>
            <w:vAlign w:val="center"/>
          </w:tcPr>
          <w:p w:rsidR="00CC0F5A" w:rsidRPr="004D2D7F" w:rsidRDefault="00CC0F5A" w:rsidP="006721AA">
            <w:pPr>
              <w:jc w:val="center"/>
              <w:rPr>
                <w:sz w:val="20"/>
                <w:szCs w:val="20"/>
              </w:rPr>
            </w:pPr>
            <w:r w:rsidRPr="004D2D7F">
              <w:rPr>
                <w:sz w:val="20"/>
                <w:szCs w:val="20"/>
              </w:rPr>
              <w:t>67%</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rPr>
            </w:pPr>
            <w:r w:rsidRPr="004D2D7F">
              <w:rPr>
                <w:sz w:val="20"/>
                <w:szCs w:val="20"/>
              </w:rPr>
              <w:t>76%</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0%</w:t>
            </w:r>
          </w:p>
        </w:tc>
      </w:tr>
      <w:tr w:rsidR="00CC0F5A" w:rsidRPr="004D2D7F" w:rsidTr="00CC0F5A">
        <w:trPr>
          <w:jc w:val="center"/>
        </w:trPr>
        <w:tc>
          <w:tcPr>
            <w:tcW w:w="3969" w:type="dxa"/>
          </w:tcPr>
          <w:p w:rsidR="00CC0F5A" w:rsidRPr="004D2D7F" w:rsidRDefault="00CC0F5A" w:rsidP="006721AA">
            <w:pPr>
              <w:ind w:hanging="34"/>
              <w:rPr>
                <w:sz w:val="20"/>
                <w:szCs w:val="20"/>
              </w:rPr>
            </w:pPr>
            <w:r w:rsidRPr="004D2D7F">
              <w:rPr>
                <w:sz w:val="20"/>
                <w:szCs w:val="20"/>
              </w:rPr>
              <w:t>% Male / % Female</w:t>
            </w:r>
          </w:p>
        </w:tc>
        <w:tc>
          <w:tcPr>
            <w:tcW w:w="1843" w:type="dxa"/>
            <w:shd w:val="clear" w:color="auto" w:fill="C6D9F1" w:themeFill="text2" w:themeFillTint="33"/>
            <w:vAlign w:val="center"/>
          </w:tcPr>
          <w:p w:rsidR="00CC0F5A" w:rsidRPr="004D2D7F" w:rsidRDefault="00CC0F5A" w:rsidP="006721AA">
            <w:pPr>
              <w:ind w:hanging="34"/>
              <w:jc w:val="center"/>
              <w:rPr>
                <w:sz w:val="20"/>
                <w:szCs w:val="20"/>
              </w:rPr>
            </w:pPr>
            <w:r w:rsidRPr="004D2D7F">
              <w:rPr>
                <w:sz w:val="20"/>
                <w:szCs w:val="20"/>
              </w:rPr>
              <w:t>60% / 40%</w:t>
            </w:r>
          </w:p>
        </w:tc>
        <w:tc>
          <w:tcPr>
            <w:tcW w:w="2126" w:type="dxa"/>
            <w:shd w:val="clear" w:color="auto" w:fill="DAEEF3" w:themeFill="accent5" w:themeFillTint="33"/>
            <w:vAlign w:val="center"/>
          </w:tcPr>
          <w:p w:rsidR="00CC0F5A" w:rsidRPr="004D2D7F" w:rsidRDefault="00CC0F5A" w:rsidP="006721AA">
            <w:pPr>
              <w:ind w:hanging="34"/>
              <w:jc w:val="center"/>
              <w:rPr>
                <w:sz w:val="20"/>
                <w:szCs w:val="20"/>
                <w:highlight w:val="yellow"/>
              </w:rPr>
            </w:pPr>
            <w:r w:rsidRPr="004D2D7F">
              <w:rPr>
                <w:sz w:val="20"/>
                <w:szCs w:val="20"/>
              </w:rPr>
              <w:t>36% / 64%</w:t>
            </w:r>
          </w:p>
        </w:tc>
        <w:tc>
          <w:tcPr>
            <w:tcW w:w="2410" w:type="dxa"/>
            <w:shd w:val="clear" w:color="auto" w:fill="E5DFEC" w:themeFill="accent4" w:themeFillTint="33"/>
            <w:vAlign w:val="center"/>
          </w:tcPr>
          <w:p w:rsidR="00CC0F5A" w:rsidRPr="004D2D7F" w:rsidRDefault="00CC0F5A" w:rsidP="006721AA">
            <w:pPr>
              <w:ind w:hanging="34"/>
              <w:jc w:val="center"/>
              <w:rPr>
                <w:sz w:val="20"/>
                <w:szCs w:val="20"/>
              </w:rPr>
            </w:pPr>
            <w:r w:rsidRPr="004D2D7F">
              <w:rPr>
                <w:sz w:val="20"/>
                <w:szCs w:val="20"/>
              </w:rPr>
              <w:t>50% / 50%</w:t>
            </w:r>
          </w:p>
        </w:tc>
      </w:tr>
    </w:tbl>
    <w:p w:rsidR="00CC0F5A" w:rsidRDefault="00CC0F5A" w:rsidP="006721AA">
      <w:pPr>
        <w:spacing w:before="60"/>
      </w:pPr>
    </w:p>
    <w:p w:rsidR="00CC0F5A" w:rsidRDefault="00CC0F5A" w:rsidP="006721AA">
      <w:pPr>
        <w:rPr>
          <w:rFonts w:asciiTheme="majorHAnsi" w:eastAsiaTheme="majorEastAsia" w:hAnsiTheme="majorHAnsi" w:cstheme="majorBidi"/>
          <w:b/>
          <w:bCs/>
          <w:color w:val="365F91" w:themeColor="accent1" w:themeShade="BF"/>
          <w:sz w:val="28"/>
          <w:szCs w:val="28"/>
        </w:rPr>
      </w:pPr>
      <w:r>
        <w:br w:type="page"/>
      </w:r>
    </w:p>
    <w:p w:rsidR="00246597" w:rsidRPr="00630D11" w:rsidRDefault="00246597" w:rsidP="002E5B78">
      <w:pPr>
        <w:pStyle w:val="Heading1"/>
      </w:pPr>
      <w:r w:rsidRPr="00630D11">
        <w:t>MULTIJURISDICTIONAL SYPHILIS OUTBREAK WORKING GROUP (MJSO)</w:t>
      </w:r>
    </w:p>
    <w:p w:rsidR="00246597" w:rsidRPr="00630D11" w:rsidRDefault="00246597" w:rsidP="002F7525">
      <w:pPr>
        <w:spacing w:after="0" w:line="120" w:lineRule="auto"/>
        <w:ind w:left="-567" w:right="-612"/>
        <w:rPr>
          <w:rFonts w:ascii="Arial" w:hAnsi="Arial" w:cs="Arial"/>
          <w:b/>
          <w:sz w:val="28"/>
          <w:szCs w:val="28"/>
        </w:rPr>
      </w:pPr>
    </w:p>
    <w:p w:rsidR="00246597" w:rsidRPr="00630D11" w:rsidRDefault="00246597" w:rsidP="002F7525">
      <w:pPr>
        <w:spacing w:after="0" w:line="240" w:lineRule="auto"/>
        <w:ind w:left="-567" w:right="-613"/>
        <w:jc w:val="center"/>
        <w:rPr>
          <w:rFonts w:ascii="Arial" w:hAnsi="Arial" w:cs="Arial"/>
          <w:sz w:val="28"/>
          <w:szCs w:val="28"/>
        </w:rPr>
      </w:pPr>
      <w:r w:rsidRPr="00630D11">
        <w:rPr>
          <w:rFonts w:ascii="Arial" w:hAnsi="Arial" w:cs="Arial"/>
          <w:b/>
          <w:sz w:val="28"/>
          <w:szCs w:val="28"/>
        </w:rPr>
        <w:t>Meeting Communique</w:t>
      </w:r>
      <w:r>
        <w:rPr>
          <w:rFonts w:ascii="Arial" w:hAnsi="Arial" w:cs="Arial"/>
          <w:b/>
          <w:sz w:val="28"/>
          <w:szCs w:val="28"/>
        </w:rPr>
        <w:t>, 16 February 2017 (9</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Default="00246597" w:rsidP="00873960">
      <w:pPr>
        <w:spacing w:after="0" w:line="120" w:lineRule="auto"/>
        <w:ind w:left="-567" w:right="-612"/>
      </w:pPr>
    </w:p>
    <w:p w:rsidR="00246597" w:rsidRPr="009C3C6F" w:rsidRDefault="00246597" w:rsidP="00F94849">
      <w:pPr>
        <w:spacing w:after="0" w:line="240" w:lineRule="auto"/>
        <w:ind w:left="-567" w:right="-612"/>
        <w:rPr>
          <w:rFonts w:ascii="Arial" w:hAnsi="Arial" w:cs="Arial"/>
          <w:b/>
          <w:sz w:val="24"/>
          <w:szCs w:val="24"/>
        </w:rPr>
      </w:pPr>
      <w:r w:rsidRPr="009C3C6F">
        <w:rPr>
          <w:rFonts w:ascii="Arial" w:hAnsi="Arial" w:cs="Arial"/>
          <w:b/>
          <w:sz w:val="24"/>
          <w:szCs w:val="24"/>
        </w:rPr>
        <w:t>This communique has been authorised by the chair of the MJSO, Dr Nathan Ryder.</w:t>
      </w:r>
    </w:p>
    <w:p w:rsidR="00246597" w:rsidRDefault="00246597" w:rsidP="00372E85">
      <w:pPr>
        <w:spacing w:after="0" w:line="240" w:lineRule="auto"/>
        <w:ind w:right="-613"/>
        <w:rPr>
          <w:rFonts w:ascii="Arial" w:hAnsi="Arial" w:cs="Arial"/>
          <w:sz w:val="20"/>
          <w:szCs w:val="20"/>
        </w:rPr>
      </w:pPr>
    </w:p>
    <w:p w:rsidR="00246597" w:rsidRPr="004E075B" w:rsidRDefault="00246597" w:rsidP="00C55AC7">
      <w:pPr>
        <w:pStyle w:val="PlainText"/>
        <w:ind w:left="-567"/>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with the outbreak in northern Australia were first reported in January 2011 in northwest Queensland, followed by the Northern Territory (NT) in July 2013, and the Kimberley region of Western Australia (WA) in </w:t>
      </w:r>
      <w:r>
        <w:rPr>
          <w:color w:val="000000" w:themeColor="text1"/>
        </w:rPr>
        <w:br/>
      </w:r>
      <w:r w:rsidRPr="00E27FA1">
        <w:rPr>
          <w:color w:val="000000" w:themeColor="text1"/>
        </w:rPr>
        <w:t xml:space="preserve">June 2014. This communique summarises the outbreak </w:t>
      </w:r>
      <w:r>
        <w:rPr>
          <w:color w:val="000000" w:themeColor="text1"/>
        </w:rPr>
        <w:t>epidemiological data as of 31 January 2017</w:t>
      </w:r>
      <w:r w:rsidRPr="00E27FA1">
        <w:rPr>
          <w:color w:val="000000" w:themeColor="text1"/>
        </w:rPr>
        <w:t xml:space="preserve"> (current status), and the activities of the MJSO </w:t>
      </w:r>
      <w:r>
        <w:rPr>
          <w:color w:val="000000" w:themeColor="text1"/>
        </w:rPr>
        <w:t>from 1 December 2016 –</w:t>
      </w:r>
      <w:r w:rsidRPr="00E27FA1">
        <w:rPr>
          <w:color w:val="000000" w:themeColor="text1"/>
        </w:rPr>
        <w:t xml:space="preserve"> </w:t>
      </w:r>
      <w:r>
        <w:rPr>
          <w:color w:val="000000" w:themeColor="text1"/>
        </w:rPr>
        <w:t>31 January 2017</w:t>
      </w:r>
      <w:r w:rsidRPr="00E27FA1">
        <w:rPr>
          <w:color w:val="000000" w:themeColor="text1"/>
        </w:rPr>
        <w:t>.</w:t>
      </w:r>
    </w:p>
    <w:p w:rsidR="00246597" w:rsidRDefault="00246597" w:rsidP="00094607">
      <w:pPr>
        <w:spacing w:after="0" w:line="180" w:lineRule="auto"/>
        <w:ind w:right="261"/>
        <w:jc w:val="both"/>
        <w:rPr>
          <w:rFonts w:ascii="Arial" w:hAnsi="Arial" w:cs="Arial"/>
          <w:sz w:val="20"/>
          <w:szCs w:val="20"/>
        </w:rPr>
      </w:pPr>
    </w:p>
    <w:p w:rsidR="00246597" w:rsidRDefault="00246597" w:rsidP="004E075B">
      <w:pPr>
        <w:spacing w:after="0" w:line="240" w:lineRule="auto"/>
        <w:ind w:left="-567" w:right="261"/>
        <w:jc w:val="both"/>
        <w:rPr>
          <w:rFonts w:ascii="Arial" w:hAnsi="Arial" w:cs="Arial"/>
          <w:b/>
        </w:rPr>
      </w:pPr>
      <w:r w:rsidRPr="000428F5">
        <w:rPr>
          <w:rFonts w:ascii="Arial" w:hAnsi="Arial" w:cs="Arial"/>
          <w:b/>
        </w:rPr>
        <w:t>Current status</w:t>
      </w:r>
    </w:p>
    <w:p w:rsidR="00246597" w:rsidRDefault="00246597" w:rsidP="004E075B">
      <w:pPr>
        <w:spacing w:after="0" w:line="240" w:lineRule="auto"/>
        <w:ind w:left="-567" w:right="261"/>
        <w:jc w:val="both"/>
        <w:rPr>
          <w:rFonts w:ascii="Arial" w:hAnsi="Arial" w:cs="Arial"/>
          <w:sz w:val="20"/>
          <w:szCs w:val="20"/>
        </w:rPr>
      </w:pPr>
      <w:r w:rsidRPr="009C3C6F">
        <w:rPr>
          <w:rFonts w:ascii="Arial" w:hAnsi="Arial" w:cs="Arial"/>
          <w:sz w:val="20"/>
          <w:szCs w:val="20"/>
        </w:rPr>
        <w:t xml:space="preserve">Outbreak data </w:t>
      </w:r>
      <w:r>
        <w:rPr>
          <w:rFonts w:ascii="Arial" w:hAnsi="Arial" w:cs="Arial"/>
          <w:sz w:val="20"/>
          <w:szCs w:val="20"/>
        </w:rPr>
        <w:t xml:space="preserve">to 31 January 2017 </w:t>
      </w:r>
      <w:r w:rsidRPr="009C3C6F">
        <w:rPr>
          <w:rFonts w:ascii="Arial" w:hAnsi="Arial" w:cs="Arial"/>
          <w:sz w:val="20"/>
          <w:szCs w:val="20"/>
        </w:rPr>
        <w:t>are summarised in Figure 1 and Table 1 below.</w:t>
      </w:r>
    </w:p>
    <w:p w:rsidR="00246597" w:rsidRDefault="00246597" w:rsidP="00094607">
      <w:pPr>
        <w:spacing w:after="0" w:line="240" w:lineRule="auto"/>
        <w:ind w:left="-567" w:right="261"/>
        <w:jc w:val="both"/>
        <w:rPr>
          <w:rFonts w:ascii="Arial" w:hAnsi="Arial" w:cs="Arial"/>
          <w:sz w:val="20"/>
          <w:szCs w:val="20"/>
        </w:rPr>
      </w:pPr>
    </w:p>
    <w:p w:rsidR="00246597" w:rsidRDefault="00246597" w:rsidP="00C55AC7">
      <w:pPr>
        <w:spacing w:after="0" w:line="240" w:lineRule="auto"/>
        <w:ind w:left="-567"/>
        <w:rPr>
          <w:rFonts w:ascii="Arial" w:hAnsi="Arial" w:cs="Arial"/>
          <w:sz w:val="20"/>
          <w:szCs w:val="20"/>
        </w:rPr>
      </w:pPr>
      <w:r w:rsidRPr="00F12A54">
        <w:rPr>
          <w:rFonts w:ascii="Arial" w:hAnsi="Arial" w:cs="Arial"/>
          <w:b/>
          <w:sz w:val="20"/>
          <w:szCs w:val="20"/>
        </w:rPr>
        <w:t>Figure 1</w:t>
      </w:r>
      <w:r w:rsidRPr="00F12A54">
        <w:rPr>
          <w:rFonts w:ascii="Arial" w:hAnsi="Arial" w:cs="Arial"/>
          <w:sz w:val="20"/>
          <w:szCs w:val="20"/>
        </w:rPr>
        <w:t>. Epidemic curve showing outbreak cases of infectious syphilis</w:t>
      </w:r>
      <w:r w:rsidRPr="00F12A54">
        <w:rPr>
          <w:rFonts w:ascii="Arial" w:hAnsi="Arial" w:cs="Arial"/>
          <w:sz w:val="20"/>
          <w:szCs w:val="20"/>
          <w:vertAlign w:val="superscript"/>
        </w:rPr>
        <w:t>α</w:t>
      </w:r>
      <w:r w:rsidRPr="00F12A54">
        <w:rPr>
          <w:rFonts w:ascii="Arial" w:hAnsi="Arial" w:cs="Arial"/>
          <w:sz w:val="20"/>
          <w:szCs w:val="20"/>
        </w:rPr>
        <w:t xml:space="preserve"> notified in affected regions</w:t>
      </w:r>
      <w:r w:rsidRPr="00F12A54">
        <w:rPr>
          <w:rFonts w:ascii="Arial" w:hAnsi="Arial" w:cs="Arial"/>
          <w:sz w:val="20"/>
          <w:szCs w:val="20"/>
          <w:vertAlign w:val="superscript"/>
        </w:rPr>
        <w:t>β</w:t>
      </w:r>
      <w:r w:rsidRPr="00F12A54">
        <w:rPr>
          <w:rFonts w:ascii="Arial" w:hAnsi="Arial" w:cs="Arial"/>
          <w:sz w:val="20"/>
          <w:szCs w:val="20"/>
        </w:rPr>
        <w:t xml:space="preserve"> of Queensland, the Northern Territory and Western Australia, from commencement of the outbreak in each jurisdiction to </w:t>
      </w:r>
      <w:r w:rsidRPr="00F12A54">
        <w:rPr>
          <w:rFonts w:ascii="Arial" w:hAnsi="Arial" w:cs="Arial"/>
          <w:sz w:val="20"/>
          <w:szCs w:val="20"/>
        </w:rPr>
        <w:br/>
        <w:t>3</w:t>
      </w:r>
      <w:r>
        <w:rPr>
          <w:rFonts w:ascii="Arial" w:hAnsi="Arial" w:cs="Arial"/>
          <w:sz w:val="20"/>
          <w:szCs w:val="20"/>
        </w:rPr>
        <w:t>1 January 2017</w:t>
      </w:r>
      <w:r w:rsidRPr="00F12A54">
        <w:rPr>
          <w:rFonts w:ascii="Arial" w:hAnsi="Arial" w:cs="Arial"/>
          <w:sz w:val="20"/>
          <w:szCs w:val="20"/>
          <w:vertAlign w:val="superscript"/>
        </w:rPr>
        <w:t>ᵞ</w:t>
      </w:r>
      <w:r w:rsidRPr="00F12A54">
        <w:rPr>
          <w:rFonts w:ascii="Arial" w:hAnsi="Arial" w:cs="Arial"/>
          <w:sz w:val="20"/>
          <w:szCs w:val="20"/>
        </w:rPr>
        <w:t>.</w:t>
      </w:r>
    </w:p>
    <w:p w:rsidR="00246597" w:rsidRDefault="00246597" w:rsidP="00C55AC7">
      <w:pPr>
        <w:spacing w:after="0" w:line="240" w:lineRule="auto"/>
        <w:ind w:left="-567"/>
        <w:rPr>
          <w:rFonts w:ascii="Arial" w:hAnsi="Arial" w:cs="Arial"/>
          <w:sz w:val="20"/>
          <w:szCs w:val="20"/>
        </w:rPr>
      </w:pPr>
      <w:r>
        <w:rPr>
          <w:rFonts w:ascii="Arial" w:hAnsi="Arial" w:cs="Arial"/>
          <w:noProof/>
          <w:sz w:val="20"/>
          <w:szCs w:val="20"/>
          <w:lang w:eastAsia="en-AU"/>
        </w:rPr>
        <w:drawing>
          <wp:inline distT="0" distB="0" distL="0" distR="0" wp14:anchorId="6D2A280E" wp14:editId="5399852C">
            <wp:extent cx="6444691" cy="2567635"/>
            <wp:effectExtent l="0" t="0" r="0" b="4445"/>
            <wp:docPr id="11" name="Picture 11" descr="This figure shows outbreak cases of infectious syphilis between 1 January 2011 to 31 January 2017, notified in affected regions of Queensland, the Northern Territory and Western Australia." title="Epidemic curve showing outbreak cases of infectious syph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2023" cy="2570556"/>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Pr>
          <w:rFonts w:ascii="Arial" w:hAnsi="Arial" w:cs="Arial"/>
          <w:b/>
          <w:sz w:val="20"/>
          <w:szCs w:val="20"/>
        </w:rPr>
        <w:t xml:space="preserve">Table 1. </w:t>
      </w:r>
      <w:r w:rsidRPr="006A1E4E">
        <w:rPr>
          <w:rFonts w:ascii="Arial" w:hAnsi="Arial" w:cs="Arial"/>
          <w:sz w:val="20"/>
          <w:szCs w:val="20"/>
        </w:rPr>
        <w:t xml:space="preserve">Characteristics of outbreak cases of infectious syphilis notified </w:t>
      </w:r>
      <w:r w:rsidRPr="004E075B">
        <w:rPr>
          <w:rFonts w:ascii="Arial" w:hAnsi="Arial" w:cs="Arial"/>
          <w:sz w:val="20"/>
          <w:szCs w:val="20"/>
        </w:rPr>
        <w:t>in affected regions of Queensland, the Northern Territory</w:t>
      </w:r>
      <w:r>
        <w:rPr>
          <w:rFonts w:ascii="Arial" w:hAnsi="Arial" w:cs="Arial"/>
          <w:sz w:val="20"/>
          <w:szCs w:val="20"/>
        </w:rPr>
        <w:t xml:space="preserve"> </w:t>
      </w:r>
      <w:r w:rsidRPr="004E075B">
        <w:rPr>
          <w:rFonts w:ascii="Arial" w:hAnsi="Arial" w:cs="Arial"/>
          <w:sz w:val="20"/>
          <w:szCs w:val="20"/>
        </w:rPr>
        <w:t xml:space="preserve">and Western Australia, to </w:t>
      </w:r>
      <w:r>
        <w:rPr>
          <w:rFonts w:ascii="Arial" w:hAnsi="Arial" w:cs="Arial"/>
          <w:sz w:val="20"/>
          <w:szCs w:val="20"/>
        </w:rPr>
        <w:t xml:space="preserve">31 January </w:t>
      </w:r>
      <w:r w:rsidRPr="004E075B">
        <w:rPr>
          <w:rFonts w:ascii="Arial" w:hAnsi="Arial" w:cs="Arial"/>
          <w:sz w:val="20"/>
          <w:szCs w:val="20"/>
        </w:rPr>
        <w:t>201</w:t>
      </w:r>
      <w:r>
        <w:rPr>
          <w:rFonts w:ascii="Arial" w:hAnsi="Arial" w:cs="Arial"/>
          <w:sz w:val="20"/>
          <w:szCs w:val="20"/>
        </w:rPr>
        <w:t>7</w:t>
      </w:r>
      <w:r w:rsidRPr="004E075B">
        <w:rPr>
          <w:rFonts w:ascii="Arial" w:hAnsi="Arial" w:cs="Arial"/>
          <w:sz w:val="20"/>
          <w:szCs w:val="20"/>
          <w:vertAlign w:val="superscript"/>
        </w:rPr>
        <w:t>ᵞ</w:t>
      </w:r>
      <w:r w:rsidRPr="004E075B">
        <w:rPr>
          <w:rFonts w:ascii="Arial" w:hAnsi="Arial" w:cs="Arial"/>
          <w:sz w:val="20"/>
          <w:szCs w:val="20"/>
        </w:rPr>
        <w:t>.</w:t>
      </w:r>
    </w:p>
    <w:tbl>
      <w:tblPr>
        <w:tblStyle w:val="TableGrid1"/>
        <w:tblW w:w="10348" w:type="dxa"/>
        <w:tblInd w:w="-459" w:type="dxa"/>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5245"/>
        <w:gridCol w:w="1701"/>
        <w:gridCol w:w="1559"/>
        <w:gridCol w:w="1843"/>
      </w:tblGrid>
      <w:tr w:rsidR="00246597" w:rsidRPr="00195A95" w:rsidTr="00B22EC4">
        <w:trPr>
          <w:tblHeader/>
        </w:trPr>
        <w:tc>
          <w:tcPr>
            <w:tcW w:w="5245" w:type="dxa"/>
            <w:tcBorders>
              <w:bottom w:val="single" w:sz="4" w:space="0" w:color="auto"/>
            </w:tcBorders>
          </w:tcPr>
          <w:p w:rsidR="00246597" w:rsidRPr="00195A95" w:rsidRDefault="00246597" w:rsidP="00CC0F5A">
            <w:pPr>
              <w:ind w:left="34" w:hanging="34"/>
              <w:rPr>
                <w:sz w:val="20"/>
                <w:szCs w:val="20"/>
              </w:rPr>
            </w:pPr>
          </w:p>
        </w:tc>
        <w:tc>
          <w:tcPr>
            <w:tcW w:w="1701" w:type="dxa"/>
            <w:tcBorders>
              <w:bottom w:val="single" w:sz="4" w:space="0" w:color="auto"/>
            </w:tcBorders>
            <w:shd w:val="clear" w:color="auto" w:fill="C6D9F1" w:themeFill="text2" w:themeFillTint="33"/>
          </w:tcPr>
          <w:p w:rsidR="00246597" w:rsidRPr="00195A95" w:rsidRDefault="00246597" w:rsidP="00CC0F5A">
            <w:pPr>
              <w:ind w:left="34" w:hanging="34"/>
              <w:jc w:val="center"/>
              <w:rPr>
                <w:b/>
                <w:sz w:val="20"/>
                <w:szCs w:val="20"/>
              </w:rPr>
            </w:pPr>
            <w:r w:rsidRPr="00195A95">
              <w:rPr>
                <w:b/>
                <w:sz w:val="20"/>
                <w:szCs w:val="20"/>
                <w:shd w:val="clear" w:color="auto" w:fill="C6D9F1" w:themeFill="text2" w:themeFillTint="33"/>
              </w:rPr>
              <w:t xml:space="preserve">North Qld </w:t>
            </w:r>
            <w:r>
              <w:rPr>
                <w:b/>
                <w:sz w:val="20"/>
                <w:szCs w:val="20"/>
                <w:shd w:val="clear" w:color="auto" w:fill="C6D9F1" w:themeFill="text2" w:themeFillTint="33"/>
              </w:rPr>
              <w:br/>
            </w:r>
            <w:r w:rsidRPr="00195A95">
              <w:rPr>
                <w:b/>
                <w:sz w:val="20"/>
                <w:szCs w:val="20"/>
                <w:shd w:val="clear" w:color="auto" w:fill="C6D9F1" w:themeFill="text2" w:themeFillTint="33"/>
              </w:rPr>
              <w:t>(four HHSs</w:t>
            </w:r>
            <w:r w:rsidRPr="00195A95">
              <w:rPr>
                <w:b/>
                <w:sz w:val="20"/>
                <w:szCs w:val="20"/>
                <w:shd w:val="clear" w:color="auto" w:fill="C6D9F1" w:themeFill="text2" w:themeFillTint="33"/>
                <w:vertAlign w:val="superscript"/>
              </w:rPr>
              <w:t>β</w:t>
            </w:r>
            <w:r w:rsidRPr="00195A95">
              <w:rPr>
                <w:b/>
                <w:sz w:val="20"/>
                <w:szCs w:val="20"/>
              </w:rPr>
              <w:t>)</w:t>
            </w:r>
          </w:p>
        </w:tc>
        <w:tc>
          <w:tcPr>
            <w:tcW w:w="1559" w:type="dxa"/>
            <w:tcBorders>
              <w:bottom w:val="single" w:sz="4" w:space="0" w:color="auto"/>
            </w:tcBorders>
            <w:shd w:val="clear" w:color="auto" w:fill="DAEEF3" w:themeFill="accent5" w:themeFillTint="33"/>
          </w:tcPr>
          <w:p w:rsidR="00246597" w:rsidRPr="00195A95" w:rsidRDefault="00246597" w:rsidP="00CC0F5A">
            <w:pPr>
              <w:ind w:left="34" w:hanging="34"/>
              <w:jc w:val="center"/>
              <w:rPr>
                <w:b/>
                <w:sz w:val="20"/>
                <w:szCs w:val="20"/>
              </w:rPr>
            </w:pPr>
            <w:r w:rsidRPr="00195A95">
              <w:rPr>
                <w:b/>
                <w:sz w:val="20"/>
                <w:szCs w:val="20"/>
              </w:rPr>
              <w:t xml:space="preserve">NT </w:t>
            </w:r>
            <w:r>
              <w:rPr>
                <w:b/>
                <w:sz w:val="20"/>
                <w:szCs w:val="20"/>
              </w:rPr>
              <w:br/>
            </w:r>
            <w:r w:rsidRPr="00195A95">
              <w:rPr>
                <w:b/>
                <w:sz w:val="20"/>
                <w:szCs w:val="20"/>
              </w:rPr>
              <w:t>(four regions</w:t>
            </w:r>
            <w:r w:rsidRPr="00195A95">
              <w:rPr>
                <w:b/>
                <w:sz w:val="20"/>
                <w:szCs w:val="20"/>
                <w:vertAlign w:val="superscript"/>
              </w:rPr>
              <w:t xml:space="preserve"> β</w:t>
            </w:r>
            <w:r w:rsidRPr="00195A95">
              <w:rPr>
                <w:b/>
                <w:sz w:val="20"/>
                <w:szCs w:val="20"/>
              </w:rPr>
              <w:t>)</w:t>
            </w:r>
          </w:p>
        </w:tc>
        <w:tc>
          <w:tcPr>
            <w:tcW w:w="1843" w:type="dxa"/>
            <w:tcBorders>
              <w:bottom w:val="single" w:sz="4" w:space="0" w:color="auto"/>
            </w:tcBorders>
            <w:shd w:val="clear" w:color="auto" w:fill="E5DFEC" w:themeFill="accent4" w:themeFillTint="33"/>
          </w:tcPr>
          <w:p w:rsidR="00246597" w:rsidRPr="00195A95" w:rsidRDefault="00246597" w:rsidP="00CC0F5A">
            <w:pPr>
              <w:ind w:left="34" w:hanging="34"/>
              <w:jc w:val="center"/>
              <w:rPr>
                <w:b/>
                <w:sz w:val="20"/>
                <w:szCs w:val="20"/>
              </w:rPr>
            </w:pPr>
            <w:r w:rsidRPr="00195A95">
              <w:rPr>
                <w:b/>
                <w:sz w:val="20"/>
                <w:szCs w:val="20"/>
              </w:rPr>
              <w:t>WA</w:t>
            </w:r>
            <w:r>
              <w:rPr>
                <w:b/>
                <w:sz w:val="20"/>
                <w:szCs w:val="20"/>
              </w:rPr>
              <w:br/>
            </w:r>
            <w:r w:rsidRPr="00195A95">
              <w:rPr>
                <w:b/>
                <w:sz w:val="20"/>
                <w:szCs w:val="20"/>
              </w:rPr>
              <w:t xml:space="preserve"> (Kimberley region)</w:t>
            </w:r>
          </w:p>
        </w:tc>
      </w:tr>
      <w:tr w:rsidR="00246597" w:rsidRPr="00195A95" w:rsidTr="00B22EC4">
        <w:tc>
          <w:tcPr>
            <w:tcW w:w="5245" w:type="dxa"/>
            <w:tcBorders>
              <w:right w:val="nil"/>
            </w:tcBorders>
            <w:shd w:val="clear" w:color="auto" w:fill="B8CCE4" w:themeFill="accent1" w:themeFillTint="66"/>
          </w:tcPr>
          <w:p w:rsidR="00246597" w:rsidRPr="00195A95" w:rsidRDefault="00246597" w:rsidP="003B1FF8">
            <w:pPr>
              <w:ind w:left="34" w:hanging="34"/>
              <w:rPr>
                <w:sz w:val="20"/>
                <w:szCs w:val="20"/>
              </w:rPr>
            </w:pPr>
            <w:r w:rsidRPr="00195A95">
              <w:rPr>
                <w:sz w:val="20"/>
                <w:szCs w:val="20"/>
              </w:rPr>
              <w:t xml:space="preserve">Situation to-date, </w:t>
            </w:r>
            <w:r>
              <w:rPr>
                <w:sz w:val="20"/>
                <w:szCs w:val="20"/>
              </w:rPr>
              <w:t>31 January 2017</w:t>
            </w:r>
          </w:p>
        </w:tc>
        <w:tc>
          <w:tcPr>
            <w:tcW w:w="1701" w:type="dxa"/>
            <w:tcBorders>
              <w:left w:val="nil"/>
              <w:right w:val="nil"/>
            </w:tcBorders>
            <w:shd w:val="clear" w:color="auto" w:fill="B8CCE4" w:themeFill="accent1" w:themeFillTint="66"/>
          </w:tcPr>
          <w:p w:rsidR="00246597" w:rsidRPr="00195A95" w:rsidRDefault="00246597" w:rsidP="00922B1B">
            <w:pPr>
              <w:ind w:left="34" w:hanging="34"/>
              <w:rPr>
                <w:sz w:val="20"/>
                <w:szCs w:val="20"/>
                <w:highlight w:val="yellow"/>
              </w:rPr>
            </w:pPr>
          </w:p>
        </w:tc>
        <w:tc>
          <w:tcPr>
            <w:tcW w:w="1559" w:type="dxa"/>
            <w:tcBorders>
              <w:left w:val="nil"/>
              <w:right w:val="nil"/>
            </w:tcBorders>
            <w:shd w:val="clear" w:color="auto" w:fill="B8CCE4" w:themeFill="accent1" w:themeFillTint="66"/>
          </w:tcPr>
          <w:p w:rsidR="00246597" w:rsidRPr="00195A95" w:rsidRDefault="00246597" w:rsidP="00922B1B">
            <w:pPr>
              <w:ind w:left="34" w:hanging="34"/>
              <w:rPr>
                <w:sz w:val="20"/>
                <w:szCs w:val="20"/>
                <w:highlight w:val="yellow"/>
              </w:rPr>
            </w:pPr>
          </w:p>
        </w:tc>
        <w:tc>
          <w:tcPr>
            <w:tcW w:w="1843" w:type="dxa"/>
            <w:tcBorders>
              <w:left w:val="nil"/>
            </w:tcBorders>
            <w:shd w:val="clear" w:color="auto" w:fill="B8CCE4" w:themeFill="accent1" w:themeFillTint="66"/>
          </w:tcPr>
          <w:p w:rsidR="00246597" w:rsidRPr="00195A95" w:rsidRDefault="00246597" w:rsidP="00922B1B">
            <w:pPr>
              <w:ind w:left="34" w:hanging="34"/>
              <w:rPr>
                <w:sz w:val="20"/>
                <w:szCs w:val="20"/>
                <w:highlight w:val="yellow"/>
              </w:rPr>
            </w:pPr>
          </w:p>
        </w:tc>
      </w:tr>
      <w:tr w:rsidR="00246597" w:rsidRPr="00195A95" w:rsidTr="00B22EC4">
        <w:tc>
          <w:tcPr>
            <w:tcW w:w="5245" w:type="dxa"/>
          </w:tcPr>
          <w:p w:rsidR="00246597" w:rsidRPr="00195A95" w:rsidRDefault="00246597" w:rsidP="00957270">
            <w:pPr>
              <w:ind w:left="34" w:hanging="34"/>
              <w:rPr>
                <w:sz w:val="20"/>
                <w:szCs w:val="20"/>
              </w:rPr>
            </w:pPr>
            <w:r w:rsidRPr="00195A95">
              <w:rPr>
                <w:sz w:val="20"/>
                <w:szCs w:val="20"/>
              </w:rPr>
              <w:t>Outbreak commencement month/yr</w:t>
            </w:r>
          </w:p>
        </w:tc>
        <w:tc>
          <w:tcPr>
            <w:tcW w:w="1701" w:type="dxa"/>
            <w:shd w:val="clear" w:color="auto" w:fill="C6D9F1" w:themeFill="text2" w:themeFillTint="33"/>
            <w:vAlign w:val="center"/>
          </w:tcPr>
          <w:p w:rsidR="00246597" w:rsidRPr="00195A95" w:rsidRDefault="00246597" w:rsidP="00CC0F5A">
            <w:pPr>
              <w:ind w:left="34" w:hanging="34"/>
              <w:jc w:val="center"/>
              <w:rPr>
                <w:sz w:val="20"/>
                <w:szCs w:val="20"/>
              </w:rPr>
            </w:pPr>
            <w:r w:rsidRPr="00195A95">
              <w:rPr>
                <w:sz w:val="20"/>
                <w:szCs w:val="20"/>
              </w:rPr>
              <w:t>January 2011</w:t>
            </w:r>
          </w:p>
        </w:tc>
        <w:tc>
          <w:tcPr>
            <w:tcW w:w="1559" w:type="dxa"/>
            <w:shd w:val="clear" w:color="auto" w:fill="DAEEF3" w:themeFill="accent5" w:themeFillTint="33"/>
            <w:vAlign w:val="center"/>
          </w:tcPr>
          <w:p w:rsidR="00246597" w:rsidRPr="00195A95" w:rsidRDefault="00246597" w:rsidP="00CC0F5A">
            <w:pPr>
              <w:ind w:left="34" w:hanging="34"/>
              <w:jc w:val="center"/>
              <w:rPr>
                <w:sz w:val="20"/>
                <w:szCs w:val="20"/>
              </w:rPr>
            </w:pPr>
            <w:r w:rsidRPr="00195A95">
              <w:rPr>
                <w:sz w:val="20"/>
                <w:szCs w:val="20"/>
              </w:rPr>
              <w:t>July 2013</w:t>
            </w:r>
          </w:p>
        </w:tc>
        <w:tc>
          <w:tcPr>
            <w:tcW w:w="1843" w:type="dxa"/>
            <w:shd w:val="clear" w:color="auto" w:fill="E5DFEC" w:themeFill="accent4" w:themeFillTint="33"/>
            <w:vAlign w:val="center"/>
          </w:tcPr>
          <w:p w:rsidR="00246597" w:rsidRPr="00F8608E" w:rsidRDefault="00246597" w:rsidP="00CC0F5A">
            <w:pPr>
              <w:ind w:left="34" w:hanging="34"/>
              <w:jc w:val="center"/>
              <w:rPr>
                <w:sz w:val="20"/>
                <w:szCs w:val="20"/>
              </w:rPr>
            </w:pPr>
            <w:r w:rsidRPr="00F8608E">
              <w:rPr>
                <w:sz w:val="20"/>
                <w:szCs w:val="20"/>
              </w:rPr>
              <w:t>June 2014</w:t>
            </w:r>
          </w:p>
        </w:tc>
      </w:tr>
      <w:tr w:rsidR="00246597" w:rsidRPr="00195A95" w:rsidTr="00B22EC4">
        <w:tc>
          <w:tcPr>
            <w:tcW w:w="5245" w:type="dxa"/>
          </w:tcPr>
          <w:p w:rsidR="00246597" w:rsidRPr="00195A95" w:rsidRDefault="00246597" w:rsidP="00CC0F5A">
            <w:pPr>
              <w:ind w:left="34" w:hanging="34"/>
              <w:rPr>
                <w:sz w:val="20"/>
                <w:szCs w:val="20"/>
              </w:rPr>
            </w:pPr>
            <w:r w:rsidRPr="00195A95">
              <w:rPr>
                <w:sz w:val="20"/>
                <w:szCs w:val="20"/>
              </w:rPr>
              <w:t>Total number of cases</w:t>
            </w:r>
            <w:r w:rsidRPr="00195A95">
              <w:rPr>
                <w:b/>
                <w:sz w:val="20"/>
                <w:szCs w:val="20"/>
                <w:vertAlign w:val="superscript"/>
              </w:rPr>
              <w:t xml:space="preserve"> </w:t>
            </w:r>
            <w:r w:rsidRPr="00195A95">
              <w:rPr>
                <w:sz w:val="20"/>
                <w:szCs w:val="20"/>
                <w:vertAlign w:val="superscript"/>
              </w:rPr>
              <w:t>α</w:t>
            </w:r>
          </w:p>
        </w:tc>
        <w:tc>
          <w:tcPr>
            <w:tcW w:w="1701" w:type="dxa"/>
            <w:shd w:val="clear" w:color="auto" w:fill="C6D9F1" w:themeFill="text2" w:themeFillTint="33"/>
            <w:vAlign w:val="center"/>
          </w:tcPr>
          <w:p w:rsidR="00246597" w:rsidRPr="003B1FF8" w:rsidRDefault="00246597" w:rsidP="00CC0F5A">
            <w:pPr>
              <w:ind w:left="34" w:hanging="34"/>
              <w:jc w:val="center"/>
              <w:rPr>
                <w:b/>
                <w:sz w:val="20"/>
                <w:szCs w:val="20"/>
                <w:highlight w:val="yellow"/>
                <w:vertAlign w:val="superscript"/>
              </w:rPr>
            </w:pPr>
            <w:r w:rsidRPr="003B1FF8">
              <w:rPr>
                <w:b/>
                <w:sz w:val="20"/>
                <w:szCs w:val="20"/>
              </w:rPr>
              <w:t>743</w:t>
            </w:r>
          </w:p>
        </w:tc>
        <w:tc>
          <w:tcPr>
            <w:tcW w:w="1559" w:type="dxa"/>
            <w:shd w:val="clear" w:color="auto" w:fill="DAEEF3" w:themeFill="accent5" w:themeFillTint="33"/>
            <w:vAlign w:val="center"/>
          </w:tcPr>
          <w:p w:rsidR="00246597" w:rsidRPr="003B1FF8" w:rsidRDefault="00246597" w:rsidP="00CC0F5A">
            <w:pPr>
              <w:ind w:left="34" w:hanging="34"/>
              <w:jc w:val="center"/>
              <w:rPr>
                <w:b/>
                <w:sz w:val="20"/>
                <w:szCs w:val="20"/>
              </w:rPr>
            </w:pPr>
            <w:r w:rsidRPr="003B1FF8">
              <w:rPr>
                <w:b/>
                <w:sz w:val="20"/>
                <w:szCs w:val="20"/>
              </w:rPr>
              <w:t>426</w:t>
            </w:r>
          </w:p>
        </w:tc>
        <w:tc>
          <w:tcPr>
            <w:tcW w:w="1843" w:type="dxa"/>
            <w:shd w:val="clear" w:color="auto" w:fill="E5DFEC" w:themeFill="accent4" w:themeFillTint="33"/>
            <w:vAlign w:val="center"/>
          </w:tcPr>
          <w:p w:rsidR="00246597" w:rsidRPr="003B1FF8" w:rsidRDefault="00246597" w:rsidP="00195866">
            <w:pPr>
              <w:ind w:left="34" w:hanging="34"/>
              <w:jc w:val="center"/>
              <w:rPr>
                <w:b/>
                <w:sz w:val="20"/>
                <w:szCs w:val="20"/>
              </w:rPr>
            </w:pPr>
            <w:r w:rsidRPr="003B1FF8">
              <w:rPr>
                <w:b/>
                <w:sz w:val="20"/>
                <w:szCs w:val="20"/>
              </w:rPr>
              <w:t>94</w:t>
            </w:r>
          </w:p>
        </w:tc>
      </w:tr>
      <w:tr w:rsidR="00246597" w:rsidRPr="00195A95" w:rsidTr="00B22EC4">
        <w:tc>
          <w:tcPr>
            <w:tcW w:w="5245" w:type="dxa"/>
          </w:tcPr>
          <w:p w:rsidR="00246597" w:rsidRPr="00195A95" w:rsidRDefault="00246597" w:rsidP="00CC0F5A">
            <w:pPr>
              <w:ind w:left="34" w:hanging="34"/>
              <w:rPr>
                <w:sz w:val="20"/>
                <w:szCs w:val="20"/>
              </w:rPr>
            </w:pPr>
            <w:r w:rsidRPr="00195A95">
              <w:rPr>
                <w:sz w:val="20"/>
                <w:szCs w:val="20"/>
              </w:rPr>
              <w:t>Percent cases reported in 15-29 year age group</w:t>
            </w:r>
          </w:p>
        </w:tc>
        <w:tc>
          <w:tcPr>
            <w:tcW w:w="1701" w:type="dxa"/>
            <w:shd w:val="clear" w:color="auto" w:fill="C6D9F1" w:themeFill="text2" w:themeFillTint="33"/>
            <w:vAlign w:val="center"/>
          </w:tcPr>
          <w:p w:rsidR="00246597" w:rsidRPr="003B1FF8" w:rsidRDefault="00246597" w:rsidP="00CC0F5A">
            <w:pPr>
              <w:ind w:left="34" w:hanging="34"/>
              <w:jc w:val="center"/>
              <w:rPr>
                <w:sz w:val="20"/>
                <w:szCs w:val="20"/>
                <w:highlight w:val="yellow"/>
              </w:rPr>
            </w:pPr>
            <w:r w:rsidRPr="003B1FF8">
              <w:rPr>
                <w:sz w:val="20"/>
                <w:szCs w:val="20"/>
              </w:rPr>
              <w:t>69%</w:t>
            </w:r>
          </w:p>
        </w:tc>
        <w:tc>
          <w:tcPr>
            <w:tcW w:w="1559" w:type="dxa"/>
            <w:shd w:val="clear" w:color="auto" w:fill="DAEEF3" w:themeFill="accent5" w:themeFillTint="33"/>
            <w:vAlign w:val="center"/>
          </w:tcPr>
          <w:p w:rsidR="00246597" w:rsidRPr="003B1FF8" w:rsidRDefault="00246597" w:rsidP="00195866">
            <w:pPr>
              <w:ind w:left="34" w:hanging="34"/>
              <w:jc w:val="center"/>
              <w:rPr>
                <w:sz w:val="20"/>
                <w:szCs w:val="20"/>
              </w:rPr>
            </w:pPr>
            <w:r w:rsidRPr="003B1FF8">
              <w:rPr>
                <w:sz w:val="20"/>
                <w:szCs w:val="20"/>
              </w:rPr>
              <w:t>78%</w:t>
            </w:r>
          </w:p>
        </w:tc>
        <w:tc>
          <w:tcPr>
            <w:tcW w:w="1843" w:type="dxa"/>
            <w:shd w:val="clear" w:color="auto" w:fill="E5DFEC" w:themeFill="accent4" w:themeFillTint="33"/>
            <w:vAlign w:val="center"/>
          </w:tcPr>
          <w:p w:rsidR="00246597" w:rsidRPr="003B1FF8" w:rsidRDefault="00246597" w:rsidP="003B1FF8">
            <w:pPr>
              <w:ind w:left="34" w:hanging="34"/>
              <w:jc w:val="center"/>
              <w:rPr>
                <w:sz w:val="20"/>
                <w:szCs w:val="20"/>
              </w:rPr>
            </w:pPr>
            <w:r w:rsidRPr="003B1FF8">
              <w:rPr>
                <w:sz w:val="20"/>
                <w:szCs w:val="20"/>
              </w:rPr>
              <w:t>68%</w:t>
            </w:r>
          </w:p>
        </w:tc>
      </w:tr>
      <w:tr w:rsidR="00246597" w:rsidRPr="00195A95" w:rsidTr="00B22EC4">
        <w:tc>
          <w:tcPr>
            <w:tcW w:w="5245" w:type="dxa"/>
          </w:tcPr>
          <w:p w:rsidR="00246597" w:rsidRPr="00195A95" w:rsidRDefault="00246597" w:rsidP="00CC0F5A">
            <w:pPr>
              <w:ind w:left="34" w:hanging="34"/>
              <w:rPr>
                <w:sz w:val="20"/>
                <w:szCs w:val="20"/>
              </w:rPr>
            </w:pPr>
            <w:r w:rsidRPr="00195A95">
              <w:rPr>
                <w:sz w:val="20"/>
                <w:szCs w:val="20"/>
              </w:rPr>
              <w:t>% Male / % Female</w:t>
            </w:r>
          </w:p>
        </w:tc>
        <w:tc>
          <w:tcPr>
            <w:tcW w:w="1701" w:type="dxa"/>
            <w:shd w:val="clear" w:color="auto" w:fill="C6D9F1" w:themeFill="text2" w:themeFillTint="33"/>
            <w:vAlign w:val="center"/>
          </w:tcPr>
          <w:p w:rsidR="00246597" w:rsidRPr="003B1FF8" w:rsidRDefault="00246597" w:rsidP="00E47145">
            <w:pPr>
              <w:ind w:left="34" w:hanging="34"/>
              <w:jc w:val="center"/>
              <w:rPr>
                <w:sz w:val="20"/>
                <w:szCs w:val="20"/>
                <w:highlight w:val="yellow"/>
              </w:rPr>
            </w:pPr>
            <w:r w:rsidRPr="003B1FF8">
              <w:rPr>
                <w:sz w:val="20"/>
                <w:szCs w:val="20"/>
              </w:rPr>
              <w:t>48% / 52%</w:t>
            </w:r>
          </w:p>
        </w:tc>
        <w:tc>
          <w:tcPr>
            <w:tcW w:w="1559" w:type="dxa"/>
            <w:shd w:val="clear" w:color="auto" w:fill="DAEEF3" w:themeFill="accent5" w:themeFillTint="33"/>
            <w:vAlign w:val="center"/>
          </w:tcPr>
          <w:p w:rsidR="00246597" w:rsidRPr="003B1FF8" w:rsidRDefault="00246597" w:rsidP="00195A95">
            <w:pPr>
              <w:ind w:left="34" w:hanging="34"/>
              <w:jc w:val="center"/>
              <w:rPr>
                <w:sz w:val="20"/>
                <w:szCs w:val="20"/>
              </w:rPr>
            </w:pPr>
            <w:r w:rsidRPr="003B1FF8">
              <w:rPr>
                <w:sz w:val="20"/>
                <w:szCs w:val="20"/>
              </w:rPr>
              <w:t>46% / 54%</w:t>
            </w:r>
          </w:p>
        </w:tc>
        <w:tc>
          <w:tcPr>
            <w:tcW w:w="1843" w:type="dxa"/>
            <w:shd w:val="clear" w:color="auto" w:fill="E5DFEC" w:themeFill="accent4" w:themeFillTint="33"/>
            <w:vAlign w:val="center"/>
          </w:tcPr>
          <w:p w:rsidR="00246597" w:rsidRPr="003B1FF8" w:rsidRDefault="00246597" w:rsidP="00F8608E">
            <w:pPr>
              <w:ind w:left="34" w:hanging="34"/>
              <w:jc w:val="center"/>
              <w:rPr>
                <w:sz w:val="20"/>
                <w:szCs w:val="20"/>
                <w:highlight w:val="yellow"/>
              </w:rPr>
            </w:pPr>
            <w:r w:rsidRPr="003B1FF8">
              <w:rPr>
                <w:sz w:val="20"/>
                <w:szCs w:val="20"/>
              </w:rPr>
              <w:t>35% / 65%</w:t>
            </w:r>
          </w:p>
        </w:tc>
      </w:tr>
      <w:tr w:rsidR="00246597" w:rsidRPr="00195A95" w:rsidTr="00B22EC4">
        <w:tc>
          <w:tcPr>
            <w:tcW w:w="5245" w:type="dxa"/>
          </w:tcPr>
          <w:p w:rsidR="00246597" w:rsidRPr="00195A95" w:rsidRDefault="00246597" w:rsidP="00CC0F5A">
            <w:pPr>
              <w:ind w:left="34" w:hanging="34"/>
              <w:rPr>
                <w:sz w:val="20"/>
                <w:szCs w:val="20"/>
              </w:rPr>
            </w:pPr>
            <w:r w:rsidRPr="00195A95">
              <w:rPr>
                <w:sz w:val="20"/>
                <w:szCs w:val="20"/>
              </w:rPr>
              <w:t>Congenital cases, confirmed (probable)</w:t>
            </w:r>
          </w:p>
        </w:tc>
        <w:tc>
          <w:tcPr>
            <w:tcW w:w="1701" w:type="dxa"/>
            <w:shd w:val="clear" w:color="auto" w:fill="C6D9F1" w:themeFill="text2" w:themeFillTint="33"/>
            <w:vAlign w:val="center"/>
          </w:tcPr>
          <w:p w:rsidR="00246597" w:rsidRPr="003B1FF8" w:rsidRDefault="00246597" w:rsidP="00C700B4">
            <w:pPr>
              <w:ind w:left="34" w:hanging="34"/>
              <w:jc w:val="center"/>
              <w:rPr>
                <w:sz w:val="20"/>
                <w:szCs w:val="20"/>
              </w:rPr>
            </w:pPr>
            <w:r w:rsidRPr="003B1FF8">
              <w:rPr>
                <w:sz w:val="20"/>
                <w:szCs w:val="20"/>
              </w:rPr>
              <w:t>3 (2)</w:t>
            </w:r>
          </w:p>
        </w:tc>
        <w:tc>
          <w:tcPr>
            <w:tcW w:w="1559" w:type="dxa"/>
            <w:shd w:val="clear" w:color="auto" w:fill="DAEEF3" w:themeFill="accent5" w:themeFillTint="33"/>
            <w:vAlign w:val="center"/>
          </w:tcPr>
          <w:p w:rsidR="00246597" w:rsidRPr="003B1FF8" w:rsidRDefault="00246597" w:rsidP="00CC0F5A">
            <w:pPr>
              <w:ind w:left="34" w:hanging="34"/>
              <w:jc w:val="center"/>
              <w:rPr>
                <w:sz w:val="20"/>
                <w:szCs w:val="20"/>
              </w:rPr>
            </w:pPr>
            <w:r w:rsidRPr="003B1FF8">
              <w:rPr>
                <w:sz w:val="20"/>
                <w:szCs w:val="20"/>
              </w:rPr>
              <w:t>1 (2)</w:t>
            </w:r>
          </w:p>
        </w:tc>
        <w:tc>
          <w:tcPr>
            <w:tcW w:w="1843" w:type="dxa"/>
            <w:shd w:val="clear" w:color="auto" w:fill="E5DFEC" w:themeFill="accent4" w:themeFillTint="33"/>
            <w:vAlign w:val="center"/>
          </w:tcPr>
          <w:p w:rsidR="00246597" w:rsidRPr="003B1FF8" w:rsidRDefault="00246597" w:rsidP="00CC0F5A">
            <w:pPr>
              <w:ind w:left="34" w:hanging="34"/>
              <w:jc w:val="center"/>
              <w:rPr>
                <w:sz w:val="20"/>
                <w:szCs w:val="20"/>
              </w:rPr>
            </w:pPr>
            <w:r w:rsidRPr="003B1FF8">
              <w:rPr>
                <w:sz w:val="20"/>
                <w:szCs w:val="20"/>
              </w:rPr>
              <w:t>0 (0)</w:t>
            </w:r>
          </w:p>
        </w:tc>
      </w:tr>
      <w:tr w:rsidR="00246597" w:rsidRPr="00195A95" w:rsidTr="00B22EC4">
        <w:tc>
          <w:tcPr>
            <w:tcW w:w="5245" w:type="dxa"/>
            <w:tcBorders>
              <w:bottom w:val="single" w:sz="4" w:space="0" w:color="auto"/>
            </w:tcBorders>
            <w:shd w:val="clear" w:color="auto" w:fill="auto"/>
          </w:tcPr>
          <w:p w:rsidR="00246597" w:rsidRPr="00195A95" w:rsidRDefault="00246597" w:rsidP="00CC0F5A">
            <w:pPr>
              <w:ind w:left="34" w:hanging="34"/>
              <w:rPr>
                <w:sz w:val="20"/>
                <w:szCs w:val="20"/>
              </w:rPr>
            </w:pPr>
            <w:r w:rsidRPr="00195A95">
              <w:rPr>
                <w:sz w:val="20"/>
                <w:szCs w:val="20"/>
              </w:rPr>
              <w:t xml:space="preserve">   -number of deaths in congenital cases</w:t>
            </w:r>
          </w:p>
        </w:tc>
        <w:tc>
          <w:tcPr>
            <w:tcW w:w="1701" w:type="dxa"/>
            <w:tcBorders>
              <w:bottom w:val="single" w:sz="4" w:space="0" w:color="auto"/>
            </w:tcBorders>
            <w:shd w:val="clear" w:color="auto" w:fill="C6D9F1" w:themeFill="text2" w:themeFillTint="33"/>
            <w:vAlign w:val="center"/>
          </w:tcPr>
          <w:p w:rsidR="00246597" w:rsidRPr="003B1FF8" w:rsidRDefault="00246597" w:rsidP="00CC0F5A">
            <w:pPr>
              <w:ind w:left="34" w:hanging="34"/>
              <w:jc w:val="center"/>
              <w:rPr>
                <w:sz w:val="20"/>
                <w:szCs w:val="20"/>
              </w:rPr>
            </w:pPr>
            <w:r w:rsidRPr="003B1FF8">
              <w:rPr>
                <w:sz w:val="20"/>
                <w:szCs w:val="20"/>
              </w:rPr>
              <w:t>4</w:t>
            </w:r>
          </w:p>
        </w:tc>
        <w:tc>
          <w:tcPr>
            <w:tcW w:w="1559" w:type="dxa"/>
            <w:tcBorders>
              <w:bottom w:val="single" w:sz="4" w:space="0" w:color="auto"/>
            </w:tcBorders>
            <w:shd w:val="clear" w:color="auto" w:fill="DAEEF3" w:themeFill="accent5" w:themeFillTint="33"/>
            <w:vAlign w:val="center"/>
          </w:tcPr>
          <w:p w:rsidR="00246597" w:rsidRPr="003B1FF8" w:rsidRDefault="00246597" w:rsidP="00CC0F5A">
            <w:pPr>
              <w:ind w:left="34" w:hanging="34"/>
              <w:jc w:val="center"/>
              <w:rPr>
                <w:sz w:val="20"/>
                <w:szCs w:val="20"/>
              </w:rPr>
            </w:pPr>
            <w:r w:rsidRPr="003B1FF8">
              <w:rPr>
                <w:sz w:val="20"/>
                <w:szCs w:val="20"/>
              </w:rPr>
              <w:t>0</w:t>
            </w:r>
          </w:p>
        </w:tc>
        <w:tc>
          <w:tcPr>
            <w:tcW w:w="1843" w:type="dxa"/>
            <w:tcBorders>
              <w:bottom w:val="single" w:sz="4" w:space="0" w:color="auto"/>
            </w:tcBorders>
            <w:shd w:val="clear" w:color="auto" w:fill="E5DFEC" w:themeFill="accent4" w:themeFillTint="33"/>
            <w:vAlign w:val="center"/>
          </w:tcPr>
          <w:p w:rsidR="00246597" w:rsidRPr="003B1FF8" w:rsidRDefault="00246597" w:rsidP="00CC0F5A">
            <w:pPr>
              <w:ind w:left="34" w:hanging="34"/>
              <w:jc w:val="center"/>
              <w:rPr>
                <w:sz w:val="20"/>
                <w:szCs w:val="20"/>
              </w:rPr>
            </w:pPr>
            <w:r w:rsidRPr="003B1FF8">
              <w:rPr>
                <w:sz w:val="20"/>
                <w:szCs w:val="20"/>
              </w:rPr>
              <w:t>0</w:t>
            </w:r>
          </w:p>
        </w:tc>
      </w:tr>
      <w:tr w:rsidR="00246597" w:rsidRPr="00195A95" w:rsidTr="00B22EC4">
        <w:tc>
          <w:tcPr>
            <w:tcW w:w="5245" w:type="dxa"/>
            <w:tcBorders>
              <w:right w:val="nil"/>
            </w:tcBorders>
            <w:shd w:val="clear" w:color="auto" w:fill="B8CCE4" w:themeFill="accent1" w:themeFillTint="66"/>
            <w:vAlign w:val="center"/>
          </w:tcPr>
          <w:p w:rsidR="00246597" w:rsidRPr="003B1FF8" w:rsidRDefault="00246597" w:rsidP="00922B1B">
            <w:pPr>
              <w:ind w:left="34" w:hanging="34"/>
              <w:rPr>
                <w:sz w:val="20"/>
                <w:szCs w:val="20"/>
                <w:highlight w:val="yellow"/>
              </w:rPr>
            </w:pPr>
            <w:r w:rsidRPr="00195A95">
              <w:rPr>
                <w:sz w:val="20"/>
                <w:szCs w:val="20"/>
              </w:rPr>
              <w:t xml:space="preserve">Last reporting month, </w:t>
            </w:r>
            <w:r>
              <w:rPr>
                <w:sz w:val="20"/>
                <w:szCs w:val="20"/>
              </w:rPr>
              <w:t>1 December 2016 – 31 January 2017</w:t>
            </w:r>
          </w:p>
        </w:tc>
        <w:tc>
          <w:tcPr>
            <w:tcW w:w="1701" w:type="dxa"/>
            <w:tcBorders>
              <w:left w:val="nil"/>
              <w:right w:val="nil"/>
            </w:tcBorders>
            <w:shd w:val="clear" w:color="auto" w:fill="B8CCE4" w:themeFill="accent1" w:themeFillTint="66"/>
            <w:vAlign w:val="center"/>
          </w:tcPr>
          <w:p w:rsidR="00246597" w:rsidRPr="003B1FF8" w:rsidRDefault="00246597" w:rsidP="00922B1B">
            <w:pPr>
              <w:ind w:left="34" w:hanging="34"/>
              <w:rPr>
                <w:sz w:val="20"/>
                <w:szCs w:val="20"/>
                <w:highlight w:val="yellow"/>
              </w:rPr>
            </w:pPr>
          </w:p>
        </w:tc>
        <w:tc>
          <w:tcPr>
            <w:tcW w:w="1559" w:type="dxa"/>
            <w:tcBorders>
              <w:left w:val="nil"/>
              <w:right w:val="nil"/>
            </w:tcBorders>
            <w:shd w:val="clear" w:color="auto" w:fill="B8CCE4" w:themeFill="accent1" w:themeFillTint="66"/>
            <w:vAlign w:val="center"/>
          </w:tcPr>
          <w:p w:rsidR="00246597" w:rsidRPr="003B1FF8" w:rsidRDefault="00246597" w:rsidP="00922B1B">
            <w:pPr>
              <w:ind w:left="34" w:hanging="34"/>
              <w:rPr>
                <w:sz w:val="20"/>
                <w:szCs w:val="20"/>
                <w:highlight w:val="yellow"/>
              </w:rPr>
            </w:pPr>
          </w:p>
        </w:tc>
        <w:tc>
          <w:tcPr>
            <w:tcW w:w="1843" w:type="dxa"/>
            <w:tcBorders>
              <w:left w:val="nil"/>
            </w:tcBorders>
            <w:shd w:val="clear" w:color="auto" w:fill="B8CCE4" w:themeFill="accent1" w:themeFillTint="66"/>
            <w:vAlign w:val="center"/>
          </w:tcPr>
          <w:p w:rsidR="00246597" w:rsidRPr="003B1FF8" w:rsidRDefault="00246597" w:rsidP="00922B1B">
            <w:pPr>
              <w:ind w:left="34" w:hanging="34"/>
              <w:rPr>
                <w:sz w:val="20"/>
                <w:szCs w:val="20"/>
                <w:highlight w:val="yellow"/>
              </w:rPr>
            </w:pPr>
          </w:p>
        </w:tc>
      </w:tr>
      <w:tr w:rsidR="00246597" w:rsidRPr="00195A95" w:rsidTr="00B22EC4">
        <w:tc>
          <w:tcPr>
            <w:tcW w:w="5245" w:type="dxa"/>
          </w:tcPr>
          <w:p w:rsidR="00246597" w:rsidRPr="00195A95" w:rsidRDefault="00246597" w:rsidP="00CC0F5A">
            <w:pPr>
              <w:ind w:left="34" w:hanging="34"/>
              <w:rPr>
                <w:sz w:val="20"/>
                <w:szCs w:val="20"/>
              </w:rPr>
            </w:pPr>
            <w:r w:rsidRPr="00195A95">
              <w:rPr>
                <w:sz w:val="20"/>
                <w:szCs w:val="20"/>
              </w:rPr>
              <w:t>Number of cases</w:t>
            </w:r>
            <w:r w:rsidRPr="00195A95">
              <w:rPr>
                <w:b/>
                <w:sz w:val="20"/>
                <w:szCs w:val="20"/>
                <w:vertAlign w:val="superscript"/>
              </w:rPr>
              <w:t xml:space="preserve"> </w:t>
            </w:r>
            <w:r w:rsidRPr="00195A95">
              <w:rPr>
                <w:sz w:val="20"/>
                <w:szCs w:val="20"/>
                <w:vertAlign w:val="superscript"/>
              </w:rPr>
              <w:t>α</w:t>
            </w:r>
          </w:p>
        </w:tc>
        <w:tc>
          <w:tcPr>
            <w:tcW w:w="1701" w:type="dxa"/>
            <w:tcBorders>
              <w:bottom w:val="single" w:sz="4" w:space="0" w:color="auto"/>
            </w:tcBorders>
            <w:shd w:val="clear" w:color="auto" w:fill="C6D9F1" w:themeFill="text2" w:themeFillTint="33"/>
            <w:vAlign w:val="center"/>
          </w:tcPr>
          <w:p w:rsidR="00246597" w:rsidRPr="00E6630A" w:rsidRDefault="00246597" w:rsidP="00CC0F5A">
            <w:pPr>
              <w:ind w:left="34" w:hanging="34"/>
              <w:jc w:val="center"/>
              <w:rPr>
                <w:b/>
                <w:sz w:val="20"/>
                <w:szCs w:val="20"/>
              </w:rPr>
            </w:pPr>
            <w:r w:rsidRPr="00E6630A">
              <w:rPr>
                <w:b/>
                <w:sz w:val="20"/>
                <w:szCs w:val="20"/>
              </w:rPr>
              <w:t>31</w:t>
            </w:r>
          </w:p>
        </w:tc>
        <w:tc>
          <w:tcPr>
            <w:tcW w:w="1559" w:type="dxa"/>
            <w:shd w:val="clear" w:color="auto" w:fill="DAEEF3" w:themeFill="accent5" w:themeFillTint="33"/>
            <w:vAlign w:val="center"/>
          </w:tcPr>
          <w:p w:rsidR="00246597" w:rsidRPr="003B1FF8" w:rsidRDefault="00246597" w:rsidP="00F12A54">
            <w:pPr>
              <w:ind w:left="34" w:hanging="34"/>
              <w:jc w:val="center"/>
              <w:rPr>
                <w:b/>
                <w:sz w:val="20"/>
                <w:szCs w:val="20"/>
              </w:rPr>
            </w:pPr>
            <w:r w:rsidRPr="003B1FF8">
              <w:rPr>
                <w:b/>
                <w:sz w:val="20"/>
                <w:szCs w:val="20"/>
              </w:rPr>
              <w:t>28</w:t>
            </w:r>
          </w:p>
        </w:tc>
        <w:tc>
          <w:tcPr>
            <w:tcW w:w="1843" w:type="dxa"/>
            <w:shd w:val="clear" w:color="auto" w:fill="E5DFEC" w:themeFill="accent4" w:themeFillTint="33"/>
            <w:vAlign w:val="center"/>
          </w:tcPr>
          <w:p w:rsidR="00246597" w:rsidRPr="003B1FF8" w:rsidRDefault="00246597" w:rsidP="00CC0F5A">
            <w:pPr>
              <w:ind w:left="34" w:hanging="34"/>
              <w:jc w:val="center"/>
              <w:rPr>
                <w:b/>
                <w:sz w:val="20"/>
                <w:szCs w:val="20"/>
              </w:rPr>
            </w:pPr>
            <w:r>
              <w:rPr>
                <w:b/>
                <w:sz w:val="20"/>
                <w:szCs w:val="20"/>
              </w:rPr>
              <w:t>8</w:t>
            </w:r>
          </w:p>
        </w:tc>
      </w:tr>
      <w:tr w:rsidR="00246597" w:rsidRPr="00195A95" w:rsidTr="00B22EC4">
        <w:tc>
          <w:tcPr>
            <w:tcW w:w="5245" w:type="dxa"/>
          </w:tcPr>
          <w:p w:rsidR="00246597" w:rsidRPr="00195A95" w:rsidRDefault="00246597" w:rsidP="00CC0F5A">
            <w:pPr>
              <w:ind w:left="34" w:hanging="34"/>
              <w:rPr>
                <w:sz w:val="20"/>
                <w:szCs w:val="20"/>
              </w:rPr>
            </w:pPr>
            <w:r w:rsidRPr="00195A95">
              <w:rPr>
                <w:sz w:val="20"/>
                <w:szCs w:val="20"/>
              </w:rPr>
              <w:t>Percent cases reported in 15-29 year age group</w:t>
            </w:r>
          </w:p>
        </w:tc>
        <w:tc>
          <w:tcPr>
            <w:tcW w:w="1701" w:type="dxa"/>
            <w:shd w:val="clear" w:color="auto" w:fill="C6D9F1" w:themeFill="text2" w:themeFillTint="33"/>
            <w:vAlign w:val="center"/>
          </w:tcPr>
          <w:p w:rsidR="00246597" w:rsidRPr="00E6630A" w:rsidRDefault="00246597" w:rsidP="00CC0F5A">
            <w:pPr>
              <w:jc w:val="center"/>
              <w:rPr>
                <w:sz w:val="20"/>
                <w:szCs w:val="20"/>
              </w:rPr>
            </w:pPr>
            <w:r w:rsidRPr="00E6630A">
              <w:rPr>
                <w:sz w:val="20"/>
                <w:szCs w:val="20"/>
              </w:rPr>
              <w:t>61%</w:t>
            </w:r>
          </w:p>
        </w:tc>
        <w:tc>
          <w:tcPr>
            <w:tcW w:w="1559" w:type="dxa"/>
            <w:shd w:val="clear" w:color="auto" w:fill="DAEEF3" w:themeFill="accent5" w:themeFillTint="33"/>
            <w:vAlign w:val="center"/>
          </w:tcPr>
          <w:p w:rsidR="00246597" w:rsidRPr="003B1FF8" w:rsidRDefault="00246597" w:rsidP="00CC0F5A">
            <w:pPr>
              <w:ind w:left="34" w:hanging="34"/>
              <w:jc w:val="center"/>
              <w:rPr>
                <w:sz w:val="20"/>
                <w:szCs w:val="20"/>
              </w:rPr>
            </w:pPr>
            <w:r w:rsidRPr="003B1FF8">
              <w:rPr>
                <w:sz w:val="20"/>
                <w:szCs w:val="20"/>
              </w:rPr>
              <w:t>75%</w:t>
            </w:r>
          </w:p>
        </w:tc>
        <w:tc>
          <w:tcPr>
            <w:tcW w:w="1843" w:type="dxa"/>
            <w:shd w:val="clear" w:color="auto" w:fill="E5DFEC" w:themeFill="accent4" w:themeFillTint="33"/>
            <w:vAlign w:val="center"/>
          </w:tcPr>
          <w:p w:rsidR="00246597" w:rsidRPr="003B1FF8" w:rsidRDefault="00246597" w:rsidP="00CC0F5A">
            <w:pPr>
              <w:ind w:left="34" w:hanging="34"/>
              <w:jc w:val="center"/>
              <w:rPr>
                <w:sz w:val="20"/>
                <w:szCs w:val="20"/>
              </w:rPr>
            </w:pPr>
            <w:r>
              <w:rPr>
                <w:sz w:val="20"/>
                <w:szCs w:val="20"/>
              </w:rPr>
              <w:t>75</w:t>
            </w:r>
            <w:r w:rsidRPr="003B1FF8">
              <w:rPr>
                <w:sz w:val="20"/>
                <w:szCs w:val="20"/>
              </w:rPr>
              <w:t>%</w:t>
            </w:r>
          </w:p>
        </w:tc>
      </w:tr>
      <w:tr w:rsidR="00246597" w:rsidTr="00B22EC4">
        <w:tc>
          <w:tcPr>
            <w:tcW w:w="5245" w:type="dxa"/>
          </w:tcPr>
          <w:p w:rsidR="00246597" w:rsidRPr="00195A95" w:rsidRDefault="00246597" w:rsidP="00CC0F5A">
            <w:pPr>
              <w:ind w:left="34" w:hanging="34"/>
              <w:rPr>
                <w:sz w:val="20"/>
                <w:szCs w:val="20"/>
              </w:rPr>
            </w:pPr>
            <w:r w:rsidRPr="00195A95">
              <w:rPr>
                <w:sz w:val="20"/>
                <w:szCs w:val="20"/>
              </w:rPr>
              <w:t>% Male / % Female</w:t>
            </w:r>
          </w:p>
        </w:tc>
        <w:tc>
          <w:tcPr>
            <w:tcW w:w="1701" w:type="dxa"/>
            <w:shd w:val="clear" w:color="auto" w:fill="C6D9F1" w:themeFill="text2" w:themeFillTint="33"/>
            <w:vAlign w:val="center"/>
          </w:tcPr>
          <w:p w:rsidR="00246597" w:rsidRPr="00E6630A" w:rsidRDefault="00246597" w:rsidP="00E6630A">
            <w:pPr>
              <w:ind w:left="34" w:hanging="34"/>
              <w:jc w:val="center"/>
              <w:rPr>
                <w:sz w:val="20"/>
                <w:szCs w:val="20"/>
              </w:rPr>
            </w:pPr>
            <w:r w:rsidRPr="00E6630A">
              <w:rPr>
                <w:sz w:val="20"/>
                <w:szCs w:val="20"/>
              </w:rPr>
              <w:t>52% / 48%</w:t>
            </w:r>
          </w:p>
        </w:tc>
        <w:tc>
          <w:tcPr>
            <w:tcW w:w="1559" w:type="dxa"/>
            <w:shd w:val="clear" w:color="auto" w:fill="DAEEF3" w:themeFill="accent5" w:themeFillTint="33"/>
            <w:vAlign w:val="center"/>
          </w:tcPr>
          <w:p w:rsidR="00246597" w:rsidRPr="00E6630A" w:rsidRDefault="00246597" w:rsidP="003B1FF8">
            <w:pPr>
              <w:ind w:left="34" w:hanging="34"/>
              <w:jc w:val="center"/>
              <w:rPr>
                <w:sz w:val="20"/>
                <w:szCs w:val="20"/>
              </w:rPr>
            </w:pPr>
            <w:r w:rsidRPr="00E6630A">
              <w:rPr>
                <w:sz w:val="20"/>
                <w:szCs w:val="20"/>
              </w:rPr>
              <w:t>43% / 57%</w:t>
            </w:r>
          </w:p>
        </w:tc>
        <w:tc>
          <w:tcPr>
            <w:tcW w:w="1843" w:type="dxa"/>
            <w:shd w:val="clear" w:color="auto" w:fill="E5DFEC" w:themeFill="accent4" w:themeFillTint="33"/>
            <w:vAlign w:val="center"/>
          </w:tcPr>
          <w:p w:rsidR="00246597" w:rsidRPr="003B1FF8" w:rsidRDefault="00246597" w:rsidP="00E6630A">
            <w:pPr>
              <w:ind w:left="34" w:hanging="34"/>
              <w:jc w:val="center"/>
              <w:rPr>
                <w:sz w:val="20"/>
                <w:szCs w:val="20"/>
              </w:rPr>
            </w:pPr>
            <w:r>
              <w:rPr>
                <w:sz w:val="20"/>
                <w:szCs w:val="20"/>
              </w:rPr>
              <w:t>37</w:t>
            </w:r>
            <w:r w:rsidRPr="003B1FF8">
              <w:rPr>
                <w:sz w:val="20"/>
                <w:szCs w:val="20"/>
              </w:rPr>
              <w:t xml:space="preserve">% / </w:t>
            </w:r>
            <w:r>
              <w:rPr>
                <w:sz w:val="20"/>
                <w:szCs w:val="20"/>
              </w:rPr>
              <w:t>63</w:t>
            </w:r>
            <w:r w:rsidRPr="003B1FF8">
              <w:rPr>
                <w:sz w:val="20"/>
                <w:szCs w:val="20"/>
              </w:rPr>
              <w:t>%</w:t>
            </w:r>
          </w:p>
        </w:tc>
      </w:tr>
    </w:tbl>
    <w:p w:rsidR="00246597" w:rsidRDefault="00246597" w:rsidP="00C321FF">
      <w:pPr>
        <w:pStyle w:val="ListParagraph"/>
        <w:spacing w:before="60" w:after="0" w:line="240" w:lineRule="auto"/>
        <w:ind w:left="-567"/>
        <w:contextualSpacing w:val="0"/>
        <w:rPr>
          <w:sz w:val="16"/>
          <w:szCs w:val="16"/>
        </w:rPr>
      </w:pPr>
      <w:r w:rsidRPr="00F167A6">
        <w:rPr>
          <w:b/>
          <w:sz w:val="16"/>
          <w:szCs w:val="16"/>
          <w:vertAlign w:val="superscript"/>
        </w:rPr>
        <w:t>α</w:t>
      </w:r>
      <w:r>
        <w:rPr>
          <w:sz w:val="16"/>
          <w:szCs w:val="16"/>
        </w:rPr>
        <w:t xml:space="preserve"> Cases defined as per the MJSO syphilis outbreak case definition:</w:t>
      </w:r>
      <w:r w:rsidRPr="00372E85">
        <w:rPr>
          <w:sz w:val="16"/>
          <w:szCs w:val="16"/>
        </w:rPr>
        <w:t xml:space="preserve"> </w:t>
      </w:r>
    </w:p>
    <w:p w:rsidR="00246597" w:rsidRPr="000428F5" w:rsidRDefault="00246597" w:rsidP="00C321FF">
      <w:pPr>
        <w:pStyle w:val="ListParagraph"/>
        <w:spacing w:after="0" w:line="240" w:lineRule="auto"/>
        <w:ind w:left="-42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is an Aboriginal or Torres Strait Islander person who resides in any of the following outbreak declared regions</w:t>
      </w:r>
      <w:r w:rsidRPr="00372E85">
        <w:rPr>
          <w:rFonts w:cs="Arial"/>
          <w:sz w:val="16"/>
          <w:szCs w:val="16"/>
        </w:rPr>
        <w:t xml:space="preserve"> as defined and documented by that jurisdiction</w:t>
      </w:r>
      <w:r w:rsidRPr="00372E85">
        <w:rPr>
          <w:rFonts w:ascii="Arial" w:hAnsi="Arial" w:cs="Arial"/>
          <w:sz w:val="16"/>
          <w:szCs w:val="16"/>
        </w:rPr>
        <w:t>,</w:t>
      </w:r>
      <w:r w:rsidRPr="00372E85">
        <w:rPr>
          <w:sz w:val="16"/>
          <w:szCs w:val="16"/>
        </w:rPr>
        <w:t xml:space="preserve"> at or after the dates indicated: </w:t>
      </w:r>
      <w:r w:rsidRPr="00372E85">
        <w:rPr>
          <w:b/>
          <w:i/>
          <w:sz w:val="16"/>
          <w:szCs w:val="16"/>
        </w:rPr>
        <w:t>Qld</w:t>
      </w:r>
      <w:r w:rsidRPr="00372E85">
        <w:rPr>
          <w:sz w:val="16"/>
          <w:szCs w:val="16"/>
        </w:rPr>
        <w:t xml:space="preserve"> - </w:t>
      </w:r>
      <w:r w:rsidRPr="00E27FA1">
        <w:rPr>
          <w:color w:val="000000" w:themeColor="text1"/>
          <w:sz w:val="16"/>
          <w:szCs w:val="16"/>
        </w:rPr>
        <w:t xml:space="preserve">Torres and Cape </w:t>
      </w:r>
      <w:r w:rsidRPr="00372E85">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372E85">
        <w:rPr>
          <w:b/>
          <w:i/>
          <w:sz w:val="16"/>
          <w:szCs w:val="16"/>
        </w:rPr>
        <w:t>NT</w:t>
      </w:r>
      <w:r w:rsidRPr="00372E85">
        <w:rPr>
          <w:sz w:val="16"/>
          <w:szCs w:val="16"/>
        </w:rPr>
        <w:t xml:space="preserve"> - Alice Springs or Barkly district (from 1 July 2013); Katherine district (from 1 May 2014); East Arnhem district (from 1 November 2015);</w:t>
      </w:r>
      <w:r>
        <w:rPr>
          <w:sz w:val="16"/>
          <w:szCs w:val="16"/>
        </w:rPr>
        <w:t xml:space="preserve"> Darwin Rural and Urban (from 1 January 2017);</w:t>
      </w:r>
      <w:r w:rsidRPr="00372E85">
        <w:rPr>
          <w:sz w:val="16"/>
          <w:szCs w:val="16"/>
        </w:rPr>
        <w:t xml:space="preserve"> </w:t>
      </w:r>
      <w:r w:rsidRPr="00372E85">
        <w:rPr>
          <w:b/>
          <w:i/>
          <w:sz w:val="16"/>
          <w:szCs w:val="16"/>
        </w:rPr>
        <w:t>WA</w:t>
      </w:r>
      <w:r w:rsidRPr="00372E85">
        <w:rPr>
          <w:sz w:val="16"/>
          <w:szCs w:val="16"/>
        </w:rPr>
        <w:t xml:space="preserve"> - Kimberley region, Western Australia (from 1 June 2014), </w:t>
      </w:r>
      <w:r w:rsidRPr="00372E85">
        <w:rPr>
          <w:b/>
          <w:sz w:val="16"/>
          <w:szCs w:val="16"/>
        </w:rPr>
        <w:t>OR</w:t>
      </w:r>
      <w:r w:rsidRPr="00372E85">
        <w:rPr>
          <w:sz w:val="16"/>
          <w:szCs w:val="16"/>
        </w:rPr>
        <w:t>,  is a sexual contact of a confirmed outbreak case.</w:t>
      </w:r>
      <w:r>
        <w:rPr>
          <w:sz w:val="16"/>
          <w:szCs w:val="16"/>
        </w:rPr>
        <w:t xml:space="preserve"> </w:t>
      </w:r>
    </w:p>
    <w:p w:rsidR="00246597" w:rsidRPr="000428F5" w:rsidRDefault="00246597" w:rsidP="00C321FF">
      <w:pPr>
        <w:spacing w:after="0" w:line="240" w:lineRule="auto"/>
        <w:ind w:left="-426" w:hanging="141"/>
        <w:rPr>
          <w:sz w:val="16"/>
          <w:szCs w:val="16"/>
        </w:rPr>
      </w:pPr>
      <w:r w:rsidRPr="00F167A6">
        <w:rPr>
          <w:b/>
          <w:sz w:val="16"/>
          <w:szCs w:val="16"/>
          <w:vertAlign w:val="superscript"/>
        </w:rPr>
        <w:t>β</w:t>
      </w:r>
      <w:r>
        <w:rPr>
          <w:sz w:val="16"/>
          <w:szCs w:val="16"/>
          <w:vertAlign w:val="superscript"/>
        </w:rPr>
        <w:t xml:space="preserve"> </w:t>
      </w:r>
      <w:r>
        <w:rPr>
          <w:sz w:val="16"/>
          <w:szCs w:val="16"/>
        </w:rPr>
        <w:t xml:space="preserve">Affected regions include Torres and Cape, Cairns and Hinterland, North West, and Townsville Hospital and Health Services in Queensland; </w:t>
      </w:r>
      <w:r w:rsidRPr="000428F5">
        <w:rPr>
          <w:sz w:val="16"/>
          <w:szCs w:val="16"/>
        </w:rPr>
        <w:t>Alice Springs, Barkly, East Arnhem</w:t>
      </w:r>
      <w:r>
        <w:rPr>
          <w:sz w:val="16"/>
          <w:szCs w:val="16"/>
        </w:rPr>
        <w:t xml:space="preserve"> </w:t>
      </w:r>
      <w:r w:rsidRPr="000428F5">
        <w:rPr>
          <w:sz w:val="16"/>
          <w:szCs w:val="16"/>
        </w:rPr>
        <w:t>and Katherine regions</w:t>
      </w:r>
      <w:r>
        <w:rPr>
          <w:sz w:val="16"/>
          <w:szCs w:val="16"/>
        </w:rPr>
        <w:t xml:space="preserve"> in the Northern Territory, and: the Kimberley health region in Western Australia.</w:t>
      </w:r>
      <w:r w:rsidRPr="000428F5">
        <w:rPr>
          <w:sz w:val="16"/>
          <w:szCs w:val="16"/>
        </w:rPr>
        <w:t xml:space="preserve"> </w:t>
      </w:r>
    </w:p>
    <w:p w:rsidR="00246597" w:rsidRDefault="00246597" w:rsidP="00C321FF">
      <w:pPr>
        <w:pStyle w:val="ListParagraph"/>
        <w:spacing w:after="0" w:line="240" w:lineRule="auto"/>
        <w:ind w:left="-567"/>
        <w:contextualSpacing w:val="0"/>
        <w:rPr>
          <w:sz w:val="16"/>
          <w:szCs w:val="16"/>
        </w:rPr>
      </w:pPr>
      <w:r w:rsidRPr="000428F5">
        <w:rPr>
          <w:b/>
          <w:sz w:val="16"/>
          <w:szCs w:val="16"/>
        </w:rPr>
        <w:t>ᵞ</w:t>
      </w:r>
      <w:r w:rsidRPr="00ED4B23">
        <w:rPr>
          <w:sz w:val="16"/>
          <w:szCs w:val="16"/>
        </w:rPr>
        <w:t xml:space="preserve"> </w:t>
      </w:r>
      <w:r w:rsidRPr="008D31F3">
        <w:rPr>
          <w:sz w:val="16"/>
          <w:szCs w:val="16"/>
          <w:u w:val="single"/>
        </w:rPr>
        <w:t xml:space="preserve">Please note that </w:t>
      </w:r>
      <w:r w:rsidRPr="008D31F3">
        <w:rPr>
          <w:b/>
          <w:sz w:val="16"/>
          <w:szCs w:val="16"/>
          <w:u w:val="single"/>
        </w:rPr>
        <w:t>all data are provisional</w:t>
      </w:r>
      <w:r w:rsidRPr="008D31F3">
        <w:rPr>
          <w:sz w:val="16"/>
          <w:szCs w:val="16"/>
          <w:u w:val="single"/>
        </w:rPr>
        <w:t xml:space="preserve"> and subject to change due to ongoing case investigation</w:t>
      </w:r>
      <w:r>
        <w:rPr>
          <w:sz w:val="16"/>
          <w:szCs w:val="16"/>
        </w:rPr>
        <w:t>.</w:t>
      </w:r>
    </w:p>
    <w:p w:rsidR="00246597" w:rsidRDefault="00246597" w:rsidP="00C321FF">
      <w:pPr>
        <w:pStyle w:val="ListParagraph"/>
        <w:spacing w:after="0" w:line="240" w:lineRule="auto"/>
        <w:ind w:left="-567"/>
        <w:contextualSpacing w:val="0"/>
        <w:rPr>
          <w:sz w:val="16"/>
          <w:szCs w:val="16"/>
        </w:rPr>
      </w:pPr>
    </w:p>
    <w:p w:rsidR="00246597" w:rsidRDefault="00246597" w:rsidP="00C321FF">
      <w:pPr>
        <w:pStyle w:val="ListParagraph"/>
        <w:spacing w:after="0" w:line="240" w:lineRule="auto"/>
        <w:ind w:left="-567"/>
        <w:contextualSpacing w:val="0"/>
        <w:rPr>
          <w:sz w:val="16"/>
          <w:szCs w:val="16"/>
        </w:rPr>
      </w:pPr>
    </w:p>
    <w:p w:rsidR="00246597" w:rsidRDefault="00246597">
      <w:pPr>
        <w:rPr>
          <w:sz w:val="16"/>
          <w:szCs w:val="16"/>
        </w:rPr>
      </w:pPr>
      <w:r>
        <w:rPr>
          <w:sz w:val="16"/>
          <w:szCs w:val="16"/>
        </w:rPr>
        <w:br w:type="page"/>
      </w:r>
    </w:p>
    <w:p w:rsidR="00246597" w:rsidRPr="00B57142" w:rsidRDefault="00246597" w:rsidP="00B57142">
      <w:pPr>
        <w:spacing w:after="0" w:line="240" w:lineRule="auto"/>
        <w:ind w:left="-567" w:right="261"/>
        <w:jc w:val="both"/>
        <w:rPr>
          <w:rFonts w:ascii="Arial" w:hAnsi="Arial" w:cs="Arial"/>
          <w:b/>
        </w:rPr>
      </w:pPr>
      <w:r w:rsidRPr="00B57142">
        <w:rPr>
          <w:rFonts w:ascii="Arial" w:hAnsi="Arial" w:cs="Arial"/>
          <w:b/>
        </w:rPr>
        <w:t>Activities of the MJSO, 1 December 2016 – 31 January 2017:</w:t>
      </w:r>
    </w:p>
    <w:p w:rsidR="00246597" w:rsidRPr="00B57142" w:rsidRDefault="00246597" w:rsidP="00B57142">
      <w:pPr>
        <w:pStyle w:val="ListParagraph"/>
        <w:numPr>
          <w:ilvl w:val="0"/>
          <w:numId w:val="1"/>
        </w:numPr>
        <w:spacing w:after="0" w:line="240" w:lineRule="auto"/>
        <w:ind w:left="142" w:right="261" w:hanging="284"/>
        <w:jc w:val="both"/>
        <w:rPr>
          <w:rFonts w:ascii="Arial" w:hAnsi="Arial" w:cs="Arial"/>
          <w:sz w:val="20"/>
          <w:szCs w:val="20"/>
        </w:rPr>
      </w:pPr>
      <w:r w:rsidRPr="00B57142">
        <w:rPr>
          <w:rFonts w:ascii="Arial" w:hAnsi="Arial" w:cs="Arial"/>
          <w:sz w:val="20"/>
          <w:szCs w:val="20"/>
        </w:rPr>
        <w:t xml:space="preserve">The Darwin Rural and Urban region of the Northern Territory </w:t>
      </w:r>
      <w:r>
        <w:rPr>
          <w:rFonts w:ascii="Arial" w:hAnsi="Arial" w:cs="Arial"/>
          <w:sz w:val="20"/>
          <w:szCs w:val="20"/>
        </w:rPr>
        <w:t>was</w:t>
      </w:r>
      <w:r w:rsidRPr="00B57142">
        <w:rPr>
          <w:rFonts w:ascii="Arial" w:hAnsi="Arial" w:cs="Arial"/>
          <w:sz w:val="20"/>
          <w:szCs w:val="20"/>
        </w:rPr>
        <w:t xml:space="preserve"> declared an outbreak region (from </w:t>
      </w:r>
      <w:r>
        <w:rPr>
          <w:rFonts w:ascii="Arial" w:hAnsi="Arial" w:cs="Arial"/>
          <w:sz w:val="20"/>
          <w:szCs w:val="20"/>
        </w:rPr>
        <w:br/>
        <w:t>1 January 2017);</w:t>
      </w:r>
    </w:p>
    <w:p w:rsidR="00246597" w:rsidRDefault="00246597" w:rsidP="00B57142">
      <w:pPr>
        <w:pStyle w:val="ListParagraph"/>
        <w:numPr>
          <w:ilvl w:val="0"/>
          <w:numId w:val="1"/>
        </w:numPr>
        <w:spacing w:after="0" w:line="240" w:lineRule="auto"/>
        <w:ind w:left="142" w:right="261" w:hanging="284"/>
        <w:jc w:val="both"/>
        <w:rPr>
          <w:rFonts w:ascii="Arial" w:hAnsi="Arial" w:cs="Arial"/>
          <w:sz w:val="20"/>
          <w:szCs w:val="20"/>
        </w:rPr>
      </w:pPr>
      <w:r w:rsidRPr="00B57142">
        <w:rPr>
          <w:rFonts w:ascii="Arial" w:hAnsi="Arial" w:cs="Arial"/>
          <w:sz w:val="20"/>
          <w:szCs w:val="20"/>
        </w:rPr>
        <w:t xml:space="preserve"> </w:t>
      </w:r>
      <w:r>
        <w:rPr>
          <w:rFonts w:ascii="Arial" w:hAnsi="Arial" w:cs="Arial"/>
          <w:sz w:val="20"/>
          <w:szCs w:val="20"/>
        </w:rPr>
        <w:t xml:space="preserve">Proposed a number of actions aimed at addressing some of </w:t>
      </w:r>
      <w:r w:rsidRPr="003418A4">
        <w:rPr>
          <w:rFonts w:ascii="Arial" w:hAnsi="Arial" w:cs="Arial"/>
          <w:sz w:val="20"/>
          <w:szCs w:val="20"/>
        </w:rPr>
        <w:t>the barriers and issues identified in the outbreak response</w:t>
      </w:r>
      <w:r>
        <w:rPr>
          <w:rFonts w:ascii="Arial" w:hAnsi="Arial" w:cs="Arial"/>
          <w:sz w:val="20"/>
          <w:szCs w:val="20"/>
        </w:rPr>
        <w:t>.</w:t>
      </w:r>
    </w:p>
    <w:p w:rsidR="00246597" w:rsidRDefault="00246597" w:rsidP="00B57142">
      <w:pPr>
        <w:spacing w:after="0" w:line="240" w:lineRule="auto"/>
        <w:ind w:left="-567" w:right="261"/>
        <w:jc w:val="both"/>
        <w:rPr>
          <w:rFonts w:ascii="Arial" w:hAnsi="Arial" w:cs="Arial"/>
          <w:b/>
        </w:rPr>
      </w:pPr>
    </w:p>
    <w:p w:rsidR="00246597" w:rsidRPr="00A37CD4" w:rsidRDefault="00246597" w:rsidP="00B57142">
      <w:pPr>
        <w:spacing w:after="0" w:line="240" w:lineRule="auto"/>
        <w:ind w:left="-567" w:right="261"/>
        <w:jc w:val="both"/>
        <w:rPr>
          <w:rFonts w:ascii="Arial" w:hAnsi="Arial" w:cs="Arial"/>
          <w:b/>
        </w:rPr>
      </w:pPr>
      <w:r w:rsidRPr="00A37CD4">
        <w:rPr>
          <w:rFonts w:ascii="Arial" w:hAnsi="Arial" w:cs="Arial"/>
          <w:b/>
        </w:rPr>
        <w:t>Community engagement</w:t>
      </w:r>
    </w:p>
    <w:p w:rsidR="00246597" w:rsidRPr="00A37CD4" w:rsidRDefault="00246597" w:rsidP="00B57142">
      <w:pPr>
        <w:pStyle w:val="ListParagraph"/>
        <w:numPr>
          <w:ilvl w:val="0"/>
          <w:numId w:val="1"/>
        </w:numPr>
        <w:spacing w:after="0" w:line="240" w:lineRule="auto"/>
        <w:ind w:left="142" w:right="261" w:hanging="284"/>
        <w:jc w:val="both"/>
        <w:rPr>
          <w:rFonts w:ascii="Arial" w:hAnsi="Arial" w:cs="Arial"/>
          <w:sz w:val="20"/>
          <w:szCs w:val="20"/>
        </w:rPr>
      </w:pPr>
      <w:r w:rsidRPr="00A37CD4">
        <w:rPr>
          <w:rFonts w:ascii="Arial" w:hAnsi="Arial"/>
          <w:color w:val="000000" w:themeColor="text1"/>
          <w:sz w:val="20"/>
          <w:szCs w:val="21"/>
        </w:rPr>
        <w:t>A sub-group, Engaging Aboriginal and Torres Strait Islander Communities (EAC) meets monthly, and reports back to the MJSO with suggestions for improved community engagement. During this period, the EAC shared promotional material and engagement plans aimed to encourage testing and increase awareness among Aboriginal and Torres Strait Islander communities</w:t>
      </w:r>
      <w:r w:rsidRPr="00A37CD4">
        <w:rPr>
          <w:rFonts w:ascii="Arial" w:hAnsi="Arial" w:cs="Arial"/>
          <w:sz w:val="20"/>
          <w:szCs w:val="20"/>
        </w:rPr>
        <w:t>.</w:t>
      </w:r>
    </w:p>
    <w:p w:rsidR="00246597" w:rsidRDefault="00246597" w:rsidP="00B57142">
      <w:pPr>
        <w:pStyle w:val="ListParagraph"/>
        <w:spacing w:after="0" w:line="240" w:lineRule="auto"/>
        <w:ind w:left="-567"/>
        <w:contextualSpacing w:val="0"/>
        <w:rPr>
          <w:sz w:val="16"/>
          <w:szCs w:val="16"/>
        </w:rPr>
      </w:pPr>
    </w:p>
    <w:p w:rsidR="00246597" w:rsidRDefault="00246597">
      <w:pPr>
        <w:rPr>
          <w:rFonts w:ascii="Arial" w:hAnsi="Arial" w:cs="Arial"/>
          <w:b/>
          <w:sz w:val="28"/>
          <w:szCs w:val="28"/>
        </w:rPr>
      </w:pPr>
      <w:r>
        <w:rPr>
          <w:rFonts w:ascii="Arial" w:hAnsi="Arial" w:cs="Arial"/>
          <w:b/>
          <w:sz w:val="28"/>
          <w:szCs w:val="28"/>
        </w:rPr>
        <w:br w:type="page"/>
      </w:r>
    </w:p>
    <w:p w:rsidR="00246597" w:rsidRPr="00630D11" w:rsidRDefault="00246597" w:rsidP="00630D11">
      <w:pPr>
        <w:spacing w:after="0" w:line="240" w:lineRule="auto"/>
        <w:ind w:left="-567" w:right="-613"/>
        <w:rPr>
          <w:rFonts w:ascii="Arial" w:hAnsi="Arial" w:cs="Arial"/>
          <w:b/>
          <w:sz w:val="28"/>
          <w:szCs w:val="28"/>
        </w:rPr>
      </w:pPr>
      <w:r w:rsidRPr="00630D11">
        <w:rPr>
          <w:rFonts w:ascii="Arial" w:hAnsi="Arial" w:cs="Arial"/>
          <w:b/>
          <w:sz w:val="28"/>
          <w:szCs w:val="28"/>
        </w:rPr>
        <w:t>MULTIJURISDICTIONAL SYPHILIS OUTBREAK WORKING GROUP (MJSO)</w:t>
      </w:r>
    </w:p>
    <w:p w:rsidR="00246597" w:rsidRPr="00630D11" w:rsidRDefault="00246597" w:rsidP="002F7525">
      <w:pPr>
        <w:spacing w:after="0" w:line="120" w:lineRule="auto"/>
        <w:ind w:left="-567" w:right="-612"/>
        <w:rPr>
          <w:rFonts w:ascii="Arial" w:hAnsi="Arial" w:cs="Arial"/>
          <w:b/>
          <w:sz w:val="28"/>
          <w:szCs w:val="28"/>
        </w:rPr>
      </w:pPr>
    </w:p>
    <w:p w:rsidR="00246597" w:rsidRPr="00630D11" w:rsidRDefault="00246597" w:rsidP="002F7525">
      <w:pPr>
        <w:spacing w:after="0" w:line="240" w:lineRule="auto"/>
        <w:ind w:left="-567" w:right="-613"/>
        <w:jc w:val="center"/>
        <w:rPr>
          <w:rFonts w:ascii="Arial" w:hAnsi="Arial" w:cs="Arial"/>
          <w:sz w:val="28"/>
          <w:szCs w:val="28"/>
        </w:rPr>
      </w:pPr>
      <w:r w:rsidRPr="00630D11">
        <w:rPr>
          <w:rFonts w:ascii="Arial" w:hAnsi="Arial" w:cs="Arial"/>
          <w:b/>
          <w:sz w:val="28"/>
          <w:szCs w:val="28"/>
        </w:rPr>
        <w:t>Meeting Communique</w:t>
      </w:r>
      <w:r>
        <w:rPr>
          <w:rFonts w:ascii="Arial" w:hAnsi="Arial" w:cs="Arial"/>
          <w:b/>
          <w:sz w:val="28"/>
          <w:szCs w:val="28"/>
        </w:rPr>
        <w:t>, 23 March 2017 (10</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Default="00246597" w:rsidP="00873960">
      <w:pPr>
        <w:spacing w:after="0" w:line="120" w:lineRule="auto"/>
        <w:ind w:left="-567" w:right="-612"/>
      </w:pPr>
    </w:p>
    <w:p w:rsidR="00246597" w:rsidRPr="009C3C6F" w:rsidRDefault="00246597" w:rsidP="00F94849">
      <w:pPr>
        <w:spacing w:after="0" w:line="240" w:lineRule="auto"/>
        <w:ind w:left="-567" w:right="-612"/>
        <w:rPr>
          <w:rFonts w:ascii="Arial" w:hAnsi="Arial" w:cs="Arial"/>
          <w:b/>
          <w:sz w:val="24"/>
          <w:szCs w:val="24"/>
        </w:rPr>
      </w:pPr>
      <w:r w:rsidRPr="009C3C6F">
        <w:rPr>
          <w:rFonts w:ascii="Arial" w:hAnsi="Arial" w:cs="Arial"/>
          <w:b/>
          <w:sz w:val="24"/>
          <w:szCs w:val="24"/>
        </w:rPr>
        <w:t>This communique has been authorised by the chair of the MJSO, Dr Nathan Ryder.</w:t>
      </w:r>
    </w:p>
    <w:p w:rsidR="00246597" w:rsidRDefault="00246597" w:rsidP="00372E85">
      <w:pPr>
        <w:spacing w:after="0" w:line="240" w:lineRule="auto"/>
        <w:ind w:right="-613"/>
        <w:rPr>
          <w:rFonts w:ascii="Arial" w:hAnsi="Arial" w:cs="Arial"/>
          <w:sz w:val="20"/>
          <w:szCs w:val="20"/>
        </w:rPr>
      </w:pPr>
    </w:p>
    <w:p w:rsidR="00246597" w:rsidRDefault="00246597" w:rsidP="00F21B4C">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June 2014</w:t>
      </w:r>
      <w:r>
        <w:rPr>
          <w:color w:val="000000" w:themeColor="text1"/>
        </w:rPr>
        <w:t>.</w:t>
      </w:r>
    </w:p>
    <w:p w:rsidR="00246597" w:rsidRDefault="00246597" w:rsidP="00C55AC7">
      <w:pPr>
        <w:pStyle w:val="PlainText"/>
        <w:ind w:left="-567"/>
        <w:rPr>
          <w:color w:val="000000" w:themeColor="text1"/>
        </w:rPr>
      </w:pPr>
    </w:p>
    <w:p w:rsidR="00246597" w:rsidRPr="004E075B" w:rsidRDefault="00246597" w:rsidP="00C55AC7">
      <w:pPr>
        <w:pStyle w:val="PlainText"/>
        <w:ind w:left="-567"/>
      </w:pPr>
      <w:r w:rsidRPr="00E27FA1">
        <w:rPr>
          <w:color w:val="000000" w:themeColor="text1"/>
        </w:rPr>
        <w:t xml:space="preserve">This communique summarises the outbreak </w:t>
      </w:r>
      <w:r>
        <w:rPr>
          <w:color w:val="000000" w:themeColor="text1"/>
        </w:rPr>
        <w:t>epidemiological data as of 23 March 2017</w:t>
      </w:r>
      <w:r w:rsidRPr="00E27FA1">
        <w:rPr>
          <w:color w:val="000000" w:themeColor="text1"/>
        </w:rPr>
        <w:t xml:space="preserve"> (current status), and the activities of the MJSO </w:t>
      </w:r>
      <w:r>
        <w:rPr>
          <w:color w:val="000000" w:themeColor="text1"/>
        </w:rPr>
        <w:t>from 1–28 February 2017</w:t>
      </w:r>
      <w:r w:rsidRPr="00E27FA1">
        <w:rPr>
          <w:color w:val="000000" w:themeColor="text1"/>
        </w:rPr>
        <w:t>.</w:t>
      </w:r>
    </w:p>
    <w:p w:rsidR="00246597" w:rsidRDefault="00246597" w:rsidP="00094607">
      <w:pPr>
        <w:spacing w:after="0" w:line="180" w:lineRule="auto"/>
        <w:ind w:right="261"/>
        <w:jc w:val="both"/>
        <w:rPr>
          <w:rFonts w:ascii="Arial" w:hAnsi="Arial" w:cs="Arial"/>
          <w:sz w:val="20"/>
          <w:szCs w:val="20"/>
        </w:rPr>
      </w:pPr>
    </w:p>
    <w:p w:rsidR="00246597" w:rsidRDefault="00246597" w:rsidP="004E075B">
      <w:pPr>
        <w:spacing w:after="0" w:line="240" w:lineRule="auto"/>
        <w:ind w:left="-567" w:right="261"/>
        <w:jc w:val="both"/>
        <w:rPr>
          <w:rFonts w:ascii="Arial" w:hAnsi="Arial" w:cs="Arial"/>
          <w:b/>
        </w:rPr>
      </w:pPr>
      <w:r w:rsidRPr="000428F5">
        <w:rPr>
          <w:rFonts w:ascii="Arial" w:hAnsi="Arial" w:cs="Arial"/>
          <w:b/>
        </w:rPr>
        <w:t>Current status</w:t>
      </w:r>
    </w:p>
    <w:p w:rsidR="00246597" w:rsidRDefault="00246597" w:rsidP="004E075B">
      <w:pPr>
        <w:spacing w:after="0" w:line="240" w:lineRule="auto"/>
        <w:ind w:left="-567" w:right="261"/>
        <w:jc w:val="both"/>
        <w:rPr>
          <w:rFonts w:ascii="Arial" w:hAnsi="Arial" w:cs="Arial"/>
          <w:sz w:val="20"/>
          <w:szCs w:val="20"/>
        </w:rPr>
      </w:pPr>
      <w:r w:rsidRPr="009C3C6F">
        <w:rPr>
          <w:rFonts w:ascii="Arial" w:hAnsi="Arial" w:cs="Arial"/>
          <w:sz w:val="20"/>
          <w:szCs w:val="20"/>
        </w:rPr>
        <w:t xml:space="preserve">Outbreak data </w:t>
      </w:r>
      <w:r>
        <w:rPr>
          <w:rFonts w:ascii="Arial" w:hAnsi="Arial" w:cs="Arial"/>
          <w:sz w:val="20"/>
          <w:szCs w:val="20"/>
        </w:rPr>
        <w:t xml:space="preserve">to 28 February 2017 </w:t>
      </w:r>
      <w:r w:rsidRPr="009C3C6F">
        <w:rPr>
          <w:rFonts w:ascii="Arial" w:hAnsi="Arial" w:cs="Arial"/>
          <w:sz w:val="20"/>
          <w:szCs w:val="20"/>
        </w:rPr>
        <w:t>are summarised in Figure 1 and Table 1 below.</w:t>
      </w:r>
    </w:p>
    <w:p w:rsidR="00246597" w:rsidRDefault="00246597" w:rsidP="00094607">
      <w:pPr>
        <w:spacing w:after="0" w:line="240" w:lineRule="auto"/>
        <w:ind w:left="-567" w:right="261"/>
        <w:jc w:val="both"/>
        <w:rPr>
          <w:rFonts w:ascii="Arial" w:hAnsi="Arial" w:cs="Arial"/>
          <w:sz w:val="20"/>
          <w:szCs w:val="20"/>
        </w:rPr>
      </w:pPr>
    </w:p>
    <w:p w:rsidR="00246597" w:rsidRDefault="00246597" w:rsidP="00DE5EA2">
      <w:pPr>
        <w:spacing w:after="0" w:line="240" w:lineRule="auto"/>
        <w:ind w:left="-567"/>
        <w:rPr>
          <w:rFonts w:ascii="Arial" w:hAnsi="Arial" w:cs="Arial"/>
          <w:sz w:val="20"/>
          <w:szCs w:val="20"/>
        </w:rPr>
      </w:pPr>
      <w:r w:rsidRPr="00F12A54">
        <w:rPr>
          <w:rFonts w:ascii="Arial" w:hAnsi="Arial" w:cs="Arial"/>
          <w:b/>
          <w:sz w:val="20"/>
          <w:szCs w:val="20"/>
        </w:rPr>
        <w:t>Figure 1</w:t>
      </w:r>
      <w:r w:rsidRPr="00F12A54">
        <w:rPr>
          <w:rFonts w:ascii="Arial" w:hAnsi="Arial" w:cs="Arial"/>
          <w:sz w:val="20"/>
          <w:szCs w:val="20"/>
        </w:rPr>
        <w:t>. Epidemic curve showing outbreak cases of infectious syphilis</w:t>
      </w:r>
      <w:r w:rsidRPr="00F12A54">
        <w:rPr>
          <w:rFonts w:ascii="Arial" w:hAnsi="Arial" w:cs="Arial"/>
          <w:sz w:val="20"/>
          <w:szCs w:val="20"/>
          <w:vertAlign w:val="superscript"/>
        </w:rPr>
        <w:t>α</w:t>
      </w:r>
      <w:r w:rsidRPr="00F12A54">
        <w:rPr>
          <w:rFonts w:ascii="Arial" w:hAnsi="Arial" w:cs="Arial"/>
          <w:sz w:val="20"/>
          <w:szCs w:val="20"/>
        </w:rPr>
        <w:t xml:space="preserve"> notified in affected regions</w:t>
      </w:r>
      <w:r w:rsidRPr="00F12A54">
        <w:rPr>
          <w:rFonts w:ascii="Arial" w:hAnsi="Arial" w:cs="Arial"/>
          <w:sz w:val="20"/>
          <w:szCs w:val="20"/>
          <w:vertAlign w:val="superscript"/>
        </w:rPr>
        <w:t>β</w:t>
      </w:r>
      <w:r w:rsidRPr="00F12A54">
        <w:rPr>
          <w:rFonts w:ascii="Arial" w:hAnsi="Arial" w:cs="Arial"/>
          <w:sz w:val="20"/>
          <w:szCs w:val="20"/>
        </w:rPr>
        <w:t xml:space="preserve"> of Queensl</w:t>
      </w:r>
      <w:r>
        <w:rPr>
          <w:rFonts w:ascii="Arial" w:hAnsi="Arial" w:cs="Arial"/>
          <w:sz w:val="20"/>
          <w:szCs w:val="20"/>
        </w:rPr>
        <w:t xml:space="preserve">and, the Northern Territory, and </w:t>
      </w:r>
      <w:r w:rsidRPr="00977AD3">
        <w:rPr>
          <w:rFonts w:ascii="Arial" w:hAnsi="Arial" w:cs="Arial"/>
          <w:sz w:val="20"/>
          <w:szCs w:val="20"/>
        </w:rPr>
        <w:t>Western Australia from commencement of the</w:t>
      </w:r>
      <w:r w:rsidRPr="00F12A54">
        <w:rPr>
          <w:rFonts w:ascii="Arial" w:hAnsi="Arial" w:cs="Arial"/>
          <w:sz w:val="20"/>
          <w:szCs w:val="20"/>
        </w:rPr>
        <w:t xml:space="preserve"> o</w:t>
      </w:r>
      <w:r>
        <w:rPr>
          <w:rFonts w:ascii="Arial" w:hAnsi="Arial" w:cs="Arial"/>
          <w:sz w:val="20"/>
          <w:szCs w:val="20"/>
        </w:rPr>
        <w:t xml:space="preserve">utbreak in each jurisdiction to </w:t>
      </w:r>
      <w:r>
        <w:rPr>
          <w:rFonts w:ascii="Arial" w:hAnsi="Arial" w:cs="Arial"/>
          <w:sz w:val="20"/>
          <w:szCs w:val="20"/>
        </w:rPr>
        <w:br/>
        <w:t>28 February 2017</w:t>
      </w:r>
      <w:r w:rsidRPr="00F12A54">
        <w:rPr>
          <w:rFonts w:ascii="Arial" w:hAnsi="Arial" w:cs="Arial"/>
          <w:sz w:val="20"/>
          <w:szCs w:val="20"/>
          <w:vertAlign w:val="superscript"/>
        </w:rPr>
        <w:t>ᵞ</w:t>
      </w:r>
      <w:r w:rsidRPr="00F12A54">
        <w:rPr>
          <w:rFonts w:ascii="Arial" w:hAnsi="Arial" w:cs="Arial"/>
          <w:sz w:val="20"/>
          <w:szCs w:val="20"/>
        </w:rPr>
        <w:t>.</w:t>
      </w:r>
    </w:p>
    <w:p w:rsidR="00246597" w:rsidRDefault="00246597" w:rsidP="00C55AC7">
      <w:pPr>
        <w:spacing w:after="0" w:line="240" w:lineRule="auto"/>
        <w:ind w:left="-567"/>
        <w:rPr>
          <w:rFonts w:ascii="Arial" w:hAnsi="Arial" w:cs="Arial"/>
          <w:sz w:val="20"/>
          <w:szCs w:val="20"/>
        </w:rPr>
      </w:pPr>
      <w:r>
        <w:rPr>
          <w:rFonts w:ascii="Arial" w:hAnsi="Arial" w:cs="Arial"/>
          <w:noProof/>
          <w:sz w:val="20"/>
          <w:szCs w:val="20"/>
          <w:lang w:eastAsia="en-AU"/>
        </w:rPr>
        <w:drawing>
          <wp:inline distT="0" distB="0" distL="0" distR="0" wp14:anchorId="407B2944">
            <wp:extent cx="6597420" cy="2844000"/>
            <wp:effectExtent l="0" t="0" r="0" b="0"/>
            <wp:docPr id="6" name="Picture 6" descr="This figure shows outbreak cases of infectious syphilis between 1 January 2011 to 28 February 2017, notified in affected regions of Queensland, the Northern Territory and Western Australia." title="Epidemic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7420" cy="2844000"/>
                    </a:xfrm>
                    <a:prstGeom prst="rect">
                      <a:avLst/>
                    </a:prstGeom>
                    <a:noFill/>
                  </pic:spPr>
                </pic:pic>
              </a:graphicData>
            </a:graphic>
          </wp:inline>
        </w:drawing>
      </w:r>
    </w:p>
    <w:p w:rsidR="00246597" w:rsidRDefault="00246597" w:rsidP="00DE5EA2">
      <w:pPr>
        <w:spacing w:after="0" w:line="240" w:lineRule="auto"/>
        <w:rPr>
          <w:rFonts w:ascii="Arial" w:hAnsi="Arial" w:cs="Arial"/>
          <w:sz w:val="20"/>
          <w:szCs w:val="20"/>
        </w:rPr>
      </w:pPr>
    </w:p>
    <w:p w:rsidR="00246597" w:rsidRDefault="00246597" w:rsidP="00094607">
      <w:pPr>
        <w:spacing w:after="0" w:line="240" w:lineRule="auto"/>
        <w:ind w:left="-567"/>
        <w:rPr>
          <w:rFonts w:ascii="Arial" w:hAnsi="Arial" w:cs="Arial"/>
          <w:sz w:val="20"/>
          <w:szCs w:val="20"/>
        </w:rPr>
      </w:pPr>
      <w:r>
        <w:rPr>
          <w:rFonts w:ascii="Arial" w:hAnsi="Arial" w:cs="Arial"/>
          <w:b/>
          <w:sz w:val="20"/>
          <w:szCs w:val="20"/>
        </w:rPr>
        <w:t>Table 1</w:t>
      </w:r>
      <w:r w:rsidRPr="00DE5EA2">
        <w:rPr>
          <w:rFonts w:ascii="Arial" w:hAnsi="Arial" w:cs="Arial"/>
          <w:sz w:val="20"/>
          <w:szCs w:val="20"/>
        </w:rPr>
        <w:t>.</w:t>
      </w:r>
      <w:r>
        <w:rPr>
          <w:rFonts w:ascii="Arial" w:hAnsi="Arial" w:cs="Arial"/>
          <w:b/>
          <w:sz w:val="20"/>
          <w:szCs w:val="20"/>
        </w:rPr>
        <w:t xml:space="preserve"> </w:t>
      </w:r>
      <w:r w:rsidRPr="006A1E4E">
        <w:rPr>
          <w:rFonts w:ascii="Arial" w:hAnsi="Arial" w:cs="Arial"/>
          <w:sz w:val="20"/>
          <w:szCs w:val="20"/>
        </w:rPr>
        <w:t xml:space="preserve">Characteristics of outbreak cases of infectious syphilis notified </w:t>
      </w:r>
      <w:r w:rsidRPr="004E075B">
        <w:rPr>
          <w:rFonts w:ascii="Arial" w:hAnsi="Arial" w:cs="Arial"/>
          <w:sz w:val="20"/>
          <w:szCs w:val="20"/>
        </w:rPr>
        <w:t>in affected regions of Queensland, the Northern Territory</w:t>
      </w:r>
      <w:r>
        <w:rPr>
          <w:rFonts w:ascii="Arial" w:hAnsi="Arial" w:cs="Arial"/>
          <w:sz w:val="20"/>
          <w:szCs w:val="20"/>
        </w:rPr>
        <w:t xml:space="preserve"> </w:t>
      </w:r>
      <w:r w:rsidRPr="004E075B">
        <w:rPr>
          <w:rFonts w:ascii="Arial" w:hAnsi="Arial" w:cs="Arial"/>
          <w:sz w:val="20"/>
          <w:szCs w:val="20"/>
        </w:rPr>
        <w:t xml:space="preserve">and Western Australia, to </w:t>
      </w:r>
      <w:r>
        <w:rPr>
          <w:rFonts w:ascii="Arial" w:hAnsi="Arial" w:cs="Arial"/>
          <w:sz w:val="20"/>
          <w:szCs w:val="20"/>
        </w:rPr>
        <w:t xml:space="preserve">28 February </w:t>
      </w:r>
      <w:r w:rsidRPr="004E075B">
        <w:rPr>
          <w:rFonts w:ascii="Arial" w:hAnsi="Arial" w:cs="Arial"/>
          <w:sz w:val="20"/>
          <w:szCs w:val="20"/>
        </w:rPr>
        <w:t>201</w:t>
      </w:r>
      <w:r>
        <w:rPr>
          <w:rFonts w:ascii="Arial" w:hAnsi="Arial" w:cs="Arial"/>
          <w:sz w:val="20"/>
          <w:szCs w:val="20"/>
        </w:rPr>
        <w:t>7</w:t>
      </w:r>
      <w:r w:rsidRPr="004E075B">
        <w:rPr>
          <w:rFonts w:ascii="Arial" w:hAnsi="Arial" w:cs="Arial"/>
          <w:sz w:val="20"/>
          <w:szCs w:val="20"/>
          <w:vertAlign w:val="superscript"/>
        </w:rPr>
        <w:t>ᵞ</w:t>
      </w:r>
      <w:r w:rsidRPr="004E075B">
        <w:rPr>
          <w:rFonts w:ascii="Arial" w:hAnsi="Arial" w:cs="Arial"/>
          <w:sz w:val="20"/>
          <w:szCs w:val="20"/>
        </w:rPr>
        <w:t>.</w:t>
      </w:r>
    </w:p>
    <w:tbl>
      <w:tblPr>
        <w:tblStyle w:val="TableGrid1"/>
        <w:tblW w:w="10348" w:type="dxa"/>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820"/>
        <w:gridCol w:w="1842"/>
        <w:gridCol w:w="1843"/>
        <w:gridCol w:w="1843"/>
      </w:tblGrid>
      <w:tr w:rsidR="00246597" w:rsidRPr="00195A95" w:rsidTr="001541C8">
        <w:trPr>
          <w:tblHeader/>
        </w:trPr>
        <w:tc>
          <w:tcPr>
            <w:tcW w:w="4820" w:type="dxa"/>
            <w:tcBorders>
              <w:bottom w:val="single" w:sz="4" w:space="0" w:color="auto"/>
            </w:tcBorders>
          </w:tcPr>
          <w:p w:rsidR="00246597" w:rsidRPr="00195A95" w:rsidRDefault="00246597" w:rsidP="00CC0F5A">
            <w:pPr>
              <w:ind w:left="34" w:hanging="34"/>
              <w:rPr>
                <w:sz w:val="20"/>
                <w:szCs w:val="20"/>
              </w:rPr>
            </w:pPr>
          </w:p>
        </w:tc>
        <w:tc>
          <w:tcPr>
            <w:tcW w:w="1842" w:type="dxa"/>
            <w:tcBorders>
              <w:bottom w:val="single" w:sz="4" w:space="0" w:color="auto"/>
            </w:tcBorders>
            <w:shd w:val="clear" w:color="auto" w:fill="C6D9F1" w:themeFill="text2" w:themeFillTint="33"/>
          </w:tcPr>
          <w:p w:rsidR="00246597" w:rsidRPr="00195A95" w:rsidRDefault="00246597" w:rsidP="00CC0F5A">
            <w:pPr>
              <w:ind w:left="34" w:hanging="34"/>
              <w:jc w:val="center"/>
              <w:rPr>
                <w:b/>
                <w:sz w:val="20"/>
                <w:szCs w:val="20"/>
              </w:rPr>
            </w:pPr>
            <w:r w:rsidRPr="00195A95">
              <w:rPr>
                <w:b/>
                <w:sz w:val="20"/>
                <w:szCs w:val="20"/>
                <w:shd w:val="clear" w:color="auto" w:fill="C6D9F1" w:themeFill="text2" w:themeFillTint="33"/>
              </w:rPr>
              <w:t xml:space="preserve">North Qld </w:t>
            </w:r>
            <w:r>
              <w:rPr>
                <w:b/>
                <w:sz w:val="20"/>
                <w:szCs w:val="20"/>
                <w:shd w:val="clear" w:color="auto" w:fill="C6D9F1" w:themeFill="text2" w:themeFillTint="33"/>
              </w:rPr>
              <w:br/>
            </w:r>
            <w:r w:rsidRPr="00586082">
              <w:rPr>
                <w:sz w:val="14"/>
                <w:szCs w:val="20"/>
                <w:shd w:val="clear" w:color="auto" w:fill="C6D9F1" w:themeFill="text2" w:themeFillTint="33"/>
              </w:rPr>
              <w:t>(four HHSs</w:t>
            </w:r>
            <w:r w:rsidRPr="00586082">
              <w:rPr>
                <w:sz w:val="14"/>
                <w:szCs w:val="20"/>
                <w:shd w:val="clear" w:color="auto" w:fill="C6D9F1" w:themeFill="text2" w:themeFillTint="33"/>
                <w:vertAlign w:val="superscript"/>
              </w:rPr>
              <w:t>β</w:t>
            </w:r>
            <w:r w:rsidRPr="00586082">
              <w:rPr>
                <w:sz w:val="14"/>
                <w:szCs w:val="20"/>
              </w:rPr>
              <w:t>)</w:t>
            </w:r>
          </w:p>
        </w:tc>
        <w:tc>
          <w:tcPr>
            <w:tcW w:w="1843" w:type="dxa"/>
            <w:tcBorders>
              <w:bottom w:val="single" w:sz="4" w:space="0" w:color="auto"/>
            </w:tcBorders>
            <w:shd w:val="clear" w:color="auto" w:fill="DAEEF3" w:themeFill="accent5" w:themeFillTint="33"/>
          </w:tcPr>
          <w:p w:rsidR="00246597" w:rsidRPr="00195A95" w:rsidRDefault="00246597" w:rsidP="00CC0F5A">
            <w:pPr>
              <w:ind w:left="34" w:hanging="34"/>
              <w:jc w:val="center"/>
              <w:rPr>
                <w:b/>
                <w:sz w:val="20"/>
                <w:szCs w:val="20"/>
              </w:rPr>
            </w:pPr>
            <w:r w:rsidRPr="00195A95">
              <w:rPr>
                <w:b/>
                <w:sz w:val="20"/>
                <w:szCs w:val="20"/>
              </w:rPr>
              <w:t xml:space="preserve">NT </w:t>
            </w:r>
            <w:r>
              <w:rPr>
                <w:b/>
                <w:sz w:val="20"/>
                <w:szCs w:val="20"/>
              </w:rPr>
              <w:br/>
            </w:r>
            <w:r w:rsidRPr="00586082">
              <w:rPr>
                <w:sz w:val="14"/>
                <w:szCs w:val="20"/>
              </w:rPr>
              <w:t>(four regions</w:t>
            </w:r>
            <w:r w:rsidRPr="00586082">
              <w:rPr>
                <w:sz w:val="14"/>
                <w:szCs w:val="20"/>
                <w:vertAlign w:val="superscript"/>
              </w:rPr>
              <w:t xml:space="preserve"> β</w:t>
            </w:r>
            <w:r w:rsidRPr="00586082">
              <w:rPr>
                <w:sz w:val="14"/>
                <w:szCs w:val="20"/>
              </w:rPr>
              <w:t>)</w:t>
            </w:r>
          </w:p>
        </w:tc>
        <w:tc>
          <w:tcPr>
            <w:tcW w:w="1843" w:type="dxa"/>
            <w:tcBorders>
              <w:bottom w:val="single" w:sz="4" w:space="0" w:color="auto"/>
            </w:tcBorders>
            <w:shd w:val="clear" w:color="auto" w:fill="E5DFEC" w:themeFill="accent4" w:themeFillTint="33"/>
          </w:tcPr>
          <w:p w:rsidR="00246597" w:rsidRPr="00195A95" w:rsidRDefault="00246597" w:rsidP="00CC0F5A">
            <w:pPr>
              <w:ind w:left="34" w:hanging="34"/>
              <w:jc w:val="center"/>
              <w:rPr>
                <w:b/>
                <w:sz w:val="20"/>
                <w:szCs w:val="20"/>
              </w:rPr>
            </w:pPr>
            <w:r w:rsidRPr="00195A95">
              <w:rPr>
                <w:b/>
                <w:sz w:val="20"/>
                <w:szCs w:val="20"/>
              </w:rPr>
              <w:t>WA</w:t>
            </w:r>
            <w:r>
              <w:rPr>
                <w:b/>
                <w:sz w:val="20"/>
                <w:szCs w:val="20"/>
              </w:rPr>
              <w:br/>
            </w:r>
            <w:r w:rsidRPr="00586082">
              <w:rPr>
                <w:sz w:val="16"/>
                <w:szCs w:val="20"/>
              </w:rPr>
              <w:t xml:space="preserve"> </w:t>
            </w:r>
            <w:r w:rsidRPr="00586082">
              <w:rPr>
                <w:sz w:val="14"/>
                <w:szCs w:val="20"/>
              </w:rPr>
              <w:t>(Kimberley region)</w:t>
            </w:r>
          </w:p>
        </w:tc>
      </w:tr>
      <w:tr w:rsidR="00246597" w:rsidRPr="00195A95" w:rsidTr="001541C8">
        <w:tc>
          <w:tcPr>
            <w:tcW w:w="4820" w:type="dxa"/>
            <w:tcBorders>
              <w:right w:val="nil"/>
            </w:tcBorders>
            <w:shd w:val="clear" w:color="auto" w:fill="B8CCE4" w:themeFill="accent1" w:themeFillTint="66"/>
          </w:tcPr>
          <w:p w:rsidR="00246597" w:rsidRPr="00195A95" w:rsidRDefault="00246597" w:rsidP="00EC732E">
            <w:pPr>
              <w:ind w:left="34" w:hanging="34"/>
              <w:rPr>
                <w:sz w:val="20"/>
                <w:szCs w:val="20"/>
              </w:rPr>
            </w:pPr>
            <w:r w:rsidRPr="00195A95">
              <w:rPr>
                <w:sz w:val="20"/>
                <w:szCs w:val="20"/>
              </w:rPr>
              <w:t xml:space="preserve">Situation to-date, </w:t>
            </w:r>
            <w:r>
              <w:rPr>
                <w:sz w:val="20"/>
                <w:szCs w:val="20"/>
              </w:rPr>
              <w:t>28 February 2017</w:t>
            </w:r>
          </w:p>
        </w:tc>
        <w:tc>
          <w:tcPr>
            <w:tcW w:w="1842" w:type="dxa"/>
            <w:tcBorders>
              <w:left w:val="nil"/>
              <w:right w:val="nil"/>
            </w:tcBorders>
            <w:shd w:val="clear" w:color="auto" w:fill="B8CCE4" w:themeFill="accent1" w:themeFillTint="66"/>
          </w:tcPr>
          <w:p w:rsidR="00246597" w:rsidRPr="00195A95" w:rsidRDefault="00246597" w:rsidP="00922B1B">
            <w:pPr>
              <w:ind w:left="34" w:hanging="34"/>
              <w:rPr>
                <w:sz w:val="20"/>
                <w:szCs w:val="20"/>
                <w:highlight w:val="yellow"/>
              </w:rPr>
            </w:pPr>
          </w:p>
        </w:tc>
        <w:tc>
          <w:tcPr>
            <w:tcW w:w="1843" w:type="dxa"/>
            <w:tcBorders>
              <w:left w:val="nil"/>
              <w:right w:val="nil"/>
            </w:tcBorders>
            <w:shd w:val="clear" w:color="auto" w:fill="B8CCE4" w:themeFill="accent1" w:themeFillTint="66"/>
          </w:tcPr>
          <w:p w:rsidR="00246597" w:rsidRPr="00195A95" w:rsidRDefault="00246597" w:rsidP="00922B1B">
            <w:pPr>
              <w:ind w:left="34" w:hanging="34"/>
              <w:rPr>
                <w:sz w:val="20"/>
                <w:szCs w:val="20"/>
                <w:highlight w:val="yellow"/>
              </w:rPr>
            </w:pPr>
          </w:p>
        </w:tc>
        <w:tc>
          <w:tcPr>
            <w:tcW w:w="1843" w:type="dxa"/>
            <w:tcBorders>
              <w:left w:val="nil"/>
            </w:tcBorders>
            <w:shd w:val="clear" w:color="auto" w:fill="B8CCE4" w:themeFill="accent1" w:themeFillTint="66"/>
          </w:tcPr>
          <w:p w:rsidR="00246597" w:rsidRPr="00195A95" w:rsidRDefault="00246597" w:rsidP="00922B1B">
            <w:pPr>
              <w:ind w:left="34" w:hanging="34"/>
              <w:rPr>
                <w:sz w:val="20"/>
                <w:szCs w:val="20"/>
                <w:highlight w:val="yellow"/>
              </w:rPr>
            </w:pPr>
          </w:p>
        </w:tc>
      </w:tr>
      <w:tr w:rsidR="00246597" w:rsidRPr="00195A95" w:rsidTr="001541C8">
        <w:tc>
          <w:tcPr>
            <w:tcW w:w="4820" w:type="dxa"/>
          </w:tcPr>
          <w:p w:rsidR="00246597" w:rsidRPr="00195A95" w:rsidRDefault="00246597" w:rsidP="00957270">
            <w:pPr>
              <w:ind w:left="34" w:hanging="34"/>
              <w:rPr>
                <w:sz w:val="20"/>
                <w:szCs w:val="20"/>
              </w:rPr>
            </w:pPr>
            <w:r>
              <w:rPr>
                <w:sz w:val="20"/>
                <w:szCs w:val="20"/>
              </w:rPr>
              <w:t>Outbreak commencement month/year</w:t>
            </w:r>
          </w:p>
        </w:tc>
        <w:tc>
          <w:tcPr>
            <w:tcW w:w="1842" w:type="dxa"/>
            <w:shd w:val="clear" w:color="auto" w:fill="C6D9F1" w:themeFill="text2" w:themeFillTint="33"/>
            <w:vAlign w:val="center"/>
          </w:tcPr>
          <w:p w:rsidR="00246597" w:rsidRPr="00195A95" w:rsidRDefault="00246597" w:rsidP="00CC0F5A">
            <w:pPr>
              <w:ind w:left="34" w:hanging="34"/>
              <w:jc w:val="center"/>
              <w:rPr>
                <w:sz w:val="20"/>
                <w:szCs w:val="20"/>
              </w:rPr>
            </w:pPr>
            <w:r w:rsidRPr="00195A95">
              <w:rPr>
                <w:sz w:val="20"/>
                <w:szCs w:val="20"/>
              </w:rPr>
              <w:t>January 2011</w:t>
            </w:r>
          </w:p>
        </w:tc>
        <w:tc>
          <w:tcPr>
            <w:tcW w:w="1843" w:type="dxa"/>
            <w:shd w:val="clear" w:color="auto" w:fill="DAEEF3" w:themeFill="accent5" w:themeFillTint="33"/>
            <w:vAlign w:val="center"/>
          </w:tcPr>
          <w:p w:rsidR="00246597" w:rsidRPr="00195A95" w:rsidRDefault="00246597" w:rsidP="00CC0F5A">
            <w:pPr>
              <w:ind w:left="34" w:hanging="34"/>
              <w:jc w:val="center"/>
              <w:rPr>
                <w:sz w:val="20"/>
                <w:szCs w:val="20"/>
              </w:rPr>
            </w:pPr>
            <w:r w:rsidRPr="00195A95">
              <w:rPr>
                <w:sz w:val="20"/>
                <w:szCs w:val="20"/>
              </w:rPr>
              <w:t>July 2013</w:t>
            </w:r>
          </w:p>
        </w:tc>
        <w:tc>
          <w:tcPr>
            <w:tcW w:w="1843" w:type="dxa"/>
            <w:shd w:val="clear" w:color="auto" w:fill="E5DFEC" w:themeFill="accent4" w:themeFillTint="33"/>
            <w:vAlign w:val="center"/>
          </w:tcPr>
          <w:p w:rsidR="00246597" w:rsidRPr="00F8608E" w:rsidRDefault="00246597" w:rsidP="00CC0F5A">
            <w:pPr>
              <w:ind w:left="34" w:hanging="34"/>
              <w:jc w:val="center"/>
              <w:rPr>
                <w:sz w:val="20"/>
                <w:szCs w:val="20"/>
              </w:rPr>
            </w:pPr>
            <w:r w:rsidRPr="00F8608E">
              <w:rPr>
                <w:sz w:val="20"/>
                <w:szCs w:val="20"/>
              </w:rPr>
              <w:t>June 2014</w:t>
            </w:r>
          </w:p>
        </w:tc>
      </w:tr>
      <w:tr w:rsidR="00246597" w:rsidRPr="00195A95" w:rsidTr="001541C8">
        <w:tc>
          <w:tcPr>
            <w:tcW w:w="4820" w:type="dxa"/>
          </w:tcPr>
          <w:p w:rsidR="00246597" w:rsidRPr="00195A95" w:rsidRDefault="00246597" w:rsidP="00CC0F5A">
            <w:pPr>
              <w:ind w:left="34" w:hanging="34"/>
              <w:rPr>
                <w:sz w:val="20"/>
                <w:szCs w:val="20"/>
              </w:rPr>
            </w:pPr>
            <w:r w:rsidRPr="00195A95">
              <w:rPr>
                <w:sz w:val="20"/>
                <w:szCs w:val="20"/>
              </w:rPr>
              <w:t>Total number of cases</w:t>
            </w:r>
            <w:r w:rsidRPr="00195A95">
              <w:rPr>
                <w:b/>
                <w:sz w:val="20"/>
                <w:szCs w:val="20"/>
                <w:vertAlign w:val="superscript"/>
              </w:rPr>
              <w:t xml:space="preserve"> </w:t>
            </w:r>
            <w:r w:rsidRPr="00195A95">
              <w:rPr>
                <w:sz w:val="20"/>
                <w:szCs w:val="20"/>
                <w:vertAlign w:val="superscript"/>
              </w:rPr>
              <w:t>α</w:t>
            </w:r>
          </w:p>
        </w:tc>
        <w:tc>
          <w:tcPr>
            <w:tcW w:w="1842" w:type="dxa"/>
            <w:shd w:val="clear" w:color="auto" w:fill="C6D9F1" w:themeFill="text2" w:themeFillTint="33"/>
            <w:vAlign w:val="center"/>
          </w:tcPr>
          <w:p w:rsidR="00246597" w:rsidRPr="00573ABB" w:rsidRDefault="00246597" w:rsidP="00CC0F5A">
            <w:pPr>
              <w:ind w:left="34" w:hanging="34"/>
              <w:jc w:val="center"/>
              <w:rPr>
                <w:b/>
                <w:sz w:val="20"/>
                <w:szCs w:val="20"/>
                <w:highlight w:val="yellow"/>
                <w:vertAlign w:val="superscript"/>
              </w:rPr>
            </w:pPr>
            <w:r w:rsidRPr="00573ABB">
              <w:rPr>
                <w:b/>
                <w:sz w:val="20"/>
                <w:szCs w:val="20"/>
              </w:rPr>
              <w:t>774</w:t>
            </w:r>
          </w:p>
        </w:tc>
        <w:tc>
          <w:tcPr>
            <w:tcW w:w="1843" w:type="dxa"/>
            <w:shd w:val="clear" w:color="auto" w:fill="DAEEF3" w:themeFill="accent5" w:themeFillTint="33"/>
            <w:vAlign w:val="center"/>
          </w:tcPr>
          <w:p w:rsidR="00246597" w:rsidRPr="00573ABB" w:rsidRDefault="00246597" w:rsidP="00CC0F5A">
            <w:pPr>
              <w:ind w:left="34" w:hanging="34"/>
              <w:jc w:val="center"/>
              <w:rPr>
                <w:b/>
                <w:sz w:val="20"/>
                <w:szCs w:val="20"/>
              </w:rPr>
            </w:pPr>
            <w:r w:rsidRPr="00573ABB">
              <w:rPr>
                <w:b/>
                <w:sz w:val="20"/>
                <w:szCs w:val="20"/>
              </w:rPr>
              <w:t>453</w:t>
            </w:r>
          </w:p>
        </w:tc>
        <w:tc>
          <w:tcPr>
            <w:tcW w:w="1843" w:type="dxa"/>
            <w:shd w:val="clear" w:color="auto" w:fill="E5DFEC" w:themeFill="accent4" w:themeFillTint="33"/>
            <w:vAlign w:val="center"/>
          </w:tcPr>
          <w:p w:rsidR="00246597" w:rsidRPr="00573ABB" w:rsidRDefault="00246597" w:rsidP="00195866">
            <w:pPr>
              <w:ind w:left="34" w:hanging="34"/>
              <w:jc w:val="center"/>
              <w:rPr>
                <w:b/>
                <w:sz w:val="20"/>
                <w:szCs w:val="20"/>
              </w:rPr>
            </w:pPr>
            <w:r w:rsidRPr="00573ABB">
              <w:rPr>
                <w:b/>
                <w:sz w:val="20"/>
                <w:szCs w:val="20"/>
              </w:rPr>
              <w:t>101</w:t>
            </w:r>
          </w:p>
        </w:tc>
      </w:tr>
      <w:tr w:rsidR="00246597" w:rsidRPr="00195A95" w:rsidTr="001541C8">
        <w:tc>
          <w:tcPr>
            <w:tcW w:w="4820" w:type="dxa"/>
          </w:tcPr>
          <w:p w:rsidR="00246597" w:rsidRPr="00195A95" w:rsidRDefault="00246597" w:rsidP="00CC0F5A">
            <w:pPr>
              <w:ind w:left="34" w:hanging="34"/>
              <w:rPr>
                <w:sz w:val="20"/>
                <w:szCs w:val="20"/>
              </w:rPr>
            </w:pPr>
            <w:r w:rsidRPr="00195A95">
              <w:rPr>
                <w:sz w:val="20"/>
                <w:szCs w:val="20"/>
              </w:rPr>
              <w:t>Percent cases reported in 15-29 year age group</w:t>
            </w:r>
          </w:p>
        </w:tc>
        <w:tc>
          <w:tcPr>
            <w:tcW w:w="1842" w:type="dxa"/>
            <w:shd w:val="clear" w:color="auto" w:fill="C6D9F1" w:themeFill="text2" w:themeFillTint="33"/>
            <w:vAlign w:val="center"/>
          </w:tcPr>
          <w:p w:rsidR="00246597" w:rsidRPr="00573ABB" w:rsidRDefault="00246597" w:rsidP="009562F0">
            <w:pPr>
              <w:ind w:left="34" w:hanging="34"/>
              <w:jc w:val="center"/>
              <w:rPr>
                <w:sz w:val="20"/>
                <w:szCs w:val="20"/>
                <w:highlight w:val="yellow"/>
              </w:rPr>
            </w:pPr>
            <w:r w:rsidRPr="00573ABB">
              <w:rPr>
                <w:sz w:val="20"/>
                <w:szCs w:val="20"/>
              </w:rPr>
              <w:t>69%</w:t>
            </w:r>
          </w:p>
        </w:tc>
        <w:tc>
          <w:tcPr>
            <w:tcW w:w="1843" w:type="dxa"/>
            <w:shd w:val="clear" w:color="auto" w:fill="DAEEF3" w:themeFill="accent5" w:themeFillTint="33"/>
            <w:vAlign w:val="center"/>
          </w:tcPr>
          <w:p w:rsidR="00246597" w:rsidRPr="00573ABB" w:rsidRDefault="00246597" w:rsidP="00195866">
            <w:pPr>
              <w:ind w:left="34" w:hanging="34"/>
              <w:jc w:val="center"/>
              <w:rPr>
                <w:sz w:val="20"/>
                <w:szCs w:val="20"/>
              </w:rPr>
            </w:pPr>
            <w:r w:rsidRPr="00573ABB">
              <w:rPr>
                <w:sz w:val="20"/>
                <w:szCs w:val="20"/>
              </w:rPr>
              <w:t>78%</w:t>
            </w:r>
          </w:p>
        </w:tc>
        <w:tc>
          <w:tcPr>
            <w:tcW w:w="1843" w:type="dxa"/>
            <w:shd w:val="clear" w:color="auto" w:fill="E5DFEC" w:themeFill="accent4" w:themeFillTint="33"/>
            <w:vAlign w:val="center"/>
          </w:tcPr>
          <w:p w:rsidR="00246597" w:rsidRPr="00573ABB" w:rsidRDefault="00246597" w:rsidP="003B1FF8">
            <w:pPr>
              <w:ind w:left="34" w:hanging="34"/>
              <w:jc w:val="center"/>
              <w:rPr>
                <w:sz w:val="20"/>
                <w:szCs w:val="20"/>
              </w:rPr>
            </w:pPr>
            <w:r w:rsidRPr="00573ABB">
              <w:rPr>
                <w:sz w:val="20"/>
                <w:szCs w:val="20"/>
              </w:rPr>
              <w:t>68%</w:t>
            </w:r>
          </w:p>
        </w:tc>
      </w:tr>
      <w:tr w:rsidR="00246597" w:rsidRPr="00195A95" w:rsidTr="001541C8">
        <w:tc>
          <w:tcPr>
            <w:tcW w:w="4820" w:type="dxa"/>
          </w:tcPr>
          <w:p w:rsidR="00246597" w:rsidRPr="00195A95" w:rsidRDefault="00246597" w:rsidP="00CC0F5A">
            <w:pPr>
              <w:ind w:left="34" w:hanging="34"/>
              <w:rPr>
                <w:sz w:val="20"/>
                <w:szCs w:val="20"/>
              </w:rPr>
            </w:pPr>
            <w:r w:rsidRPr="00195A95">
              <w:rPr>
                <w:sz w:val="20"/>
                <w:szCs w:val="20"/>
              </w:rPr>
              <w:t>% Male / % Female</w:t>
            </w:r>
          </w:p>
        </w:tc>
        <w:tc>
          <w:tcPr>
            <w:tcW w:w="1842" w:type="dxa"/>
            <w:shd w:val="clear" w:color="auto" w:fill="C6D9F1" w:themeFill="text2" w:themeFillTint="33"/>
            <w:vAlign w:val="center"/>
          </w:tcPr>
          <w:p w:rsidR="00246597" w:rsidRPr="00573ABB" w:rsidRDefault="00246597" w:rsidP="009562F0">
            <w:pPr>
              <w:ind w:left="34" w:hanging="34"/>
              <w:jc w:val="center"/>
              <w:rPr>
                <w:sz w:val="20"/>
                <w:szCs w:val="20"/>
                <w:highlight w:val="yellow"/>
              </w:rPr>
            </w:pPr>
            <w:r w:rsidRPr="00573ABB">
              <w:rPr>
                <w:sz w:val="20"/>
                <w:szCs w:val="20"/>
              </w:rPr>
              <w:t>48% / 52%</w:t>
            </w:r>
          </w:p>
        </w:tc>
        <w:tc>
          <w:tcPr>
            <w:tcW w:w="1843" w:type="dxa"/>
            <w:shd w:val="clear" w:color="auto" w:fill="DAEEF3" w:themeFill="accent5" w:themeFillTint="33"/>
            <w:vAlign w:val="center"/>
          </w:tcPr>
          <w:p w:rsidR="00246597" w:rsidRPr="00573ABB" w:rsidRDefault="00246597" w:rsidP="00573ABB">
            <w:pPr>
              <w:ind w:left="34" w:hanging="34"/>
              <w:jc w:val="center"/>
              <w:rPr>
                <w:sz w:val="20"/>
                <w:szCs w:val="20"/>
              </w:rPr>
            </w:pPr>
            <w:r w:rsidRPr="00573ABB">
              <w:rPr>
                <w:sz w:val="20"/>
                <w:szCs w:val="20"/>
              </w:rPr>
              <w:t>45% / 55%</w:t>
            </w:r>
          </w:p>
        </w:tc>
        <w:tc>
          <w:tcPr>
            <w:tcW w:w="1843" w:type="dxa"/>
            <w:shd w:val="clear" w:color="auto" w:fill="E5DFEC" w:themeFill="accent4" w:themeFillTint="33"/>
            <w:vAlign w:val="center"/>
          </w:tcPr>
          <w:p w:rsidR="00246597" w:rsidRPr="00573ABB" w:rsidRDefault="00246597" w:rsidP="00F8608E">
            <w:pPr>
              <w:ind w:left="34" w:hanging="34"/>
              <w:jc w:val="center"/>
              <w:rPr>
                <w:sz w:val="20"/>
                <w:szCs w:val="20"/>
                <w:highlight w:val="yellow"/>
              </w:rPr>
            </w:pPr>
            <w:r w:rsidRPr="00573ABB">
              <w:rPr>
                <w:sz w:val="20"/>
                <w:szCs w:val="20"/>
              </w:rPr>
              <w:t>35% / 65%</w:t>
            </w:r>
          </w:p>
        </w:tc>
      </w:tr>
      <w:tr w:rsidR="00246597" w:rsidRPr="00195A95" w:rsidTr="001541C8">
        <w:tc>
          <w:tcPr>
            <w:tcW w:w="4820" w:type="dxa"/>
          </w:tcPr>
          <w:p w:rsidR="00246597" w:rsidRPr="00195A95" w:rsidRDefault="00246597" w:rsidP="00CC0F5A">
            <w:pPr>
              <w:ind w:left="34" w:hanging="34"/>
              <w:rPr>
                <w:sz w:val="20"/>
                <w:szCs w:val="20"/>
              </w:rPr>
            </w:pPr>
            <w:r w:rsidRPr="00195A95">
              <w:rPr>
                <w:sz w:val="20"/>
                <w:szCs w:val="20"/>
              </w:rPr>
              <w:t>Congenital cases, confirmed (probable)</w:t>
            </w:r>
          </w:p>
        </w:tc>
        <w:tc>
          <w:tcPr>
            <w:tcW w:w="1842" w:type="dxa"/>
            <w:shd w:val="clear" w:color="auto" w:fill="C6D9F1" w:themeFill="text2" w:themeFillTint="33"/>
            <w:vAlign w:val="center"/>
          </w:tcPr>
          <w:p w:rsidR="00246597" w:rsidRPr="00573ABB" w:rsidRDefault="00246597" w:rsidP="00C700B4">
            <w:pPr>
              <w:ind w:left="34" w:hanging="34"/>
              <w:jc w:val="center"/>
              <w:rPr>
                <w:sz w:val="20"/>
                <w:szCs w:val="20"/>
              </w:rPr>
            </w:pPr>
            <w:r w:rsidRPr="00573ABB">
              <w:rPr>
                <w:sz w:val="20"/>
                <w:szCs w:val="20"/>
              </w:rPr>
              <w:t>3 (2)</w:t>
            </w:r>
          </w:p>
        </w:tc>
        <w:tc>
          <w:tcPr>
            <w:tcW w:w="1843" w:type="dxa"/>
            <w:shd w:val="clear" w:color="auto" w:fill="DAEEF3" w:themeFill="accent5" w:themeFillTint="33"/>
            <w:vAlign w:val="center"/>
          </w:tcPr>
          <w:p w:rsidR="00246597" w:rsidRPr="00573ABB" w:rsidRDefault="00246597" w:rsidP="00CC0F5A">
            <w:pPr>
              <w:ind w:left="34" w:hanging="34"/>
              <w:jc w:val="center"/>
              <w:rPr>
                <w:sz w:val="20"/>
                <w:szCs w:val="20"/>
              </w:rPr>
            </w:pPr>
            <w:r w:rsidRPr="00573ABB">
              <w:rPr>
                <w:sz w:val="20"/>
                <w:szCs w:val="20"/>
              </w:rPr>
              <w:t>1 (2)</w:t>
            </w:r>
          </w:p>
        </w:tc>
        <w:tc>
          <w:tcPr>
            <w:tcW w:w="1843" w:type="dxa"/>
            <w:shd w:val="clear" w:color="auto" w:fill="E5DFEC" w:themeFill="accent4" w:themeFillTint="33"/>
            <w:vAlign w:val="center"/>
          </w:tcPr>
          <w:p w:rsidR="00246597" w:rsidRPr="00573ABB" w:rsidRDefault="00246597" w:rsidP="00CC0F5A">
            <w:pPr>
              <w:ind w:left="34" w:hanging="34"/>
              <w:jc w:val="center"/>
              <w:rPr>
                <w:sz w:val="20"/>
                <w:szCs w:val="20"/>
              </w:rPr>
            </w:pPr>
            <w:r w:rsidRPr="00573ABB">
              <w:rPr>
                <w:sz w:val="20"/>
                <w:szCs w:val="20"/>
              </w:rPr>
              <w:t>0 (0)</w:t>
            </w:r>
          </w:p>
        </w:tc>
      </w:tr>
      <w:tr w:rsidR="00246597" w:rsidRPr="00195A95" w:rsidTr="001541C8">
        <w:tc>
          <w:tcPr>
            <w:tcW w:w="4820" w:type="dxa"/>
            <w:tcBorders>
              <w:bottom w:val="single" w:sz="4" w:space="0" w:color="auto"/>
            </w:tcBorders>
            <w:shd w:val="clear" w:color="auto" w:fill="auto"/>
          </w:tcPr>
          <w:p w:rsidR="00246597" w:rsidRPr="00195A95" w:rsidRDefault="00246597" w:rsidP="00CC0F5A">
            <w:pPr>
              <w:ind w:left="34" w:hanging="34"/>
              <w:rPr>
                <w:sz w:val="20"/>
                <w:szCs w:val="20"/>
              </w:rPr>
            </w:pPr>
            <w:r w:rsidRPr="00195A95">
              <w:rPr>
                <w:sz w:val="20"/>
                <w:szCs w:val="20"/>
              </w:rPr>
              <w:t xml:space="preserve">   -number of deaths in congenital cases</w:t>
            </w:r>
          </w:p>
        </w:tc>
        <w:tc>
          <w:tcPr>
            <w:tcW w:w="1842" w:type="dxa"/>
            <w:tcBorders>
              <w:bottom w:val="single" w:sz="4" w:space="0" w:color="auto"/>
            </w:tcBorders>
            <w:shd w:val="clear" w:color="auto" w:fill="C6D9F1" w:themeFill="text2" w:themeFillTint="33"/>
            <w:vAlign w:val="center"/>
          </w:tcPr>
          <w:p w:rsidR="00246597" w:rsidRPr="00573ABB" w:rsidRDefault="00246597" w:rsidP="00CC0F5A">
            <w:pPr>
              <w:ind w:left="34" w:hanging="34"/>
              <w:jc w:val="center"/>
              <w:rPr>
                <w:sz w:val="20"/>
                <w:szCs w:val="20"/>
              </w:rPr>
            </w:pPr>
            <w:r w:rsidRPr="00573ABB">
              <w:rPr>
                <w:sz w:val="20"/>
                <w:szCs w:val="20"/>
              </w:rPr>
              <w:t>4</w:t>
            </w:r>
          </w:p>
        </w:tc>
        <w:tc>
          <w:tcPr>
            <w:tcW w:w="1843" w:type="dxa"/>
            <w:tcBorders>
              <w:bottom w:val="single" w:sz="4" w:space="0" w:color="auto"/>
            </w:tcBorders>
            <w:shd w:val="clear" w:color="auto" w:fill="DAEEF3" w:themeFill="accent5" w:themeFillTint="33"/>
            <w:vAlign w:val="center"/>
          </w:tcPr>
          <w:p w:rsidR="00246597" w:rsidRPr="00573ABB" w:rsidRDefault="00246597" w:rsidP="00CC0F5A">
            <w:pPr>
              <w:ind w:left="34" w:hanging="34"/>
              <w:jc w:val="center"/>
              <w:rPr>
                <w:sz w:val="20"/>
                <w:szCs w:val="20"/>
              </w:rPr>
            </w:pPr>
            <w:r w:rsidRPr="00573ABB">
              <w:rPr>
                <w:sz w:val="20"/>
                <w:szCs w:val="20"/>
              </w:rPr>
              <w:t>0</w:t>
            </w:r>
          </w:p>
        </w:tc>
        <w:tc>
          <w:tcPr>
            <w:tcW w:w="1843" w:type="dxa"/>
            <w:tcBorders>
              <w:bottom w:val="single" w:sz="4" w:space="0" w:color="auto"/>
            </w:tcBorders>
            <w:shd w:val="clear" w:color="auto" w:fill="E5DFEC" w:themeFill="accent4" w:themeFillTint="33"/>
            <w:vAlign w:val="center"/>
          </w:tcPr>
          <w:p w:rsidR="00246597" w:rsidRPr="00573ABB" w:rsidRDefault="00246597" w:rsidP="00CC0F5A">
            <w:pPr>
              <w:ind w:left="34" w:hanging="34"/>
              <w:jc w:val="center"/>
              <w:rPr>
                <w:sz w:val="20"/>
                <w:szCs w:val="20"/>
              </w:rPr>
            </w:pPr>
            <w:r w:rsidRPr="00573ABB">
              <w:rPr>
                <w:sz w:val="20"/>
                <w:szCs w:val="20"/>
              </w:rPr>
              <w:t>0</w:t>
            </w:r>
          </w:p>
        </w:tc>
      </w:tr>
      <w:tr w:rsidR="00246597" w:rsidRPr="00195A95" w:rsidTr="001541C8">
        <w:tc>
          <w:tcPr>
            <w:tcW w:w="4820" w:type="dxa"/>
            <w:tcBorders>
              <w:right w:val="nil"/>
            </w:tcBorders>
            <w:shd w:val="clear" w:color="auto" w:fill="B8CCE4" w:themeFill="accent1" w:themeFillTint="66"/>
            <w:vAlign w:val="center"/>
          </w:tcPr>
          <w:p w:rsidR="00246597" w:rsidRPr="00DE5EA2" w:rsidRDefault="00246597" w:rsidP="00B35B4A">
            <w:pPr>
              <w:ind w:left="34" w:hanging="34"/>
              <w:rPr>
                <w:sz w:val="20"/>
                <w:szCs w:val="20"/>
              </w:rPr>
            </w:pPr>
            <w:r w:rsidRPr="00DE5EA2">
              <w:rPr>
                <w:sz w:val="20"/>
                <w:szCs w:val="20"/>
              </w:rPr>
              <w:t>Last reporting month, 1–28 February 2017</w:t>
            </w:r>
          </w:p>
        </w:tc>
        <w:tc>
          <w:tcPr>
            <w:tcW w:w="1842" w:type="dxa"/>
            <w:tcBorders>
              <w:left w:val="nil"/>
              <w:right w:val="nil"/>
            </w:tcBorders>
            <w:shd w:val="clear" w:color="auto" w:fill="B8CCE4" w:themeFill="accent1" w:themeFillTint="66"/>
            <w:vAlign w:val="center"/>
          </w:tcPr>
          <w:p w:rsidR="00246597" w:rsidRPr="00DE5EA2" w:rsidRDefault="00246597" w:rsidP="00922B1B">
            <w:pPr>
              <w:ind w:left="34" w:hanging="34"/>
              <w:rPr>
                <w:sz w:val="20"/>
                <w:szCs w:val="20"/>
                <w:highlight w:val="yellow"/>
              </w:rPr>
            </w:pPr>
          </w:p>
        </w:tc>
        <w:tc>
          <w:tcPr>
            <w:tcW w:w="1843" w:type="dxa"/>
            <w:tcBorders>
              <w:left w:val="nil"/>
              <w:right w:val="nil"/>
            </w:tcBorders>
            <w:shd w:val="clear" w:color="auto" w:fill="B8CCE4" w:themeFill="accent1" w:themeFillTint="66"/>
            <w:vAlign w:val="center"/>
          </w:tcPr>
          <w:p w:rsidR="00246597" w:rsidRPr="00DE5EA2" w:rsidRDefault="00246597" w:rsidP="00922B1B">
            <w:pPr>
              <w:ind w:left="34" w:hanging="34"/>
              <w:rPr>
                <w:sz w:val="20"/>
                <w:szCs w:val="20"/>
                <w:highlight w:val="yellow"/>
              </w:rPr>
            </w:pPr>
          </w:p>
        </w:tc>
        <w:tc>
          <w:tcPr>
            <w:tcW w:w="1843" w:type="dxa"/>
            <w:tcBorders>
              <w:left w:val="nil"/>
            </w:tcBorders>
            <w:shd w:val="clear" w:color="auto" w:fill="B8CCE4" w:themeFill="accent1" w:themeFillTint="66"/>
            <w:vAlign w:val="center"/>
          </w:tcPr>
          <w:p w:rsidR="00246597" w:rsidRPr="00DE5EA2" w:rsidRDefault="00246597" w:rsidP="00922B1B">
            <w:pPr>
              <w:ind w:left="34" w:hanging="34"/>
              <w:rPr>
                <w:sz w:val="20"/>
                <w:szCs w:val="20"/>
                <w:highlight w:val="yellow"/>
              </w:rPr>
            </w:pPr>
          </w:p>
        </w:tc>
      </w:tr>
      <w:tr w:rsidR="00246597" w:rsidRPr="00195A95" w:rsidTr="001541C8">
        <w:tc>
          <w:tcPr>
            <w:tcW w:w="4820" w:type="dxa"/>
          </w:tcPr>
          <w:p w:rsidR="00246597" w:rsidRPr="00195A95" w:rsidRDefault="00246597" w:rsidP="00CC0F5A">
            <w:pPr>
              <w:ind w:left="34" w:hanging="34"/>
              <w:rPr>
                <w:sz w:val="20"/>
                <w:szCs w:val="20"/>
              </w:rPr>
            </w:pPr>
            <w:r w:rsidRPr="00195A95">
              <w:rPr>
                <w:sz w:val="20"/>
                <w:szCs w:val="20"/>
              </w:rPr>
              <w:t>Number of cases</w:t>
            </w:r>
            <w:r w:rsidRPr="00195A95">
              <w:rPr>
                <w:b/>
                <w:sz w:val="20"/>
                <w:szCs w:val="20"/>
                <w:vertAlign w:val="superscript"/>
              </w:rPr>
              <w:t xml:space="preserve"> </w:t>
            </w:r>
            <w:r w:rsidRPr="00195A95">
              <w:rPr>
                <w:sz w:val="20"/>
                <w:szCs w:val="20"/>
                <w:vertAlign w:val="superscript"/>
              </w:rPr>
              <w:t>α</w:t>
            </w:r>
          </w:p>
        </w:tc>
        <w:tc>
          <w:tcPr>
            <w:tcW w:w="1842" w:type="dxa"/>
            <w:tcBorders>
              <w:bottom w:val="single" w:sz="4" w:space="0" w:color="auto"/>
            </w:tcBorders>
            <w:shd w:val="clear" w:color="auto" w:fill="C6D9F1" w:themeFill="text2" w:themeFillTint="33"/>
            <w:vAlign w:val="center"/>
          </w:tcPr>
          <w:p w:rsidR="00246597" w:rsidRPr="00573ABB" w:rsidRDefault="00246597" w:rsidP="00CC0F5A">
            <w:pPr>
              <w:ind w:left="34" w:hanging="34"/>
              <w:jc w:val="center"/>
              <w:rPr>
                <w:b/>
                <w:sz w:val="20"/>
                <w:szCs w:val="20"/>
              </w:rPr>
            </w:pPr>
            <w:r w:rsidRPr="00573ABB">
              <w:rPr>
                <w:b/>
                <w:sz w:val="20"/>
                <w:szCs w:val="20"/>
              </w:rPr>
              <w:t>28</w:t>
            </w:r>
          </w:p>
        </w:tc>
        <w:tc>
          <w:tcPr>
            <w:tcW w:w="1843" w:type="dxa"/>
            <w:shd w:val="clear" w:color="auto" w:fill="DAEEF3" w:themeFill="accent5" w:themeFillTint="33"/>
            <w:vAlign w:val="center"/>
          </w:tcPr>
          <w:p w:rsidR="00246597" w:rsidRPr="00573ABB" w:rsidRDefault="00246597" w:rsidP="00F12A54">
            <w:pPr>
              <w:ind w:left="34" w:hanging="34"/>
              <w:jc w:val="center"/>
              <w:rPr>
                <w:b/>
                <w:sz w:val="20"/>
                <w:szCs w:val="20"/>
              </w:rPr>
            </w:pPr>
            <w:r w:rsidRPr="00573ABB">
              <w:rPr>
                <w:b/>
                <w:sz w:val="20"/>
                <w:szCs w:val="20"/>
              </w:rPr>
              <w:t>17</w:t>
            </w:r>
          </w:p>
        </w:tc>
        <w:tc>
          <w:tcPr>
            <w:tcW w:w="1843" w:type="dxa"/>
            <w:shd w:val="clear" w:color="auto" w:fill="E5DFEC" w:themeFill="accent4" w:themeFillTint="33"/>
            <w:vAlign w:val="center"/>
          </w:tcPr>
          <w:p w:rsidR="00246597" w:rsidRPr="00573ABB" w:rsidRDefault="00246597" w:rsidP="00CC0F5A">
            <w:pPr>
              <w:ind w:left="34" w:hanging="34"/>
              <w:jc w:val="center"/>
              <w:rPr>
                <w:b/>
                <w:sz w:val="20"/>
                <w:szCs w:val="20"/>
              </w:rPr>
            </w:pPr>
            <w:r w:rsidRPr="00573ABB">
              <w:rPr>
                <w:b/>
                <w:sz w:val="20"/>
                <w:szCs w:val="20"/>
              </w:rPr>
              <w:t>7</w:t>
            </w:r>
          </w:p>
        </w:tc>
      </w:tr>
      <w:tr w:rsidR="00246597" w:rsidRPr="00195A95" w:rsidTr="001541C8">
        <w:tc>
          <w:tcPr>
            <w:tcW w:w="4820" w:type="dxa"/>
          </w:tcPr>
          <w:p w:rsidR="00246597" w:rsidRPr="00195A95" w:rsidRDefault="00246597" w:rsidP="00CC0F5A">
            <w:pPr>
              <w:ind w:left="34" w:hanging="34"/>
              <w:rPr>
                <w:sz w:val="20"/>
                <w:szCs w:val="20"/>
              </w:rPr>
            </w:pPr>
            <w:r w:rsidRPr="00195A95">
              <w:rPr>
                <w:sz w:val="20"/>
                <w:szCs w:val="20"/>
              </w:rPr>
              <w:t>Percent cases reported in 15-29 year age group</w:t>
            </w:r>
          </w:p>
        </w:tc>
        <w:tc>
          <w:tcPr>
            <w:tcW w:w="1842" w:type="dxa"/>
            <w:shd w:val="clear" w:color="auto" w:fill="C6D9F1" w:themeFill="text2" w:themeFillTint="33"/>
            <w:vAlign w:val="center"/>
          </w:tcPr>
          <w:p w:rsidR="00246597" w:rsidRPr="00573ABB" w:rsidRDefault="00246597" w:rsidP="00CC0F5A">
            <w:pPr>
              <w:jc w:val="center"/>
              <w:rPr>
                <w:sz w:val="20"/>
                <w:szCs w:val="20"/>
              </w:rPr>
            </w:pPr>
            <w:r w:rsidRPr="00573ABB">
              <w:rPr>
                <w:sz w:val="20"/>
                <w:szCs w:val="20"/>
              </w:rPr>
              <w:t>61%</w:t>
            </w:r>
          </w:p>
        </w:tc>
        <w:tc>
          <w:tcPr>
            <w:tcW w:w="1843" w:type="dxa"/>
            <w:shd w:val="clear" w:color="auto" w:fill="DAEEF3" w:themeFill="accent5" w:themeFillTint="33"/>
            <w:vAlign w:val="center"/>
          </w:tcPr>
          <w:p w:rsidR="00246597" w:rsidRPr="00573ABB" w:rsidRDefault="00246597" w:rsidP="00573ABB">
            <w:pPr>
              <w:ind w:left="34" w:hanging="34"/>
              <w:jc w:val="center"/>
              <w:rPr>
                <w:sz w:val="20"/>
                <w:szCs w:val="20"/>
              </w:rPr>
            </w:pPr>
            <w:r w:rsidRPr="00573ABB">
              <w:rPr>
                <w:sz w:val="20"/>
                <w:szCs w:val="20"/>
              </w:rPr>
              <w:t>76%</w:t>
            </w:r>
          </w:p>
        </w:tc>
        <w:tc>
          <w:tcPr>
            <w:tcW w:w="1843" w:type="dxa"/>
            <w:shd w:val="clear" w:color="auto" w:fill="E5DFEC" w:themeFill="accent4" w:themeFillTint="33"/>
            <w:vAlign w:val="center"/>
          </w:tcPr>
          <w:p w:rsidR="00246597" w:rsidRPr="00573ABB" w:rsidRDefault="00246597" w:rsidP="00CC0F5A">
            <w:pPr>
              <w:ind w:left="34" w:hanging="34"/>
              <w:jc w:val="center"/>
              <w:rPr>
                <w:sz w:val="20"/>
                <w:szCs w:val="20"/>
              </w:rPr>
            </w:pPr>
            <w:r w:rsidRPr="00573ABB">
              <w:rPr>
                <w:sz w:val="20"/>
                <w:szCs w:val="20"/>
              </w:rPr>
              <w:t>58%</w:t>
            </w:r>
          </w:p>
        </w:tc>
      </w:tr>
      <w:tr w:rsidR="00246597" w:rsidTr="001541C8">
        <w:tc>
          <w:tcPr>
            <w:tcW w:w="4820" w:type="dxa"/>
          </w:tcPr>
          <w:p w:rsidR="00246597" w:rsidRPr="00195A95" w:rsidRDefault="00246597" w:rsidP="00CC0F5A">
            <w:pPr>
              <w:ind w:left="34" w:hanging="34"/>
              <w:rPr>
                <w:sz w:val="20"/>
                <w:szCs w:val="20"/>
              </w:rPr>
            </w:pPr>
            <w:r w:rsidRPr="00195A95">
              <w:rPr>
                <w:sz w:val="20"/>
                <w:szCs w:val="20"/>
              </w:rPr>
              <w:t>% Male / % Female</w:t>
            </w:r>
          </w:p>
        </w:tc>
        <w:tc>
          <w:tcPr>
            <w:tcW w:w="1842" w:type="dxa"/>
            <w:shd w:val="clear" w:color="auto" w:fill="C6D9F1" w:themeFill="text2" w:themeFillTint="33"/>
            <w:vAlign w:val="center"/>
          </w:tcPr>
          <w:p w:rsidR="00246597" w:rsidRPr="00573ABB" w:rsidRDefault="00246597" w:rsidP="00E6630A">
            <w:pPr>
              <w:ind w:left="34" w:hanging="34"/>
              <w:jc w:val="center"/>
              <w:rPr>
                <w:sz w:val="20"/>
                <w:szCs w:val="20"/>
              </w:rPr>
            </w:pPr>
            <w:r w:rsidRPr="00573ABB">
              <w:rPr>
                <w:sz w:val="20"/>
                <w:szCs w:val="20"/>
              </w:rPr>
              <w:t>46% / 54%</w:t>
            </w:r>
          </w:p>
        </w:tc>
        <w:tc>
          <w:tcPr>
            <w:tcW w:w="1843" w:type="dxa"/>
            <w:shd w:val="clear" w:color="auto" w:fill="DAEEF3" w:themeFill="accent5" w:themeFillTint="33"/>
            <w:vAlign w:val="center"/>
          </w:tcPr>
          <w:p w:rsidR="00246597" w:rsidRPr="00573ABB" w:rsidRDefault="00246597" w:rsidP="00573ABB">
            <w:pPr>
              <w:ind w:left="34" w:hanging="34"/>
              <w:jc w:val="center"/>
              <w:rPr>
                <w:sz w:val="20"/>
                <w:szCs w:val="20"/>
              </w:rPr>
            </w:pPr>
            <w:r w:rsidRPr="00573ABB">
              <w:rPr>
                <w:sz w:val="20"/>
                <w:szCs w:val="20"/>
              </w:rPr>
              <w:t>29% / 71%</w:t>
            </w:r>
          </w:p>
        </w:tc>
        <w:tc>
          <w:tcPr>
            <w:tcW w:w="1843" w:type="dxa"/>
            <w:shd w:val="clear" w:color="auto" w:fill="E5DFEC" w:themeFill="accent4" w:themeFillTint="33"/>
            <w:vAlign w:val="center"/>
          </w:tcPr>
          <w:p w:rsidR="00246597" w:rsidRPr="00573ABB" w:rsidRDefault="00246597" w:rsidP="009562F0">
            <w:pPr>
              <w:ind w:left="34" w:hanging="34"/>
              <w:jc w:val="center"/>
              <w:rPr>
                <w:sz w:val="20"/>
                <w:szCs w:val="20"/>
              </w:rPr>
            </w:pPr>
            <w:r w:rsidRPr="00573ABB">
              <w:rPr>
                <w:sz w:val="20"/>
                <w:szCs w:val="20"/>
              </w:rPr>
              <w:t>29% / 71%</w:t>
            </w:r>
          </w:p>
        </w:tc>
      </w:tr>
    </w:tbl>
    <w:p w:rsidR="00246597" w:rsidRDefault="00246597" w:rsidP="00C321FF">
      <w:pPr>
        <w:pStyle w:val="ListParagraph"/>
        <w:spacing w:before="60" w:after="0" w:line="240" w:lineRule="auto"/>
        <w:ind w:left="-567"/>
        <w:contextualSpacing w:val="0"/>
        <w:rPr>
          <w:sz w:val="16"/>
          <w:szCs w:val="16"/>
        </w:rPr>
      </w:pPr>
      <w:proofErr w:type="gramStart"/>
      <w:r w:rsidRPr="00F167A6">
        <w:rPr>
          <w:b/>
          <w:sz w:val="16"/>
          <w:szCs w:val="16"/>
          <w:vertAlign w:val="superscript"/>
        </w:rPr>
        <w:t>α</w:t>
      </w:r>
      <w:proofErr w:type="gramEnd"/>
      <w:r>
        <w:rPr>
          <w:sz w:val="16"/>
          <w:szCs w:val="16"/>
        </w:rPr>
        <w:t xml:space="preserve"> Cases defined as per the MJSO syphilis outbreak case definition:</w:t>
      </w:r>
      <w:r w:rsidRPr="00372E85">
        <w:rPr>
          <w:sz w:val="16"/>
          <w:szCs w:val="16"/>
        </w:rPr>
        <w:t xml:space="preserve"> </w:t>
      </w:r>
    </w:p>
    <w:p w:rsidR="00246597" w:rsidRPr="000428F5" w:rsidRDefault="00246597" w:rsidP="00C321FF">
      <w:pPr>
        <w:pStyle w:val="ListParagraph"/>
        <w:spacing w:after="0" w:line="240" w:lineRule="auto"/>
        <w:ind w:left="-42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is an Aboriginal or Torres Strait Islander person who resides in any of the following outbreak declared regions</w:t>
      </w:r>
      <w:r w:rsidRPr="00372E85">
        <w:rPr>
          <w:rFonts w:cs="Arial"/>
          <w:sz w:val="16"/>
          <w:szCs w:val="16"/>
        </w:rPr>
        <w:t xml:space="preserve"> as defined and documented by that jurisdiction</w:t>
      </w:r>
      <w:r w:rsidRPr="00372E85">
        <w:rPr>
          <w:rFonts w:ascii="Arial" w:hAnsi="Arial" w:cs="Arial"/>
          <w:sz w:val="16"/>
          <w:szCs w:val="16"/>
        </w:rPr>
        <w:t>,</w:t>
      </w:r>
      <w:r w:rsidRPr="00372E85">
        <w:rPr>
          <w:sz w:val="16"/>
          <w:szCs w:val="16"/>
        </w:rPr>
        <w:t xml:space="preserve"> at or after the dates indicated: </w:t>
      </w:r>
      <w:r w:rsidRPr="00372E85">
        <w:rPr>
          <w:b/>
          <w:i/>
          <w:sz w:val="16"/>
          <w:szCs w:val="16"/>
        </w:rPr>
        <w:t>Qld</w:t>
      </w:r>
      <w:r w:rsidRPr="00372E85">
        <w:rPr>
          <w:sz w:val="16"/>
          <w:szCs w:val="16"/>
        </w:rPr>
        <w:t xml:space="preserve"> - </w:t>
      </w:r>
      <w:r w:rsidRPr="00E27FA1">
        <w:rPr>
          <w:color w:val="000000" w:themeColor="text1"/>
          <w:sz w:val="16"/>
          <w:szCs w:val="16"/>
        </w:rPr>
        <w:t xml:space="preserve">Torres and Cape </w:t>
      </w:r>
      <w:r w:rsidRPr="00372E85">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372E85">
        <w:rPr>
          <w:b/>
          <w:i/>
          <w:sz w:val="16"/>
          <w:szCs w:val="16"/>
        </w:rPr>
        <w:t>NT</w:t>
      </w:r>
      <w:r w:rsidRPr="00372E85">
        <w:rPr>
          <w:sz w:val="16"/>
          <w:szCs w:val="16"/>
        </w:rPr>
        <w:t xml:space="preserve"> - Alice Springs or Barkly district (from 1 July 2013); Katherine district (from 1 May 2014); East Arnhem district (from 1 November 2015);</w:t>
      </w:r>
      <w:r>
        <w:rPr>
          <w:sz w:val="16"/>
          <w:szCs w:val="16"/>
        </w:rPr>
        <w:t xml:space="preserve"> Darwin Rural and Urban (from 1 January 2017);</w:t>
      </w:r>
      <w:r w:rsidRPr="00372E85">
        <w:rPr>
          <w:sz w:val="16"/>
          <w:szCs w:val="16"/>
        </w:rPr>
        <w:t xml:space="preserve"> </w:t>
      </w:r>
      <w:r w:rsidRPr="00372E85">
        <w:rPr>
          <w:b/>
          <w:i/>
          <w:sz w:val="16"/>
          <w:szCs w:val="16"/>
        </w:rPr>
        <w:t>WA</w:t>
      </w:r>
      <w:r w:rsidRPr="00372E85">
        <w:rPr>
          <w:sz w:val="16"/>
          <w:szCs w:val="16"/>
        </w:rPr>
        <w:t xml:space="preserve"> - Kimberley region, Western Australia (from 1 June </w:t>
      </w:r>
      <w:r w:rsidRPr="00977AD3">
        <w:rPr>
          <w:sz w:val="16"/>
          <w:szCs w:val="16"/>
        </w:rPr>
        <w:t>201</w:t>
      </w:r>
      <w:r>
        <w:rPr>
          <w:sz w:val="16"/>
          <w:szCs w:val="16"/>
        </w:rPr>
        <w:t xml:space="preserve">4) </w:t>
      </w:r>
      <w:r w:rsidRPr="00977AD3">
        <w:rPr>
          <w:b/>
          <w:sz w:val="16"/>
          <w:szCs w:val="16"/>
        </w:rPr>
        <w:t>OR</w:t>
      </w:r>
      <w:r w:rsidRPr="00372E85">
        <w:rPr>
          <w:sz w:val="16"/>
          <w:szCs w:val="16"/>
        </w:rPr>
        <w:t>,  is a sexual contact of a confirmed outbreak case.</w:t>
      </w:r>
      <w:r>
        <w:rPr>
          <w:sz w:val="16"/>
          <w:szCs w:val="16"/>
        </w:rPr>
        <w:t xml:space="preserve"> </w:t>
      </w:r>
    </w:p>
    <w:p w:rsidR="00246597" w:rsidRPr="000428F5" w:rsidRDefault="00246597" w:rsidP="00C321FF">
      <w:pPr>
        <w:spacing w:after="0" w:line="240" w:lineRule="auto"/>
        <w:ind w:left="-426" w:hanging="141"/>
        <w:rPr>
          <w:sz w:val="16"/>
          <w:szCs w:val="16"/>
        </w:rPr>
      </w:pPr>
      <w:r w:rsidRPr="00F167A6">
        <w:rPr>
          <w:b/>
          <w:sz w:val="16"/>
          <w:szCs w:val="16"/>
          <w:vertAlign w:val="superscript"/>
        </w:rPr>
        <w:t>β</w:t>
      </w:r>
      <w:r>
        <w:rPr>
          <w:sz w:val="16"/>
          <w:szCs w:val="16"/>
          <w:vertAlign w:val="superscript"/>
        </w:rPr>
        <w:t xml:space="preserve"> </w:t>
      </w:r>
      <w:r>
        <w:rPr>
          <w:sz w:val="16"/>
          <w:szCs w:val="16"/>
        </w:rPr>
        <w:t xml:space="preserve">Affected regions include Torres and Cape, Cairns and Hinterland, North West, and Townsville Hospital and Health Services in Queensland; </w:t>
      </w:r>
      <w:r w:rsidRPr="000428F5">
        <w:rPr>
          <w:sz w:val="16"/>
          <w:szCs w:val="16"/>
        </w:rPr>
        <w:t>Alice Springs, Barkly, East Arnhem</w:t>
      </w:r>
      <w:r>
        <w:rPr>
          <w:sz w:val="16"/>
          <w:szCs w:val="16"/>
        </w:rPr>
        <w:t xml:space="preserve"> </w:t>
      </w:r>
      <w:r w:rsidRPr="000428F5">
        <w:rPr>
          <w:sz w:val="16"/>
          <w:szCs w:val="16"/>
        </w:rPr>
        <w:t>and Katherine regions</w:t>
      </w:r>
      <w:r>
        <w:rPr>
          <w:sz w:val="16"/>
          <w:szCs w:val="16"/>
        </w:rPr>
        <w:t xml:space="preserve"> in the Northern Territory, and: the Kimberley health region in Western Australia.</w:t>
      </w:r>
      <w:r w:rsidRPr="000428F5">
        <w:rPr>
          <w:sz w:val="16"/>
          <w:szCs w:val="16"/>
        </w:rPr>
        <w:t xml:space="preserve"> </w:t>
      </w:r>
    </w:p>
    <w:p w:rsidR="00246597" w:rsidRDefault="00246597" w:rsidP="00C321FF">
      <w:pPr>
        <w:pStyle w:val="ListParagraph"/>
        <w:spacing w:after="0" w:line="240" w:lineRule="auto"/>
        <w:ind w:left="-567"/>
        <w:contextualSpacing w:val="0"/>
        <w:rPr>
          <w:sz w:val="16"/>
          <w:szCs w:val="16"/>
        </w:rPr>
      </w:pPr>
      <w:r w:rsidRPr="000428F5">
        <w:rPr>
          <w:b/>
          <w:sz w:val="16"/>
          <w:szCs w:val="16"/>
        </w:rPr>
        <w:t>ᵞ</w:t>
      </w:r>
      <w:r w:rsidRPr="00ED4B23">
        <w:rPr>
          <w:sz w:val="16"/>
          <w:szCs w:val="16"/>
        </w:rPr>
        <w:t xml:space="preserve"> </w:t>
      </w:r>
      <w:r w:rsidRPr="008D31F3">
        <w:rPr>
          <w:sz w:val="16"/>
          <w:szCs w:val="16"/>
          <w:u w:val="single"/>
        </w:rPr>
        <w:t xml:space="preserve">Please note that </w:t>
      </w:r>
      <w:r w:rsidRPr="008D31F3">
        <w:rPr>
          <w:b/>
          <w:sz w:val="16"/>
          <w:szCs w:val="16"/>
          <w:u w:val="single"/>
        </w:rPr>
        <w:t>all data are provisional</w:t>
      </w:r>
      <w:r w:rsidRPr="008D31F3">
        <w:rPr>
          <w:sz w:val="16"/>
          <w:szCs w:val="16"/>
          <w:u w:val="single"/>
        </w:rPr>
        <w:t xml:space="preserve"> and subject to change due to ongoing case investigation</w:t>
      </w:r>
      <w:r>
        <w:rPr>
          <w:sz w:val="16"/>
          <w:szCs w:val="16"/>
        </w:rPr>
        <w:t>.</w:t>
      </w:r>
    </w:p>
    <w:p w:rsidR="00246597" w:rsidRDefault="00246597" w:rsidP="00C321FF">
      <w:pPr>
        <w:pStyle w:val="ListParagraph"/>
        <w:spacing w:after="0" w:line="240" w:lineRule="auto"/>
        <w:ind w:left="-567"/>
        <w:contextualSpacing w:val="0"/>
        <w:rPr>
          <w:sz w:val="16"/>
          <w:szCs w:val="16"/>
        </w:rPr>
      </w:pPr>
    </w:p>
    <w:p w:rsidR="00246597" w:rsidRDefault="00246597" w:rsidP="00C321FF">
      <w:pPr>
        <w:pStyle w:val="ListParagraph"/>
        <w:spacing w:after="0" w:line="240" w:lineRule="auto"/>
        <w:ind w:left="-567"/>
        <w:contextualSpacing w:val="0"/>
        <w:rPr>
          <w:sz w:val="16"/>
          <w:szCs w:val="16"/>
        </w:rPr>
      </w:pPr>
    </w:p>
    <w:p w:rsidR="00246597" w:rsidRPr="001541C8" w:rsidRDefault="00246597" w:rsidP="00B57142">
      <w:pPr>
        <w:spacing w:after="0" w:line="240" w:lineRule="auto"/>
        <w:ind w:left="-567" w:right="261"/>
        <w:jc w:val="both"/>
        <w:rPr>
          <w:rFonts w:ascii="Arial" w:hAnsi="Arial" w:cs="Arial"/>
          <w:b/>
        </w:rPr>
      </w:pPr>
      <w:r w:rsidRPr="001541C8">
        <w:rPr>
          <w:rFonts w:ascii="Arial" w:hAnsi="Arial" w:cs="Arial"/>
          <w:b/>
        </w:rPr>
        <w:t>Activities of the MJSO, 1 February – 28 February 2017:</w:t>
      </w:r>
    </w:p>
    <w:p w:rsidR="00246597" w:rsidRDefault="00246597" w:rsidP="00B57142">
      <w:pPr>
        <w:pStyle w:val="ListParagraph"/>
        <w:numPr>
          <w:ilvl w:val="0"/>
          <w:numId w:val="1"/>
        </w:numPr>
        <w:spacing w:after="0" w:line="240" w:lineRule="auto"/>
        <w:ind w:left="142" w:right="261" w:hanging="284"/>
        <w:jc w:val="both"/>
        <w:rPr>
          <w:rFonts w:ascii="Arial" w:hAnsi="Arial" w:cs="Arial"/>
          <w:sz w:val="20"/>
          <w:szCs w:val="20"/>
        </w:rPr>
      </w:pPr>
      <w:r>
        <w:rPr>
          <w:rFonts w:ascii="Arial" w:hAnsi="Arial" w:cs="Arial"/>
          <w:sz w:val="20"/>
          <w:szCs w:val="20"/>
        </w:rPr>
        <w:t>Provided an update to the CDNA and the Blood Borne Viruses and Sexually Transmissible Infections Standing Committee (BBVSS) of the Australian Health Protection Principal Committee (AHPPC) on the outbreak status and activities of the MJSO Working Group.</w:t>
      </w:r>
    </w:p>
    <w:p w:rsidR="00246597" w:rsidRPr="001541C8" w:rsidRDefault="00246597" w:rsidP="00B57142">
      <w:pPr>
        <w:pStyle w:val="ListParagraph"/>
        <w:numPr>
          <w:ilvl w:val="0"/>
          <w:numId w:val="1"/>
        </w:numPr>
        <w:spacing w:after="0" w:line="240" w:lineRule="auto"/>
        <w:ind w:left="142" w:right="261" w:hanging="284"/>
        <w:jc w:val="both"/>
        <w:rPr>
          <w:rFonts w:ascii="Arial" w:hAnsi="Arial" w:cs="Arial"/>
          <w:sz w:val="20"/>
          <w:szCs w:val="20"/>
        </w:rPr>
      </w:pPr>
      <w:r>
        <w:rPr>
          <w:rFonts w:ascii="Arial" w:hAnsi="Arial" w:cs="Arial"/>
          <w:sz w:val="20"/>
          <w:szCs w:val="20"/>
        </w:rPr>
        <w:t xml:space="preserve">Continued to discuss </w:t>
      </w:r>
      <w:r w:rsidRPr="001541C8">
        <w:rPr>
          <w:rFonts w:ascii="Arial" w:hAnsi="Arial" w:cs="Arial"/>
          <w:sz w:val="20"/>
          <w:szCs w:val="20"/>
        </w:rPr>
        <w:t>a number of actions aimed at addressing some of the barriers and issues identified in the outbreak response.</w:t>
      </w:r>
    </w:p>
    <w:p w:rsidR="00246597" w:rsidRPr="001541C8" w:rsidRDefault="00246597" w:rsidP="00B57142">
      <w:pPr>
        <w:spacing w:after="0" w:line="240" w:lineRule="auto"/>
        <w:ind w:left="-567" w:right="261"/>
        <w:jc w:val="both"/>
        <w:rPr>
          <w:rFonts w:ascii="Arial" w:hAnsi="Arial" w:cs="Arial"/>
          <w:b/>
        </w:rPr>
      </w:pPr>
    </w:p>
    <w:p w:rsidR="00246597" w:rsidRPr="001541C8" w:rsidRDefault="00246597" w:rsidP="00B57142">
      <w:pPr>
        <w:spacing w:after="0" w:line="240" w:lineRule="auto"/>
        <w:ind w:left="-567" w:right="261"/>
        <w:jc w:val="both"/>
        <w:rPr>
          <w:rFonts w:ascii="Arial" w:hAnsi="Arial" w:cs="Arial"/>
          <w:b/>
        </w:rPr>
      </w:pPr>
      <w:r w:rsidRPr="001541C8">
        <w:rPr>
          <w:rFonts w:ascii="Arial" w:hAnsi="Arial" w:cs="Arial"/>
          <w:b/>
        </w:rPr>
        <w:t>Community engagement</w:t>
      </w:r>
    </w:p>
    <w:p w:rsidR="00246597" w:rsidRPr="00737360" w:rsidRDefault="00246597" w:rsidP="00737360">
      <w:pPr>
        <w:pStyle w:val="ListParagraph"/>
        <w:numPr>
          <w:ilvl w:val="0"/>
          <w:numId w:val="1"/>
        </w:numPr>
        <w:spacing w:after="0" w:line="240" w:lineRule="auto"/>
        <w:ind w:left="142" w:right="261" w:hanging="284"/>
        <w:jc w:val="both"/>
        <w:rPr>
          <w:rFonts w:ascii="Arial" w:hAnsi="Arial" w:cs="Arial"/>
          <w:sz w:val="20"/>
          <w:szCs w:val="20"/>
        </w:rPr>
      </w:pPr>
      <w:r>
        <w:rPr>
          <w:rFonts w:ascii="Arial" w:hAnsi="Arial" w:cs="Arial"/>
          <w:sz w:val="20"/>
          <w:szCs w:val="20"/>
        </w:rPr>
        <w:t xml:space="preserve">The MJSO Working Group discussed the </w:t>
      </w:r>
      <w:r w:rsidRPr="00737360">
        <w:rPr>
          <w:rFonts w:ascii="Arial" w:hAnsi="Arial"/>
          <w:sz w:val="20"/>
          <w:szCs w:val="21"/>
        </w:rPr>
        <w:t xml:space="preserve">Engaging Aboriginal and Torres Strait Islander Communities (EAC) </w:t>
      </w:r>
      <w:r>
        <w:rPr>
          <w:rFonts w:ascii="Arial" w:hAnsi="Arial"/>
          <w:sz w:val="20"/>
          <w:szCs w:val="21"/>
        </w:rPr>
        <w:t>sub-group, and agreed to further consider the membership and structure of the sub-group to more effectively meet the aims of the EAC.</w:t>
      </w:r>
    </w:p>
    <w:p w:rsidR="00246597" w:rsidRDefault="00246597" w:rsidP="00B57142">
      <w:pPr>
        <w:pStyle w:val="ListParagraph"/>
        <w:spacing w:after="0" w:line="240" w:lineRule="auto"/>
        <w:ind w:left="-567"/>
        <w:contextualSpacing w:val="0"/>
        <w:rPr>
          <w:sz w:val="16"/>
          <w:szCs w:val="16"/>
        </w:rPr>
      </w:pPr>
    </w:p>
    <w:p w:rsidR="00246597" w:rsidRDefault="00246597">
      <w:pPr>
        <w:rPr>
          <w:rFonts w:ascii="Arial" w:hAnsi="Arial" w:cs="Arial"/>
          <w:b/>
          <w:sz w:val="28"/>
          <w:szCs w:val="28"/>
        </w:rPr>
      </w:pPr>
      <w:r>
        <w:rPr>
          <w:rFonts w:ascii="Arial" w:hAnsi="Arial" w:cs="Arial"/>
          <w:b/>
          <w:sz w:val="28"/>
          <w:szCs w:val="28"/>
        </w:rPr>
        <w:br w:type="page"/>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20 April 2017 </w:t>
      </w:r>
      <w:r>
        <w:rPr>
          <w:rFonts w:ascii="Arial" w:hAnsi="Arial" w:cs="Arial"/>
          <w:b/>
          <w:sz w:val="28"/>
          <w:szCs w:val="28"/>
        </w:rPr>
        <w:t>(11</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F94849">
      <w:pPr>
        <w:spacing w:after="0" w:line="240" w:lineRule="auto"/>
        <w:ind w:left="-567" w:right="-612"/>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and </w:t>
      </w:r>
      <w:r w:rsidRPr="00C019C3">
        <w:rPr>
          <w:color w:val="000000" w:themeColor="text1"/>
        </w:rPr>
        <w:t xml:space="preserve">Eyre regions from </w:t>
      </w:r>
      <w:r w:rsidRPr="00C019C3">
        <w:rPr>
          <w:color w:val="000000" w:themeColor="text1"/>
        </w:rPr>
        <w:br/>
        <w:t>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This communique summarises the outbreak epidemiological data as of 20 April 2017 (current status), and the activities of the MJSO from 1–31 March 2017.</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31 March 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C019C3">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 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31 March 2017</w:t>
      </w:r>
      <w:r w:rsidRPr="006829B0">
        <w:rPr>
          <w:rFonts w:ascii="Arial" w:hAnsi="Arial" w:cs="Arial"/>
          <w:sz w:val="20"/>
          <w:szCs w:val="20"/>
          <w:vertAlign w:val="superscript"/>
        </w:rPr>
        <w:t>ᵞ</w:t>
      </w:r>
      <w:r w:rsidRPr="006829B0">
        <w:rPr>
          <w:rFonts w:ascii="Arial" w:hAnsi="Arial" w:cs="Arial"/>
          <w:sz w:val="20"/>
          <w:szCs w:val="20"/>
        </w:rPr>
        <w:t>.</w:t>
      </w:r>
    </w:p>
    <w:p w:rsidR="00246597" w:rsidRPr="00294EE1" w:rsidRDefault="00246597" w:rsidP="00C55AC7">
      <w:pPr>
        <w:spacing w:after="0" w:line="240" w:lineRule="auto"/>
        <w:ind w:left="-567"/>
        <w:rPr>
          <w:rFonts w:ascii="Arial" w:hAnsi="Arial" w:cs="Arial"/>
          <w:sz w:val="20"/>
          <w:szCs w:val="20"/>
          <w:highlight w:val="yellow"/>
        </w:rPr>
      </w:pPr>
      <w:r>
        <w:rPr>
          <w:rFonts w:ascii="Arial" w:hAnsi="Arial" w:cs="Arial"/>
          <w:noProof/>
          <w:sz w:val="20"/>
          <w:szCs w:val="20"/>
          <w:lang w:eastAsia="en-AU"/>
        </w:rPr>
        <w:drawing>
          <wp:inline distT="0" distB="0" distL="0" distR="0" wp14:anchorId="67595BC0">
            <wp:extent cx="6667128" cy="2425147"/>
            <wp:effectExtent l="0" t="0" r="635" b="0"/>
            <wp:docPr id="10" name="Picture 10" descr="This figure shows outbreak cases of infectious syphilis between 1 January 2011 to 31 March 2017, notified in affected regions of Queensland, the Northern Territory and Western Australia."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3588" cy="2427497"/>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31 March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
        <w:tblW w:w="0" w:type="auto"/>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1"/>
        <w:gridCol w:w="1531"/>
        <w:gridCol w:w="1531"/>
        <w:gridCol w:w="1531"/>
        <w:gridCol w:w="1644"/>
      </w:tblGrid>
      <w:tr w:rsidR="00246597" w:rsidRPr="00195A95" w:rsidTr="00417EA4">
        <w:trPr>
          <w:tblHeader/>
        </w:trPr>
        <w:tc>
          <w:tcPr>
            <w:tcW w:w="4111" w:type="dxa"/>
            <w:tcBorders>
              <w:bottom w:val="single" w:sz="4" w:space="0" w:color="auto"/>
            </w:tcBorders>
          </w:tcPr>
          <w:p w:rsidR="00246597" w:rsidRPr="00195A95" w:rsidRDefault="00246597" w:rsidP="00CC0F5A">
            <w:pPr>
              <w:ind w:left="34" w:hanging="34"/>
              <w:rPr>
                <w:sz w:val="20"/>
                <w:szCs w:val="20"/>
              </w:rPr>
            </w:pPr>
          </w:p>
        </w:tc>
        <w:tc>
          <w:tcPr>
            <w:tcW w:w="1531" w:type="dxa"/>
            <w:tcBorders>
              <w:bottom w:val="single" w:sz="4" w:space="0" w:color="auto"/>
            </w:tcBorders>
            <w:shd w:val="clear" w:color="auto" w:fill="C6D9F1" w:themeFill="text2" w:themeFillTint="33"/>
          </w:tcPr>
          <w:p w:rsidR="00246597" w:rsidRPr="00195A95" w:rsidRDefault="00246597" w:rsidP="00CC0F5A">
            <w:pPr>
              <w:ind w:left="34" w:hanging="34"/>
              <w:jc w:val="center"/>
              <w:rPr>
                <w:b/>
                <w:sz w:val="20"/>
                <w:szCs w:val="20"/>
              </w:rPr>
            </w:pPr>
            <w:r w:rsidRPr="00195A95">
              <w:rPr>
                <w:b/>
                <w:sz w:val="20"/>
                <w:szCs w:val="20"/>
                <w:shd w:val="clear" w:color="auto" w:fill="C6D9F1" w:themeFill="text2" w:themeFillTint="33"/>
              </w:rPr>
              <w:t xml:space="preserve">North Qld </w:t>
            </w:r>
            <w:r>
              <w:rPr>
                <w:b/>
                <w:sz w:val="20"/>
                <w:szCs w:val="20"/>
                <w:shd w:val="clear" w:color="auto" w:fill="C6D9F1" w:themeFill="text2" w:themeFillTint="33"/>
              </w:rPr>
              <w:br/>
            </w:r>
            <w:r w:rsidRPr="00586082">
              <w:rPr>
                <w:sz w:val="14"/>
                <w:szCs w:val="20"/>
                <w:shd w:val="clear" w:color="auto" w:fill="C6D9F1" w:themeFill="text2" w:themeFillTint="33"/>
              </w:rPr>
              <w:t>(four HHSs</w:t>
            </w:r>
            <w:r w:rsidRPr="00586082">
              <w:rPr>
                <w:sz w:val="14"/>
                <w:szCs w:val="20"/>
                <w:shd w:val="clear" w:color="auto" w:fill="C6D9F1" w:themeFill="text2" w:themeFillTint="33"/>
                <w:vertAlign w:val="superscript"/>
              </w:rPr>
              <w:t>β</w:t>
            </w:r>
            <w:r w:rsidRPr="00586082">
              <w:rPr>
                <w:sz w:val="14"/>
                <w:szCs w:val="20"/>
              </w:rPr>
              <w:t>)</w:t>
            </w:r>
          </w:p>
        </w:tc>
        <w:tc>
          <w:tcPr>
            <w:tcW w:w="1531" w:type="dxa"/>
            <w:tcBorders>
              <w:bottom w:val="single" w:sz="4" w:space="0" w:color="auto"/>
            </w:tcBorders>
            <w:shd w:val="clear" w:color="auto" w:fill="DAEEF3" w:themeFill="accent5" w:themeFillTint="33"/>
          </w:tcPr>
          <w:p w:rsidR="00246597" w:rsidRPr="00195A95" w:rsidRDefault="00246597" w:rsidP="00CC0F5A">
            <w:pPr>
              <w:ind w:left="34" w:hanging="34"/>
              <w:jc w:val="center"/>
              <w:rPr>
                <w:b/>
                <w:sz w:val="20"/>
                <w:szCs w:val="20"/>
              </w:rPr>
            </w:pPr>
            <w:r w:rsidRPr="00195A95">
              <w:rPr>
                <w:b/>
                <w:sz w:val="20"/>
                <w:szCs w:val="20"/>
              </w:rPr>
              <w:t xml:space="preserve">NT </w:t>
            </w:r>
            <w:r>
              <w:rPr>
                <w:b/>
                <w:sz w:val="20"/>
                <w:szCs w:val="20"/>
              </w:rPr>
              <w:br/>
            </w:r>
            <w:r w:rsidRPr="00586082">
              <w:rPr>
                <w:sz w:val="14"/>
                <w:szCs w:val="20"/>
              </w:rPr>
              <w:t>(four regions</w:t>
            </w:r>
            <w:r w:rsidRPr="00586082">
              <w:rPr>
                <w:sz w:val="14"/>
                <w:szCs w:val="20"/>
                <w:vertAlign w:val="superscript"/>
              </w:rPr>
              <w:t xml:space="preserve"> β</w:t>
            </w:r>
            <w:r w:rsidRPr="00586082">
              <w:rPr>
                <w:sz w:val="14"/>
                <w:szCs w:val="20"/>
              </w:rPr>
              <w:t>)</w:t>
            </w:r>
          </w:p>
        </w:tc>
        <w:tc>
          <w:tcPr>
            <w:tcW w:w="1531" w:type="dxa"/>
            <w:tcBorders>
              <w:bottom w:val="single" w:sz="4" w:space="0" w:color="auto"/>
            </w:tcBorders>
            <w:shd w:val="clear" w:color="auto" w:fill="E5DFEC" w:themeFill="accent4" w:themeFillTint="33"/>
          </w:tcPr>
          <w:p w:rsidR="00246597" w:rsidRPr="00195A95" w:rsidRDefault="00246597" w:rsidP="00CC0F5A">
            <w:pPr>
              <w:ind w:left="34" w:hanging="34"/>
              <w:jc w:val="center"/>
              <w:rPr>
                <w:b/>
                <w:sz w:val="20"/>
                <w:szCs w:val="20"/>
              </w:rPr>
            </w:pPr>
            <w:r w:rsidRPr="00195A95">
              <w:rPr>
                <w:b/>
                <w:sz w:val="20"/>
                <w:szCs w:val="20"/>
              </w:rPr>
              <w:t>WA</w:t>
            </w:r>
            <w:r>
              <w:rPr>
                <w:b/>
                <w:sz w:val="20"/>
                <w:szCs w:val="20"/>
              </w:rPr>
              <w:br/>
            </w:r>
            <w:r w:rsidRPr="00586082">
              <w:rPr>
                <w:sz w:val="16"/>
                <w:szCs w:val="20"/>
              </w:rPr>
              <w:t xml:space="preserve"> </w:t>
            </w:r>
            <w:r w:rsidRPr="00586082">
              <w:rPr>
                <w:sz w:val="14"/>
                <w:szCs w:val="20"/>
              </w:rPr>
              <w:t>(Kimberley region)</w:t>
            </w:r>
          </w:p>
        </w:tc>
        <w:tc>
          <w:tcPr>
            <w:tcW w:w="1644" w:type="dxa"/>
            <w:tcBorders>
              <w:bottom w:val="single" w:sz="4" w:space="0" w:color="auto"/>
            </w:tcBorders>
            <w:shd w:val="clear" w:color="auto" w:fill="FBD4B4" w:themeFill="accent6" w:themeFillTint="66"/>
          </w:tcPr>
          <w:p w:rsidR="00246597" w:rsidRPr="00C019C3" w:rsidRDefault="00246597" w:rsidP="00CC0F5A">
            <w:pPr>
              <w:ind w:left="34" w:hanging="34"/>
              <w:jc w:val="center"/>
              <w:rPr>
                <w:b/>
                <w:sz w:val="20"/>
                <w:szCs w:val="20"/>
              </w:rPr>
            </w:pPr>
            <w:r w:rsidRPr="00C019C3">
              <w:rPr>
                <w:b/>
                <w:sz w:val="20"/>
                <w:szCs w:val="20"/>
              </w:rPr>
              <w:t>SA</w:t>
            </w:r>
          </w:p>
          <w:p w:rsidR="00246597" w:rsidRPr="00C019C3" w:rsidRDefault="00246597" w:rsidP="00427A81">
            <w:pPr>
              <w:ind w:left="34" w:hanging="34"/>
              <w:jc w:val="center"/>
              <w:rPr>
                <w:sz w:val="20"/>
                <w:szCs w:val="20"/>
              </w:rPr>
            </w:pPr>
            <w:r w:rsidRPr="00C019C3">
              <w:rPr>
                <w:sz w:val="14"/>
                <w:szCs w:val="20"/>
              </w:rPr>
              <w:t>(Western/Eyre region</w:t>
            </w:r>
            <w:r>
              <w:rPr>
                <w:sz w:val="14"/>
                <w:szCs w:val="20"/>
              </w:rPr>
              <w:t>s</w:t>
            </w:r>
            <w:r w:rsidRPr="00C019C3">
              <w:rPr>
                <w:sz w:val="14"/>
                <w:szCs w:val="20"/>
              </w:rPr>
              <w:t>)</w:t>
            </w:r>
          </w:p>
        </w:tc>
      </w:tr>
      <w:tr w:rsidR="00246597" w:rsidRPr="00195A95" w:rsidTr="00417EA4">
        <w:tc>
          <w:tcPr>
            <w:tcW w:w="4111" w:type="dxa"/>
            <w:tcBorders>
              <w:right w:val="nil"/>
            </w:tcBorders>
            <w:shd w:val="clear" w:color="auto" w:fill="B8CCE4" w:themeFill="accent1" w:themeFillTint="66"/>
          </w:tcPr>
          <w:p w:rsidR="00246597" w:rsidRPr="00195A95" w:rsidRDefault="00246597" w:rsidP="00427A81">
            <w:pPr>
              <w:ind w:left="34" w:hanging="34"/>
              <w:rPr>
                <w:sz w:val="20"/>
                <w:szCs w:val="20"/>
              </w:rPr>
            </w:pPr>
            <w:r w:rsidRPr="00195A95">
              <w:rPr>
                <w:sz w:val="20"/>
                <w:szCs w:val="20"/>
              </w:rPr>
              <w:t xml:space="preserve">Situation to-date, </w:t>
            </w:r>
            <w:r>
              <w:rPr>
                <w:sz w:val="20"/>
                <w:szCs w:val="20"/>
              </w:rPr>
              <w:t>31 March 2017</w:t>
            </w:r>
          </w:p>
        </w:tc>
        <w:tc>
          <w:tcPr>
            <w:tcW w:w="1531" w:type="dxa"/>
            <w:tcBorders>
              <w:left w:val="nil"/>
              <w:right w:val="nil"/>
            </w:tcBorders>
            <w:shd w:val="clear" w:color="auto" w:fill="B8CCE4" w:themeFill="accent1" w:themeFillTint="66"/>
          </w:tcPr>
          <w:p w:rsidR="00246597" w:rsidRPr="00195A95" w:rsidRDefault="00246597" w:rsidP="00CC0F5A">
            <w:pPr>
              <w:ind w:left="34" w:hanging="34"/>
              <w:rPr>
                <w:sz w:val="20"/>
                <w:szCs w:val="20"/>
                <w:highlight w:val="yellow"/>
              </w:rPr>
            </w:pPr>
          </w:p>
        </w:tc>
        <w:tc>
          <w:tcPr>
            <w:tcW w:w="1531" w:type="dxa"/>
            <w:tcBorders>
              <w:left w:val="nil"/>
              <w:right w:val="nil"/>
            </w:tcBorders>
            <w:shd w:val="clear" w:color="auto" w:fill="B8CCE4" w:themeFill="accent1" w:themeFillTint="66"/>
          </w:tcPr>
          <w:p w:rsidR="00246597" w:rsidRPr="00195A95" w:rsidRDefault="00246597" w:rsidP="00CC0F5A">
            <w:pPr>
              <w:ind w:left="34" w:hanging="34"/>
              <w:rPr>
                <w:sz w:val="20"/>
                <w:szCs w:val="20"/>
                <w:highlight w:val="yellow"/>
              </w:rPr>
            </w:pPr>
          </w:p>
        </w:tc>
        <w:tc>
          <w:tcPr>
            <w:tcW w:w="1531" w:type="dxa"/>
            <w:tcBorders>
              <w:left w:val="nil"/>
            </w:tcBorders>
            <w:shd w:val="clear" w:color="auto" w:fill="B8CCE4" w:themeFill="accent1" w:themeFillTint="66"/>
          </w:tcPr>
          <w:p w:rsidR="00246597" w:rsidRPr="00195A95" w:rsidRDefault="00246597" w:rsidP="00CC0F5A">
            <w:pPr>
              <w:ind w:left="34" w:hanging="34"/>
              <w:rPr>
                <w:sz w:val="20"/>
                <w:szCs w:val="20"/>
                <w:highlight w:val="yellow"/>
              </w:rPr>
            </w:pPr>
          </w:p>
        </w:tc>
        <w:tc>
          <w:tcPr>
            <w:tcW w:w="1644" w:type="dxa"/>
            <w:tcBorders>
              <w:left w:val="nil"/>
            </w:tcBorders>
            <w:shd w:val="clear" w:color="auto" w:fill="B8CCE4" w:themeFill="accent1" w:themeFillTint="66"/>
          </w:tcPr>
          <w:p w:rsidR="00246597" w:rsidRPr="00C019C3" w:rsidRDefault="00246597" w:rsidP="00CC0F5A">
            <w:pPr>
              <w:ind w:left="34" w:hanging="34"/>
              <w:rPr>
                <w:sz w:val="20"/>
                <w:szCs w:val="20"/>
              </w:rPr>
            </w:pPr>
          </w:p>
        </w:tc>
      </w:tr>
      <w:tr w:rsidR="00246597" w:rsidRPr="00195A95" w:rsidTr="00417EA4">
        <w:tc>
          <w:tcPr>
            <w:tcW w:w="4111" w:type="dxa"/>
          </w:tcPr>
          <w:p w:rsidR="00246597" w:rsidRPr="00195A95" w:rsidRDefault="00246597" w:rsidP="00CC0F5A">
            <w:pPr>
              <w:ind w:left="34" w:hanging="34"/>
              <w:rPr>
                <w:sz w:val="20"/>
                <w:szCs w:val="20"/>
              </w:rPr>
            </w:pPr>
            <w:r>
              <w:rPr>
                <w:sz w:val="20"/>
                <w:szCs w:val="20"/>
              </w:rPr>
              <w:t>Outbreak commencement month/year</w:t>
            </w:r>
          </w:p>
        </w:tc>
        <w:tc>
          <w:tcPr>
            <w:tcW w:w="1531" w:type="dxa"/>
            <w:shd w:val="clear" w:color="auto" w:fill="C6D9F1" w:themeFill="text2" w:themeFillTint="33"/>
            <w:vAlign w:val="center"/>
          </w:tcPr>
          <w:p w:rsidR="00246597" w:rsidRPr="00195A95" w:rsidRDefault="00246597" w:rsidP="00CC0F5A">
            <w:pPr>
              <w:ind w:left="34" w:hanging="34"/>
              <w:jc w:val="center"/>
              <w:rPr>
                <w:sz w:val="20"/>
                <w:szCs w:val="20"/>
              </w:rPr>
            </w:pPr>
            <w:r w:rsidRPr="00195A95">
              <w:rPr>
                <w:sz w:val="20"/>
                <w:szCs w:val="20"/>
              </w:rPr>
              <w:t>January 2011</w:t>
            </w:r>
          </w:p>
        </w:tc>
        <w:tc>
          <w:tcPr>
            <w:tcW w:w="1531" w:type="dxa"/>
            <w:shd w:val="clear" w:color="auto" w:fill="DAEEF3" w:themeFill="accent5" w:themeFillTint="33"/>
            <w:vAlign w:val="center"/>
          </w:tcPr>
          <w:p w:rsidR="00246597" w:rsidRPr="00195A95" w:rsidRDefault="00246597" w:rsidP="00CC0F5A">
            <w:pPr>
              <w:ind w:left="34" w:hanging="34"/>
              <w:jc w:val="center"/>
              <w:rPr>
                <w:sz w:val="20"/>
                <w:szCs w:val="20"/>
              </w:rPr>
            </w:pPr>
            <w:r w:rsidRPr="00195A95">
              <w:rPr>
                <w:sz w:val="20"/>
                <w:szCs w:val="20"/>
              </w:rPr>
              <w:t>July 2013</w:t>
            </w:r>
          </w:p>
        </w:tc>
        <w:tc>
          <w:tcPr>
            <w:tcW w:w="1531" w:type="dxa"/>
            <w:shd w:val="clear" w:color="auto" w:fill="E5DFEC" w:themeFill="accent4" w:themeFillTint="33"/>
            <w:vAlign w:val="center"/>
          </w:tcPr>
          <w:p w:rsidR="00246597" w:rsidRPr="00F8608E" w:rsidRDefault="00246597" w:rsidP="00CC0F5A">
            <w:pPr>
              <w:ind w:left="34" w:hanging="34"/>
              <w:jc w:val="center"/>
              <w:rPr>
                <w:sz w:val="20"/>
                <w:szCs w:val="20"/>
              </w:rPr>
            </w:pPr>
            <w:r w:rsidRPr="00F8608E">
              <w:rPr>
                <w:sz w:val="20"/>
                <w:szCs w:val="20"/>
              </w:rPr>
              <w:t>June 2014</w:t>
            </w:r>
          </w:p>
        </w:tc>
        <w:tc>
          <w:tcPr>
            <w:tcW w:w="1644" w:type="dxa"/>
            <w:shd w:val="clear" w:color="auto" w:fill="FBD4B4" w:themeFill="accent6" w:themeFillTint="66"/>
          </w:tcPr>
          <w:p w:rsidR="00246597" w:rsidRPr="00C019C3" w:rsidRDefault="00246597" w:rsidP="00CC0F5A">
            <w:pPr>
              <w:ind w:left="34" w:hanging="34"/>
              <w:jc w:val="center"/>
              <w:rPr>
                <w:sz w:val="20"/>
                <w:szCs w:val="20"/>
              </w:rPr>
            </w:pPr>
            <w:r w:rsidRPr="00C019C3">
              <w:rPr>
                <w:sz w:val="20"/>
                <w:szCs w:val="20"/>
              </w:rPr>
              <w:t>November 2016</w:t>
            </w:r>
          </w:p>
        </w:tc>
      </w:tr>
      <w:tr w:rsidR="00246597" w:rsidRPr="00195A95" w:rsidTr="00417EA4">
        <w:tc>
          <w:tcPr>
            <w:tcW w:w="4111" w:type="dxa"/>
          </w:tcPr>
          <w:p w:rsidR="00246597" w:rsidRPr="00195A95" w:rsidRDefault="00246597" w:rsidP="00CC0F5A">
            <w:pPr>
              <w:ind w:left="34" w:hanging="34"/>
              <w:rPr>
                <w:sz w:val="20"/>
                <w:szCs w:val="20"/>
              </w:rPr>
            </w:pPr>
            <w:r w:rsidRPr="00195A95">
              <w:rPr>
                <w:sz w:val="20"/>
                <w:szCs w:val="20"/>
              </w:rPr>
              <w:t>Total number of cases</w:t>
            </w:r>
            <w:r w:rsidRPr="00195A95">
              <w:rPr>
                <w:b/>
                <w:sz w:val="20"/>
                <w:szCs w:val="20"/>
                <w:vertAlign w:val="superscript"/>
              </w:rPr>
              <w:t xml:space="preserve"> </w:t>
            </w:r>
            <w:r w:rsidRPr="00195A95">
              <w:rPr>
                <w:sz w:val="20"/>
                <w:szCs w:val="20"/>
                <w:vertAlign w:val="superscript"/>
              </w:rPr>
              <w:t>α</w:t>
            </w:r>
          </w:p>
        </w:tc>
        <w:tc>
          <w:tcPr>
            <w:tcW w:w="1531" w:type="dxa"/>
            <w:shd w:val="clear" w:color="auto" w:fill="C6D9F1" w:themeFill="text2" w:themeFillTint="33"/>
            <w:vAlign w:val="center"/>
          </w:tcPr>
          <w:p w:rsidR="00246597" w:rsidRPr="00573ABB" w:rsidRDefault="00246597" w:rsidP="00427A81">
            <w:pPr>
              <w:ind w:left="34" w:hanging="34"/>
              <w:jc w:val="center"/>
              <w:rPr>
                <w:b/>
                <w:sz w:val="20"/>
                <w:szCs w:val="20"/>
                <w:highlight w:val="yellow"/>
                <w:vertAlign w:val="superscript"/>
              </w:rPr>
            </w:pPr>
            <w:r>
              <w:rPr>
                <w:b/>
                <w:sz w:val="20"/>
                <w:szCs w:val="20"/>
              </w:rPr>
              <w:t>808</w:t>
            </w:r>
          </w:p>
        </w:tc>
        <w:tc>
          <w:tcPr>
            <w:tcW w:w="1531" w:type="dxa"/>
            <w:shd w:val="clear" w:color="auto" w:fill="DAEEF3" w:themeFill="accent5" w:themeFillTint="33"/>
            <w:vAlign w:val="center"/>
          </w:tcPr>
          <w:p w:rsidR="00246597" w:rsidRPr="00573ABB" w:rsidRDefault="00246597" w:rsidP="00CC0F5A">
            <w:pPr>
              <w:ind w:left="34" w:hanging="34"/>
              <w:jc w:val="center"/>
              <w:rPr>
                <w:b/>
                <w:sz w:val="20"/>
                <w:szCs w:val="20"/>
              </w:rPr>
            </w:pPr>
            <w:r>
              <w:rPr>
                <w:b/>
                <w:sz w:val="20"/>
                <w:szCs w:val="20"/>
              </w:rPr>
              <w:t>471</w:t>
            </w:r>
          </w:p>
        </w:tc>
        <w:tc>
          <w:tcPr>
            <w:tcW w:w="1531" w:type="dxa"/>
            <w:shd w:val="clear" w:color="auto" w:fill="E5DFEC" w:themeFill="accent4" w:themeFillTint="33"/>
            <w:vAlign w:val="center"/>
          </w:tcPr>
          <w:p w:rsidR="00246597" w:rsidRPr="00573ABB" w:rsidRDefault="00246597" w:rsidP="00CC0F5A">
            <w:pPr>
              <w:ind w:left="34" w:hanging="34"/>
              <w:jc w:val="center"/>
              <w:rPr>
                <w:b/>
                <w:sz w:val="20"/>
                <w:szCs w:val="20"/>
              </w:rPr>
            </w:pPr>
            <w:r>
              <w:rPr>
                <w:b/>
                <w:sz w:val="20"/>
                <w:szCs w:val="20"/>
              </w:rPr>
              <w:t>116</w:t>
            </w:r>
          </w:p>
        </w:tc>
        <w:tc>
          <w:tcPr>
            <w:tcW w:w="1644" w:type="dxa"/>
            <w:shd w:val="clear" w:color="auto" w:fill="FBD4B4" w:themeFill="accent6" w:themeFillTint="66"/>
          </w:tcPr>
          <w:p w:rsidR="00246597" w:rsidRPr="00C019C3" w:rsidRDefault="00246597" w:rsidP="00CC0F5A">
            <w:pPr>
              <w:ind w:left="34" w:hanging="34"/>
              <w:jc w:val="center"/>
              <w:rPr>
                <w:b/>
                <w:sz w:val="20"/>
                <w:szCs w:val="20"/>
              </w:rPr>
            </w:pPr>
            <w:r w:rsidRPr="00C019C3">
              <w:rPr>
                <w:b/>
                <w:sz w:val="20"/>
                <w:szCs w:val="20"/>
              </w:rPr>
              <w:t>11</w:t>
            </w:r>
          </w:p>
        </w:tc>
      </w:tr>
      <w:tr w:rsidR="00246597" w:rsidRPr="00195A95" w:rsidTr="00417EA4">
        <w:tc>
          <w:tcPr>
            <w:tcW w:w="4111" w:type="dxa"/>
          </w:tcPr>
          <w:p w:rsidR="00246597" w:rsidRPr="00195A95" w:rsidRDefault="00246597" w:rsidP="00CC0F5A">
            <w:pPr>
              <w:ind w:left="34" w:hanging="34"/>
              <w:rPr>
                <w:sz w:val="20"/>
                <w:szCs w:val="20"/>
              </w:rPr>
            </w:pPr>
            <w:r w:rsidRPr="00195A95">
              <w:rPr>
                <w:sz w:val="20"/>
                <w:szCs w:val="20"/>
              </w:rPr>
              <w:t>Percent cases reported in 15-29 year age group</w:t>
            </w:r>
          </w:p>
        </w:tc>
        <w:tc>
          <w:tcPr>
            <w:tcW w:w="1531" w:type="dxa"/>
            <w:shd w:val="clear" w:color="auto" w:fill="C6D9F1" w:themeFill="text2" w:themeFillTint="33"/>
            <w:vAlign w:val="center"/>
          </w:tcPr>
          <w:p w:rsidR="00246597" w:rsidRPr="00427A81" w:rsidRDefault="00246597" w:rsidP="00CC0F5A">
            <w:pPr>
              <w:ind w:left="34" w:hanging="34"/>
              <w:jc w:val="center"/>
              <w:rPr>
                <w:sz w:val="20"/>
                <w:szCs w:val="20"/>
              </w:rPr>
            </w:pPr>
            <w:r w:rsidRPr="00427A81">
              <w:rPr>
                <w:sz w:val="20"/>
                <w:szCs w:val="20"/>
              </w:rPr>
              <w:t>69%</w:t>
            </w:r>
          </w:p>
        </w:tc>
        <w:tc>
          <w:tcPr>
            <w:tcW w:w="1531" w:type="dxa"/>
            <w:shd w:val="clear" w:color="auto" w:fill="DAEEF3" w:themeFill="accent5" w:themeFillTint="33"/>
            <w:vAlign w:val="center"/>
          </w:tcPr>
          <w:p w:rsidR="00246597" w:rsidRPr="00573ABB" w:rsidRDefault="00246597" w:rsidP="00CC0F5A">
            <w:pPr>
              <w:ind w:left="34" w:hanging="34"/>
              <w:jc w:val="center"/>
              <w:rPr>
                <w:sz w:val="20"/>
                <w:szCs w:val="20"/>
              </w:rPr>
            </w:pPr>
            <w:r>
              <w:rPr>
                <w:sz w:val="20"/>
                <w:szCs w:val="20"/>
              </w:rPr>
              <w:t>77%</w:t>
            </w:r>
          </w:p>
        </w:tc>
        <w:tc>
          <w:tcPr>
            <w:tcW w:w="1531" w:type="dxa"/>
            <w:shd w:val="clear" w:color="auto" w:fill="E5DFEC" w:themeFill="accent4" w:themeFillTint="33"/>
            <w:vAlign w:val="center"/>
          </w:tcPr>
          <w:p w:rsidR="00246597" w:rsidRPr="00573ABB" w:rsidRDefault="00246597" w:rsidP="00CC0F5A">
            <w:pPr>
              <w:ind w:left="34" w:hanging="34"/>
              <w:jc w:val="center"/>
              <w:rPr>
                <w:sz w:val="20"/>
                <w:szCs w:val="20"/>
              </w:rPr>
            </w:pPr>
            <w:r>
              <w:rPr>
                <w:sz w:val="20"/>
                <w:szCs w:val="20"/>
              </w:rPr>
              <w:t>68%</w:t>
            </w:r>
          </w:p>
        </w:tc>
        <w:tc>
          <w:tcPr>
            <w:tcW w:w="1644" w:type="dxa"/>
            <w:shd w:val="clear" w:color="auto" w:fill="FBD4B4" w:themeFill="accent6" w:themeFillTint="66"/>
          </w:tcPr>
          <w:p w:rsidR="00246597" w:rsidRPr="00C019C3" w:rsidRDefault="00246597" w:rsidP="00CC0F5A">
            <w:pPr>
              <w:ind w:left="34" w:hanging="34"/>
              <w:jc w:val="center"/>
              <w:rPr>
                <w:sz w:val="20"/>
                <w:szCs w:val="20"/>
              </w:rPr>
            </w:pPr>
            <w:r>
              <w:rPr>
                <w:sz w:val="20"/>
                <w:szCs w:val="20"/>
              </w:rPr>
              <w:t>64</w:t>
            </w:r>
            <w:r w:rsidRPr="00C019C3">
              <w:rPr>
                <w:sz w:val="20"/>
                <w:szCs w:val="20"/>
              </w:rPr>
              <w:t>%</w:t>
            </w:r>
          </w:p>
        </w:tc>
      </w:tr>
      <w:tr w:rsidR="00246597" w:rsidRPr="00195A95" w:rsidTr="00417EA4">
        <w:tc>
          <w:tcPr>
            <w:tcW w:w="4111" w:type="dxa"/>
          </w:tcPr>
          <w:p w:rsidR="00246597" w:rsidRPr="00195A95" w:rsidRDefault="00246597" w:rsidP="00CC0F5A">
            <w:pPr>
              <w:ind w:left="34" w:hanging="34"/>
              <w:rPr>
                <w:sz w:val="20"/>
                <w:szCs w:val="20"/>
              </w:rPr>
            </w:pPr>
            <w:r w:rsidRPr="00195A95">
              <w:rPr>
                <w:sz w:val="20"/>
                <w:szCs w:val="20"/>
              </w:rPr>
              <w:t>% Male / % Female</w:t>
            </w:r>
          </w:p>
        </w:tc>
        <w:tc>
          <w:tcPr>
            <w:tcW w:w="1531" w:type="dxa"/>
            <w:shd w:val="clear" w:color="auto" w:fill="C6D9F1" w:themeFill="text2" w:themeFillTint="33"/>
            <w:vAlign w:val="center"/>
          </w:tcPr>
          <w:p w:rsidR="00246597" w:rsidRPr="00427A81" w:rsidRDefault="00246597" w:rsidP="00CC0F5A">
            <w:pPr>
              <w:ind w:left="34" w:hanging="34"/>
              <w:jc w:val="center"/>
              <w:rPr>
                <w:sz w:val="20"/>
                <w:szCs w:val="20"/>
              </w:rPr>
            </w:pPr>
            <w:r w:rsidRPr="00427A81">
              <w:rPr>
                <w:sz w:val="20"/>
                <w:szCs w:val="20"/>
              </w:rPr>
              <w:t>49% / 51%</w:t>
            </w:r>
          </w:p>
        </w:tc>
        <w:tc>
          <w:tcPr>
            <w:tcW w:w="1531" w:type="dxa"/>
            <w:shd w:val="clear" w:color="auto" w:fill="DAEEF3" w:themeFill="accent5" w:themeFillTint="33"/>
            <w:vAlign w:val="center"/>
          </w:tcPr>
          <w:p w:rsidR="00246597" w:rsidRPr="00573ABB" w:rsidRDefault="00246597" w:rsidP="00CC0F5A">
            <w:pPr>
              <w:ind w:left="34" w:hanging="34"/>
              <w:jc w:val="center"/>
              <w:rPr>
                <w:sz w:val="20"/>
                <w:szCs w:val="20"/>
              </w:rPr>
            </w:pPr>
            <w:r>
              <w:rPr>
                <w:sz w:val="20"/>
                <w:szCs w:val="20"/>
              </w:rPr>
              <w:t>45% / 55%</w:t>
            </w:r>
          </w:p>
        </w:tc>
        <w:tc>
          <w:tcPr>
            <w:tcW w:w="1531" w:type="dxa"/>
            <w:shd w:val="clear" w:color="auto" w:fill="E5DFEC" w:themeFill="accent4" w:themeFillTint="33"/>
            <w:vAlign w:val="center"/>
          </w:tcPr>
          <w:p w:rsidR="00246597" w:rsidRPr="004B60D9" w:rsidRDefault="00246597" w:rsidP="00CC0F5A">
            <w:pPr>
              <w:ind w:left="34" w:hanging="34"/>
              <w:jc w:val="center"/>
              <w:rPr>
                <w:sz w:val="20"/>
                <w:szCs w:val="20"/>
              </w:rPr>
            </w:pPr>
            <w:r w:rsidRPr="004B60D9">
              <w:rPr>
                <w:sz w:val="20"/>
                <w:szCs w:val="20"/>
              </w:rPr>
              <w:t>34% / 66%</w:t>
            </w:r>
          </w:p>
        </w:tc>
        <w:tc>
          <w:tcPr>
            <w:tcW w:w="1644" w:type="dxa"/>
            <w:shd w:val="clear" w:color="auto" w:fill="FBD4B4" w:themeFill="accent6" w:themeFillTint="66"/>
          </w:tcPr>
          <w:p w:rsidR="00246597" w:rsidRPr="00C019C3" w:rsidRDefault="00246597" w:rsidP="007F509F">
            <w:pPr>
              <w:ind w:left="34" w:hanging="34"/>
              <w:jc w:val="center"/>
              <w:rPr>
                <w:sz w:val="20"/>
                <w:szCs w:val="20"/>
              </w:rPr>
            </w:pPr>
            <w:r w:rsidRPr="00C019C3">
              <w:rPr>
                <w:sz w:val="20"/>
                <w:szCs w:val="20"/>
              </w:rPr>
              <w:t>55% /45%</w:t>
            </w:r>
          </w:p>
        </w:tc>
      </w:tr>
      <w:tr w:rsidR="00246597" w:rsidRPr="00195A95" w:rsidTr="00417EA4">
        <w:tc>
          <w:tcPr>
            <w:tcW w:w="4111" w:type="dxa"/>
          </w:tcPr>
          <w:p w:rsidR="00246597" w:rsidRPr="00195A95" w:rsidRDefault="00246597" w:rsidP="00CC0F5A">
            <w:pPr>
              <w:ind w:left="34" w:hanging="34"/>
              <w:rPr>
                <w:sz w:val="20"/>
                <w:szCs w:val="20"/>
              </w:rPr>
            </w:pPr>
            <w:r w:rsidRPr="00195A95">
              <w:rPr>
                <w:sz w:val="20"/>
                <w:szCs w:val="20"/>
              </w:rPr>
              <w:t>Congenital cases, confirmed (probable)</w:t>
            </w:r>
          </w:p>
        </w:tc>
        <w:tc>
          <w:tcPr>
            <w:tcW w:w="1531" w:type="dxa"/>
            <w:shd w:val="clear" w:color="auto" w:fill="C6D9F1" w:themeFill="text2" w:themeFillTint="33"/>
            <w:vAlign w:val="center"/>
          </w:tcPr>
          <w:p w:rsidR="00246597" w:rsidRPr="00427A81" w:rsidRDefault="00246597" w:rsidP="00CC0F5A">
            <w:pPr>
              <w:ind w:left="34" w:hanging="34"/>
              <w:jc w:val="center"/>
              <w:rPr>
                <w:sz w:val="20"/>
                <w:szCs w:val="20"/>
              </w:rPr>
            </w:pPr>
            <w:r w:rsidRPr="00427A81">
              <w:rPr>
                <w:sz w:val="20"/>
                <w:szCs w:val="20"/>
              </w:rPr>
              <w:t>3 (2)</w:t>
            </w:r>
          </w:p>
        </w:tc>
        <w:tc>
          <w:tcPr>
            <w:tcW w:w="1531" w:type="dxa"/>
            <w:shd w:val="clear" w:color="auto" w:fill="DAEEF3" w:themeFill="accent5" w:themeFillTint="33"/>
            <w:vAlign w:val="center"/>
          </w:tcPr>
          <w:p w:rsidR="00246597" w:rsidRPr="00573ABB" w:rsidRDefault="00246597" w:rsidP="00CC0F5A">
            <w:pPr>
              <w:ind w:left="34" w:hanging="34"/>
              <w:jc w:val="center"/>
              <w:rPr>
                <w:sz w:val="20"/>
                <w:szCs w:val="20"/>
              </w:rPr>
            </w:pPr>
            <w:r>
              <w:rPr>
                <w:sz w:val="20"/>
                <w:szCs w:val="20"/>
              </w:rPr>
              <w:t>1 (2)</w:t>
            </w:r>
          </w:p>
        </w:tc>
        <w:tc>
          <w:tcPr>
            <w:tcW w:w="1531" w:type="dxa"/>
            <w:shd w:val="clear" w:color="auto" w:fill="E5DFEC" w:themeFill="accent4" w:themeFillTint="33"/>
            <w:vAlign w:val="center"/>
          </w:tcPr>
          <w:p w:rsidR="00246597" w:rsidRPr="00573ABB" w:rsidRDefault="00246597" w:rsidP="00CC0F5A">
            <w:pPr>
              <w:ind w:left="34" w:hanging="34"/>
              <w:jc w:val="center"/>
              <w:rPr>
                <w:sz w:val="20"/>
                <w:szCs w:val="20"/>
              </w:rPr>
            </w:pPr>
            <w:r>
              <w:rPr>
                <w:sz w:val="20"/>
                <w:szCs w:val="20"/>
              </w:rPr>
              <w:t>0 (0)</w:t>
            </w:r>
          </w:p>
        </w:tc>
        <w:tc>
          <w:tcPr>
            <w:tcW w:w="1644" w:type="dxa"/>
            <w:shd w:val="clear" w:color="auto" w:fill="FBD4B4" w:themeFill="accent6" w:themeFillTint="66"/>
          </w:tcPr>
          <w:p w:rsidR="00246597" w:rsidRPr="00C019C3" w:rsidRDefault="00246597" w:rsidP="00CC0F5A">
            <w:pPr>
              <w:ind w:left="34" w:hanging="34"/>
              <w:jc w:val="center"/>
              <w:rPr>
                <w:sz w:val="20"/>
                <w:szCs w:val="20"/>
              </w:rPr>
            </w:pPr>
            <w:r w:rsidRPr="00C019C3">
              <w:rPr>
                <w:sz w:val="20"/>
                <w:szCs w:val="20"/>
              </w:rPr>
              <w:t>1 (0)</w:t>
            </w:r>
          </w:p>
        </w:tc>
      </w:tr>
      <w:tr w:rsidR="00246597" w:rsidRPr="00195A95" w:rsidTr="00417EA4">
        <w:tc>
          <w:tcPr>
            <w:tcW w:w="4111" w:type="dxa"/>
            <w:tcBorders>
              <w:bottom w:val="single" w:sz="4" w:space="0" w:color="auto"/>
            </w:tcBorders>
            <w:shd w:val="clear" w:color="auto" w:fill="auto"/>
          </w:tcPr>
          <w:p w:rsidR="00246597" w:rsidRPr="00195A95" w:rsidRDefault="00246597" w:rsidP="00CC0F5A">
            <w:pPr>
              <w:ind w:left="34" w:hanging="34"/>
              <w:rPr>
                <w:sz w:val="20"/>
                <w:szCs w:val="20"/>
              </w:rPr>
            </w:pPr>
            <w:r w:rsidRPr="00195A95">
              <w:rPr>
                <w:sz w:val="20"/>
                <w:szCs w:val="20"/>
              </w:rPr>
              <w:t xml:space="preserve">   -number of deaths in congenital cases</w:t>
            </w:r>
          </w:p>
        </w:tc>
        <w:tc>
          <w:tcPr>
            <w:tcW w:w="1531" w:type="dxa"/>
            <w:tcBorders>
              <w:bottom w:val="single" w:sz="4" w:space="0" w:color="auto"/>
            </w:tcBorders>
            <w:shd w:val="clear" w:color="auto" w:fill="C6D9F1" w:themeFill="text2" w:themeFillTint="33"/>
            <w:vAlign w:val="center"/>
          </w:tcPr>
          <w:p w:rsidR="00246597" w:rsidRPr="00427A81" w:rsidRDefault="00246597" w:rsidP="00CC0F5A">
            <w:pPr>
              <w:ind w:left="34" w:hanging="34"/>
              <w:jc w:val="center"/>
              <w:rPr>
                <w:sz w:val="20"/>
                <w:szCs w:val="20"/>
              </w:rPr>
            </w:pPr>
            <w:r w:rsidRPr="00427A81">
              <w:rPr>
                <w:sz w:val="20"/>
                <w:szCs w:val="20"/>
              </w:rPr>
              <w:t>4</w:t>
            </w:r>
          </w:p>
        </w:tc>
        <w:tc>
          <w:tcPr>
            <w:tcW w:w="1531" w:type="dxa"/>
            <w:tcBorders>
              <w:bottom w:val="single" w:sz="4" w:space="0" w:color="auto"/>
            </w:tcBorders>
            <w:shd w:val="clear" w:color="auto" w:fill="DAEEF3" w:themeFill="accent5" w:themeFillTint="33"/>
            <w:vAlign w:val="center"/>
          </w:tcPr>
          <w:p w:rsidR="00246597" w:rsidRPr="00573ABB" w:rsidRDefault="00246597" w:rsidP="00CC0F5A">
            <w:pPr>
              <w:ind w:left="34" w:hanging="34"/>
              <w:jc w:val="center"/>
              <w:rPr>
                <w:sz w:val="20"/>
                <w:szCs w:val="20"/>
              </w:rPr>
            </w:pPr>
            <w:r>
              <w:rPr>
                <w:sz w:val="20"/>
                <w:szCs w:val="20"/>
              </w:rPr>
              <w:t>0</w:t>
            </w:r>
          </w:p>
        </w:tc>
        <w:tc>
          <w:tcPr>
            <w:tcW w:w="1531" w:type="dxa"/>
            <w:tcBorders>
              <w:bottom w:val="single" w:sz="4" w:space="0" w:color="auto"/>
            </w:tcBorders>
            <w:shd w:val="clear" w:color="auto" w:fill="E5DFEC" w:themeFill="accent4" w:themeFillTint="33"/>
            <w:vAlign w:val="center"/>
          </w:tcPr>
          <w:p w:rsidR="00246597" w:rsidRPr="00573ABB" w:rsidRDefault="00246597" w:rsidP="00CC0F5A">
            <w:pPr>
              <w:ind w:left="34" w:hanging="34"/>
              <w:jc w:val="center"/>
              <w:rPr>
                <w:sz w:val="20"/>
                <w:szCs w:val="20"/>
              </w:rPr>
            </w:pPr>
            <w:r>
              <w:rPr>
                <w:sz w:val="20"/>
                <w:szCs w:val="20"/>
              </w:rPr>
              <w:t>0</w:t>
            </w:r>
          </w:p>
        </w:tc>
        <w:tc>
          <w:tcPr>
            <w:tcW w:w="1644" w:type="dxa"/>
            <w:tcBorders>
              <w:bottom w:val="single" w:sz="4" w:space="0" w:color="auto"/>
            </w:tcBorders>
            <w:shd w:val="clear" w:color="auto" w:fill="FBD4B4" w:themeFill="accent6" w:themeFillTint="66"/>
          </w:tcPr>
          <w:p w:rsidR="00246597" w:rsidRPr="00C019C3" w:rsidRDefault="00246597" w:rsidP="00CC0F5A">
            <w:pPr>
              <w:ind w:left="34" w:hanging="34"/>
              <w:jc w:val="center"/>
              <w:rPr>
                <w:sz w:val="20"/>
                <w:szCs w:val="20"/>
              </w:rPr>
            </w:pPr>
            <w:r w:rsidRPr="00C019C3">
              <w:rPr>
                <w:sz w:val="20"/>
                <w:szCs w:val="20"/>
              </w:rPr>
              <w:t>0</w:t>
            </w:r>
          </w:p>
        </w:tc>
      </w:tr>
      <w:tr w:rsidR="00246597" w:rsidRPr="00195A95" w:rsidTr="00417EA4">
        <w:tc>
          <w:tcPr>
            <w:tcW w:w="4111" w:type="dxa"/>
            <w:tcBorders>
              <w:right w:val="nil"/>
            </w:tcBorders>
            <w:shd w:val="clear" w:color="auto" w:fill="B8CCE4" w:themeFill="accent1" w:themeFillTint="66"/>
            <w:vAlign w:val="center"/>
          </w:tcPr>
          <w:p w:rsidR="00246597" w:rsidRPr="00B35B4A" w:rsidRDefault="00246597" w:rsidP="00427A81">
            <w:pPr>
              <w:ind w:left="34" w:hanging="34"/>
              <w:rPr>
                <w:sz w:val="20"/>
                <w:szCs w:val="20"/>
              </w:rPr>
            </w:pPr>
            <w:r w:rsidRPr="00195A95">
              <w:rPr>
                <w:sz w:val="20"/>
                <w:szCs w:val="20"/>
              </w:rPr>
              <w:t xml:space="preserve">Last reporting month, </w:t>
            </w:r>
            <w:r>
              <w:rPr>
                <w:sz w:val="20"/>
                <w:szCs w:val="20"/>
              </w:rPr>
              <w:t>1–31 March 2017</w:t>
            </w:r>
          </w:p>
        </w:tc>
        <w:tc>
          <w:tcPr>
            <w:tcW w:w="1531" w:type="dxa"/>
            <w:tcBorders>
              <w:left w:val="nil"/>
              <w:right w:val="nil"/>
            </w:tcBorders>
            <w:shd w:val="clear" w:color="auto" w:fill="B8CCE4" w:themeFill="accent1" w:themeFillTint="66"/>
            <w:vAlign w:val="center"/>
          </w:tcPr>
          <w:p w:rsidR="00246597" w:rsidRPr="00427A81" w:rsidRDefault="00246597" w:rsidP="00CC0F5A">
            <w:pPr>
              <w:ind w:left="34" w:hanging="34"/>
              <w:rPr>
                <w:color w:val="FF0000"/>
                <w:sz w:val="20"/>
                <w:szCs w:val="20"/>
              </w:rPr>
            </w:pPr>
          </w:p>
        </w:tc>
        <w:tc>
          <w:tcPr>
            <w:tcW w:w="1531" w:type="dxa"/>
            <w:tcBorders>
              <w:left w:val="nil"/>
              <w:right w:val="nil"/>
            </w:tcBorders>
            <w:shd w:val="clear" w:color="auto" w:fill="B8CCE4" w:themeFill="accent1" w:themeFillTint="66"/>
            <w:vAlign w:val="center"/>
          </w:tcPr>
          <w:p w:rsidR="00246597" w:rsidRPr="00573ABB" w:rsidRDefault="00246597" w:rsidP="00CC0F5A">
            <w:pPr>
              <w:ind w:left="34" w:hanging="34"/>
              <w:rPr>
                <w:color w:val="FF0000"/>
                <w:sz w:val="20"/>
                <w:szCs w:val="20"/>
                <w:highlight w:val="yellow"/>
              </w:rPr>
            </w:pPr>
          </w:p>
        </w:tc>
        <w:tc>
          <w:tcPr>
            <w:tcW w:w="1531" w:type="dxa"/>
            <w:tcBorders>
              <w:left w:val="nil"/>
            </w:tcBorders>
            <w:shd w:val="clear" w:color="auto" w:fill="B8CCE4" w:themeFill="accent1" w:themeFillTint="66"/>
            <w:vAlign w:val="center"/>
          </w:tcPr>
          <w:p w:rsidR="00246597" w:rsidRPr="00573ABB" w:rsidRDefault="00246597" w:rsidP="00CC0F5A">
            <w:pPr>
              <w:ind w:left="34" w:hanging="34"/>
              <w:rPr>
                <w:color w:val="FF0000"/>
                <w:sz w:val="20"/>
                <w:szCs w:val="20"/>
                <w:highlight w:val="yellow"/>
              </w:rPr>
            </w:pPr>
          </w:p>
        </w:tc>
        <w:tc>
          <w:tcPr>
            <w:tcW w:w="1644" w:type="dxa"/>
            <w:tcBorders>
              <w:left w:val="nil"/>
            </w:tcBorders>
            <w:shd w:val="clear" w:color="auto" w:fill="B8CCE4" w:themeFill="accent1" w:themeFillTint="66"/>
          </w:tcPr>
          <w:p w:rsidR="00246597" w:rsidRPr="00C019C3" w:rsidRDefault="00246597" w:rsidP="00CC0F5A">
            <w:pPr>
              <w:ind w:left="34" w:hanging="34"/>
              <w:rPr>
                <w:sz w:val="20"/>
                <w:szCs w:val="20"/>
              </w:rPr>
            </w:pPr>
          </w:p>
        </w:tc>
      </w:tr>
      <w:tr w:rsidR="00246597" w:rsidRPr="00195A95" w:rsidTr="00417EA4">
        <w:tc>
          <w:tcPr>
            <w:tcW w:w="4111" w:type="dxa"/>
          </w:tcPr>
          <w:p w:rsidR="00246597" w:rsidRPr="00195A95" w:rsidRDefault="00246597" w:rsidP="00CC0F5A">
            <w:pPr>
              <w:ind w:left="34" w:hanging="34"/>
              <w:rPr>
                <w:sz w:val="20"/>
                <w:szCs w:val="20"/>
              </w:rPr>
            </w:pPr>
            <w:r w:rsidRPr="00195A95">
              <w:rPr>
                <w:sz w:val="20"/>
                <w:szCs w:val="20"/>
              </w:rPr>
              <w:t>Number of cases</w:t>
            </w:r>
            <w:r w:rsidRPr="00195A95">
              <w:rPr>
                <w:b/>
                <w:sz w:val="20"/>
                <w:szCs w:val="20"/>
                <w:vertAlign w:val="superscript"/>
              </w:rPr>
              <w:t xml:space="preserve"> </w:t>
            </w:r>
            <w:r w:rsidRPr="00195A95">
              <w:rPr>
                <w:sz w:val="20"/>
                <w:szCs w:val="20"/>
                <w:vertAlign w:val="superscript"/>
              </w:rPr>
              <w:t>α</w:t>
            </w:r>
          </w:p>
        </w:tc>
        <w:tc>
          <w:tcPr>
            <w:tcW w:w="1531" w:type="dxa"/>
            <w:tcBorders>
              <w:bottom w:val="single" w:sz="4" w:space="0" w:color="auto"/>
            </w:tcBorders>
            <w:shd w:val="clear" w:color="auto" w:fill="C6D9F1" w:themeFill="text2" w:themeFillTint="33"/>
            <w:vAlign w:val="center"/>
          </w:tcPr>
          <w:p w:rsidR="00246597" w:rsidRPr="00427A81" w:rsidRDefault="00246597" w:rsidP="00CC0F5A">
            <w:pPr>
              <w:ind w:left="34" w:hanging="34"/>
              <w:jc w:val="center"/>
              <w:rPr>
                <w:b/>
                <w:sz w:val="20"/>
                <w:szCs w:val="20"/>
              </w:rPr>
            </w:pPr>
            <w:r w:rsidRPr="00427A81">
              <w:rPr>
                <w:b/>
                <w:sz w:val="20"/>
                <w:szCs w:val="20"/>
              </w:rPr>
              <w:t>33</w:t>
            </w:r>
          </w:p>
        </w:tc>
        <w:tc>
          <w:tcPr>
            <w:tcW w:w="1531" w:type="dxa"/>
            <w:shd w:val="clear" w:color="auto" w:fill="DAEEF3" w:themeFill="accent5" w:themeFillTint="33"/>
            <w:vAlign w:val="center"/>
          </w:tcPr>
          <w:p w:rsidR="00246597" w:rsidRPr="00573ABB" w:rsidRDefault="00246597" w:rsidP="00CC0F5A">
            <w:pPr>
              <w:ind w:left="34" w:hanging="34"/>
              <w:jc w:val="center"/>
              <w:rPr>
                <w:b/>
                <w:sz w:val="20"/>
                <w:szCs w:val="20"/>
              </w:rPr>
            </w:pPr>
            <w:r>
              <w:rPr>
                <w:b/>
                <w:sz w:val="20"/>
                <w:szCs w:val="20"/>
              </w:rPr>
              <w:t>18</w:t>
            </w:r>
          </w:p>
        </w:tc>
        <w:tc>
          <w:tcPr>
            <w:tcW w:w="1531" w:type="dxa"/>
            <w:shd w:val="clear" w:color="auto" w:fill="E5DFEC" w:themeFill="accent4" w:themeFillTint="33"/>
            <w:vAlign w:val="center"/>
          </w:tcPr>
          <w:p w:rsidR="00246597" w:rsidRPr="00573ABB" w:rsidRDefault="00246597" w:rsidP="00CC0F5A">
            <w:pPr>
              <w:ind w:left="34" w:hanging="34"/>
              <w:jc w:val="center"/>
              <w:rPr>
                <w:b/>
                <w:sz w:val="20"/>
                <w:szCs w:val="20"/>
              </w:rPr>
            </w:pPr>
            <w:r>
              <w:rPr>
                <w:b/>
                <w:sz w:val="20"/>
                <w:szCs w:val="20"/>
              </w:rPr>
              <w:t>15</w:t>
            </w:r>
          </w:p>
        </w:tc>
        <w:tc>
          <w:tcPr>
            <w:tcW w:w="1644" w:type="dxa"/>
            <w:shd w:val="clear" w:color="auto" w:fill="FBD4B4" w:themeFill="accent6" w:themeFillTint="66"/>
          </w:tcPr>
          <w:p w:rsidR="00246597" w:rsidRPr="00C019C3" w:rsidRDefault="00246597" w:rsidP="00CC0F5A">
            <w:pPr>
              <w:ind w:left="34" w:hanging="34"/>
              <w:jc w:val="center"/>
              <w:rPr>
                <w:b/>
                <w:sz w:val="20"/>
                <w:szCs w:val="20"/>
              </w:rPr>
            </w:pPr>
            <w:r w:rsidRPr="00C019C3">
              <w:rPr>
                <w:b/>
                <w:sz w:val="20"/>
                <w:szCs w:val="20"/>
              </w:rPr>
              <w:t>4</w:t>
            </w:r>
          </w:p>
        </w:tc>
      </w:tr>
      <w:tr w:rsidR="00246597" w:rsidRPr="00195A95" w:rsidTr="00417EA4">
        <w:tc>
          <w:tcPr>
            <w:tcW w:w="4111" w:type="dxa"/>
          </w:tcPr>
          <w:p w:rsidR="00246597" w:rsidRPr="00195A95" w:rsidRDefault="00246597" w:rsidP="00CC0F5A">
            <w:pPr>
              <w:ind w:left="34" w:hanging="34"/>
              <w:rPr>
                <w:sz w:val="20"/>
                <w:szCs w:val="20"/>
              </w:rPr>
            </w:pPr>
            <w:r w:rsidRPr="00195A95">
              <w:rPr>
                <w:sz w:val="20"/>
                <w:szCs w:val="20"/>
              </w:rPr>
              <w:t>Percent cases reported in 15-29 year age group</w:t>
            </w:r>
          </w:p>
        </w:tc>
        <w:tc>
          <w:tcPr>
            <w:tcW w:w="1531" w:type="dxa"/>
            <w:shd w:val="clear" w:color="auto" w:fill="C6D9F1" w:themeFill="text2" w:themeFillTint="33"/>
            <w:vAlign w:val="center"/>
          </w:tcPr>
          <w:p w:rsidR="00246597" w:rsidRPr="00427A81" w:rsidRDefault="00246597" w:rsidP="00CC0F5A">
            <w:pPr>
              <w:jc w:val="center"/>
              <w:rPr>
                <w:sz w:val="20"/>
                <w:szCs w:val="20"/>
              </w:rPr>
            </w:pPr>
            <w:r w:rsidRPr="00427A81">
              <w:rPr>
                <w:sz w:val="20"/>
                <w:szCs w:val="20"/>
              </w:rPr>
              <w:t>76%</w:t>
            </w:r>
          </w:p>
        </w:tc>
        <w:tc>
          <w:tcPr>
            <w:tcW w:w="1531" w:type="dxa"/>
            <w:shd w:val="clear" w:color="auto" w:fill="DAEEF3" w:themeFill="accent5" w:themeFillTint="33"/>
            <w:vAlign w:val="center"/>
          </w:tcPr>
          <w:p w:rsidR="00246597" w:rsidRPr="00573ABB" w:rsidRDefault="00246597" w:rsidP="00CC0F5A">
            <w:pPr>
              <w:ind w:left="34" w:hanging="34"/>
              <w:jc w:val="center"/>
              <w:rPr>
                <w:sz w:val="20"/>
                <w:szCs w:val="20"/>
              </w:rPr>
            </w:pPr>
            <w:r>
              <w:rPr>
                <w:sz w:val="20"/>
                <w:szCs w:val="20"/>
              </w:rPr>
              <w:t>44%</w:t>
            </w:r>
          </w:p>
        </w:tc>
        <w:tc>
          <w:tcPr>
            <w:tcW w:w="1531" w:type="dxa"/>
            <w:shd w:val="clear" w:color="auto" w:fill="E5DFEC" w:themeFill="accent4" w:themeFillTint="33"/>
            <w:vAlign w:val="center"/>
          </w:tcPr>
          <w:p w:rsidR="00246597" w:rsidRPr="00573ABB" w:rsidRDefault="00246597" w:rsidP="00CC0F5A">
            <w:pPr>
              <w:ind w:left="34" w:hanging="34"/>
              <w:jc w:val="center"/>
              <w:rPr>
                <w:sz w:val="20"/>
                <w:szCs w:val="20"/>
              </w:rPr>
            </w:pPr>
            <w:r>
              <w:rPr>
                <w:sz w:val="20"/>
                <w:szCs w:val="20"/>
              </w:rPr>
              <w:t>73%</w:t>
            </w:r>
          </w:p>
        </w:tc>
        <w:tc>
          <w:tcPr>
            <w:tcW w:w="1644" w:type="dxa"/>
            <w:shd w:val="clear" w:color="auto" w:fill="FBD4B4" w:themeFill="accent6" w:themeFillTint="66"/>
          </w:tcPr>
          <w:p w:rsidR="00246597" w:rsidRPr="00C019C3" w:rsidRDefault="00246597" w:rsidP="00CC0F5A">
            <w:pPr>
              <w:ind w:left="34" w:hanging="34"/>
              <w:jc w:val="center"/>
              <w:rPr>
                <w:sz w:val="20"/>
                <w:szCs w:val="20"/>
              </w:rPr>
            </w:pPr>
            <w:r w:rsidRPr="00C019C3">
              <w:rPr>
                <w:sz w:val="20"/>
                <w:szCs w:val="20"/>
              </w:rPr>
              <w:t>75%</w:t>
            </w:r>
          </w:p>
        </w:tc>
      </w:tr>
      <w:tr w:rsidR="00246597" w:rsidTr="00417EA4">
        <w:tc>
          <w:tcPr>
            <w:tcW w:w="4111" w:type="dxa"/>
          </w:tcPr>
          <w:p w:rsidR="00246597" w:rsidRPr="00195A95" w:rsidRDefault="00246597" w:rsidP="00CC0F5A">
            <w:pPr>
              <w:ind w:left="34" w:hanging="34"/>
              <w:rPr>
                <w:sz w:val="20"/>
                <w:szCs w:val="20"/>
              </w:rPr>
            </w:pPr>
            <w:r w:rsidRPr="00195A95">
              <w:rPr>
                <w:sz w:val="20"/>
                <w:szCs w:val="20"/>
              </w:rPr>
              <w:t>% Male / % Female</w:t>
            </w:r>
          </w:p>
        </w:tc>
        <w:tc>
          <w:tcPr>
            <w:tcW w:w="1531" w:type="dxa"/>
            <w:shd w:val="clear" w:color="auto" w:fill="C6D9F1" w:themeFill="text2" w:themeFillTint="33"/>
            <w:vAlign w:val="center"/>
          </w:tcPr>
          <w:p w:rsidR="00246597" w:rsidRPr="00427A81" w:rsidRDefault="00246597" w:rsidP="00CC0F5A">
            <w:pPr>
              <w:ind w:left="34" w:hanging="34"/>
              <w:jc w:val="center"/>
              <w:rPr>
                <w:sz w:val="20"/>
                <w:szCs w:val="20"/>
              </w:rPr>
            </w:pPr>
            <w:r w:rsidRPr="00427A81">
              <w:rPr>
                <w:sz w:val="20"/>
                <w:szCs w:val="20"/>
              </w:rPr>
              <w:t>58% / 42%</w:t>
            </w:r>
          </w:p>
        </w:tc>
        <w:tc>
          <w:tcPr>
            <w:tcW w:w="1531" w:type="dxa"/>
            <w:shd w:val="clear" w:color="auto" w:fill="DAEEF3" w:themeFill="accent5" w:themeFillTint="33"/>
            <w:vAlign w:val="center"/>
          </w:tcPr>
          <w:p w:rsidR="00246597" w:rsidRPr="00573ABB" w:rsidRDefault="00246597" w:rsidP="00CC0F5A">
            <w:pPr>
              <w:ind w:left="34" w:hanging="34"/>
              <w:jc w:val="center"/>
              <w:rPr>
                <w:sz w:val="20"/>
                <w:szCs w:val="20"/>
              </w:rPr>
            </w:pPr>
            <w:r>
              <w:rPr>
                <w:sz w:val="20"/>
                <w:szCs w:val="20"/>
              </w:rPr>
              <w:t>44% / 56%</w:t>
            </w:r>
          </w:p>
        </w:tc>
        <w:tc>
          <w:tcPr>
            <w:tcW w:w="1531" w:type="dxa"/>
            <w:shd w:val="clear" w:color="auto" w:fill="E5DFEC" w:themeFill="accent4" w:themeFillTint="33"/>
            <w:vAlign w:val="center"/>
          </w:tcPr>
          <w:p w:rsidR="00246597" w:rsidRPr="00573ABB" w:rsidRDefault="00246597" w:rsidP="00CC0F5A">
            <w:pPr>
              <w:ind w:left="34" w:hanging="34"/>
              <w:jc w:val="center"/>
              <w:rPr>
                <w:sz w:val="20"/>
                <w:szCs w:val="20"/>
              </w:rPr>
            </w:pPr>
            <w:r>
              <w:rPr>
                <w:sz w:val="20"/>
                <w:szCs w:val="20"/>
              </w:rPr>
              <w:t>33% / 67%</w:t>
            </w:r>
          </w:p>
        </w:tc>
        <w:tc>
          <w:tcPr>
            <w:tcW w:w="1644" w:type="dxa"/>
            <w:shd w:val="clear" w:color="auto" w:fill="FBD4B4" w:themeFill="accent6" w:themeFillTint="66"/>
          </w:tcPr>
          <w:p w:rsidR="00246597" w:rsidRPr="00C019C3" w:rsidRDefault="00246597" w:rsidP="007F509F">
            <w:pPr>
              <w:ind w:left="34" w:hanging="34"/>
              <w:jc w:val="center"/>
              <w:rPr>
                <w:sz w:val="20"/>
                <w:szCs w:val="20"/>
              </w:rPr>
            </w:pPr>
            <w:r w:rsidRPr="00C019C3">
              <w:rPr>
                <w:sz w:val="20"/>
                <w:szCs w:val="20"/>
              </w:rPr>
              <w:t>50% / 50%</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and </w:t>
      </w:r>
      <w:r w:rsidRPr="00C019C3">
        <w:rPr>
          <w:sz w:val="16"/>
          <w:szCs w:val="16"/>
        </w:rPr>
        <w:t xml:space="preserve">Eyre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East Arnhem and Katherine regions in the Northern Territory;  the Kimberley health region in Western Australia, and; Western and Eyre regions in South Australia.</w:t>
      </w:r>
    </w:p>
    <w:p w:rsidR="00246597" w:rsidRPr="00294EE1" w:rsidRDefault="00246597" w:rsidP="00C321FF">
      <w:pPr>
        <w:pStyle w:val="ListParagraph"/>
        <w:spacing w:after="0" w:line="240" w:lineRule="auto"/>
        <w:ind w:left="-567"/>
        <w:contextualSpacing w:val="0"/>
        <w:rPr>
          <w:sz w:val="16"/>
          <w:szCs w:val="16"/>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Pr="00294EE1" w:rsidRDefault="00246597" w:rsidP="00C321FF">
      <w:pPr>
        <w:pStyle w:val="ListParagraph"/>
        <w:spacing w:after="0" w:line="240" w:lineRule="auto"/>
        <w:ind w:left="-567"/>
        <w:contextualSpacing w:val="0"/>
        <w:rPr>
          <w:sz w:val="16"/>
          <w:szCs w:val="16"/>
          <w:highlight w:val="yellow"/>
        </w:rPr>
      </w:pPr>
    </w:p>
    <w:p w:rsidR="00246597" w:rsidRPr="008B3ED5" w:rsidRDefault="00246597" w:rsidP="00B57142">
      <w:pPr>
        <w:spacing w:after="0" w:line="240" w:lineRule="auto"/>
        <w:ind w:left="-567" w:right="261"/>
        <w:jc w:val="both"/>
        <w:rPr>
          <w:rFonts w:ascii="Arial" w:hAnsi="Arial" w:cs="Arial"/>
          <w:b/>
        </w:rPr>
      </w:pPr>
      <w:r w:rsidRPr="008B3ED5">
        <w:rPr>
          <w:rFonts w:ascii="Arial" w:hAnsi="Arial" w:cs="Arial"/>
          <w:b/>
        </w:rPr>
        <w:t>Activities of the MJSO, 1 – 31 March 2017:</w:t>
      </w:r>
    </w:p>
    <w:p w:rsidR="00246597" w:rsidRPr="008B3ED5" w:rsidRDefault="00246597" w:rsidP="00B57142">
      <w:pPr>
        <w:pStyle w:val="ListParagraph"/>
        <w:numPr>
          <w:ilvl w:val="0"/>
          <w:numId w:val="1"/>
        </w:numPr>
        <w:spacing w:after="0" w:line="240" w:lineRule="auto"/>
        <w:ind w:left="142" w:right="261" w:hanging="284"/>
        <w:jc w:val="both"/>
        <w:rPr>
          <w:rFonts w:ascii="Arial" w:hAnsi="Arial" w:cs="Arial"/>
          <w:sz w:val="20"/>
          <w:szCs w:val="20"/>
        </w:rPr>
      </w:pPr>
      <w:r w:rsidRPr="008B3ED5">
        <w:rPr>
          <w:rFonts w:ascii="Arial" w:hAnsi="Arial" w:cs="Arial"/>
          <w:sz w:val="20"/>
          <w:szCs w:val="20"/>
        </w:rPr>
        <w:t xml:space="preserve">Commenced a review of the 2015 National Guidelines for Syphilis in the context of the outbreak. </w:t>
      </w:r>
    </w:p>
    <w:p w:rsidR="00246597" w:rsidRPr="00E572C9" w:rsidRDefault="00246597" w:rsidP="00E572C9">
      <w:pPr>
        <w:pStyle w:val="ListParagraph"/>
        <w:numPr>
          <w:ilvl w:val="0"/>
          <w:numId w:val="1"/>
        </w:numPr>
        <w:spacing w:after="0" w:line="240" w:lineRule="auto"/>
        <w:ind w:left="142" w:right="261" w:hanging="284"/>
        <w:jc w:val="both"/>
        <w:rPr>
          <w:rFonts w:ascii="Arial" w:hAnsi="Arial" w:cs="Arial"/>
          <w:sz w:val="20"/>
          <w:szCs w:val="20"/>
        </w:rPr>
      </w:pPr>
      <w:r w:rsidRPr="00E572C9">
        <w:rPr>
          <w:rFonts w:ascii="Arial" w:hAnsi="Arial" w:cs="Arial"/>
          <w:sz w:val="20"/>
          <w:szCs w:val="20"/>
        </w:rPr>
        <w:t>Continued to discuss a number of actions aimed at addressing some of the barriers and issues identified in the outbreak response.</w:t>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18</w:t>
      </w:r>
      <w:r w:rsidRPr="006829B0">
        <w:rPr>
          <w:rFonts w:ascii="Arial" w:hAnsi="Arial" w:cs="Arial"/>
          <w:b/>
          <w:sz w:val="28"/>
          <w:szCs w:val="28"/>
        </w:rPr>
        <w:t xml:space="preserve"> </w:t>
      </w:r>
      <w:r>
        <w:rPr>
          <w:rFonts w:ascii="Arial" w:hAnsi="Arial" w:cs="Arial"/>
          <w:b/>
          <w:sz w:val="28"/>
          <w:szCs w:val="28"/>
        </w:rPr>
        <w:t>May</w:t>
      </w:r>
      <w:r w:rsidRPr="006829B0">
        <w:rPr>
          <w:rFonts w:ascii="Arial" w:hAnsi="Arial" w:cs="Arial"/>
          <w:b/>
          <w:sz w:val="28"/>
          <w:szCs w:val="28"/>
        </w:rPr>
        <w:t xml:space="preserve"> 2017 </w:t>
      </w:r>
      <w:r>
        <w:rPr>
          <w:rFonts w:ascii="Arial" w:hAnsi="Arial" w:cs="Arial"/>
          <w:b/>
          <w:sz w:val="28"/>
          <w:szCs w:val="28"/>
        </w:rPr>
        <w:t>(12</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F94849">
      <w:pPr>
        <w:spacing w:after="0" w:line="240" w:lineRule="auto"/>
        <w:ind w:left="-567" w:right="-612"/>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and </w:t>
      </w:r>
      <w:r w:rsidRPr="00C019C3">
        <w:rPr>
          <w:color w:val="000000" w:themeColor="text1"/>
        </w:rPr>
        <w:t xml:space="preserve">Eyre regions from </w:t>
      </w:r>
      <w:r w:rsidRPr="00C019C3">
        <w:rPr>
          <w:color w:val="000000" w:themeColor="text1"/>
        </w:rPr>
        <w:br/>
        <w:t>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18 May</w:t>
      </w:r>
      <w:r w:rsidRPr="006829B0">
        <w:rPr>
          <w:color w:val="000000" w:themeColor="text1"/>
        </w:rPr>
        <w:t xml:space="preserve"> 2017 (current status), and the activities of the MJSO from 1–3</w:t>
      </w:r>
      <w:r>
        <w:rPr>
          <w:color w:val="000000" w:themeColor="text1"/>
        </w:rPr>
        <w:t>0 April</w:t>
      </w:r>
      <w:r w:rsidRPr="006829B0">
        <w:rPr>
          <w:color w:val="000000" w:themeColor="text1"/>
        </w:rPr>
        <w:t xml:space="preserve"> 2017.</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0 April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C019C3">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0</w:t>
      </w:r>
      <w:r w:rsidRPr="006829B0">
        <w:rPr>
          <w:rFonts w:ascii="Arial" w:hAnsi="Arial" w:cs="Arial"/>
          <w:sz w:val="20"/>
          <w:szCs w:val="20"/>
        </w:rPr>
        <w:t xml:space="preserve"> </w:t>
      </w:r>
      <w:r>
        <w:rPr>
          <w:rFonts w:ascii="Arial" w:hAnsi="Arial" w:cs="Arial"/>
          <w:sz w:val="20"/>
          <w:szCs w:val="20"/>
        </w:rPr>
        <w:t xml:space="preserve">April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Pr="00294EE1" w:rsidRDefault="00246597" w:rsidP="00C55AC7">
      <w:pPr>
        <w:spacing w:after="0" w:line="240" w:lineRule="auto"/>
        <w:ind w:left="-567"/>
        <w:rPr>
          <w:rFonts w:ascii="Arial" w:hAnsi="Arial" w:cs="Arial"/>
          <w:sz w:val="20"/>
          <w:szCs w:val="20"/>
          <w:highlight w:val="yellow"/>
        </w:rPr>
      </w:pPr>
      <w:r>
        <w:rPr>
          <w:rFonts w:ascii="Arial" w:hAnsi="Arial" w:cs="Arial"/>
          <w:noProof/>
          <w:sz w:val="20"/>
          <w:szCs w:val="20"/>
          <w:lang w:eastAsia="en-AU"/>
        </w:rPr>
        <w:drawing>
          <wp:inline distT="0" distB="0" distL="0" distR="0" wp14:anchorId="724885F9">
            <wp:extent cx="6750658" cy="2695377"/>
            <wp:effectExtent l="0" t="0" r="0" b="0"/>
            <wp:docPr id="9" name="Picture 9" descr="Epidemic curve showing outbreak cases of infectious syphilis notified in affected regions of Queensland, the Northern Territory, Western Australia and South Australia"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1644" cy="2699763"/>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0</w:t>
      </w:r>
      <w:r w:rsidRPr="00427A81">
        <w:rPr>
          <w:rFonts w:ascii="Arial" w:hAnsi="Arial" w:cs="Arial"/>
          <w:sz w:val="20"/>
          <w:szCs w:val="20"/>
        </w:rPr>
        <w:t xml:space="preserve"> </w:t>
      </w:r>
      <w:r>
        <w:rPr>
          <w:rFonts w:ascii="Arial" w:hAnsi="Arial" w:cs="Arial"/>
          <w:sz w:val="20"/>
          <w:szCs w:val="20"/>
        </w:rPr>
        <w:t>April</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632" w:type="dxa"/>
        <w:tblInd w:w="-803"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1"/>
        <w:gridCol w:w="1560"/>
        <w:gridCol w:w="1660"/>
        <w:gridCol w:w="1531"/>
        <w:gridCol w:w="1770"/>
      </w:tblGrid>
      <w:tr w:rsidR="00246597" w:rsidRPr="008B7A61" w:rsidTr="008B7A61">
        <w:trPr>
          <w:tblHeader/>
        </w:trPr>
        <w:tc>
          <w:tcPr>
            <w:tcW w:w="4111" w:type="dxa"/>
            <w:tcBorders>
              <w:bottom w:val="single" w:sz="4" w:space="0" w:color="auto"/>
            </w:tcBorders>
          </w:tcPr>
          <w:p w:rsidR="00246597" w:rsidRPr="008B7A61" w:rsidRDefault="00246597" w:rsidP="008B7A61">
            <w:pPr>
              <w:ind w:left="34" w:hanging="34"/>
              <w:rPr>
                <w:rFonts w:eastAsia="Times New Roman" w:cs="Arial"/>
                <w:sz w:val="20"/>
                <w:szCs w:val="20"/>
                <w:lang w:eastAsia="en-AU"/>
              </w:rPr>
            </w:pPr>
          </w:p>
        </w:tc>
        <w:tc>
          <w:tcPr>
            <w:tcW w:w="1560" w:type="dxa"/>
            <w:tcBorders>
              <w:bottom w:val="single" w:sz="4" w:space="0" w:color="auto"/>
            </w:tcBorders>
            <w:shd w:val="clear" w:color="auto" w:fill="C6D9F1" w:themeFill="text2"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shd w:val="clear" w:color="auto" w:fill="C6D9F1" w:themeFill="text2" w:themeFillTint="33"/>
                <w:lang w:eastAsia="en-AU"/>
              </w:rPr>
              <w:t xml:space="preserve">North Qld </w:t>
            </w:r>
            <w:r w:rsidRPr="008B7A61">
              <w:rPr>
                <w:rFonts w:eastAsia="Times New Roman" w:cs="Arial"/>
                <w:b/>
                <w:sz w:val="20"/>
                <w:szCs w:val="20"/>
                <w:shd w:val="clear" w:color="auto" w:fill="C6D9F1" w:themeFill="text2" w:themeFillTint="33"/>
                <w:lang w:eastAsia="en-AU"/>
              </w:rPr>
              <w:br/>
            </w:r>
            <w:r w:rsidRPr="008B7A61">
              <w:rPr>
                <w:rFonts w:eastAsia="Times New Roman" w:cs="Arial"/>
                <w:sz w:val="20"/>
                <w:szCs w:val="20"/>
                <w:shd w:val="clear" w:color="auto" w:fill="C6D9F1" w:themeFill="text2" w:themeFillTint="33"/>
                <w:lang w:eastAsia="en-AU"/>
              </w:rPr>
              <w:t>(four HHSs</w:t>
            </w:r>
            <w:r w:rsidRPr="008B7A61">
              <w:rPr>
                <w:rFonts w:eastAsia="Times New Roman" w:cs="Arial"/>
                <w:sz w:val="20"/>
                <w:szCs w:val="20"/>
                <w:shd w:val="clear" w:color="auto" w:fill="C6D9F1" w:themeFill="text2" w:themeFillTint="33"/>
                <w:vertAlign w:val="superscript"/>
                <w:lang w:eastAsia="en-AU"/>
              </w:rPr>
              <w:t>β</w:t>
            </w:r>
            <w:r w:rsidRPr="008B7A61">
              <w:rPr>
                <w:rFonts w:eastAsia="Times New Roman" w:cs="Arial"/>
                <w:sz w:val="20"/>
                <w:szCs w:val="20"/>
                <w:lang w:eastAsia="en-AU"/>
              </w:rPr>
              <w:t>)</w:t>
            </w:r>
          </w:p>
        </w:tc>
        <w:tc>
          <w:tcPr>
            <w:tcW w:w="1660" w:type="dxa"/>
            <w:tcBorders>
              <w:bottom w:val="single" w:sz="4" w:space="0" w:color="auto"/>
            </w:tcBorders>
            <w:shd w:val="clear" w:color="auto" w:fill="DAEEF3" w:themeFill="accent5"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 xml:space="preserve">NT </w:t>
            </w:r>
            <w:r w:rsidRPr="008B7A61">
              <w:rPr>
                <w:rFonts w:eastAsia="Times New Roman" w:cs="Arial"/>
                <w:b/>
                <w:sz w:val="20"/>
                <w:szCs w:val="20"/>
                <w:lang w:eastAsia="en-AU"/>
              </w:rPr>
              <w:br/>
            </w:r>
            <w:r w:rsidRPr="008B7A61">
              <w:rPr>
                <w:rFonts w:eastAsia="Times New Roman" w:cs="Arial"/>
                <w:sz w:val="20"/>
                <w:szCs w:val="20"/>
                <w:lang w:eastAsia="en-AU"/>
              </w:rPr>
              <w:t>(four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c>
          <w:tcPr>
            <w:tcW w:w="1531" w:type="dxa"/>
            <w:tcBorders>
              <w:bottom w:val="single" w:sz="4" w:space="0" w:color="auto"/>
            </w:tcBorders>
            <w:shd w:val="clear" w:color="auto" w:fill="E5DFEC" w:themeFill="accent4"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WA</w:t>
            </w:r>
            <w:r w:rsidRPr="008B7A61">
              <w:rPr>
                <w:rFonts w:eastAsia="Times New Roman" w:cs="Arial"/>
                <w:b/>
                <w:sz w:val="20"/>
                <w:szCs w:val="20"/>
                <w:lang w:eastAsia="en-AU"/>
              </w:rPr>
              <w:br/>
            </w:r>
            <w:r w:rsidRPr="008B7A61">
              <w:rPr>
                <w:rFonts w:eastAsia="Times New Roman" w:cs="Arial"/>
                <w:sz w:val="20"/>
                <w:szCs w:val="20"/>
                <w:lang w:eastAsia="en-AU"/>
              </w:rPr>
              <w:t xml:space="preserve"> (Kimberley region)</w:t>
            </w:r>
          </w:p>
        </w:tc>
        <w:tc>
          <w:tcPr>
            <w:tcW w:w="1770" w:type="dxa"/>
            <w:tcBorders>
              <w:bottom w:val="single" w:sz="4" w:space="0" w:color="auto"/>
            </w:tcBorders>
            <w:shd w:val="clear" w:color="auto" w:fill="FBD4B4" w:themeFill="accent6" w:themeFillTint="66"/>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SA</w:t>
            </w:r>
          </w:p>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(Western/Eyre regions)</w:t>
            </w:r>
          </w:p>
        </w:tc>
      </w:tr>
      <w:tr w:rsidR="00246597" w:rsidRPr="008B7A61" w:rsidTr="008B7A61">
        <w:tc>
          <w:tcPr>
            <w:tcW w:w="4111" w:type="dxa"/>
            <w:tcBorders>
              <w:right w:val="nil"/>
            </w:tcBorders>
            <w:shd w:val="clear" w:color="auto" w:fill="B8CCE4" w:themeFill="accent1" w:themeFillTint="66"/>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Situation to-date, 30 April 2017</w:t>
            </w:r>
          </w:p>
        </w:tc>
        <w:tc>
          <w:tcPr>
            <w:tcW w:w="15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6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531"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770"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Outbreak commencement month/year</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January 2011</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July 2013</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June 2014</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November 2016</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Total number of cases</w:t>
            </w:r>
            <w:r w:rsidRPr="008B7A61">
              <w:rPr>
                <w:rFonts w:eastAsia="Times New Roman" w:cs="Arial"/>
                <w:b/>
                <w:sz w:val="20"/>
                <w:szCs w:val="20"/>
                <w:vertAlign w:val="superscript"/>
                <w:lang w:eastAsia="en-AU"/>
              </w:rPr>
              <w:t xml:space="preserve"> </w:t>
            </w:r>
            <w:r w:rsidRPr="008B7A61">
              <w:rPr>
                <w:rFonts w:eastAsia="Times New Roman" w:cs="Arial"/>
                <w:sz w:val="20"/>
                <w:szCs w:val="20"/>
                <w:vertAlign w:val="superscript"/>
                <w:lang w:eastAsia="en-AU"/>
              </w:rPr>
              <w:t>α</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b/>
                <w:sz w:val="20"/>
                <w:szCs w:val="20"/>
                <w:highlight w:val="yellow"/>
                <w:vertAlign w:val="superscript"/>
                <w:lang w:eastAsia="en-AU"/>
              </w:rPr>
            </w:pPr>
            <w:r w:rsidRPr="008B7A61">
              <w:rPr>
                <w:rFonts w:eastAsia="Times New Roman" w:cs="Arial"/>
                <w:b/>
                <w:sz w:val="20"/>
                <w:szCs w:val="20"/>
                <w:lang w:eastAsia="en-AU"/>
              </w:rPr>
              <w:t>826</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491</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b/>
                <w:sz w:val="20"/>
                <w:szCs w:val="20"/>
                <w:highlight w:val="green"/>
                <w:lang w:eastAsia="en-AU"/>
              </w:rPr>
            </w:pPr>
            <w:r w:rsidRPr="008B7A61">
              <w:rPr>
                <w:rFonts w:eastAsia="Times New Roman" w:cs="Arial"/>
                <w:b/>
                <w:sz w:val="20"/>
                <w:szCs w:val="20"/>
                <w:lang w:eastAsia="en-AU"/>
              </w:rPr>
              <w:t>121</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b/>
                <w:sz w:val="20"/>
                <w:szCs w:val="20"/>
                <w:highlight w:val="green"/>
                <w:lang w:eastAsia="en-AU"/>
              </w:rPr>
            </w:pPr>
            <w:r w:rsidRPr="008B7A61">
              <w:rPr>
                <w:rFonts w:eastAsia="Times New Roman" w:cs="Arial"/>
                <w:b/>
                <w:sz w:val="20"/>
                <w:szCs w:val="20"/>
                <w:lang w:eastAsia="en-AU"/>
              </w:rPr>
              <w:t>12</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69%</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highlight w:val="yellow"/>
                <w:lang w:eastAsia="en-AU"/>
              </w:rPr>
            </w:pPr>
            <w:r w:rsidRPr="008B7A61">
              <w:rPr>
                <w:rFonts w:eastAsia="Times New Roman" w:cs="Arial"/>
                <w:sz w:val="20"/>
                <w:szCs w:val="20"/>
                <w:lang w:eastAsia="en-AU"/>
              </w:rPr>
              <w:t>75%</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69%</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67%</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48% / 52%</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highlight w:val="yellow"/>
                <w:lang w:eastAsia="en-AU"/>
              </w:rPr>
            </w:pPr>
            <w:r w:rsidRPr="008B7A61">
              <w:rPr>
                <w:rFonts w:eastAsia="Times New Roman" w:cs="Arial"/>
                <w:sz w:val="20"/>
                <w:szCs w:val="20"/>
                <w:lang w:eastAsia="en-AU"/>
              </w:rPr>
              <w:t>46% / 54%</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36% / 64%</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50% /50%</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Congenital cases, confirmed (probable)</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3 (2)</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highlight w:val="yellow"/>
                <w:lang w:eastAsia="en-AU"/>
              </w:rPr>
            </w:pPr>
            <w:r w:rsidRPr="008B7A61">
              <w:rPr>
                <w:rFonts w:eastAsia="Times New Roman" w:cs="Arial"/>
                <w:sz w:val="20"/>
                <w:szCs w:val="20"/>
                <w:lang w:eastAsia="en-AU"/>
              </w:rPr>
              <w:t>2 (2)</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0 (0)</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1 (0)</w:t>
            </w:r>
          </w:p>
        </w:tc>
      </w:tr>
      <w:tr w:rsidR="00246597" w:rsidRPr="008B7A61" w:rsidTr="008B7A61">
        <w:tc>
          <w:tcPr>
            <w:tcW w:w="4111" w:type="dxa"/>
            <w:tcBorders>
              <w:bottom w:val="single" w:sz="4" w:space="0" w:color="auto"/>
            </w:tcBorders>
            <w:shd w:val="clear" w:color="auto" w:fill="auto"/>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xml:space="preserve">   -number of deaths in congenital cases</w:t>
            </w:r>
          </w:p>
        </w:tc>
        <w:tc>
          <w:tcPr>
            <w:tcW w:w="1560" w:type="dxa"/>
            <w:tcBorders>
              <w:bottom w:val="single" w:sz="4" w:space="0" w:color="auto"/>
            </w:tcBorders>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4</w:t>
            </w:r>
          </w:p>
        </w:tc>
        <w:tc>
          <w:tcPr>
            <w:tcW w:w="1660" w:type="dxa"/>
            <w:tcBorders>
              <w:bottom w:val="single" w:sz="4" w:space="0" w:color="auto"/>
            </w:tcBorders>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highlight w:val="yellow"/>
                <w:lang w:eastAsia="en-AU"/>
              </w:rPr>
            </w:pPr>
            <w:r w:rsidRPr="008B7A61">
              <w:rPr>
                <w:rFonts w:eastAsia="Times New Roman" w:cs="Arial"/>
                <w:sz w:val="20"/>
                <w:szCs w:val="20"/>
                <w:lang w:eastAsia="en-AU"/>
              </w:rPr>
              <w:t>0</w:t>
            </w:r>
          </w:p>
        </w:tc>
        <w:tc>
          <w:tcPr>
            <w:tcW w:w="1531" w:type="dxa"/>
            <w:tcBorders>
              <w:bottom w:val="single" w:sz="4" w:space="0" w:color="auto"/>
            </w:tcBorders>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0</w:t>
            </w:r>
          </w:p>
        </w:tc>
        <w:tc>
          <w:tcPr>
            <w:tcW w:w="1770" w:type="dxa"/>
            <w:tcBorders>
              <w:bottom w:val="single" w:sz="4" w:space="0" w:color="auto"/>
            </w:tcBorders>
            <w:shd w:val="clear" w:color="auto" w:fill="FBD4B4" w:themeFill="accent6" w:themeFillTint="66"/>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0</w:t>
            </w:r>
          </w:p>
        </w:tc>
      </w:tr>
      <w:tr w:rsidR="00246597" w:rsidRPr="008B7A61" w:rsidTr="008B7A61">
        <w:tc>
          <w:tcPr>
            <w:tcW w:w="4111" w:type="dxa"/>
            <w:tcBorders>
              <w:right w:val="nil"/>
            </w:tcBorders>
            <w:shd w:val="clear" w:color="auto" w:fill="B8CCE4" w:themeFill="accent1" w:themeFillTint="66"/>
            <w:vAlign w:val="center"/>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Last reporting month, 1–30 April 2017</w:t>
            </w:r>
          </w:p>
        </w:tc>
        <w:tc>
          <w:tcPr>
            <w:tcW w:w="1560" w:type="dxa"/>
            <w:tcBorders>
              <w:left w:val="nil"/>
              <w:right w:val="nil"/>
            </w:tcBorders>
            <w:shd w:val="clear" w:color="auto" w:fill="B8CCE4" w:themeFill="accent1" w:themeFillTint="66"/>
            <w:vAlign w:val="center"/>
          </w:tcPr>
          <w:p w:rsidR="00246597" w:rsidRPr="008B7A61" w:rsidRDefault="00246597" w:rsidP="008B7A61">
            <w:pPr>
              <w:ind w:left="34" w:hanging="34"/>
              <w:rPr>
                <w:rFonts w:eastAsia="Times New Roman" w:cs="Arial"/>
                <w:color w:val="FF0000"/>
                <w:sz w:val="20"/>
                <w:szCs w:val="20"/>
                <w:highlight w:val="green"/>
                <w:lang w:eastAsia="en-AU"/>
              </w:rPr>
            </w:pPr>
          </w:p>
        </w:tc>
        <w:tc>
          <w:tcPr>
            <w:tcW w:w="1660" w:type="dxa"/>
            <w:tcBorders>
              <w:left w:val="nil"/>
              <w:right w:val="nil"/>
            </w:tcBorders>
            <w:shd w:val="clear" w:color="auto" w:fill="B8CCE4" w:themeFill="accent1" w:themeFillTint="66"/>
            <w:vAlign w:val="center"/>
          </w:tcPr>
          <w:p w:rsidR="00246597" w:rsidRPr="008B7A61" w:rsidRDefault="00246597" w:rsidP="008B7A61">
            <w:pPr>
              <w:ind w:left="34" w:hanging="34"/>
              <w:rPr>
                <w:rFonts w:eastAsia="Times New Roman" w:cs="Arial"/>
                <w:color w:val="FF0000"/>
                <w:sz w:val="20"/>
                <w:szCs w:val="20"/>
                <w:highlight w:val="yellow"/>
                <w:lang w:eastAsia="en-AU"/>
              </w:rPr>
            </w:pPr>
          </w:p>
        </w:tc>
        <w:tc>
          <w:tcPr>
            <w:tcW w:w="1531" w:type="dxa"/>
            <w:tcBorders>
              <w:left w:val="nil"/>
            </w:tcBorders>
            <w:shd w:val="clear" w:color="auto" w:fill="B8CCE4" w:themeFill="accent1" w:themeFillTint="66"/>
            <w:vAlign w:val="center"/>
          </w:tcPr>
          <w:p w:rsidR="00246597" w:rsidRPr="008B7A61" w:rsidRDefault="00246597" w:rsidP="008B7A61">
            <w:pPr>
              <w:ind w:left="34" w:hanging="34"/>
              <w:rPr>
                <w:rFonts w:eastAsia="Times New Roman" w:cs="Arial"/>
                <w:color w:val="FF0000"/>
                <w:sz w:val="20"/>
                <w:szCs w:val="20"/>
                <w:highlight w:val="green"/>
                <w:lang w:eastAsia="en-AU"/>
              </w:rPr>
            </w:pPr>
          </w:p>
        </w:tc>
        <w:tc>
          <w:tcPr>
            <w:tcW w:w="1770"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green"/>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Number of cases</w:t>
            </w:r>
            <w:r w:rsidRPr="008B7A61">
              <w:rPr>
                <w:rFonts w:eastAsia="Times New Roman" w:cs="Arial"/>
                <w:b/>
                <w:sz w:val="20"/>
                <w:szCs w:val="20"/>
                <w:vertAlign w:val="superscript"/>
                <w:lang w:eastAsia="en-AU"/>
              </w:rPr>
              <w:t xml:space="preserve"> </w:t>
            </w:r>
            <w:r w:rsidRPr="008B7A61">
              <w:rPr>
                <w:rFonts w:eastAsia="Times New Roman" w:cs="Arial"/>
                <w:sz w:val="20"/>
                <w:szCs w:val="20"/>
                <w:vertAlign w:val="superscript"/>
                <w:lang w:eastAsia="en-AU"/>
              </w:rPr>
              <w:t>α</w:t>
            </w:r>
          </w:p>
        </w:tc>
        <w:tc>
          <w:tcPr>
            <w:tcW w:w="1560" w:type="dxa"/>
            <w:tcBorders>
              <w:bottom w:val="single" w:sz="4" w:space="0" w:color="auto"/>
            </w:tcBorders>
            <w:shd w:val="clear" w:color="auto" w:fill="C6D9F1" w:themeFill="text2" w:themeFillTint="33"/>
            <w:vAlign w:val="center"/>
          </w:tcPr>
          <w:p w:rsidR="00246597" w:rsidRPr="008B7A61" w:rsidRDefault="00246597" w:rsidP="008B7A61">
            <w:pPr>
              <w:ind w:left="34" w:hanging="34"/>
              <w:jc w:val="center"/>
              <w:rPr>
                <w:rFonts w:eastAsia="Times New Roman" w:cs="Arial"/>
                <w:b/>
                <w:sz w:val="20"/>
                <w:szCs w:val="20"/>
                <w:highlight w:val="green"/>
                <w:lang w:eastAsia="en-AU"/>
              </w:rPr>
            </w:pPr>
            <w:r w:rsidRPr="008B7A61">
              <w:rPr>
                <w:rFonts w:eastAsia="Times New Roman" w:cs="Arial"/>
                <w:b/>
                <w:sz w:val="20"/>
                <w:szCs w:val="20"/>
                <w:lang w:eastAsia="en-AU"/>
              </w:rPr>
              <w:t>18</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15</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b/>
                <w:sz w:val="20"/>
                <w:szCs w:val="20"/>
                <w:highlight w:val="green"/>
                <w:lang w:eastAsia="en-AU"/>
              </w:rPr>
            </w:pPr>
            <w:r w:rsidRPr="008B7A61">
              <w:rPr>
                <w:rFonts w:eastAsia="Times New Roman" w:cs="Arial"/>
                <w:b/>
                <w:sz w:val="20"/>
                <w:szCs w:val="20"/>
                <w:lang w:eastAsia="en-AU"/>
              </w:rPr>
              <w:t>4</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1</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8B7A61" w:rsidRDefault="00246597" w:rsidP="008B7A61">
            <w:pPr>
              <w:jc w:val="center"/>
              <w:rPr>
                <w:rFonts w:eastAsia="Times New Roman" w:cs="Arial"/>
                <w:sz w:val="20"/>
                <w:szCs w:val="20"/>
                <w:highlight w:val="green"/>
                <w:lang w:eastAsia="en-AU"/>
              </w:rPr>
            </w:pPr>
            <w:r w:rsidRPr="008B7A61">
              <w:rPr>
                <w:rFonts w:eastAsia="Times New Roman" w:cs="Arial"/>
                <w:sz w:val="20"/>
                <w:szCs w:val="20"/>
                <w:lang w:eastAsia="en-AU"/>
              </w:rPr>
              <w:t>78%</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40%</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75%</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100%</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33% / 67%</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73% / 27%</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highlight w:val="green"/>
                <w:lang w:eastAsia="en-AU"/>
              </w:rPr>
            </w:pPr>
            <w:r w:rsidRPr="008B7A61">
              <w:rPr>
                <w:rFonts w:eastAsia="Times New Roman" w:cs="Arial"/>
                <w:sz w:val="20"/>
                <w:szCs w:val="20"/>
                <w:lang w:eastAsia="en-AU"/>
              </w:rPr>
              <w:t>75% / 25%</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0% / 100%</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and </w:t>
      </w:r>
      <w:r w:rsidRPr="00C019C3">
        <w:rPr>
          <w:sz w:val="16"/>
          <w:szCs w:val="16"/>
        </w:rPr>
        <w:t xml:space="preserve">Eyre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East Arnhem and Katherine regions in the Northern Territory;  the Kimberley health region in Western Australia, and; Western and Eyre regions in South Australia.</w:t>
      </w:r>
    </w:p>
    <w:p w:rsidR="00246597" w:rsidRPr="00294EE1" w:rsidRDefault="00246597" w:rsidP="00C321FF">
      <w:pPr>
        <w:pStyle w:val="ListParagraph"/>
        <w:spacing w:after="0" w:line="240" w:lineRule="auto"/>
        <w:ind w:left="-567"/>
        <w:contextualSpacing w:val="0"/>
        <w:rPr>
          <w:sz w:val="16"/>
          <w:szCs w:val="16"/>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Pr="00294EE1" w:rsidRDefault="00246597" w:rsidP="00C321FF">
      <w:pPr>
        <w:pStyle w:val="ListParagraph"/>
        <w:spacing w:after="0" w:line="240" w:lineRule="auto"/>
        <w:ind w:left="-567"/>
        <w:contextualSpacing w:val="0"/>
        <w:rPr>
          <w:sz w:val="16"/>
          <w:szCs w:val="16"/>
          <w:highlight w:val="yellow"/>
        </w:rPr>
      </w:pPr>
    </w:p>
    <w:p w:rsidR="00246597" w:rsidRDefault="00246597" w:rsidP="00B57142">
      <w:pPr>
        <w:spacing w:after="0" w:line="240" w:lineRule="auto"/>
        <w:ind w:left="-567" w:right="261"/>
        <w:jc w:val="both"/>
        <w:rPr>
          <w:rFonts w:ascii="Arial" w:hAnsi="Arial" w:cs="Arial"/>
          <w:b/>
          <w:highlight w:val="yellow"/>
        </w:rPr>
      </w:pP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22 June</w:t>
      </w:r>
      <w:r w:rsidRPr="006829B0">
        <w:rPr>
          <w:rFonts w:ascii="Arial" w:hAnsi="Arial" w:cs="Arial"/>
          <w:b/>
          <w:sz w:val="28"/>
          <w:szCs w:val="28"/>
        </w:rPr>
        <w:t xml:space="preserve"> 2017 </w:t>
      </w:r>
      <w:r>
        <w:rPr>
          <w:rFonts w:ascii="Arial" w:hAnsi="Arial" w:cs="Arial"/>
          <w:b/>
          <w:sz w:val="28"/>
          <w:szCs w:val="28"/>
        </w:rPr>
        <w:t>(13</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F94849">
      <w:pPr>
        <w:spacing w:after="0" w:line="240" w:lineRule="auto"/>
        <w:ind w:left="-567" w:right="-612"/>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w:t>
      </w:r>
      <w:r w:rsidRPr="00C019C3">
        <w:rPr>
          <w:color w:val="000000" w:themeColor="text1"/>
        </w:rPr>
        <w:t>Eyre</w:t>
      </w:r>
      <w:r>
        <w:rPr>
          <w:color w:val="000000" w:themeColor="text1"/>
        </w:rPr>
        <w:t xml:space="preserve"> and Far North</w:t>
      </w:r>
      <w:r w:rsidRPr="00C019C3">
        <w:rPr>
          <w:color w:val="000000" w:themeColor="text1"/>
        </w:rPr>
        <w:t xml:space="preserve"> regions from 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22 June</w:t>
      </w:r>
      <w:r w:rsidRPr="006829B0">
        <w:rPr>
          <w:color w:val="000000" w:themeColor="text1"/>
        </w:rPr>
        <w:t xml:space="preserve"> 2017 (current status), and the activities of the MJSO from 1–3</w:t>
      </w:r>
      <w:r>
        <w:rPr>
          <w:color w:val="000000" w:themeColor="text1"/>
        </w:rPr>
        <w:t>1 May</w:t>
      </w:r>
      <w:r w:rsidRPr="006829B0">
        <w:rPr>
          <w:color w:val="000000" w:themeColor="text1"/>
        </w:rPr>
        <w:t xml:space="preserve"> 2017.</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1 May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C019C3">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1</w:t>
      </w:r>
      <w:r w:rsidRPr="006829B0">
        <w:rPr>
          <w:rFonts w:ascii="Arial" w:hAnsi="Arial" w:cs="Arial"/>
          <w:sz w:val="20"/>
          <w:szCs w:val="20"/>
        </w:rPr>
        <w:t xml:space="preserve"> </w:t>
      </w:r>
      <w:r>
        <w:rPr>
          <w:rFonts w:ascii="Arial" w:hAnsi="Arial" w:cs="Arial"/>
          <w:sz w:val="20"/>
          <w:szCs w:val="20"/>
        </w:rPr>
        <w:t xml:space="preserve">May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Pr="00294EE1" w:rsidRDefault="00246597" w:rsidP="00C55AC7">
      <w:pPr>
        <w:spacing w:after="0" w:line="240" w:lineRule="auto"/>
        <w:ind w:left="-567"/>
        <w:rPr>
          <w:rFonts w:ascii="Arial" w:hAnsi="Arial" w:cs="Arial"/>
          <w:sz w:val="20"/>
          <w:szCs w:val="20"/>
          <w:highlight w:val="yellow"/>
        </w:rPr>
      </w:pPr>
      <w:r>
        <w:rPr>
          <w:rFonts w:ascii="Arial" w:hAnsi="Arial" w:cs="Arial"/>
          <w:noProof/>
          <w:sz w:val="20"/>
          <w:szCs w:val="20"/>
          <w:lang w:eastAsia="en-AU"/>
        </w:rPr>
        <w:drawing>
          <wp:inline distT="0" distB="0" distL="0" distR="0" wp14:anchorId="09BC3C2D">
            <wp:extent cx="6528021" cy="2874899"/>
            <wp:effectExtent l="0" t="0" r="6350" b="1905"/>
            <wp:docPr id="8" name="Picture 8" descr="This figure shows outbreak cases of infectious syphilis between 1 January 2011 to 31 May 2017, notified in affected regions of Queensland, the Northern Territory and Western Australia."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9319" cy="2875471"/>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1</w:t>
      </w:r>
      <w:r w:rsidRPr="00427A81">
        <w:rPr>
          <w:rFonts w:ascii="Arial" w:hAnsi="Arial" w:cs="Arial"/>
          <w:sz w:val="20"/>
          <w:szCs w:val="20"/>
        </w:rPr>
        <w:t xml:space="preserve"> </w:t>
      </w:r>
      <w:r>
        <w:rPr>
          <w:rFonts w:ascii="Arial" w:hAnsi="Arial" w:cs="Arial"/>
          <w:sz w:val="20"/>
          <w:szCs w:val="20"/>
        </w:rPr>
        <w:t>May</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632" w:type="dxa"/>
        <w:tblInd w:w="-803"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1"/>
        <w:gridCol w:w="1560"/>
        <w:gridCol w:w="1660"/>
        <w:gridCol w:w="1531"/>
        <w:gridCol w:w="1770"/>
      </w:tblGrid>
      <w:tr w:rsidR="00246597" w:rsidRPr="008B7A61" w:rsidTr="008B7A61">
        <w:trPr>
          <w:tblHeader/>
        </w:trPr>
        <w:tc>
          <w:tcPr>
            <w:tcW w:w="4111" w:type="dxa"/>
            <w:tcBorders>
              <w:bottom w:val="single" w:sz="4" w:space="0" w:color="auto"/>
            </w:tcBorders>
          </w:tcPr>
          <w:p w:rsidR="00246597" w:rsidRPr="008B7A61" w:rsidRDefault="00246597" w:rsidP="008B7A61">
            <w:pPr>
              <w:ind w:left="34" w:hanging="34"/>
              <w:rPr>
                <w:rFonts w:eastAsia="Times New Roman" w:cs="Arial"/>
                <w:sz w:val="20"/>
                <w:szCs w:val="20"/>
                <w:lang w:eastAsia="en-AU"/>
              </w:rPr>
            </w:pPr>
          </w:p>
        </w:tc>
        <w:tc>
          <w:tcPr>
            <w:tcW w:w="1560" w:type="dxa"/>
            <w:tcBorders>
              <w:bottom w:val="single" w:sz="4" w:space="0" w:color="auto"/>
            </w:tcBorders>
            <w:shd w:val="clear" w:color="auto" w:fill="C6D9F1" w:themeFill="text2"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shd w:val="clear" w:color="auto" w:fill="C6D9F1" w:themeFill="text2" w:themeFillTint="33"/>
                <w:lang w:eastAsia="en-AU"/>
              </w:rPr>
              <w:t xml:space="preserve">North Qld </w:t>
            </w:r>
            <w:r w:rsidRPr="008B7A61">
              <w:rPr>
                <w:rFonts w:eastAsia="Times New Roman" w:cs="Arial"/>
                <w:b/>
                <w:sz w:val="20"/>
                <w:szCs w:val="20"/>
                <w:shd w:val="clear" w:color="auto" w:fill="C6D9F1" w:themeFill="text2" w:themeFillTint="33"/>
                <w:lang w:eastAsia="en-AU"/>
              </w:rPr>
              <w:br/>
            </w:r>
            <w:r w:rsidRPr="008B7A61">
              <w:rPr>
                <w:rFonts w:eastAsia="Times New Roman" w:cs="Arial"/>
                <w:sz w:val="20"/>
                <w:szCs w:val="20"/>
                <w:shd w:val="clear" w:color="auto" w:fill="C6D9F1" w:themeFill="text2" w:themeFillTint="33"/>
                <w:lang w:eastAsia="en-AU"/>
              </w:rPr>
              <w:t>(four HHSs</w:t>
            </w:r>
            <w:r w:rsidRPr="008B7A61">
              <w:rPr>
                <w:rFonts w:eastAsia="Times New Roman" w:cs="Arial"/>
                <w:sz w:val="20"/>
                <w:szCs w:val="20"/>
                <w:shd w:val="clear" w:color="auto" w:fill="C6D9F1" w:themeFill="text2" w:themeFillTint="33"/>
                <w:vertAlign w:val="superscript"/>
                <w:lang w:eastAsia="en-AU"/>
              </w:rPr>
              <w:t>β</w:t>
            </w:r>
            <w:r w:rsidRPr="008B7A61">
              <w:rPr>
                <w:rFonts w:eastAsia="Times New Roman" w:cs="Arial"/>
                <w:sz w:val="20"/>
                <w:szCs w:val="20"/>
                <w:lang w:eastAsia="en-AU"/>
              </w:rPr>
              <w:t>)</w:t>
            </w:r>
          </w:p>
        </w:tc>
        <w:tc>
          <w:tcPr>
            <w:tcW w:w="1660" w:type="dxa"/>
            <w:tcBorders>
              <w:bottom w:val="single" w:sz="4" w:space="0" w:color="auto"/>
            </w:tcBorders>
            <w:shd w:val="clear" w:color="auto" w:fill="DAEEF3" w:themeFill="accent5"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 xml:space="preserve">NT </w:t>
            </w:r>
            <w:r w:rsidRPr="008B7A61">
              <w:rPr>
                <w:rFonts w:eastAsia="Times New Roman" w:cs="Arial"/>
                <w:b/>
                <w:sz w:val="20"/>
                <w:szCs w:val="20"/>
                <w:lang w:eastAsia="en-AU"/>
              </w:rPr>
              <w:br/>
            </w:r>
            <w:r w:rsidRPr="008B7A61">
              <w:rPr>
                <w:rFonts w:eastAsia="Times New Roman" w:cs="Arial"/>
                <w:sz w:val="20"/>
                <w:szCs w:val="20"/>
                <w:lang w:eastAsia="en-AU"/>
              </w:rPr>
              <w:t>(four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c>
          <w:tcPr>
            <w:tcW w:w="1531" w:type="dxa"/>
            <w:tcBorders>
              <w:bottom w:val="single" w:sz="4" w:space="0" w:color="auto"/>
            </w:tcBorders>
            <w:shd w:val="clear" w:color="auto" w:fill="E5DFEC" w:themeFill="accent4"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WA</w:t>
            </w:r>
            <w:r w:rsidRPr="008B7A61">
              <w:rPr>
                <w:rFonts w:eastAsia="Times New Roman" w:cs="Arial"/>
                <w:b/>
                <w:sz w:val="20"/>
                <w:szCs w:val="20"/>
                <w:lang w:eastAsia="en-AU"/>
              </w:rPr>
              <w:br/>
            </w:r>
            <w:r w:rsidRPr="008B7A61">
              <w:rPr>
                <w:rFonts w:eastAsia="Times New Roman" w:cs="Arial"/>
                <w:sz w:val="20"/>
                <w:szCs w:val="20"/>
                <w:lang w:eastAsia="en-AU"/>
              </w:rPr>
              <w:t xml:space="preserve"> (Kimberley region)</w:t>
            </w:r>
          </w:p>
        </w:tc>
        <w:tc>
          <w:tcPr>
            <w:tcW w:w="1770" w:type="dxa"/>
            <w:tcBorders>
              <w:bottom w:val="single" w:sz="4" w:space="0" w:color="auto"/>
            </w:tcBorders>
            <w:shd w:val="clear" w:color="auto" w:fill="FBD4B4" w:themeFill="accent6" w:themeFillTint="66"/>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SA</w:t>
            </w:r>
          </w:p>
          <w:p w:rsidR="00246597" w:rsidRPr="008B7A61" w:rsidRDefault="00246597" w:rsidP="00707254">
            <w:pPr>
              <w:ind w:left="34" w:hanging="34"/>
              <w:jc w:val="center"/>
              <w:rPr>
                <w:rFonts w:eastAsia="Times New Roman" w:cs="Arial"/>
                <w:sz w:val="20"/>
                <w:szCs w:val="20"/>
                <w:lang w:eastAsia="en-AU"/>
              </w:rPr>
            </w:pPr>
            <w:r w:rsidRPr="008B7A61">
              <w:rPr>
                <w:rFonts w:eastAsia="Times New Roman" w:cs="Arial"/>
                <w:sz w:val="20"/>
                <w:szCs w:val="20"/>
                <w:lang w:eastAsia="en-AU"/>
              </w:rPr>
              <w:t>(</w:t>
            </w:r>
            <w:r>
              <w:rPr>
                <w:rFonts w:eastAsia="Times New Roman" w:cs="Arial"/>
                <w:sz w:val="20"/>
                <w:szCs w:val="20"/>
                <w:lang w:eastAsia="en-AU"/>
              </w:rPr>
              <w:t>three</w:t>
            </w:r>
            <w:r w:rsidRPr="008B7A61">
              <w:rPr>
                <w:rFonts w:eastAsia="Times New Roman" w:cs="Arial"/>
                <w:sz w:val="20"/>
                <w:szCs w:val="20"/>
                <w:lang w:eastAsia="en-AU"/>
              </w:rPr>
              <w:t xml:space="preserve">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r>
      <w:tr w:rsidR="00246597" w:rsidRPr="008B7A61" w:rsidTr="008B7A61">
        <w:tc>
          <w:tcPr>
            <w:tcW w:w="4111" w:type="dxa"/>
            <w:tcBorders>
              <w:right w:val="nil"/>
            </w:tcBorders>
            <w:shd w:val="clear" w:color="auto" w:fill="B8CCE4" w:themeFill="accent1" w:themeFillTint="66"/>
          </w:tcPr>
          <w:p w:rsidR="00246597" w:rsidRPr="008B7A61" w:rsidRDefault="00246597" w:rsidP="00707254">
            <w:pPr>
              <w:ind w:left="34" w:hanging="34"/>
              <w:rPr>
                <w:rFonts w:eastAsia="Times New Roman" w:cs="Arial"/>
                <w:sz w:val="20"/>
                <w:szCs w:val="20"/>
                <w:lang w:eastAsia="en-AU"/>
              </w:rPr>
            </w:pPr>
            <w:r w:rsidRPr="008B7A61">
              <w:rPr>
                <w:rFonts w:eastAsia="Times New Roman" w:cs="Arial"/>
                <w:sz w:val="20"/>
                <w:szCs w:val="20"/>
                <w:lang w:eastAsia="en-AU"/>
              </w:rPr>
              <w:t>Situation to-date, 3</w:t>
            </w:r>
            <w:r>
              <w:rPr>
                <w:rFonts w:eastAsia="Times New Roman" w:cs="Arial"/>
                <w:sz w:val="20"/>
                <w:szCs w:val="20"/>
                <w:lang w:eastAsia="en-AU"/>
              </w:rPr>
              <w:t>1</w:t>
            </w:r>
            <w:r w:rsidRPr="008B7A61">
              <w:rPr>
                <w:rFonts w:eastAsia="Times New Roman" w:cs="Arial"/>
                <w:sz w:val="20"/>
                <w:szCs w:val="20"/>
                <w:lang w:eastAsia="en-AU"/>
              </w:rPr>
              <w:t xml:space="preserve"> </w:t>
            </w:r>
            <w:r>
              <w:rPr>
                <w:rFonts w:eastAsia="Times New Roman" w:cs="Arial"/>
                <w:sz w:val="20"/>
                <w:szCs w:val="20"/>
                <w:lang w:eastAsia="en-AU"/>
              </w:rPr>
              <w:t>May</w:t>
            </w:r>
            <w:r w:rsidRPr="008B7A61">
              <w:rPr>
                <w:rFonts w:eastAsia="Times New Roman" w:cs="Arial"/>
                <w:sz w:val="20"/>
                <w:szCs w:val="20"/>
                <w:lang w:eastAsia="en-AU"/>
              </w:rPr>
              <w:t xml:space="preserve"> 2017</w:t>
            </w:r>
          </w:p>
        </w:tc>
        <w:tc>
          <w:tcPr>
            <w:tcW w:w="15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6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531"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770"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Outbreak commencement month/year</w:t>
            </w:r>
          </w:p>
        </w:tc>
        <w:tc>
          <w:tcPr>
            <w:tcW w:w="1560" w:type="dxa"/>
            <w:shd w:val="clear" w:color="auto" w:fill="C6D9F1" w:themeFill="text2"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January 2011</w:t>
            </w:r>
          </w:p>
        </w:tc>
        <w:tc>
          <w:tcPr>
            <w:tcW w:w="1660" w:type="dxa"/>
            <w:shd w:val="clear" w:color="auto" w:fill="DAEEF3" w:themeFill="accent5"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July 2013</w:t>
            </w:r>
          </w:p>
        </w:tc>
        <w:tc>
          <w:tcPr>
            <w:tcW w:w="1531" w:type="dxa"/>
            <w:shd w:val="clear" w:color="auto" w:fill="E5DFEC" w:themeFill="accent4" w:themeFillTint="33"/>
            <w:vAlign w:val="center"/>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June 2014</w:t>
            </w:r>
          </w:p>
        </w:tc>
        <w:tc>
          <w:tcPr>
            <w:tcW w:w="1770" w:type="dxa"/>
            <w:shd w:val="clear" w:color="auto" w:fill="FBD4B4" w:themeFill="accent6" w:themeFillTint="66"/>
          </w:tcPr>
          <w:p w:rsidR="00246597" w:rsidRPr="008B7A61" w:rsidRDefault="00246597" w:rsidP="008B7A61">
            <w:pPr>
              <w:ind w:left="34" w:hanging="34"/>
              <w:jc w:val="center"/>
              <w:rPr>
                <w:rFonts w:eastAsia="Times New Roman" w:cs="Arial"/>
                <w:sz w:val="20"/>
                <w:szCs w:val="20"/>
                <w:lang w:eastAsia="en-AU"/>
              </w:rPr>
            </w:pPr>
            <w:r w:rsidRPr="008B7A61">
              <w:rPr>
                <w:rFonts w:eastAsia="Times New Roman" w:cs="Arial"/>
                <w:sz w:val="20"/>
                <w:szCs w:val="20"/>
                <w:lang w:eastAsia="en-AU"/>
              </w:rPr>
              <w:t>November 2016</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Total number of cases</w:t>
            </w:r>
            <w:r w:rsidRPr="008B7A61">
              <w:rPr>
                <w:rFonts w:eastAsia="Times New Roman" w:cs="Arial"/>
                <w:b/>
                <w:sz w:val="20"/>
                <w:szCs w:val="20"/>
                <w:vertAlign w:val="superscript"/>
                <w:lang w:eastAsia="en-AU"/>
              </w:rPr>
              <w:t xml:space="preserve"> </w:t>
            </w:r>
            <w:r w:rsidRPr="008B7A61">
              <w:rPr>
                <w:rFonts w:eastAsia="Times New Roman" w:cs="Arial"/>
                <w:sz w:val="20"/>
                <w:szCs w:val="20"/>
                <w:vertAlign w:val="superscript"/>
                <w:lang w:eastAsia="en-AU"/>
              </w:rPr>
              <w:t>α</w:t>
            </w:r>
          </w:p>
        </w:tc>
        <w:tc>
          <w:tcPr>
            <w:tcW w:w="1560" w:type="dxa"/>
            <w:shd w:val="clear" w:color="auto" w:fill="C6D9F1" w:themeFill="text2" w:themeFillTint="33"/>
            <w:vAlign w:val="center"/>
          </w:tcPr>
          <w:p w:rsidR="00246597" w:rsidRPr="00384BA7" w:rsidRDefault="00246597" w:rsidP="008B7A61">
            <w:pPr>
              <w:ind w:left="34" w:hanging="34"/>
              <w:jc w:val="center"/>
              <w:rPr>
                <w:rFonts w:eastAsia="Times New Roman" w:cs="Arial"/>
                <w:b/>
                <w:sz w:val="20"/>
                <w:szCs w:val="20"/>
                <w:vertAlign w:val="superscript"/>
                <w:lang w:eastAsia="en-AU"/>
              </w:rPr>
            </w:pPr>
            <w:r w:rsidRPr="00384BA7">
              <w:rPr>
                <w:rFonts w:eastAsia="Times New Roman" w:cs="Arial"/>
                <w:b/>
                <w:sz w:val="20"/>
                <w:szCs w:val="20"/>
                <w:lang w:eastAsia="en-AU"/>
              </w:rPr>
              <w:t>852</w:t>
            </w:r>
          </w:p>
        </w:tc>
        <w:tc>
          <w:tcPr>
            <w:tcW w:w="1660" w:type="dxa"/>
            <w:shd w:val="clear" w:color="auto" w:fill="DAEEF3" w:themeFill="accent5" w:themeFillTint="33"/>
            <w:vAlign w:val="center"/>
          </w:tcPr>
          <w:p w:rsidR="00246597" w:rsidRPr="00707254" w:rsidRDefault="00246597" w:rsidP="008B7A61">
            <w:pPr>
              <w:ind w:left="34" w:hanging="34"/>
              <w:jc w:val="center"/>
              <w:rPr>
                <w:rFonts w:eastAsia="Times New Roman" w:cs="Arial"/>
                <w:b/>
                <w:sz w:val="20"/>
                <w:szCs w:val="20"/>
                <w:highlight w:val="yellow"/>
                <w:lang w:eastAsia="en-AU"/>
              </w:rPr>
            </w:pPr>
            <w:r w:rsidRPr="00384BA7">
              <w:rPr>
                <w:rFonts w:eastAsia="Times New Roman" w:cs="Arial"/>
                <w:b/>
                <w:sz w:val="20"/>
                <w:szCs w:val="20"/>
                <w:lang w:eastAsia="en-AU"/>
              </w:rPr>
              <w:t>509</w:t>
            </w:r>
          </w:p>
        </w:tc>
        <w:tc>
          <w:tcPr>
            <w:tcW w:w="1531" w:type="dxa"/>
            <w:shd w:val="clear" w:color="auto" w:fill="E5DFEC" w:themeFill="accent4" w:themeFillTint="33"/>
            <w:vAlign w:val="center"/>
          </w:tcPr>
          <w:p w:rsidR="00246597" w:rsidRPr="00384BA7" w:rsidRDefault="00246597" w:rsidP="008B7A61">
            <w:pPr>
              <w:ind w:left="34" w:hanging="34"/>
              <w:jc w:val="center"/>
              <w:rPr>
                <w:rFonts w:eastAsia="Times New Roman" w:cs="Arial"/>
                <w:b/>
                <w:sz w:val="20"/>
                <w:szCs w:val="20"/>
                <w:lang w:eastAsia="en-AU"/>
              </w:rPr>
            </w:pPr>
            <w:r w:rsidRPr="00384BA7">
              <w:rPr>
                <w:rFonts w:eastAsia="Times New Roman" w:cs="Arial"/>
                <w:b/>
                <w:sz w:val="20"/>
                <w:szCs w:val="20"/>
                <w:lang w:eastAsia="en-AU"/>
              </w:rPr>
              <w:t>123</w:t>
            </w:r>
          </w:p>
        </w:tc>
        <w:tc>
          <w:tcPr>
            <w:tcW w:w="1770" w:type="dxa"/>
            <w:shd w:val="clear" w:color="auto" w:fill="FBD4B4" w:themeFill="accent6" w:themeFillTint="66"/>
          </w:tcPr>
          <w:p w:rsidR="00246597" w:rsidRPr="00D87986" w:rsidRDefault="00246597" w:rsidP="008B7A61">
            <w:pPr>
              <w:ind w:left="34" w:hanging="34"/>
              <w:jc w:val="center"/>
              <w:rPr>
                <w:rFonts w:eastAsia="Times New Roman" w:cs="Arial"/>
                <w:b/>
                <w:sz w:val="20"/>
                <w:szCs w:val="20"/>
                <w:lang w:eastAsia="en-AU"/>
              </w:rPr>
            </w:pPr>
            <w:r w:rsidRPr="00D87986">
              <w:rPr>
                <w:rFonts w:eastAsia="Times New Roman" w:cs="Arial"/>
                <w:b/>
                <w:sz w:val="20"/>
                <w:szCs w:val="20"/>
                <w:lang w:eastAsia="en-AU"/>
              </w:rPr>
              <w:t>16</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69%</w:t>
            </w:r>
          </w:p>
        </w:tc>
        <w:tc>
          <w:tcPr>
            <w:tcW w:w="1660" w:type="dxa"/>
            <w:shd w:val="clear" w:color="auto" w:fill="DAEEF3" w:themeFill="accent5" w:themeFillTint="33"/>
            <w:vAlign w:val="center"/>
          </w:tcPr>
          <w:p w:rsidR="00246597" w:rsidRPr="00707254" w:rsidRDefault="00246597" w:rsidP="00384BA7">
            <w:pPr>
              <w:ind w:left="34" w:hanging="34"/>
              <w:jc w:val="center"/>
              <w:rPr>
                <w:rFonts w:eastAsia="Times New Roman" w:cs="Arial"/>
                <w:sz w:val="20"/>
                <w:szCs w:val="20"/>
                <w:highlight w:val="yellow"/>
                <w:lang w:eastAsia="en-AU"/>
              </w:rPr>
            </w:pPr>
            <w:r w:rsidRPr="00384BA7">
              <w:rPr>
                <w:rFonts w:eastAsia="Times New Roman" w:cs="Arial"/>
                <w:sz w:val="20"/>
                <w:szCs w:val="20"/>
                <w:lang w:eastAsia="en-AU"/>
              </w:rPr>
              <w:t>74%</w:t>
            </w:r>
          </w:p>
        </w:tc>
        <w:tc>
          <w:tcPr>
            <w:tcW w:w="1531" w:type="dxa"/>
            <w:shd w:val="clear" w:color="auto" w:fill="E5DFEC" w:themeFill="accent4"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68%</w:t>
            </w:r>
          </w:p>
        </w:tc>
        <w:tc>
          <w:tcPr>
            <w:tcW w:w="1770" w:type="dxa"/>
            <w:shd w:val="clear" w:color="auto" w:fill="FBD4B4" w:themeFill="accent6" w:themeFillTint="66"/>
          </w:tcPr>
          <w:p w:rsidR="00246597" w:rsidRPr="00D87986" w:rsidRDefault="00246597" w:rsidP="008B7A61">
            <w:pPr>
              <w:ind w:left="34" w:hanging="34"/>
              <w:jc w:val="center"/>
              <w:rPr>
                <w:rFonts w:eastAsia="Times New Roman" w:cs="Arial"/>
                <w:sz w:val="20"/>
                <w:szCs w:val="20"/>
                <w:lang w:eastAsia="en-AU"/>
              </w:rPr>
            </w:pPr>
            <w:r w:rsidRPr="00D87986">
              <w:rPr>
                <w:rFonts w:eastAsia="Times New Roman" w:cs="Arial"/>
                <w:sz w:val="20"/>
                <w:szCs w:val="20"/>
                <w:lang w:eastAsia="en-AU"/>
              </w:rPr>
              <w:t>56%</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707254" w:rsidRDefault="00246597" w:rsidP="008B7A61">
            <w:pPr>
              <w:ind w:left="34" w:hanging="34"/>
              <w:jc w:val="center"/>
              <w:rPr>
                <w:rFonts w:eastAsia="Times New Roman" w:cs="Arial"/>
                <w:sz w:val="20"/>
                <w:szCs w:val="20"/>
                <w:highlight w:val="yellow"/>
                <w:lang w:eastAsia="en-AU"/>
              </w:rPr>
            </w:pPr>
            <w:r w:rsidRPr="00384BA7">
              <w:rPr>
                <w:rFonts w:eastAsia="Times New Roman" w:cs="Arial"/>
                <w:sz w:val="20"/>
                <w:szCs w:val="20"/>
                <w:lang w:eastAsia="en-AU"/>
              </w:rPr>
              <w:t>48% / 52%</w:t>
            </w:r>
          </w:p>
        </w:tc>
        <w:tc>
          <w:tcPr>
            <w:tcW w:w="1660" w:type="dxa"/>
            <w:shd w:val="clear" w:color="auto" w:fill="DAEEF3" w:themeFill="accent5" w:themeFillTint="33"/>
            <w:vAlign w:val="center"/>
          </w:tcPr>
          <w:p w:rsidR="00246597" w:rsidRPr="00707254" w:rsidRDefault="00246597" w:rsidP="008B7A61">
            <w:pPr>
              <w:ind w:left="34" w:hanging="34"/>
              <w:jc w:val="center"/>
              <w:rPr>
                <w:rFonts w:eastAsia="Times New Roman" w:cs="Arial"/>
                <w:sz w:val="20"/>
                <w:szCs w:val="20"/>
                <w:highlight w:val="yellow"/>
                <w:lang w:eastAsia="en-AU"/>
              </w:rPr>
            </w:pPr>
            <w:r w:rsidRPr="00384BA7">
              <w:rPr>
                <w:rFonts w:eastAsia="Times New Roman" w:cs="Arial"/>
                <w:sz w:val="20"/>
                <w:szCs w:val="20"/>
                <w:lang w:eastAsia="en-AU"/>
              </w:rPr>
              <w:t>46% / 54%</w:t>
            </w:r>
          </w:p>
        </w:tc>
        <w:tc>
          <w:tcPr>
            <w:tcW w:w="1531" w:type="dxa"/>
            <w:shd w:val="clear" w:color="auto" w:fill="E5DFEC" w:themeFill="accent4" w:themeFillTint="33"/>
            <w:vAlign w:val="center"/>
          </w:tcPr>
          <w:p w:rsidR="00246597" w:rsidRPr="00707254" w:rsidRDefault="00246597" w:rsidP="008B7A61">
            <w:pPr>
              <w:ind w:left="34" w:hanging="34"/>
              <w:jc w:val="center"/>
              <w:rPr>
                <w:rFonts w:eastAsia="Times New Roman" w:cs="Arial"/>
                <w:sz w:val="20"/>
                <w:szCs w:val="20"/>
                <w:highlight w:val="yellow"/>
                <w:lang w:eastAsia="en-AU"/>
              </w:rPr>
            </w:pPr>
            <w:r w:rsidRPr="00384BA7">
              <w:rPr>
                <w:rFonts w:eastAsia="Times New Roman" w:cs="Arial"/>
                <w:sz w:val="20"/>
                <w:szCs w:val="20"/>
                <w:lang w:eastAsia="en-AU"/>
              </w:rPr>
              <w:t>36% / 64%</w:t>
            </w:r>
          </w:p>
        </w:tc>
        <w:tc>
          <w:tcPr>
            <w:tcW w:w="1770" w:type="dxa"/>
            <w:shd w:val="clear" w:color="auto" w:fill="FBD4B4" w:themeFill="accent6" w:themeFillTint="66"/>
          </w:tcPr>
          <w:p w:rsidR="00246597" w:rsidRPr="00707254" w:rsidRDefault="00246597" w:rsidP="008B7A61">
            <w:pPr>
              <w:ind w:left="34" w:hanging="34"/>
              <w:jc w:val="center"/>
              <w:rPr>
                <w:rFonts w:eastAsia="Times New Roman" w:cs="Arial"/>
                <w:sz w:val="20"/>
                <w:szCs w:val="20"/>
                <w:highlight w:val="yellow"/>
                <w:lang w:eastAsia="en-AU"/>
              </w:rPr>
            </w:pPr>
            <w:r w:rsidRPr="00D87986">
              <w:rPr>
                <w:rFonts w:eastAsia="Times New Roman" w:cs="Arial"/>
                <w:sz w:val="20"/>
                <w:szCs w:val="20"/>
                <w:lang w:eastAsia="en-AU"/>
              </w:rPr>
              <w:t>50% /50%</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Congenital cases, confirmed (probable)</w:t>
            </w:r>
          </w:p>
        </w:tc>
        <w:tc>
          <w:tcPr>
            <w:tcW w:w="1560" w:type="dxa"/>
            <w:shd w:val="clear" w:color="auto" w:fill="C6D9F1" w:themeFill="text2"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3 (2)</w:t>
            </w:r>
          </w:p>
        </w:tc>
        <w:tc>
          <w:tcPr>
            <w:tcW w:w="1660" w:type="dxa"/>
            <w:shd w:val="clear" w:color="auto" w:fill="DAEEF3" w:themeFill="accent5"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2 (2)</w:t>
            </w:r>
          </w:p>
        </w:tc>
        <w:tc>
          <w:tcPr>
            <w:tcW w:w="1531" w:type="dxa"/>
            <w:shd w:val="clear" w:color="auto" w:fill="E5DFEC" w:themeFill="accent4"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0 (0)</w:t>
            </w:r>
          </w:p>
        </w:tc>
        <w:tc>
          <w:tcPr>
            <w:tcW w:w="1770" w:type="dxa"/>
            <w:shd w:val="clear" w:color="auto" w:fill="FBD4B4" w:themeFill="accent6" w:themeFillTint="66"/>
          </w:tcPr>
          <w:p w:rsidR="00246597" w:rsidRPr="00D87986" w:rsidRDefault="00246597" w:rsidP="008B7A61">
            <w:pPr>
              <w:ind w:left="34" w:hanging="34"/>
              <w:jc w:val="center"/>
              <w:rPr>
                <w:rFonts w:eastAsia="Times New Roman" w:cs="Arial"/>
                <w:sz w:val="20"/>
                <w:szCs w:val="20"/>
                <w:lang w:eastAsia="en-AU"/>
              </w:rPr>
            </w:pPr>
            <w:r w:rsidRPr="00D87986">
              <w:rPr>
                <w:rFonts w:eastAsia="Times New Roman" w:cs="Arial"/>
                <w:sz w:val="20"/>
                <w:szCs w:val="20"/>
                <w:lang w:eastAsia="en-AU"/>
              </w:rPr>
              <w:t>1 (0)</w:t>
            </w:r>
          </w:p>
        </w:tc>
      </w:tr>
      <w:tr w:rsidR="00246597" w:rsidRPr="008B7A61" w:rsidTr="008B7A61">
        <w:tc>
          <w:tcPr>
            <w:tcW w:w="4111" w:type="dxa"/>
            <w:tcBorders>
              <w:bottom w:val="single" w:sz="4" w:space="0" w:color="auto"/>
            </w:tcBorders>
            <w:shd w:val="clear" w:color="auto" w:fill="auto"/>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xml:space="preserve">   -number of deaths in congenital cases</w:t>
            </w:r>
          </w:p>
        </w:tc>
        <w:tc>
          <w:tcPr>
            <w:tcW w:w="1560" w:type="dxa"/>
            <w:tcBorders>
              <w:bottom w:val="single" w:sz="4" w:space="0" w:color="auto"/>
            </w:tcBorders>
            <w:shd w:val="clear" w:color="auto" w:fill="C6D9F1" w:themeFill="text2"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4</w:t>
            </w:r>
          </w:p>
        </w:tc>
        <w:tc>
          <w:tcPr>
            <w:tcW w:w="1660" w:type="dxa"/>
            <w:tcBorders>
              <w:bottom w:val="single" w:sz="4" w:space="0" w:color="auto"/>
            </w:tcBorders>
            <w:shd w:val="clear" w:color="auto" w:fill="DAEEF3" w:themeFill="accent5"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0</w:t>
            </w:r>
          </w:p>
        </w:tc>
        <w:tc>
          <w:tcPr>
            <w:tcW w:w="1531" w:type="dxa"/>
            <w:tcBorders>
              <w:bottom w:val="single" w:sz="4" w:space="0" w:color="auto"/>
            </w:tcBorders>
            <w:shd w:val="clear" w:color="auto" w:fill="E5DFEC" w:themeFill="accent4"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0</w:t>
            </w:r>
          </w:p>
        </w:tc>
        <w:tc>
          <w:tcPr>
            <w:tcW w:w="1770" w:type="dxa"/>
            <w:tcBorders>
              <w:bottom w:val="single" w:sz="4" w:space="0" w:color="auto"/>
            </w:tcBorders>
            <w:shd w:val="clear" w:color="auto" w:fill="FBD4B4" w:themeFill="accent6" w:themeFillTint="66"/>
          </w:tcPr>
          <w:p w:rsidR="00246597" w:rsidRPr="00D87986" w:rsidRDefault="00246597" w:rsidP="008B7A61">
            <w:pPr>
              <w:ind w:left="34" w:hanging="34"/>
              <w:jc w:val="center"/>
              <w:rPr>
                <w:rFonts w:eastAsia="Times New Roman" w:cs="Arial"/>
                <w:sz w:val="20"/>
                <w:szCs w:val="20"/>
                <w:lang w:eastAsia="en-AU"/>
              </w:rPr>
            </w:pPr>
            <w:r w:rsidRPr="00D87986">
              <w:rPr>
                <w:rFonts w:eastAsia="Times New Roman" w:cs="Arial"/>
                <w:sz w:val="20"/>
                <w:szCs w:val="20"/>
                <w:lang w:eastAsia="en-AU"/>
              </w:rPr>
              <w:t>0</w:t>
            </w:r>
          </w:p>
        </w:tc>
      </w:tr>
      <w:tr w:rsidR="00246597" w:rsidRPr="008B7A61" w:rsidTr="008B7A61">
        <w:tc>
          <w:tcPr>
            <w:tcW w:w="4111" w:type="dxa"/>
            <w:tcBorders>
              <w:right w:val="nil"/>
            </w:tcBorders>
            <w:shd w:val="clear" w:color="auto" w:fill="B8CCE4" w:themeFill="accent1" w:themeFillTint="66"/>
            <w:vAlign w:val="center"/>
          </w:tcPr>
          <w:p w:rsidR="00246597" w:rsidRPr="008B7A61" w:rsidRDefault="00246597" w:rsidP="00707254">
            <w:pPr>
              <w:ind w:left="34" w:hanging="34"/>
              <w:rPr>
                <w:rFonts w:eastAsia="Times New Roman" w:cs="Arial"/>
                <w:sz w:val="20"/>
                <w:szCs w:val="20"/>
                <w:lang w:eastAsia="en-AU"/>
              </w:rPr>
            </w:pPr>
            <w:r>
              <w:rPr>
                <w:rFonts w:eastAsia="Times New Roman" w:cs="Arial"/>
                <w:sz w:val="20"/>
                <w:szCs w:val="20"/>
                <w:lang w:eastAsia="en-AU"/>
              </w:rPr>
              <w:t>Last reporting month, 1–31</w:t>
            </w:r>
            <w:r w:rsidRPr="008B7A61">
              <w:rPr>
                <w:rFonts w:eastAsia="Times New Roman" w:cs="Arial"/>
                <w:sz w:val="20"/>
                <w:szCs w:val="20"/>
                <w:lang w:eastAsia="en-AU"/>
              </w:rPr>
              <w:t xml:space="preserve"> </w:t>
            </w:r>
            <w:r>
              <w:rPr>
                <w:rFonts w:eastAsia="Times New Roman" w:cs="Arial"/>
                <w:sz w:val="20"/>
                <w:szCs w:val="20"/>
                <w:lang w:eastAsia="en-AU"/>
              </w:rPr>
              <w:t>May</w:t>
            </w:r>
            <w:r w:rsidRPr="008B7A61">
              <w:rPr>
                <w:rFonts w:eastAsia="Times New Roman" w:cs="Arial"/>
                <w:sz w:val="20"/>
                <w:szCs w:val="20"/>
                <w:lang w:eastAsia="en-AU"/>
              </w:rPr>
              <w:t xml:space="preserve"> 2017</w:t>
            </w:r>
          </w:p>
        </w:tc>
        <w:tc>
          <w:tcPr>
            <w:tcW w:w="1560" w:type="dxa"/>
            <w:tcBorders>
              <w:left w:val="nil"/>
              <w:right w:val="nil"/>
            </w:tcBorders>
            <w:shd w:val="clear" w:color="auto" w:fill="B8CCE4" w:themeFill="accent1" w:themeFillTint="66"/>
            <w:vAlign w:val="center"/>
          </w:tcPr>
          <w:p w:rsidR="00246597" w:rsidRPr="00707254" w:rsidRDefault="00246597" w:rsidP="008B7A61">
            <w:pPr>
              <w:ind w:left="34" w:hanging="34"/>
              <w:rPr>
                <w:rFonts w:eastAsia="Times New Roman" w:cs="Arial"/>
                <w:color w:val="FF0000"/>
                <w:sz w:val="20"/>
                <w:szCs w:val="20"/>
                <w:highlight w:val="yellow"/>
                <w:lang w:eastAsia="en-AU"/>
              </w:rPr>
            </w:pPr>
          </w:p>
        </w:tc>
        <w:tc>
          <w:tcPr>
            <w:tcW w:w="1660" w:type="dxa"/>
            <w:tcBorders>
              <w:left w:val="nil"/>
              <w:right w:val="nil"/>
            </w:tcBorders>
            <w:shd w:val="clear" w:color="auto" w:fill="B8CCE4" w:themeFill="accent1" w:themeFillTint="66"/>
            <w:vAlign w:val="center"/>
          </w:tcPr>
          <w:p w:rsidR="00246597" w:rsidRPr="00707254" w:rsidRDefault="00246597" w:rsidP="008B7A61">
            <w:pPr>
              <w:ind w:left="34" w:hanging="34"/>
              <w:rPr>
                <w:rFonts w:eastAsia="Times New Roman" w:cs="Arial"/>
                <w:color w:val="FF0000"/>
                <w:sz w:val="20"/>
                <w:szCs w:val="20"/>
                <w:highlight w:val="yellow"/>
                <w:lang w:eastAsia="en-AU"/>
              </w:rPr>
            </w:pPr>
          </w:p>
        </w:tc>
        <w:tc>
          <w:tcPr>
            <w:tcW w:w="1531" w:type="dxa"/>
            <w:tcBorders>
              <w:left w:val="nil"/>
            </w:tcBorders>
            <w:shd w:val="clear" w:color="auto" w:fill="B8CCE4" w:themeFill="accent1" w:themeFillTint="66"/>
            <w:vAlign w:val="center"/>
          </w:tcPr>
          <w:p w:rsidR="00246597" w:rsidRPr="00707254" w:rsidRDefault="00246597" w:rsidP="008B7A61">
            <w:pPr>
              <w:ind w:left="34" w:hanging="34"/>
              <w:rPr>
                <w:rFonts w:eastAsia="Times New Roman" w:cs="Arial"/>
                <w:color w:val="FF0000"/>
                <w:sz w:val="20"/>
                <w:szCs w:val="20"/>
                <w:highlight w:val="yellow"/>
                <w:lang w:eastAsia="en-AU"/>
              </w:rPr>
            </w:pPr>
          </w:p>
        </w:tc>
        <w:tc>
          <w:tcPr>
            <w:tcW w:w="1770" w:type="dxa"/>
            <w:tcBorders>
              <w:left w:val="nil"/>
            </w:tcBorders>
            <w:shd w:val="clear" w:color="auto" w:fill="B8CCE4" w:themeFill="accent1" w:themeFillTint="66"/>
          </w:tcPr>
          <w:p w:rsidR="00246597" w:rsidRPr="00D87986" w:rsidRDefault="00246597" w:rsidP="008B7A61">
            <w:pPr>
              <w:ind w:left="34" w:hanging="34"/>
              <w:rPr>
                <w:rFonts w:eastAsia="Times New Roman" w:cs="Arial"/>
                <w:sz w:val="20"/>
                <w:szCs w:val="20"/>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Number of cases</w:t>
            </w:r>
            <w:r w:rsidRPr="008B7A61">
              <w:rPr>
                <w:rFonts w:eastAsia="Times New Roman" w:cs="Arial"/>
                <w:b/>
                <w:sz w:val="20"/>
                <w:szCs w:val="20"/>
                <w:vertAlign w:val="superscript"/>
                <w:lang w:eastAsia="en-AU"/>
              </w:rPr>
              <w:t xml:space="preserve"> </w:t>
            </w:r>
            <w:r w:rsidRPr="008B7A61">
              <w:rPr>
                <w:rFonts w:eastAsia="Times New Roman" w:cs="Arial"/>
                <w:sz w:val="20"/>
                <w:szCs w:val="20"/>
                <w:vertAlign w:val="superscript"/>
                <w:lang w:eastAsia="en-AU"/>
              </w:rPr>
              <w:t>α</w:t>
            </w:r>
          </w:p>
        </w:tc>
        <w:tc>
          <w:tcPr>
            <w:tcW w:w="1560" w:type="dxa"/>
            <w:tcBorders>
              <w:bottom w:val="single" w:sz="4" w:space="0" w:color="auto"/>
            </w:tcBorders>
            <w:shd w:val="clear" w:color="auto" w:fill="C6D9F1" w:themeFill="text2" w:themeFillTint="33"/>
            <w:vAlign w:val="center"/>
          </w:tcPr>
          <w:p w:rsidR="00246597" w:rsidRPr="00384BA7" w:rsidRDefault="00246597" w:rsidP="008B7A61">
            <w:pPr>
              <w:ind w:left="34" w:hanging="34"/>
              <w:jc w:val="center"/>
              <w:rPr>
                <w:rFonts w:eastAsia="Times New Roman" w:cs="Arial"/>
                <w:b/>
                <w:sz w:val="20"/>
                <w:szCs w:val="20"/>
                <w:lang w:eastAsia="en-AU"/>
              </w:rPr>
            </w:pPr>
            <w:r w:rsidRPr="00384BA7">
              <w:rPr>
                <w:rFonts w:eastAsia="Times New Roman" w:cs="Arial"/>
                <w:b/>
                <w:sz w:val="20"/>
                <w:szCs w:val="20"/>
                <w:lang w:eastAsia="en-AU"/>
              </w:rPr>
              <w:t>23</w:t>
            </w:r>
          </w:p>
        </w:tc>
        <w:tc>
          <w:tcPr>
            <w:tcW w:w="1660" w:type="dxa"/>
            <w:shd w:val="clear" w:color="auto" w:fill="DAEEF3" w:themeFill="accent5" w:themeFillTint="33"/>
            <w:vAlign w:val="center"/>
          </w:tcPr>
          <w:p w:rsidR="00246597" w:rsidRPr="00384BA7" w:rsidRDefault="00246597" w:rsidP="008B7A61">
            <w:pPr>
              <w:ind w:left="34" w:hanging="34"/>
              <w:jc w:val="center"/>
              <w:rPr>
                <w:rFonts w:eastAsia="Times New Roman" w:cs="Arial"/>
                <w:b/>
                <w:sz w:val="20"/>
                <w:szCs w:val="20"/>
                <w:lang w:eastAsia="en-AU"/>
              </w:rPr>
            </w:pPr>
            <w:r w:rsidRPr="00384BA7">
              <w:rPr>
                <w:rFonts w:eastAsia="Times New Roman" w:cs="Arial"/>
                <w:b/>
                <w:sz w:val="20"/>
                <w:szCs w:val="20"/>
                <w:lang w:eastAsia="en-AU"/>
              </w:rPr>
              <w:t>19</w:t>
            </w:r>
          </w:p>
        </w:tc>
        <w:tc>
          <w:tcPr>
            <w:tcW w:w="1531" w:type="dxa"/>
            <w:shd w:val="clear" w:color="auto" w:fill="E5DFEC" w:themeFill="accent4" w:themeFillTint="33"/>
            <w:vAlign w:val="center"/>
          </w:tcPr>
          <w:p w:rsidR="00246597" w:rsidRPr="00D87986" w:rsidRDefault="00246597" w:rsidP="008B7A61">
            <w:pPr>
              <w:ind w:left="34" w:hanging="34"/>
              <w:jc w:val="center"/>
              <w:rPr>
                <w:rFonts w:eastAsia="Times New Roman" w:cs="Arial"/>
                <w:b/>
                <w:sz w:val="20"/>
                <w:szCs w:val="20"/>
                <w:lang w:eastAsia="en-AU"/>
              </w:rPr>
            </w:pPr>
            <w:r w:rsidRPr="00D87986">
              <w:rPr>
                <w:rFonts w:eastAsia="Times New Roman" w:cs="Arial"/>
                <w:b/>
                <w:sz w:val="20"/>
                <w:szCs w:val="20"/>
                <w:lang w:eastAsia="en-AU"/>
              </w:rPr>
              <w:t>2</w:t>
            </w:r>
          </w:p>
        </w:tc>
        <w:tc>
          <w:tcPr>
            <w:tcW w:w="1770" w:type="dxa"/>
            <w:shd w:val="clear" w:color="auto" w:fill="FBD4B4" w:themeFill="accent6" w:themeFillTint="66"/>
          </w:tcPr>
          <w:p w:rsidR="00246597" w:rsidRPr="00D87986" w:rsidRDefault="00246597" w:rsidP="008B7A61">
            <w:pPr>
              <w:ind w:left="34" w:hanging="34"/>
              <w:jc w:val="center"/>
              <w:rPr>
                <w:rFonts w:eastAsia="Times New Roman" w:cs="Arial"/>
                <w:b/>
                <w:sz w:val="20"/>
                <w:szCs w:val="20"/>
                <w:lang w:eastAsia="en-AU"/>
              </w:rPr>
            </w:pPr>
            <w:r w:rsidRPr="00D87986">
              <w:rPr>
                <w:rFonts w:eastAsia="Times New Roman" w:cs="Arial"/>
                <w:b/>
                <w:sz w:val="20"/>
                <w:szCs w:val="20"/>
                <w:lang w:eastAsia="en-AU"/>
              </w:rPr>
              <w:t>4</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384BA7" w:rsidRDefault="00246597" w:rsidP="008B7A61">
            <w:pPr>
              <w:jc w:val="center"/>
              <w:rPr>
                <w:rFonts w:eastAsia="Times New Roman" w:cs="Arial"/>
                <w:sz w:val="20"/>
                <w:szCs w:val="20"/>
                <w:lang w:eastAsia="en-AU"/>
              </w:rPr>
            </w:pPr>
            <w:r w:rsidRPr="00384BA7">
              <w:rPr>
                <w:rFonts w:eastAsia="Times New Roman" w:cs="Arial"/>
                <w:sz w:val="20"/>
                <w:szCs w:val="20"/>
                <w:lang w:eastAsia="en-AU"/>
              </w:rPr>
              <w:t>65%</w:t>
            </w:r>
          </w:p>
        </w:tc>
        <w:tc>
          <w:tcPr>
            <w:tcW w:w="1660" w:type="dxa"/>
            <w:shd w:val="clear" w:color="auto" w:fill="DAEEF3" w:themeFill="accent5" w:themeFillTint="33"/>
            <w:vAlign w:val="center"/>
          </w:tcPr>
          <w:p w:rsidR="00246597" w:rsidRPr="00384BA7" w:rsidRDefault="00246597" w:rsidP="008B7A61">
            <w:pPr>
              <w:ind w:left="34" w:hanging="34"/>
              <w:jc w:val="center"/>
              <w:rPr>
                <w:rFonts w:eastAsia="Times New Roman" w:cs="Arial"/>
                <w:sz w:val="20"/>
                <w:szCs w:val="20"/>
                <w:lang w:eastAsia="en-AU"/>
              </w:rPr>
            </w:pPr>
            <w:r w:rsidRPr="00384BA7">
              <w:rPr>
                <w:rFonts w:eastAsia="Times New Roman" w:cs="Arial"/>
                <w:sz w:val="20"/>
                <w:szCs w:val="20"/>
                <w:lang w:eastAsia="en-AU"/>
              </w:rPr>
              <w:t>53%</w:t>
            </w:r>
          </w:p>
        </w:tc>
        <w:tc>
          <w:tcPr>
            <w:tcW w:w="1531" w:type="dxa"/>
            <w:shd w:val="clear" w:color="auto" w:fill="E5DFEC" w:themeFill="accent4" w:themeFillTint="33"/>
            <w:vAlign w:val="center"/>
          </w:tcPr>
          <w:p w:rsidR="00246597" w:rsidRPr="00D87986" w:rsidRDefault="00246597" w:rsidP="008B7A61">
            <w:pPr>
              <w:ind w:left="34" w:hanging="34"/>
              <w:jc w:val="center"/>
              <w:rPr>
                <w:rFonts w:eastAsia="Times New Roman" w:cs="Arial"/>
                <w:sz w:val="20"/>
                <w:szCs w:val="20"/>
                <w:lang w:eastAsia="en-AU"/>
              </w:rPr>
            </w:pPr>
            <w:r w:rsidRPr="00D87986">
              <w:rPr>
                <w:rFonts w:eastAsia="Times New Roman" w:cs="Arial"/>
                <w:sz w:val="20"/>
                <w:szCs w:val="20"/>
                <w:lang w:eastAsia="en-AU"/>
              </w:rPr>
              <w:t>50%</w:t>
            </w:r>
          </w:p>
        </w:tc>
        <w:tc>
          <w:tcPr>
            <w:tcW w:w="1770" w:type="dxa"/>
            <w:shd w:val="clear" w:color="auto" w:fill="FBD4B4" w:themeFill="accent6" w:themeFillTint="66"/>
          </w:tcPr>
          <w:p w:rsidR="00246597" w:rsidRPr="00D87986" w:rsidRDefault="00246597" w:rsidP="008B7A61">
            <w:pPr>
              <w:ind w:left="34" w:hanging="34"/>
              <w:jc w:val="center"/>
              <w:rPr>
                <w:rFonts w:eastAsia="Times New Roman" w:cs="Arial"/>
                <w:sz w:val="20"/>
                <w:szCs w:val="20"/>
                <w:lang w:eastAsia="en-AU"/>
              </w:rPr>
            </w:pPr>
            <w:r w:rsidRPr="00D87986">
              <w:rPr>
                <w:rFonts w:eastAsia="Times New Roman" w:cs="Arial"/>
                <w:sz w:val="20"/>
                <w:szCs w:val="20"/>
                <w:lang w:eastAsia="en-AU"/>
              </w:rPr>
              <w:t>25%</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384BA7" w:rsidRDefault="00246597" w:rsidP="00384BA7">
            <w:pPr>
              <w:ind w:left="34" w:hanging="34"/>
              <w:jc w:val="center"/>
              <w:rPr>
                <w:rFonts w:eastAsia="Times New Roman" w:cs="Arial"/>
                <w:sz w:val="20"/>
                <w:szCs w:val="20"/>
                <w:lang w:eastAsia="en-AU"/>
              </w:rPr>
            </w:pPr>
            <w:r w:rsidRPr="00384BA7">
              <w:rPr>
                <w:rFonts w:eastAsia="Times New Roman" w:cs="Arial"/>
                <w:sz w:val="20"/>
                <w:szCs w:val="20"/>
                <w:lang w:eastAsia="en-AU"/>
              </w:rPr>
              <w:t>61% / 39%</w:t>
            </w:r>
          </w:p>
        </w:tc>
        <w:tc>
          <w:tcPr>
            <w:tcW w:w="1660" w:type="dxa"/>
            <w:shd w:val="clear" w:color="auto" w:fill="DAEEF3" w:themeFill="accent5" w:themeFillTint="33"/>
            <w:vAlign w:val="center"/>
          </w:tcPr>
          <w:p w:rsidR="00246597" w:rsidRPr="00707254" w:rsidRDefault="00246597" w:rsidP="008B7A61">
            <w:pPr>
              <w:ind w:left="34" w:hanging="34"/>
              <w:jc w:val="center"/>
              <w:rPr>
                <w:rFonts w:eastAsia="Times New Roman" w:cs="Arial"/>
                <w:sz w:val="20"/>
                <w:szCs w:val="20"/>
                <w:highlight w:val="yellow"/>
                <w:lang w:eastAsia="en-AU"/>
              </w:rPr>
            </w:pPr>
            <w:r w:rsidRPr="00384BA7">
              <w:rPr>
                <w:rFonts w:eastAsia="Times New Roman" w:cs="Arial"/>
                <w:sz w:val="20"/>
                <w:szCs w:val="20"/>
                <w:lang w:eastAsia="en-AU"/>
              </w:rPr>
              <w:t>42% / 58%</w:t>
            </w:r>
          </w:p>
        </w:tc>
        <w:tc>
          <w:tcPr>
            <w:tcW w:w="1531" w:type="dxa"/>
            <w:shd w:val="clear" w:color="auto" w:fill="E5DFEC" w:themeFill="accent4" w:themeFillTint="33"/>
            <w:vAlign w:val="center"/>
          </w:tcPr>
          <w:p w:rsidR="00246597" w:rsidRPr="00D87986" w:rsidRDefault="00246597" w:rsidP="00D87986">
            <w:pPr>
              <w:ind w:left="34" w:hanging="34"/>
              <w:jc w:val="center"/>
              <w:rPr>
                <w:rFonts w:eastAsia="Times New Roman" w:cs="Arial"/>
                <w:sz w:val="20"/>
                <w:szCs w:val="20"/>
                <w:lang w:eastAsia="en-AU"/>
              </w:rPr>
            </w:pPr>
            <w:r w:rsidRPr="00D87986">
              <w:rPr>
                <w:rFonts w:eastAsia="Times New Roman" w:cs="Arial"/>
                <w:sz w:val="20"/>
                <w:szCs w:val="20"/>
                <w:lang w:eastAsia="en-AU"/>
              </w:rPr>
              <w:t>50% / 50%</w:t>
            </w:r>
          </w:p>
        </w:tc>
        <w:tc>
          <w:tcPr>
            <w:tcW w:w="1770" w:type="dxa"/>
            <w:shd w:val="clear" w:color="auto" w:fill="FBD4B4" w:themeFill="accent6" w:themeFillTint="66"/>
          </w:tcPr>
          <w:p w:rsidR="00246597" w:rsidRPr="00D87986" w:rsidRDefault="00246597" w:rsidP="00D87986">
            <w:pPr>
              <w:ind w:left="34" w:hanging="34"/>
              <w:jc w:val="center"/>
              <w:rPr>
                <w:rFonts w:eastAsia="Times New Roman" w:cs="Arial"/>
                <w:sz w:val="20"/>
                <w:szCs w:val="20"/>
                <w:lang w:eastAsia="en-AU"/>
              </w:rPr>
            </w:pPr>
            <w:r w:rsidRPr="00D87986">
              <w:rPr>
                <w:rFonts w:eastAsia="Times New Roman" w:cs="Arial"/>
                <w:sz w:val="20"/>
                <w:szCs w:val="20"/>
                <w:lang w:eastAsia="en-AU"/>
              </w:rPr>
              <w:t>50% / 50%</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w:t>
      </w:r>
      <w:r w:rsidRPr="00C019C3">
        <w:rPr>
          <w:sz w:val="16"/>
          <w:szCs w:val="16"/>
        </w:rPr>
        <w:t>Eyre</w:t>
      </w:r>
      <w:r>
        <w:rPr>
          <w:sz w:val="16"/>
          <w:szCs w:val="16"/>
        </w:rPr>
        <w:t xml:space="preserve"> and Far North</w:t>
      </w:r>
      <w:r w:rsidRPr="00C019C3">
        <w:rPr>
          <w:sz w:val="16"/>
          <w:szCs w:val="16"/>
        </w:rPr>
        <w:t xml:space="preserv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 xml:space="preserve">East Arnhem and Katherine regions in the Northern Territory;  the Kimberley health region in Western Australia, and; </w:t>
      </w:r>
      <w:r>
        <w:rPr>
          <w:sz w:val="16"/>
          <w:szCs w:val="16"/>
        </w:rPr>
        <w:t>Western,</w:t>
      </w:r>
      <w:r w:rsidRPr="00C019C3">
        <w:rPr>
          <w:sz w:val="16"/>
          <w:szCs w:val="16"/>
        </w:rPr>
        <w:t xml:space="preserve"> Eyre</w:t>
      </w:r>
      <w:r>
        <w:rPr>
          <w:sz w:val="16"/>
          <w:szCs w:val="16"/>
        </w:rPr>
        <w:t xml:space="preserve"> and Far North</w:t>
      </w:r>
      <w:r w:rsidRPr="00C019C3">
        <w:rPr>
          <w:sz w:val="16"/>
          <w:szCs w:val="16"/>
        </w:rPr>
        <w:t xml:space="preserve"> regions in</w:t>
      </w:r>
      <w:r>
        <w:rPr>
          <w:sz w:val="16"/>
          <w:szCs w:val="16"/>
        </w:rPr>
        <w:br/>
      </w:r>
      <w:r w:rsidRPr="00C019C3">
        <w:rPr>
          <w:sz w:val="16"/>
          <w:szCs w:val="16"/>
        </w:rPr>
        <w:t xml:space="preserve"> South Australia.</w:t>
      </w:r>
    </w:p>
    <w:p w:rsidR="00246597" w:rsidRDefault="00246597" w:rsidP="00165ADE">
      <w:pPr>
        <w:pStyle w:val="ListParagraph"/>
        <w:spacing w:after="0" w:line="240" w:lineRule="auto"/>
        <w:ind w:left="-567"/>
        <w:contextualSpacing w:val="0"/>
        <w:rPr>
          <w:rFonts w:ascii="Arial" w:hAnsi="Arial" w:cs="Arial"/>
          <w:b/>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20 July</w:t>
      </w:r>
      <w:r w:rsidRPr="006829B0">
        <w:rPr>
          <w:rFonts w:ascii="Arial" w:hAnsi="Arial" w:cs="Arial"/>
          <w:b/>
          <w:sz w:val="28"/>
          <w:szCs w:val="28"/>
        </w:rPr>
        <w:t xml:space="preserve"> 2017 </w:t>
      </w:r>
      <w:r>
        <w:rPr>
          <w:rFonts w:ascii="Arial" w:hAnsi="Arial" w:cs="Arial"/>
          <w:b/>
          <w:sz w:val="28"/>
          <w:szCs w:val="28"/>
        </w:rPr>
        <w:t>(14</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F94849">
      <w:pPr>
        <w:spacing w:after="0" w:line="240" w:lineRule="auto"/>
        <w:ind w:left="-567" w:right="-612"/>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w:t>
      </w:r>
      <w:r w:rsidRPr="00C019C3">
        <w:rPr>
          <w:color w:val="000000" w:themeColor="text1"/>
        </w:rPr>
        <w:t>Eyre</w:t>
      </w:r>
      <w:r>
        <w:rPr>
          <w:color w:val="000000" w:themeColor="text1"/>
        </w:rPr>
        <w:t xml:space="preserve"> and Far North</w:t>
      </w:r>
      <w:r w:rsidRPr="00C019C3">
        <w:rPr>
          <w:color w:val="000000" w:themeColor="text1"/>
        </w:rPr>
        <w:t xml:space="preserve"> regions from 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20 July</w:t>
      </w:r>
      <w:r w:rsidRPr="006829B0">
        <w:rPr>
          <w:color w:val="000000" w:themeColor="text1"/>
        </w:rPr>
        <w:t xml:space="preserve"> 2017 (current status</w:t>
      </w:r>
      <w:r>
        <w:rPr>
          <w:color w:val="000000" w:themeColor="text1"/>
        </w:rPr>
        <w:t>)</w:t>
      </w:r>
      <w:r w:rsidRPr="006829B0">
        <w:rPr>
          <w:color w:val="000000" w:themeColor="text1"/>
        </w:rPr>
        <w:t>.</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0 June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C019C3">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0</w:t>
      </w:r>
      <w:r w:rsidRPr="006829B0">
        <w:rPr>
          <w:rFonts w:ascii="Arial" w:hAnsi="Arial" w:cs="Arial"/>
          <w:sz w:val="20"/>
          <w:szCs w:val="20"/>
        </w:rPr>
        <w:t xml:space="preserve"> </w:t>
      </w:r>
      <w:r>
        <w:rPr>
          <w:rFonts w:ascii="Arial" w:hAnsi="Arial" w:cs="Arial"/>
          <w:sz w:val="20"/>
          <w:szCs w:val="20"/>
        </w:rPr>
        <w:t xml:space="preserve">June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Pr="00294EE1" w:rsidRDefault="00246597" w:rsidP="00C55AC7">
      <w:pPr>
        <w:spacing w:after="0" w:line="240" w:lineRule="auto"/>
        <w:ind w:left="-567"/>
        <w:rPr>
          <w:rFonts w:ascii="Arial" w:hAnsi="Arial" w:cs="Arial"/>
          <w:sz w:val="20"/>
          <w:szCs w:val="20"/>
          <w:highlight w:val="yellow"/>
        </w:rPr>
      </w:pPr>
      <w:r>
        <w:rPr>
          <w:rFonts w:ascii="Arial" w:hAnsi="Arial" w:cs="Arial"/>
          <w:noProof/>
          <w:sz w:val="20"/>
          <w:szCs w:val="20"/>
          <w:lang w:eastAsia="en-AU"/>
        </w:rPr>
        <w:drawing>
          <wp:inline distT="0" distB="0" distL="0" distR="0" wp14:anchorId="556CDDDC">
            <wp:extent cx="6738518" cy="2918128"/>
            <wp:effectExtent l="0" t="0" r="5715" b="0"/>
            <wp:docPr id="7" name="Picture 7" descr="Epidemic curve showing outbreak cases of infectious syphilisα notified in affected regionsβ of Queensland,&#10;the Northern Territory, Western Australia and South Australia from commencement of the outbreak in each jurisdiction to 30 June 2017&#10;"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2602" cy="2919897"/>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0</w:t>
      </w:r>
      <w:r w:rsidRPr="00427A81">
        <w:rPr>
          <w:rFonts w:ascii="Arial" w:hAnsi="Arial" w:cs="Arial"/>
          <w:sz w:val="20"/>
          <w:szCs w:val="20"/>
        </w:rPr>
        <w:t xml:space="preserve"> </w:t>
      </w:r>
      <w:r>
        <w:rPr>
          <w:rFonts w:ascii="Arial" w:hAnsi="Arial" w:cs="Arial"/>
          <w:sz w:val="20"/>
          <w:szCs w:val="20"/>
        </w:rPr>
        <w:t>June</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632" w:type="dxa"/>
        <w:tblInd w:w="-803"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1"/>
        <w:gridCol w:w="1560"/>
        <w:gridCol w:w="1660"/>
        <w:gridCol w:w="1531"/>
        <w:gridCol w:w="1770"/>
      </w:tblGrid>
      <w:tr w:rsidR="00246597" w:rsidRPr="008B7A61" w:rsidTr="008B7A61">
        <w:trPr>
          <w:tblHeader/>
        </w:trPr>
        <w:tc>
          <w:tcPr>
            <w:tcW w:w="4111" w:type="dxa"/>
            <w:tcBorders>
              <w:bottom w:val="single" w:sz="4" w:space="0" w:color="auto"/>
            </w:tcBorders>
          </w:tcPr>
          <w:p w:rsidR="00246597" w:rsidRPr="008B7A61" w:rsidRDefault="00246597" w:rsidP="008B7A61">
            <w:pPr>
              <w:ind w:left="34" w:hanging="34"/>
              <w:rPr>
                <w:rFonts w:eastAsia="Times New Roman" w:cs="Arial"/>
                <w:sz w:val="20"/>
                <w:szCs w:val="20"/>
                <w:lang w:eastAsia="en-AU"/>
              </w:rPr>
            </w:pPr>
          </w:p>
        </w:tc>
        <w:tc>
          <w:tcPr>
            <w:tcW w:w="1560" w:type="dxa"/>
            <w:tcBorders>
              <w:bottom w:val="single" w:sz="4" w:space="0" w:color="auto"/>
            </w:tcBorders>
            <w:shd w:val="clear" w:color="auto" w:fill="C6D9F1" w:themeFill="text2"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shd w:val="clear" w:color="auto" w:fill="C6D9F1" w:themeFill="text2" w:themeFillTint="33"/>
                <w:lang w:eastAsia="en-AU"/>
              </w:rPr>
              <w:t xml:space="preserve">North Qld </w:t>
            </w:r>
            <w:r w:rsidRPr="008B7A61">
              <w:rPr>
                <w:rFonts w:eastAsia="Times New Roman" w:cs="Arial"/>
                <w:b/>
                <w:sz w:val="20"/>
                <w:szCs w:val="20"/>
                <w:shd w:val="clear" w:color="auto" w:fill="C6D9F1" w:themeFill="text2" w:themeFillTint="33"/>
                <w:lang w:eastAsia="en-AU"/>
              </w:rPr>
              <w:br/>
            </w:r>
            <w:r w:rsidRPr="008B7A61">
              <w:rPr>
                <w:rFonts w:eastAsia="Times New Roman" w:cs="Arial"/>
                <w:sz w:val="20"/>
                <w:szCs w:val="20"/>
                <w:shd w:val="clear" w:color="auto" w:fill="C6D9F1" w:themeFill="text2" w:themeFillTint="33"/>
                <w:lang w:eastAsia="en-AU"/>
              </w:rPr>
              <w:t>(four HHSs</w:t>
            </w:r>
            <w:r w:rsidRPr="008B7A61">
              <w:rPr>
                <w:rFonts w:eastAsia="Times New Roman" w:cs="Arial"/>
                <w:sz w:val="20"/>
                <w:szCs w:val="20"/>
                <w:shd w:val="clear" w:color="auto" w:fill="C6D9F1" w:themeFill="text2" w:themeFillTint="33"/>
                <w:vertAlign w:val="superscript"/>
                <w:lang w:eastAsia="en-AU"/>
              </w:rPr>
              <w:t>β</w:t>
            </w:r>
            <w:r w:rsidRPr="008B7A61">
              <w:rPr>
                <w:rFonts w:eastAsia="Times New Roman" w:cs="Arial"/>
                <w:sz w:val="20"/>
                <w:szCs w:val="20"/>
                <w:lang w:eastAsia="en-AU"/>
              </w:rPr>
              <w:t>)</w:t>
            </w:r>
          </w:p>
        </w:tc>
        <w:tc>
          <w:tcPr>
            <w:tcW w:w="1660" w:type="dxa"/>
            <w:tcBorders>
              <w:bottom w:val="single" w:sz="4" w:space="0" w:color="auto"/>
            </w:tcBorders>
            <w:shd w:val="clear" w:color="auto" w:fill="DAEEF3" w:themeFill="accent5"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 xml:space="preserve">NT </w:t>
            </w:r>
            <w:r w:rsidRPr="008B7A61">
              <w:rPr>
                <w:rFonts w:eastAsia="Times New Roman" w:cs="Arial"/>
                <w:b/>
                <w:sz w:val="20"/>
                <w:szCs w:val="20"/>
                <w:lang w:eastAsia="en-AU"/>
              </w:rPr>
              <w:br/>
            </w:r>
            <w:r w:rsidRPr="008B7A61">
              <w:rPr>
                <w:rFonts w:eastAsia="Times New Roman" w:cs="Arial"/>
                <w:sz w:val="20"/>
                <w:szCs w:val="20"/>
                <w:lang w:eastAsia="en-AU"/>
              </w:rPr>
              <w:t>(four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c>
          <w:tcPr>
            <w:tcW w:w="1531" w:type="dxa"/>
            <w:tcBorders>
              <w:bottom w:val="single" w:sz="4" w:space="0" w:color="auto"/>
            </w:tcBorders>
            <w:shd w:val="clear" w:color="auto" w:fill="E5DFEC" w:themeFill="accent4"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WA</w:t>
            </w:r>
            <w:r w:rsidRPr="008B7A61">
              <w:rPr>
                <w:rFonts w:eastAsia="Times New Roman" w:cs="Arial"/>
                <w:b/>
                <w:sz w:val="20"/>
                <w:szCs w:val="20"/>
                <w:lang w:eastAsia="en-AU"/>
              </w:rPr>
              <w:br/>
            </w:r>
            <w:r w:rsidRPr="008B7A61">
              <w:rPr>
                <w:rFonts w:eastAsia="Times New Roman" w:cs="Arial"/>
                <w:sz w:val="20"/>
                <w:szCs w:val="20"/>
                <w:lang w:eastAsia="en-AU"/>
              </w:rPr>
              <w:t xml:space="preserve"> (Kimberley region)</w:t>
            </w:r>
          </w:p>
        </w:tc>
        <w:tc>
          <w:tcPr>
            <w:tcW w:w="1770" w:type="dxa"/>
            <w:tcBorders>
              <w:bottom w:val="single" w:sz="4" w:space="0" w:color="auto"/>
            </w:tcBorders>
            <w:shd w:val="clear" w:color="auto" w:fill="FBD4B4" w:themeFill="accent6" w:themeFillTint="66"/>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SA</w:t>
            </w:r>
          </w:p>
          <w:p w:rsidR="00246597" w:rsidRPr="008B7A61" w:rsidRDefault="00246597" w:rsidP="00707254">
            <w:pPr>
              <w:ind w:left="34" w:hanging="34"/>
              <w:jc w:val="center"/>
              <w:rPr>
                <w:rFonts w:eastAsia="Times New Roman" w:cs="Arial"/>
                <w:sz w:val="20"/>
                <w:szCs w:val="20"/>
                <w:lang w:eastAsia="en-AU"/>
              </w:rPr>
            </w:pPr>
            <w:r w:rsidRPr="008B7A61">
              <w:rPr>
                <w:rFonts w:eastAsia="Times New Roman" w:cs="Arial"/>
                <w:sz w:val="20"/>
                <w:szCs w:val="20"/>
                <w:lang w:eastAsia="en-AU"/>
              </w:rPr>
              <w:t>(</w:t>
            </w:r>
            <w:r>
              <w:rPr>
                <w:rFonts w:eastAsia="Times New Roman" w:cs="Arial"/>
                <w:sz w:val="20"/>
                <w:szCs w:val="20"/>
                <w:lang w:eastAsia="en-AU"/>
              </w:rPr>
              <w:t>three</w:t>
            </w:r>
            <w:r w:rsidRPr="008B7A61">
              <w:rPr>
                <w:rFonts w:eastAsia="Times New Roman" w:cs="Arial"/>
                <w:sz w:val="20"/>
                <w:szCs w:val="20"/>
                <w:lang w:eastAsia="en-AU"/>
              </w:rPr>
              <w:t xml:space="preserve">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r>
      <w:tr w:rsidR="00246597" w:rsidRPr="008B7A61" w:rsidTr="008B7A61">
        <w:tc>
          <w:tcPr>
            <w:tcW w:w="4111" w:type="dxa"/>
            <w:tcBorders>
              <w:right w:val="nil"/>
            </w:tcBorders>
            <w:shd w:val="clear" w:color="auto" w:fill="B8CCE4" w:themeFill="accent1" w:themeFillTint="66"/>
          </w:tcPr>
          <w:p w:rsidR="00246597" w:rsidRPr="008B7A61" w:rsidRDefault="00246597" w:rsidP="00350C8C">
            <w:pPr>
              <w:ind w:left="34" w:hanging="34"/>
              <w:rPr>
                <w:rFonts w:eastAsia="Times New Roman" w:cs="Arial"/>
                <w:sz w:val="20"/>
                <w:szCs w:val="20"/>
                <w:lang w:eastAsia="en-AU"/>
              </w:rPr>
            </w:pPr>
            <w:r w:rsidRPr="008B7A61">
              <w:rPr>
                <w:rFonts w:eastAsia="Times New Roman" w:cs="Arial"/>
                <w:sz w:val="20"/>
                <w:szCs w:val="20"/>
                <w:lang w:eastAsia="en-AU"/>
              </w:rPr>
              <w:t>Situation to-date, 3</w:t>
            </w:r>
            <w:r>
              <w:rPr>
                <w:rFonts w:eastAsia="Times New Roman" w:cs="Arial"/>
                <w:sz w:val="20"/>
                <w:szCs w:val="20"/>
                <w:lang w:eastAsia="en-AU"/>
              </w:rPr>
              <w:t>0</w:t>
            </w:r>
            <w:r w:rsidRPr="008B7A61">
              <w:rPr>
                <w:rFonts w:eastAsia="Times New Roman" w:cs="Arial"/>
                <w:sz w:val="20"/>
                <w:szCs w:val="20"/>
                <w:lang w:eastAsia="en-AU"/>
              </w:rPr>
              <w:t xml:space="preserve"> </w:t>
            </w:r>
            <w:r>
              <w:rPr>
                <w:rFonts w:eastAsia="Times New Roman" w:cs="Arial"/>
                <w:sz w:val="20"/>
                <w:szCs w:val="20"/>
                <w:lang w:eastAsia="en-AU"/>
              </w:rPr>
              <w:t>June</w:t>
            </w:r>
            <w:r w:rsidRPr="008B7A61">
              <w:rPr>
                <w:rFonts w:eastAsia="Times New Roman" w:cs="Arial"/>
                <w:sz w:val="20"/>
                <w:szCs w:val="20"/>
                <w:lang w:eastAsia="en-AU"/>
              </w:rPr>
              <w:t xml:space="preserve"> 2017</w:t>
            </w:r>
          </w:p>
        </w:tc>
        <w:tc>
          <w:tcPr>
            <w:tcW w:w="15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6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531"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770"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Outbreak commencement month/year</w:t>
            </w:r>
          </w:p>
        </w:tc>
        <w:tc>
          <w:tcPr>
            <w:tcW w:w="1560" w:type="dxa"/>
            <w:shd w:val="clear" w:color="auto" w:fill="C6D9F1" w:themeFill="text2" w:themeFillTint="33"/>
            <w:vAlign w:val="center"/>
          </w:tcPr>
          <w:p w:rsidR="00246597" w:rsidRPr="00350C8C" w:rsidRDefault="00246597" w:rsidP="008B7A61">
            <w:pPr>
              <w:ind w:left="34" w:hanging="34"/>
              <w:jc w:val="center"/>
              <w:rPr>
                <w:rFonts w:eastAsia="Times New Roman" w:cs="Arial"/>
                <w:sz w:val="20"/>
                <w:szCs w:val="20"/>
                <w:lang w:eastAsia="en-AU"/>
              </w:rPr>
            </w:pPr>
            <w:r w:rsidRPr="00350C8C">
              <w:rPr>
                <w:rFonts w:eastAsia="Times New Roman" w:cs="Arial"/>
                <w:sz w:val="20"/>
                <w:szCs w:val="20"/>
                <w:lang w:eastAsia="en-AU"/>
              </w:rPr>
              <w:t>January 2011</w:t>
            </w:r>
          </w:p>
        </w:tc>
        <w:tc>
          <w:tcPr>
            <w:tcW w:w="1660" w:type="dxa"/>
            <w:shd w:val="clear" w:color="auto" w:fill="DAEEF3" w:themeFill="accent5" w:themeFillTint="33"/>
            <w:vAlign w:val="center"/>
          </w:tcPr>
          <w:p w:rsidR="00246597" w:rsidRPr="00350C8C" w:rsidRDefault="00246597" w:rsidP="008B7A61">
            <w:pPr>
              <w:ind w:left="34" w:hanging="34"/>
              <w:jc w:val="center"/>
              <w:rPr>
                <w:rFonts w:eastAsia="Times New Roman" w:cs="Arial"/>
                <w:sz w:val="20"/>
                <w:szCs w:val="20"/>
                <w:lang w:eastAsia="en-AU"/>
              </w:rPr>
            </w:pPr>
            <w:r w:rsidRPr="00350C8C">
              <w:rPr>
                <w:rFonts w:eastAsia="Times New Roman" w:cs="Arial"/>
                <w:sz w:val="20"/>
                <w:szCs w:val="20"/>
                <w:lang w:eastAsia="en-AU"/>
              </w:rPr>
              <w:t>July 2013</w:t>
            </w:r>
          </w:p>
        </w:tc>
        <w:tc>
          <w:tcPr>
            <w:tcW w:w="1531" w:type="dxa"/>
            <w:shd w:val="clear" w:color="auto" w:fill="E5DFEC" w:themeFill="accent4"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June 2014</w:t>
            </w:r>
          </w:p>
        </w:tc>
        <w:tc>
          <w:tcPr>
            <w:tcW w:w="1770" w:type="dxa"/>
            <w:shd w:val="clear" w:color="auto" w:fill="FBD4B4" w:themeFill="accent6" w:themeFillTint="66"/>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November 2016</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Total number of cases</w:t>
            </w:r>
            <w:r w:rsidRPr="008B7A61">
              <w:rPr>
                <w:rFonts w:eastAsia="Times New Roman" w:cs="Arial"/>
                <w:b/>
                <w:sz w:val="20"/>
                <w:szCs w:val="20"/>
                <w:vertAlign w:val="superscript"/>
                <w:lang w:eastAsia="en-AU"/>
              </w:rPr>
              <w:t xml:space="preserve"> </w:t>
            </w:r>
            <w:r w:rsidRPr="008B7A61">
              <w:rPr>
                <w:rFonts w:eastAsia="Times New Roman" w:cs="Arial"/>
                <w:sz w:val="20"/>
                <w:szCs w:val="20"/>
                <w:vertAlign w:val="superscript"/>
                <w:lang w:eastAsia="en-AU"/>
              </w:rPr>
              <w:t>α</w:t>
            </w:r>
          </w:p>
        </w:tc>
        <w:tc>
          <w:tcPr>
            <w:tcW w:w="1560" w:type="dxa"/>
            <w:shd w:val="clear" w:color="auto" w:fill="C6D9F1" w:themeFill="text2" w:themeFillTint="33"/>
            <w:vAlign w:val="center"/>
          </w:tcPr>
          <w:p w:rsidR="00246597" w:rsidRPr="00350C8C" w:rsidRDefault="00246597" w:rsidP="00350C8C">
            <w:pPr>
              <w:ind w:left="34" w:hanging="34"/>
              <w:jc w:val="center"/>
              <w:rPr>
                <w:rFonts w:eastAsia="Times New Roman" w:cs="Arial"/>
                <w:b/>
                <w:sz w:val="20"/>
                <w:szCs w:val="20"/>
                <w:vertAlign w:val="superscript"/>
                <w:lang w:eastAsia="en-AU"/>
              </w:rPr>
            </w:pPr>
            <w:r w:rsidRPr="00350C8C">
              <w:rPr>
                <w:rFonts w:eastAsia="Times New Roman" w:cs="Arial"/>
                <w:b/>
                <w:sz w:val="20"/>
                <w:szCs w:val="20"/>
                <w:lang w:eastAsia="en-AU"/>
              </w:rPr>
              <w:t>887</w:t>
            </w:r>
          </w:p>
        </w:tc>
        <w:tc>
          <w:tcPr>
            <w:tcW w:w="1660" w:type="dxa"/>
            <w:shd w:val="clear" w:color="auto" w:fill="DAEEF3" w:themeFill="accent5" w:themeFillTint="33"/>
            <w:vAlign w:val="center"/>
          </w:tcPr>
          <w:p w:rsidR="00246597" w:rsidRPr="00350C8C" w:rsidRDefault="00246597" w:rsidP="008B7A61">
            <w:pPr>
              <w:ind w:left="34" w:hanging="34"/>
              <w:jc w:val="center"/>
              <w:rPr>
                <w:rFonts w:eastAsia="Times New Roman" w:cs="Arial"/>
                <w:b/>
                <w:sz w:val="20"/>
                <w:szCs w:val="20"/>
                <w:lang w:eastAsia="en-AU"/>
              </w:rPr>
            </w:pPr>
            <w:r w:rsidRPr="00350C8C">
              <w:rPr>
                <w:rFonts w:eastAsia="Times New Roman" w:cs="Arial"/>
                <w:b/>
                <w:sz w:val="20"/>
                <w:szCs w:val="20"/>
                <w:lang w:eastAsia="en-AU"/>
              </w:rPr>
              <w:t>542</w:t>
            </w:r>
          </w:p>
        </w:tc>
        <w:tc>
          <w:tcPr>
            <w:tcW w:w="1531" w:type="dxa"/>
            <w:shd w:val="clear" w:color="auto" w:fill="E5DFEC" w:themeFill="accent4" w:themeFillTint="33"/>
            <w:vAlign w:val="center"/>
          </w:tcPr>
          <w:p w:rsidR="00246597" w:rsidRPr="00B0465E" w:rsidRDefault="00246597" w:rsidP="008B7A61">
            <w:pPr>
              <w:ind w:left="34" w:hanging="34"/>
              <w:jc w:val="center"/>
              <w:rPr>
                <w:rFonts w:eastAsia="Times New Roman" w:cs="Arial"/>
                <w:b/>
                <w:sz w:val="20"/>
                <w:szCs w:val="20"/>
                <w:lang w:eastAsia="en-AU"/>
              </w:rPr>
            </w:pPr>
            <w:r w:rsidRPr="00B0465E">
              <w:rPr>
                <w:rFonts w:eastAsia="Times New Roman" w:cs="Arial"/>
                <w:b/>
                <w:sz w:val="20"/>
                <w:szCs w:val="20"/>
                <w:lang w:eastAsia="en-AU"/>
              </w:rPr>
              <w:t>124</w:t>
            </w:r>
          </w:p>
        </w:tc>
        <w:tc>
          <w:tcPr>
            <w:tcW w:w="1770" w:type="dxa"/>
            <w:shd w:val="clear" w:color="auto" w:fill="FBD4B4" w:themeFill="accent6" w:themeFillTint="66"/>
          </w:tcPr>
          <w:p w:rsidR="00246597" w:rsidRPr="00B0465E" w:rsidRDefault="00246597" w:rsidP="008B7A61">
            <w:pPr>
              <w:ind w:left="34" w:hanging="34"/>
              <w:jc w:val="center"/>
              <w:rPr>
                <w:rFonts w:eastAsia="Times New Roman" w:cs="Arial"/>
                <w:b/>
                <w:sz w:val="20"/>
                <w:szCs w:val="20"/>
                <w:lang w:eastAsia="en-AU"/>
              </w:rPr>
            </w:pPr>
            <w:r w:rsidRPr="00B0465E">
              <w:rPr>
                <w:rFonts w:eastAsia="Times New Roman" w:cs="Arial"/>
                <w:b/>
                <w:sz w:val="20"/>
                <w:szCs w:val="20"/>
                <w:lang w:eastAsia="en-AU"/>
              </w:rPr>
              <w:t>22</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350C8C" w:rsidRDefault="00246597" w:rsidP="008B7A61">
            <w:pPr>
              <w:ind w:left="34" w:hanging="34"/>
              <w:jc w:val="center"/>
              <w:rPr>
                <w:rFonts w:eastAsia="Times New Roman" w:cs="Arial"/>
                <w:sz w:val="20"/>
                <w:szCs w:val="20"/>
                <w:highlight w:val="yellow"/>
                <w:lang w:eastAsia="en-AU"/>
              </w:rPr>
            </w:pPr>
            <w:r w:rsidRPr="00350C8C">
              <w:rPr>
                <w:rFonts w:eastAsia="Times New Roman" w:cs="Arial"/>
                <w:sz w:val="20"/>
                <w:szCs w:val="20"/>
                <w:lang w:eastAsia="en-AU"/>
              </w:rPr>
              <w:t>69%</w:t>
            </w:r>
          </w:p>
        </w:tc>
        <w:tc>
          <w:tcPr>
            <w:tcW w:w="1660" w:type="dxa"/>
            <w:shd w:val="clear" w:color="auto" w:fill="DAEEF3" w:themeFill="accent5" w:themeFillTint="33"/>
            <w:vAlign w:val="center"/>
          </w:tcPr>
          <w:p w:rsidR="00246597" w:rsidRPr="00350C8C" w:rsidRDefault="00246597" w:rsidP="00384BA7">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72%</w:t>
            </w:r>
          </w:p>
        </w:tc>
        <w:tc>
          <w:tcPr>
            <w:tcW w:w="1531" w:type="dxa"/>
            <w:shd w:val="clear" w:color="auto" w:fill="E5DFEC" w:themeFill="accent4" w:themeFillTint="33"/>
            <w:vAlign w:val="center"/>
          </w:tcPr>
          <w:p w:rsidR="00246597" w:rsidRPr="00350C8C" w:rsidRDefault="00246597" w:rsidP="00B0465E">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69%</w:t>
            </w:r>
          </w:p>
        </w:tc>
        <w:tc>
          <w:tcPr>
            <w:tcW w:w="1770" w:type="dxa"/>
            <w:shd w:val="clear" w:color="auto" w:fill="FBD4B4" w:themeFill="accent6" w:themeFillTint="66"/>
          </w:tcPr>
          <w:p w:rsidR="00246597" w:rsidRPr="00B0465E" w:rsidRDefault="00246597" w:rsidP="00B0465E">
            <w:pPr>
              <w:ind w:left="34" w:hanging="34"/>
              <w:jc w:val="center"/>
              <w:rPr>
                <w:rFonts w:eastAsia="Times New Roman" w:cs="Arial"/>
                <w:sz w:val="20"/>
                <w:szCs w:val="20"/>
                <w:lang w:eastAsia="en-AU"/>
              </w:rPr>
            </w:pPr>
            <w:r w:rsidRPr="00B0465E">
              <w:rPr>
                <w:rFonts w:eastAsia="Times New Roman" w:cs="Arial"/>
                <w:sz w:val="20"/>
                <w:szCs w:val="20"/>
                <w:lang w:eastAsia="en-AU"/>
              </w:rPr>
              <w:t>55%</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350C8C" w:rsidRDefault="00246597" w:rsidP="008B7A61">
            <w:pPr>
              <w:ind w:left="34" w:hanging="34"/>
              <w:jc w:val="center"/>
              <w:rPr>
                <w:rFonts w:eastAsia="Times New Roman" w:cs="Arial"/>
                <w:sz w:val="20"/>
                <w:szCs w:val="20"/>
                <w:highlight w:val="yellow"/>
                <w:lang w:eastAsia="en-AU"/>
              </w:rPr>
            </w:pPr>
            <w:r w:rsidRPr="00350C8C">
              <w:rPr>
                <w:rFonts w:eastAsia="Times New Roman" w:cs="Arial"/>
                <w:sz w:val="20"/>
                <w:szCs w:val="20"/>
                <w:lang w:eastAsia="en-AU"/>
              </w:rPr>
              <w:t>48% / 52%</w:t>
            </w:r>
          </w:p>
        </w:tc>
        <w:tc>
          <w:tcPr>
            <w:tcW w:w="1660" w:type="dxa"/>
            <w:shd w:val="clear" w:color="auto" w:fill="DAEEF3" w:themeFill="accent5" w:themeFillTint="33"/>
            <w:vAlign w:val="center"/>
          </w:tcPr>
          <w:p w:rsidR="00246597" w:rsidRPr="00350C8C" w:rsidRDefault="00246597" w:rsidP="008B7A61">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46% / 54%</w:t>
            </w:r>
          </w:p>
        </w:tc>
        <w:tc>
          <w:tcPr>
            <w:tcW w:w="1531" w:type="dxa"/>
            <w:shd w:val="clear" w:color="auto" w:fill="E5DFEC" w:themeFill="accent4" w:themeFillTint="33"/>
            <w:vAlign w:val="center"/>
          </w:tcPr>
          <w:p w:rsidR="00246597" w:rsidRPr="00B0465E" w:rsidRDefault="00246597" w:rsidP="00B0465E">
            <w:pPr>
              <w:ind w:left="34" w:hanging="34"/>
              <w:jc w:val="center"/>
              <w:rPr>
                <w:rFonts w:eastAsia="Times New Roman" w:cs="Arial"/>
                <w:sz w:val="20"/>
                <w:szCs w:val="20"/>
                <w:lang w:eastAsia="en-AU"/>
              </w:rPr>
            </w:pPr>
            <w:r w:rsidRPr="00B0465E">
              <w:rPr>
                <w:rFonts w:eastAsia="Times New Roman" w:cs="Arial"/>
                <w:sz w:val="20"/>
                <w:szCs w:val="20"/>
                <w:lang w:eastAsia="en-AU"/>
              </w:rPr>
              <w:t>35% / 65%</w:t>
            </w:r>
          </w:p>
        </w:tc>
        <w:tc>
          <w:tcPr>
            <w:tcW w:w="1770" w:type="dxa"/>
            <w:shd w:val="clear" w:color="auto" w:fill="FBD4B4" w:themeFill="accent6" w:themeFillTint="66"/>
          </w:tcPr>
          <w:p w:rsidR="00246597" w:rsidRPr="00350C8C" w:rsidRDefault="00246597" w:rsidP="008B7A61">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50% /50%</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Congenital cases, confirmed (probable)</w:t>
            </w:r>
          </w:p>
        </w:tc>
        <w:tc>
          <w:tcPr>
            <w:tcW w:w="1560" w:type="dxa"/>
            <w:shd w:val="clear" w:color="auto" w:fill="C6D9F1" w:themeFill="text2" w:themeFillTint="33"/>
            <w:vAlign w:val="center"/>
          </w:tcPr>
          <w:p w:rsidR="00246597" w:rsidRPr="00350C8C" w:rsidRDefault="00246597" w:rsidP="00350C8C">
            <w:pPr>
              <w:ind w:left="34" w:hanging="34"/>
              <w:jc w:val="center"/>
              <w:rPr>
                <w:rFonts w:eastAsia="Times New Roman" w:cs="Arial"/>
                <w:sz w:val="20"/>
                <w:szCs w:val="20"/>
                <w:lang w:eastAsia="en-AU"/>
              </w:rPr>
            </w:pPr>
            <w:r w:rsidRPr="00350C8C">
              <w:rPr>
                <w:rFonts w:eastAsia="Times New Roman" w:cs="Arial"/>
                <w:sz w:val="20"/>
                <w:szCs w:val="20"/>
                <w:lang w:eastAsia="en-AU"/>
              </w:rPr>
              <w:t>3 (3)</w:t>
            </w:r>
          </w:p>
        </w:tc>
        <w:tc>
          <w:tcPr>
            <w:tcW w:w="1660" w:type="dxa"/>
            <w:shd w:val="clear" w:color="auto" w:fill="DAEEF3" w:themeFill="accent5"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2 (2)</w:t>
            </w:r>
          </w:p>
        </w:tc>
        <w:tc>
          <w:tcPr>
            <w:tcW w:w="1531" w:type="dxa"/>
            <w:shd w:val="clear" w:color="auto" w:fill="E5DFEC" w:themeFill="accent4"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0 (0)</w:t>
            </w:r>
          </w:p>
        </w:tc>
        <w:tc>
          <w:tcPr>
            <w:tcW w:w="1770" w:type="dxa"/>
            <w:shd w:val="clear" w:color="auto" w:fill="FBD4B4" w:themeFill="accent6" w:themeFillTint="66"/>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1 (0)</w:t>
            </w:r>
          </w:p>
        </w:tc>
      </w:tr>
      <w:tr w:rsidR="00246597" w:rsidRPr="008B7A61" w:rsidTr="008B7A61">
        <w:tc>
          <w:tcPr>
            <w:tcW w:w="4111" w:type="dxa"/>
            <w:tcBorders>
              <w:bottom w:val="single" w:sz="4" w:space="0" w:color="auto"/>
            </w:tcBorders>
            <w:shd w:val="clear" w:color="auto" w:fill="auto"/>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xml:space="preserve">   -number of deaths in congenital cases</w:t>
            </w:r>
          </w:p>
        </w:tc>
        <w:tc>
          <w:tcPr>
            <w:tcW w:w="1560" w:type="dxa"/>
            <w:tcBorders>
              <w:bottom w:val="single" w:sz="4" w:space="0" w:color="auto"/>
            </w:tcBorders>
            <w:shd w:val="clear" w:color="auto" w:fill="C6D9F1" w:themeFill="text2" w:themeFillTint="33"/>
            <w:vAlign w:val="center"/>
          </w:tcPr>
          <w:p w:rsidR="00246597" w:rsidRPr="00350C8C" w:rsidRDefault="00246597" w:rsidP="008B7A61">
            <w:pPr>
              <w:ind w:left="34" w:hanging="34"/>
              <w:jc w:val="center"/>
              <w:rPr>
                <w:rFonts w:eastAsia="Times New Roman" w:cs="Arial"/>
                <w:sz w:val="20"/>
                <w:szCs w:val="20"/>
                <w:lang w:eastAsia="en-AU"/>
              </w:rPr>
            </w:pPr>
            <w:r w:rsidRPr="00350C8C">
              <w:rPr>
                <w:rFonts w:eastAsia="Times New Roman" w:cs="Arial"/>
                <w:sz w:val="20"/>
                <w:szCs w:val="20"/>
                <w:lang w:eastAsia="en-AU"/>
              </w:rPr>
              <w:t>5</w:t>
            </w:r>
          </w:p>
        </w:tc>
        <w:tc>
          <w:tcPr>
            <w:tcW w:w="1660" w:type="dxa"/>
            <w:tcBorders>
              <w:bottom w:val="single" w:sz="4" w:space="0" w:color="auto"/>
            </w:tcBorders>
            <w:shd w:val="clear" w:color="auto" w:fill="DAEEF3" w:themeFill="accent5"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0</w:t>
            </w:r>
          </w:p>
        </w:tc>
        <w:tc>
          <w:tcPr>
            <w:tcW w:w="1531" w:type="dxa"/>
            <w:tcBorders>
              <w:bottom w:val="single" w:sz="4" w:space="0" w:color="auto"/>
            </w:tcBorders>
            <w:shd w:val="clear" w:color="auto" w:fill="E5DFEC" w:themeFill="accent4"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0</w:t>
            </w:r>
          </w:p>
        </w:tc>
        <w:tc>
          <w:tcPr>
            <w:tcW w:w="1770" w:type="dxa"/>
            <w:tcBorders>
              <w:bottom w:val="single" w:sz="4" w:space="0" w:color="auto"/>
            </w:tcBorders>
            <w:shd w:val="clear" w:color="auto" w:fill="FBD4B4" w:themeFill="accent6" w:themeFillTint="66"/>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0</w:t>
            </w:r>
          </w:p>
        </w:tc>
      </w:tr>
      <w:tr w:rsidR="00246597" w:rsidRPr="008B7A61" w:rsidTr="008B7A61">
        <w:tc>
          <w:tcPr>
            <w:tcW w:w="4111" w:type="dxa"/>
            <w:tcBorders>
              <w:right w:val="nil"/>
            </w:tcBorders>
            <w:shd w:val="clear" w:color="auto" w:fill="B8CCE4" w:themeFill="accent1" w:themeFillTint="66"/>
            <w:vAlign w:val="center"/>
          </w:tcPr>
          <w:p w:rsidR="00246597" w:rsidRPr="008B7A61" w:rsidRDefault="00246597" w:rsidP="00350C8C">
            <w:pPr>
              <w:ind w:left="34" w:hanging="34"/>
              <w:rPr>
                <w:rFonts w:eastAsia="Times New Roman" w:cs="Arial"/>
                <w:sz w:val="20"/>
                <w:szCs w:val="20"/>
                <w:lang w:eastAsia="en-AU"/>
              </w:rPr>
            </w:pPr>
            <w:r>
              <w:rPr>
                <w:rFonts w:eastAsia="Times New Roman" w:cs="Arial"/>
                <w:sz w:val="20"/>
                <w:szCs w:val="20"/>
                <w:lang w:eastAsia="en-AU"/>
              </w:rPr>
              <w:t>Last reporting month, 1–30</w:t>
            </w:r>
            <w:r w:rsidRPr="008B7A61">
              <w:rPr>
                <w:rFonts w:eastAsia="Times New Roman" w:cs="Arial"/>
                <w:sz w:val="20"/>
                <w:szCs w:val="20"/>
                <w:lang w:eastAsia="en-AU"/>
              </w:rPr>
              <w:t xml:space="preserve"> </w:t>
            </w:r>
            <w:r>
              <w:rPr>
                <w:rFonts w:eastAsia="Times New Roman" w:cs="Arial"/>
                <w:sz w:val="20"/>
                <w:szCs w:val="20"/>
                <w:lang w:eastAsia="en-AU"/>
              </w:rPr>
              <w:t>June</w:t>
            </w:r>
            <w:r w:rsidRPr="008B7A61">
              <w:rPr>
                <w:rFonts w:eastAsia="Times New Roman" w:cs="Arial"/>
                <w:sz w:val="20"/>
                <w:szCs w:val="20"/>
                <w:lang w:eastAsia="en-AU"/>
              </w:rPr>
              <w:t xml:space="preserve"> 2017</w:t>
            </w:r>
          </w:p>
        </w:tc>
        <w:tc>
          <w:tcPr>
            <w:tcW w:w="1560" w:type="dxa"/>
            <w:tcBorders>
              <w:left w:val="nil"/>
              <w:right w:val="nil"/>
            </w:tcBorders>
            <w:shd w:val="clear" w:color="auto" w:fill="B8CCE4" w:themeFill="accent1" w:themeFillTint="66"/>
            <w:vAlign w:val="center"/>
          </w:tcPr>
          <w:p w:rsidR="00246597" w:rsidRPr="00350C8C" w:rsidRDefault="00246597" w:rsidP="008B7A61">
            <w:pPr>
              <w:ind w:left="34" w:hanging="34"/>
              <w:rPr>
                <w:rFonts w:eastAsia="Times New Roman" w:cs="Arial"/>
                <w:color w:val="FF0000"/>
                <w:sz w:val="20"/>
                <w:szCs w:val="20"/>
                <w:highlight w:val="yellow"/>
                <w:lang w:eastAsia="en-AU"/>
              </w:rPr>
            </w:pPr>
          </w:p>
        </w:tc>
        <w:tc>
          <w:tcPr>
            <w:tcW w:w="1660" w:type="dxa"/>
            <w:tcBorders>
              <w:left w:val="nil"/>
              <w:right w:val="nil"/>
            </w:tcBorders>
            <w:shd w:val="clear" w:color="auto" w:fill="B8CCE4" w:themeFill="accent1" w:themeFillTint="66"/>
            <w:vAlign w:val="center"/>
          </w:tcPr>
          <w:p w:rsidR="00246597" w:rsidRPr="00350C8C" w:rsidRDefault="00246597" w:rsidP="008B7A61">
            <w:pPr>
              <w:ind w:left="34" w:hanging="34"/>
              <w:rPr>
                <w:rFonts w:eastAsia="Times New Roman" w:cs="Arial"/>
                <w:color w:val="FF0000"/>
                <w:sz w:val="20"/>
                <w:szCs w:val="20"/>
                <w:highlight w:val="yellow"/>
                <w:lang w:eastAsia="en-AU"/>
              </w:rPr>
            </w:pPr>
          </w:p>
        </w:tc>
        <w:tc>
          <w:tcPr>
            <w:tcW w:w="1531" w:type="dxa"/>
            <w:tcBorders>
              <w:left w:val="nil"/>
            </w:tcBorders>
            <w:shd w:val="clear" w:color="auto" w:fill="B8CCE4" w:themeFill="accent1" w:themeFillTint="66"/>
            <w:vAlign w:val="center"/>
          </w:tcPr>
          <w:p w:rsidR="00246597" w:rsidRPr="00350C8C" w:rsidRDefault="00246597" w:rsidP="008B7A61">
            <w:pPr>
              <w:ind w:left="34" w:hanging="34"/>
              <w:rPr>
                <w:rFonts w:eastAsia="Times New Roman" w:cs="Arial"/>
                <w:color w:val="FF0000"/>
                <w:sz w:val="20"/>
                <w:szCs w:val="20"/>
                <w:highlight w:val="yellow"/>
                <w:lang w:eastAsia="en-AU"/>
              </w:rPr>
            </w:pPr>
          </w:p>
        </w:tc>
        <w:tc>
          <w:tcPr>
            <w:tcW w:w="1770" w:type="dxa"/>
            <w:tcBorders>
              <w:left w:val="nil"/>
            </w:tcBorders>
            <w:shd w:val="clear" w:color="auto" w:fill="B8CCE4" w:themeFill="accent1" w:themeFillTint="66"/>
          </w:tcPr>
          <w:p w:rsidR="00246597" w:rsidRPr="00350C8C" w:rsidRDefault="00246597" w:rsidP="008B7A61">
            <w:pPr>
              <w:ind w:left="34" w:hanging="34"/>
              <w:rPr>
                <w:rFonts w:eastAsia="Times New Roman" w:cs="Arial"/>
                <w:sz w:val="20"/>
                <w:szCs w:val="20"/>
                <w:highlight w:val="yellow"/>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Number of cases</w:t>
            </w:r>
            <w:r w:rsidRPr="008B7A61">
              <w:rPr>
                <w:rFonts w:eastAsia="Times New Roman" w:cs="Arial"/>
                <w:b/>
                <w:sz w:val="20"/>
                <w:szCs w:val="20"/>
                <w:vertAlign w:val="superscript"/>
                <w:lang w:eastAsia="en-AU"/>
              </w:rPr>
              <w:t xml:space="preserve"> </w:t>
            </w:r>
            <w:r w:rsidRPr="008B7A61">
              <w:rPr>
                <w:rFonts w:eastAsia="Times New Roman" w:cs="Arial"/>
                <w:sz w:val="20"/>
                <w:szCs w:val="20"/>
                <w:vertAlign w:val="superscript"/>
                <w:lang w:eastAsia="en-AU"/>
              </w:rPr>
              <w:t>α</w:t>
            </w:r>
          </w:p>
        </w:tc>
        <w:tc>
          <w:tcPr>
            <w:tcW w:w="1560" w:type="dxa"/>
            <w:tcBorders>
              <w:bottom w:val="single" w:sz="4" w:space="0" w:color="auto"/>
            </w:tcBorders>
            <w:shd w:val="clear" w:color="auto" w:fill="C6D9F1" w:themeFill="text2" w:themeFillTint="33"/>
            <w:vAlign w:val="center"/>
          </w:tcPr>
          <w:p w:rsidR="00246597" w:rsidRPr="00350C8C" w:rsidRDefault="00246597" w:rsidP="008B7A61">
            <w:pPr>
              <w:ind w:left="34" w:hanging="34"/>
              <w:jc w:val="center"/>
              <w:rPr>
                <w:rFonts w:eastAsia="Times New Roman" w:cs="Arial"/>
                <w:b/>
                <w:sz w:val="20"/>
                <w:szCs w:val="20"/>
                <w:highlight w:val="yellow"/>
                <w:lang w:eastAsia="en-AU"/>
              </w:rPr>
            </w:pPr>
            <w:r w:rsidRPr="00350C8C">
              <w:rPr>
                <w:rFonts w:eastAsia="Times New Roman" w:cs="Arial"/>
                <w:b/>
                <w:sz w:val="20"/>
                <w:szCs w:val="20"/>
                <w:lang w:eastAsia="en-AU"/>
              </w:rPr>
              <w:t>34</w:t>
            </w:r>
          </w:p>
        </w:tc>
        <w:tc>
          <w:tcPr>
            <w:tcW w:w="1660" w:type="dxa"/>
            <w:shd w:val="clear" w:color="auto" w:fill="DAEEF3" w:themeFill="accent5" w:themeFillTint="33"/>
            <w:vAlign w:val="center"/>
          </w:tcPr>
          <w:p w:rsidR="00246597" w:rsidRPr="00350C8C" w:rsidRDefault="00246597" w:rsidP="008B7A61">
            <w:pPr>
              <w:ind w:left="34" w:hanging="34"/>
              <w:jc w:val="center"/>
              <w:rPr>
                <w:rFonts w:eastAsia="Times New Roman" w:cs="Arial"/>
                <w:b/>
                <w:sz w:val="20"/>
                <w:szCs w:val="20"/>
                <w:highlight w:val="yellow"/>
                <w:lang w:eastAsia="en-AU"/>
              </w:rPr>
            </w:pPr>
            <w:r w:rsidRPr="00B0465E">
              <w:rPr>
                <w:rFonts w:eastAsia="Times New Roman" w:cs="Arial"/>
                <w:b/>
                <w:sz w:val="20"/>
                <w:szCs w:val="20"/>
                <w:lang w:eastAsia="en-AU"/>
              </w:rPr>
              <w:t>32</w:t>
            </w:r>
          </w:p>
        </w:tc>
        <w:tc>
          <w:tcPr>
            <w:tcW w:w="1531" w:type="dxa"/>
            <w:shd w:val="clear" w:color="auto" w:fill="E5DFEC" w:themeFill="accent4" w:themeFillTint="33"/>
            <w:vAlign w:val="center"/>
          </w:tcPr>
          <w:p w:rsidR="00246597" w:rsidRPr="00B0465E" w:rsidRDefault="00246597" w:rsidP="008B7A61">
            <w:pPr>
              <w:ind w:left="34" w:hanging="34"/>
              <w:jc w:val="center"/>
              <w:rPr>
                <w:rFonts w:eastAsia="Times New Roman" w:cs="Arial"/>
                <w:b/>
                <w:sz w:val="20"/>
                <w:szCs w:val="20"/>
                <w:lang w:eastAsia="en-AU"/>
              </w:rPr>
            </w:pPr>
            <w:r w:rsidRPr="00B0465E">
              <w:rPr>
                <w:rFonts w:eastAsia="Times New Roman" w:cs="Arial"/>
                <w:b/>
                <w:sz w:val="20"/>
                <w:szCs w:val="20"/>
                <w:lang w:eastAsia="en-AU"/>
              </w:rPr>
              <w:t>1</w:t>
            </w:r>
          </w:p>
        </w:tc>
        <w:tc>
          <w:tcPr>
            <w:tcW w:w="1770" w:type="dxa"/>
            <w:shd w:val="clear" w:color="auto" w:fill="FBD4B4" w:themeFill="accent6" w:themeFillTint="66"/>
          </w:tcPr>
          <w:p w:rsidR="00246597" w:rsidRPr="00B0465E" w:rsidRDefault="00246597" w:rsidP="008B7A61">
            <w:pPr>
              <w:ind w:left="34" w:hanging="34"/>
              <w:jc w:val="center"/>
              <w:rPr>
                <w:rFonts w:eastAsia="Times New Roman" w:cs="Arial"/>
                <w:b/>
                <w:sz w:val="20"/>
                <w:szCs w:val="20"/>
                <w:lang w:eastAsia="en-AU"/>
              </w:rPr>
            </w:pPr>
            <w:r w:rsidRPr="00B0465E">
              <w:rPr>
                <w:rFonts w:eastAsia="Times New Roman" w:cs="Arial"/>
                <w:b/>
                <w:sz w:val="20"/>
                <w:szCs w:val="20"/>
                <w:lang w:eastAsia="en-AU"/>
              </w:rPr>
              <w:t>6</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350C8C" w:rsidRDefault="00246597" w:rsidP="008B7A61">
            <w:pPr>
              <w:jc w:val="center"/>
              <w:rPr>
                <w:rFonts w:eastAsia="Times New Roman" w:cs="Arial"/>
                <w:sz w:val="20"/>
                <w:szCs w:val="20"/>
                <w:highlight w:val="yellow"/>
                <w:lang w:eastAsia="en-AU"/>
              </w:rPr>
            </w:pPr>
            <w:r w:rsidRPr="00350C8C">
              <w:rPr>
                <w:rFonts w:eastAsia="Times New Roman" w:cs="Arial"/>
                <w:sz w:val="20"/>
                <w:szCs w:val="20"/>
                <w:lang w:eastAsia="en-AU"/>
              </w:rPr>
              <w:t>59%</w:t>
            </w:r>
          </w:p>
        </w:tc>
        <w:tc>
          <w:tcPr>
            <w:tcW w:w="1660" w:type="dxa"/>
            <w:shd w:val="clear" w:color="auto" w:fill="DAEEF3" w:themeFill="accent5" w:themeFillTint="33"/>
            <w:vAlign w:val="center"/>
          </w:tcPr>
          <w:p w:rsidR="00246597" w:rsidRPr="00350C8C" w:rsidRDefault="00246597" w:rsidP="008B7A61">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47%</w:t>
            </w:r>
          </w:p>
        </w:tc>
        <w:tc>
          <w:tcPr>
            <w:tcW w:w="1531" w:type="dxa"/>
            <w:shd w:val="clear" w:color="auto" w:fill="E5DFEC" w:themeFill="accent4"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100%</w:t>
            </w:r>
          </w:p>
        </w:tc>
        <w:tc>
          <w:tcPr>
            <w:tcW w:w="1770" w:type="dxa"/>
            <w:shd w:val="clear" w:color="auto" w:fill="FBD4B4" w:themeFill="accent6" w:themeFillTint="66"/>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50%</w:t>
            </w: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350C8C" w:rsidRDefault="00246597" w:rsidP="00384BA7">
            <w:pPr>
              <w:ind w:left="34" w:hanging="34"/>
              <w:jc w:val="center"/>
              <w:rPr>
                <w:rFonts w:eastAsia="Times New Roman" w:cs="Arial"/>
                <w:sz w:val="20"/>
                <w:szCs w:val="20"/>
                <w:highlight w:val="yellow"/>
                <w:lang w:eastAsia="en-AU"/>
              </w:rPr>
            </w:pPr>
            <w:r w:rsidRPr="00350C8C">
              <w:rPr>
                <w:rFonts w:eastAsia="Times New Roman" w:cs="Arial"/>
                <w:sz w:val="20"/>
                <w:szCs w:val="20"/>
                <w:lang w:eastAsia="en-AU"/>
              </w:rPr>
              <w:t>41% / 59%</w:t>
            </w:r>
          </w:p>
        </w:tc>
        <w:tc>
          <w:tcPr>
            <w:tcW w:w="1660" w:type="dxa"/>
            <w:shd w:val="clear" w:color="auto" w:fill="DAEEF3" w:themeFill="accent5" w:themeFillTint="33"/>
            <w:vAlign w:val="center"/>
          </w:tcPr>
          <w:p w:rsidR="00246597" w:rsidRPr="00350C8C" w:rsidRDefault="00246597" w:rsidP="00B0465E">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50% / 50%</w:t>
            </w:r>
          </w:p>
        </w:tc>
        <w:tc>
          <w:tcPr>
            <w:tcW w:w="1531" w:type="dxa"/>
            <w:shd w:val="clear" w:color="auto" w:fill="E5DFEC" w:themeFill="accent4" w:themeFillTint="33"/>
            <w:vAlign w:val="center"/>
          </w:tcPr>
          <w:p w:rsidR="00246597" w:rsidRPr="00B0465E" w:rsidRDefault="00246597" w:rsidP="00B0465E">
            <w:pPr>
              <w:ind w:left="34" w:hanging="34"/>
              <w:jc w:val="center"/>
              <w:rPr>
                <w:rFonts w:eastAsia="Times New Roman" w:cs="Arial"/>
                <w:sz w:val="20"/>
                <w:szCs w:val="20"/>
                <w:lang w:eastAsia="en-AU"/>
              </w:rPr>
            </w:pPr>
            <w:r w:rsidRPr="00B0465E">
              <w:rPr>
                <w:rFonts w:eastAsia="Times New Roman" w:cs="Arial"/>
                <w:sz w:val="20"/>
                <w:szCs w:val="20"/>
                <w:lang w:eastAsia="en-AU"/>
              </w:rPr>
              <w:t>0% / 100%</w:t>
            </w:r>
          </w:p>
        </w:tc>
        <w:tc>
          <w:tcPr>
            <w:tcW w:w="1770" w:type="dxa"/>
            <w:shd w:val="clear" w:color="auto" w:fill="FBD4B4" w:themeFill="accent6" w:themeFillTint="66"/>
          </w:tcPr>
          <w:p w:rsidR="00246597" w:rsidRPr="00350C8C" w:rsidRDefault="00246597" w:rsidP="00D87986">
            <w:pPr>
              <w:ind w:left="34" w:hanging="34"/>
              <w:jc w:val="center"/>
              <w:rPr>
                <w:rFonts w:eastAsia="Times New Roman" w:cs="Arial"/>
                <w:sz w:val="20"/>
                <w:szCs w:val="20"/>
                <w:highlight w:val="yellow"/>
                <w:lang w:eastAsia="en-AU"/>
              </w:rPr>
            </w:pPr>
            <w:r w:rsidRPr="00B0465E">
              <w:rPr>
                <w:rFonts w:eastAsia="Times New Roman" w:cs="Arial"/>
                <w:sz w:val="20"/>
                <w:szCs w:val="20"/>
                <w:lang w:eastAsia="en-AU"/>
              </w:rPr>
              <w:t>50% / 50%</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w:t>
      </w:r>
      <w:r w:rsidRPr="00C019C3">
        <w:rPr>
          <w:sz w:val="16"/>
          <w:szCs w:val="16"/>
        </w:rPr>
        <w:t>Eyre</w:t>
      </w:r>
      <w:r>
        <w:rPr>
          <w:sz w:val="16"/>
          <w:szCs w:val="16"/>
        </w:rPr>
        <w:t xml:space="preserve"> and Far North</w:t>
      </w:r>
      <w:r w:rsidRPr="00C019C3">
        <w:rPr>
          <w:sz w:val="16"/>
          <w:szCs w:val="16"/>
        </w:rPr>
        <w:t xml:space="preserv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 xml:space="preserve">East Arnhem and Katherine regions in the Northern Territory;  the Kimberley health region in Western Australia, and; </w:t>
      </w:r>
      <w:r>
        <w:rPr>
          <w:sz w:val="16"/>
          <w:szCs w:val="16"/>
        </w:rPr>
        <w:t>Western,</w:t>
      </w:r>
      <w:r w:rsidRPr="00C019C3">
        <w:rPr>
          <w:sz w:val="16"/>
          <w:szCs w:val="16"/>
        </w:rPr>
        <w:t xml:space="preserve"> Eyre</w:t>
      </w:r>
      <w:r>
        <w:rPr>
          <w:sz w:val="16"/>
          <w:szCs w:val="16"/>
        </w:rPr>
        <w:t xml:space="preserve"> and Far North</w:t>
      </w:r>
      <w:r w:rsidRPr="00C019C3">
        <w:rPr>
          <w:sz w:val="16"/>
          <w:szCs w:val="16"/>
        </w:rPr>
        <w:t xml:space="preserve"> regions in</w:t>
      </w:r>
      <w:r>
        <w:rPr>
          <w:sz w:val="16"/>
          <w:szCs w:val="16"/>
        </w:rPr>
        <w:br/>
      </w:r>
      <w:r w:rsidRPr="00C019C3">
        <w:rPr>
          <w:sz w:val="16"/>
          <w:szCs w:val="16"/>
        </w:rPr>
        <w:t xml:space="preserve"> South Australia.</w:t>
      </w:r>
    </w:p>
    <w:p w:rsidR="00246597" w:rsidRDefault="00246597" w:rsidP="00165ADE">
      <w:pPr>
        <w:pStyle w:val="ListParagraph"/>
        <w:spacing w:after="0" w:line="240" w:lineRule="auto"/>
        <w:ind w:left="-567"/>
        <w:contextualSpacing w:val="0"/>
        <w:rPr>
          <w:rFonts w:ascii="Arial" w:hAnsi="Arial" w:cs="Arial"/>
          <w:b/>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17 August</w:t>
      </w:r>
      <w:r w:rsidRPr="006829B0">
        <w:rPr>
          <w:rFonts w:ascii="Arial" w:hAnsi="Arial" w:cs="Arial"/>
          <w:b/>
          <w:sz w:val="28"/>
          <w:szCs w:val="28"/>
        </w:rPr>
        <w:t xml:space="preserve"> 2017 </w:t>
      </w:r>
      <w:r>
        <w:rPr>
          <w:rFonts w:ascii="Arial" w:hAnsi="Arial" w:cs="Arial"/>
          <w:b/>
          <w:sz w:val="28"/>
          <w:szCs w:val="28"/>
        </w:rPr>
        <w:t>(15</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907C81">
      <w:pPr>
        <w:spacing w:after="0" w:line="240" w:lineRule="auto"/>
        <w:ind w:left="-567" w:right="-612"/>
        <w:jc w:val="center"/>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w:t>
      </w:r>
      <w:r w:rsidRPr="00C019C3">
        <w:rPr>
          <w:color w:val="000000" w:themeColor="text1"/>
        </w:rPr>
        <w:t>Eyre</w:t>
      </w:r>
      <w:r>
        <w:rPr>
          <w:color w:val="000000" w:themeColor="text1"/>
        </w:rPr>
        <w:t xml:space="preserve"> and Far North</w:t>
      </w:r>
      <w:r w:rsidRPr="00C019C3">
        <w:rPr>
          <w:color w:val="000000" w:themeColor="text1"/>
        </w:rPr>
        <w:t xml:space="preserve"> regions from 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17 August</w:t>
      </w:r>
      <w:r w:rsidRPr="006829B0">
        <w:rPr>
          <w:color w:val="000000" w:themeColor="text1"/>
        </w:rPr>
        <w:t xml:space="preserve"> 2017 (current status</w:t>
      </w:r>
      <w:r>
        <w:rPr>
          <w:color w:val="000000" w:themeColor="text1"/>
        </w:rPr>
        <w:t>)</w:t>
      </w:r>
      <w:r w:rsidRPr="006829B0">
        <w:rPr>
          <w:color w:val="000000" w:themeColor="text1"/>
        </w:rPr>
        <w:t>.</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1 July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C019C3">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1</w:t>
      </w:r>
      <w:r w:rsidRPr="006829B0">
        <w:rPr>
          <w:rFonts w:ascii="Arial" w:hAnsi="Arial" w:cs="Arial"/>
          <w:sz w:val="20"/>
          <w:szCs w:val="20"/>
        </w:rPr>
        <w:t xml:space="preserve"> </w:t>
      </w:r>
      <w:r>
        <w:rPr>
          <w:rFonts w:ascii="Arial" w:hAnsi="Arial" w:cs="Arial"/>
          <w:sz w:val="20"/>
          <w:szCs w:val="20"/>
        </w:rPr>
        <w:t xml:space="preserve">July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Pr="00294EE1" w:rsidRDefault="00246597" w:rsidP="00C55AC7">
      <w:pPr>
        <w:spacing w:after="0" w:line="240" w:lineRule="auto"/>
        <w:ind w:left="-567"/>
        <w:rPr>
          <w:rFonts w:ascii="Arial" w:hAnsi="Arial" w:cs="Arial"/>
          <w:sz w:val="20"/>
          <w:szCs w:val="20"/>
          <w:highlight w:val="yellow"/>
        </w:rPr>
      </w:pPr>
      <w:r>
        <w:rPr>
          <w:rFonts w:ascii="Arial" w:hAnsi="Arial" w:cs="Arial"/>
          <w:noProof/>
          <w:sz w:val="20"/>
          <w:szCs w:val="20"/>
          <w:lang w:eastAsia="en-AU"/>
        </w:rPr>
        <w:drawing>
          <wp:inline distT="0" distB="0" distL="0" distR="0" wp14:anchorId="32E30907">
            <wp:extent cx="6663193" cy="2767053"/>
            <wp:effectExtent l="0" t="0" r="4445" b="0"/>
            <wp:docPr id="5" name="Picture 5" descr=" Epidemic curve showing outbreak cases of infectious syphilisα notified in affected regionsβ of Queensland,&#10;the Northern Territory, Western Australia and South Australia from commencement of the outbreak in each jurisdiction to 31 July 2017&#10;"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5178" cy="2772030"/>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1</w:t>
      </w:r>
      <w:r w:rsidRPr="00427A81">
        <w:rPr>
          <w:rFonts w:ascii="Arial" w:hAnsi="Arial" w:cs="Arial"/>
          <w:sz w:val="20"/>
          <w:szCs w:val="20"/>
        </w:rPr>
        <w:t xml:space="preserve"> </w:t>
      </w:r>
      <w:r>
        <w:rPr>
          <w:rFonts w:ascii="Arial" w:hAnsi="Arial" w:cs="Arial"/>
          <w:sz w:val="20"/>
          <w:szCs w:val="20"/>
        </w:rPr>
        <w:t>July</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632" w:type="dxa"/>
        <w:tblInd w:w="-803"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1"/>
        <w:gridCol w:w="1560"/>
        <w:gridCol w:w="1660"/>
        <w:gridCol w:w="1531"/>
        <w:gridCol w:w="1770"/>
      </w:tblGrid>
      <w:tr w:rsidR="00246597" w:rsidRPr="008B7A61" w:rsidTr="008B7A61">
        <w:trPr>
          <w:tblHeader/>
        </w:trPr>
        <w:tc>
          <w:tcPr>
            <w:tcW w:w="4111" w:type="dxa"/>
            <w:tcBorders>
              <w:bottom w:val="single" w:sz="4" w:space="0" w:color="auto"/>
            </w:tcBorders>
          </w:tcPr>
          <w:p w:rsidR="00246597" w:rsidRPr="008B7A61" w:rsidRDefault="00246597" w:rsidP="008B7A61">
            <w:pPr>
              <w:ind w:left="34" w:hanging="34"/>
              <w:rPr>
                <w:rFonts w:eastAsia="Times New Roman" w:cs="Arial"/>
                <w:sz w:val="20"/>
                <w:szCs w:val="20"/>
                <w:lang w:eastAsia="en-AU"/>
              </w:rPr>
            </w:pPr>
          </w:p>
        </w:tc>
        <w:tc>
          <w:tcPr>
            <w:tcW w:w="1560" w:type="dxa"/>
            <w:tcBorders>
              <w:bottom w:val="single" w:sz="4" w:space="0" w:color="auto"/>
            </w:tcBorders>
            <w:shd w:val="clear" w:color="auto" w:fill="C6D9F1" w:themeFill="text2"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shd w:val="clear" w:color="auto" w:fill="C6D9F1" w:themeFill="text2" w:themeFillTint="33"/>
                <w:lang w:eastAsia="en-AU"/>
              </w:rPr>
              <w:t xml:space="preserve">North Qld </w:t>
            </w:r>
            <w:r w:rsidRPr="008B7A61">
              <w:rPr>
                <w:rFonts w:eastAsia="Times New Roman" w:cs="Arial"/>
                <w:b/>
                <w:sz w:val="20"/>
                <w:szCs w:val="20"/>
                <w:shd w:val="clear" w:color="auto" w:fill="C6D9F1" w:themeFill="text2" w:themeFillTint="33"/>
                <w:lang w:eastAsia="en-AU"/>
              </w:rPr>
              <w:br/>
            </w:r>
            <w:r w:rsidRPr="008B7A61">
              <w:rPr>
                <w:rFonts w:eastAsia="Times New Roman" w:cs="Arial"/>
                <w:sz w:val="20"/>
                <w:szCs w:val="20"/>
                <w:shd w:val="clear" w:color="auto" w:fill="C6D9F1" w:themeFill="text2" w:themeFillTint="33"/>
                <w:lang w:eastAsia="en-AU"/>
              </w:rPr>
              <w:t>(four HHSs</w:t>
            </w:r>
            <w:r w:rsidRPr="008B7A61">
              <w:rPr>
                <w:rFonts w:eastAsia="Times New Roman" w:cs="Arial"/>
                <w:sz w:val="20"/>
                <w:szCs w:val="20"/>
                <w:shd w:val="clear" w:color="auto" w:fill="C6D9F1" w:themeFill="text2" w:themeFillTint="33"/>
                <w:vertAlign w:val="superscript"/>
                <w:lang w:eastAsia="en-AU"/>
              </w:rPr>
              <w:t>β</w:t>
            </w:r>
            <w:r w:rsidRPr="008B7A61">
              <w:rPr>
                <w:rFonts w:eastAsia="Times New Roman" w:cs="Arial"/>
                <w:sz w:val="20"/>
                <w:szCs w:val="20"/>
                <w:lang w:eastAsia="en-AU"/>
              </w:rPr>
              <w:t>)</w:t>
            </w:r>
          </w:p>
        </w:tc>
        <w:tc>
          <w:tcPr>
            <w:tcW w:w="1660" w:type="dxa"/>
            <w:tcBorders>
              <w:bottom w:val="single" w:sz="4" w:space="0" w:color="auto"/>
            </w:tcBorders>
            <w:shd w:val="clear" w:color="auto" w:fill="DAEEF3" w:themeFill="accent5"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 xml:space="preserve">NT </w:t>
            </w:r>
            <w:r w:rsidRPr="008B7A61">
              <w:rPr>
                <w:rFonts w:eastAsia="Times New Roman" w:cs="Arial"/>
                <w:b/>
                <w:sz w:val="20"/>
                <w:szCs w:val="20"/>
                <w:lang w:eastAsia="en-AU"/>
              </w:rPr>
              <w:br/>
            </w:r>
            <w:r w:rsidRPr="008B7A61">
              <w:rPr>
                <w:rFonts w:eastAsia="Times New Roman" w:cs="Arial"/>
                <w:sz w:val="20"/>
                <w:szCs w:val="20"/>
                <w:lang w:eastAsia="en-AU"/>
              </w:rPr>
              <w:t>(four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c>
          <w:tcPr>
            <w:tcW w:w="1531" w:type="dxa"/>
            <w:tcBorders>
              <w:bottom w:val="single" w:sz="4" w:space="0" w:color="auto"/>
            </w:tcBorders>
            <w:shd w:val="clear" w:color="auto" w:fill="E5DFEC" w:themeFill="accent4" w:themeFillTint="33"/>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WA</w:t>
            </w:r>
            <w:r w:rsidRPr="008B7A61">
              <w:rPr>
                <w:rFonts w:eastAsia="Times New Roman" w:cs="Arial"/>
                <w:b/>
                <w:sz w:val="20"/>
                <w:szCs w:val="20"/>
                <w:lang w:eastAsia="en-AU"/>
              </w:rPr>
              <w:br/>
            </w:r>
            <w:r w:rsidRPr="008B7A61">
              <w:rPr>
                <w:rFonts w:eastAsia="Times New Roman" w:cs="Arial"/>
                <w:sz w:val="20"/>
                <w:szCs w:val="20"/>
                <w:lang w:eastAsia="en-AU"/>
              </w:rPr>
              <w:t xml:space="preserve"> (Kimberley region)</w:t>
            </w:r>
          </w:p>
        </w:tc>
        <w:tc>
          <w:tcPr>
            <w:tcW w:w="1770" w:type="dxa"/>
            <w:tcBorders>
              <w:bottom w:val="single" w:sz="4" w:space="0" w:color="auto"/>
            </w:tcBorders>
            <w:shd w:val="clear" w:color="auto" w:fill="FBD4B4" w:themeFill="accent6" w:themeFillTint="66"/>
          </w:tcPr>
          <w:p w:rsidR="00246597" w:rsidRPr="008B7A61" w:rsidRDefault="00246597" w:rsidP="008B7A61">
            <w:pPr>
              <w:ind w:left="34" w:hanging="34"/>
              <w:jc w:val="center"/>
              <w:rPr>
                <w:rFonts w:eastAsia="Times New Roman" w:cs="Arial"/>
                <w:b/>
                <w:sz w:val="20"/>
                <w:szCs w:val="20"/>
                <w:lang w:eastAsia="en-AU"/>
              </w:rPr>
            </w:pPr>
            <w:r w:rsidRPr="008B7A61">
              <w:rPr>
                <w:rFonts w:eastAsia="Times New Roman" w:cs="Arial"/>
                <w:b/>
                <w:sz w:val="20"/>
                <w:szCs w:val="20"/>
                <w:lang w:eastAsia="en-AU"/>
              </w:rPr>
              <w:t>SA</w:t>
            </w:r>
          </w:p>
          <w:p w:rsidR="00246597" w:rsidRPr="008B7A61" w:rsidRDefault="00246597" w:rsidP="00707254">
            <w:pPr>
              <w:ind w:left="34" w:hanging="34"/>
              <w:jc w:val="center"/>
              <w:rPr>
                <w:rFonts w:eastAsia="Times New Roman" w:cs="Arial"/>
                <w:sz w:val="20"/>
                <w:szCs w:val="20"/>
                <w:lang w:eastAsia="en-AU"/>
              </w:rPr>
            </w:pPr>
            <w:r w:rsidRPr="008B7A61">
              <w:rPr>
                <w:rFonts w:eastAsia="Times New Roman" w:cs="Arial"/>
                <w:sz w:val="20"/>
                <w:szCs w:val="20"/>
                <w:lang w:eastAsia="en-AU"/>
              </w:rPr>
              <w:t>(</w:t>
            </w:r>
            <w:r>
              <w:rPr>
                <w:rFonts w:eastAsia="Times New Roman" w:cs="Arial"/>
                <w:sz w:val="20"/>
                <w:szCs w:val="20"/>
                <w:lang w:eastAsia="en-AU"/>
              </w:rPr>
              <w:t>three</w:t>
            </w:r>
            <w:r w:rsidRPr="008B7A61">
              <w:rPr>
                <w:rFonts w:eastAsia="Times New Roman" w:cs="Arial"/>
                <w:sz w:val="20"/>
                <w:szCs w:val="20"/>
                <w:lang w:eastAsia="en-AU"/>
              </w:rPr>
              <w:t xml:space="preserve"> regions</w:t>
            </w:r>
            <w:r w:rsidRPr="008B7A61">
              <w:rPr>
                <w:rFonts w:eastAsia="Times New Roman" w:cs="Arial"/>
                <w:sz w:val="20"/>
                <w:szCs w:val="20"/>
                <w:vertAlign w:val="superscript"/>
                <w:lang w:eastAsia="en-AU"/>
              </w:rPr>
              <w:t xml:space="preserve"> β</w:t>
            </w:r>
            <w:r w:rsidRPr="008B7A61">
              <w:rPr>
                <w:rFonts w:eastAsia="Times New Roman" w:cs="Arial"/>
                <w:sz w:val="20"/>
                <w:szCs w:val="20"/>
                <w:lang w:eastAsia="en-AU"/>
              </w:rPr>
              <w:t>)</w:t>
            </w:r>
          </w:p>
        </w:tc>
      </w:tr>
      <w:tr w:rsidR="00246597" w:rsidRPr="008B7A61" w:rsidTr="008B7A61">
        <w:tc>
          <w:tcPr>
            <w:tcW w:w="4111" w:type="dxa"/>
            <w:tcBorders>
              <w:right w:val="nil"/>
            </w:tcBorders>
            <w:shd w:val="clear" w:color="auto" w:fill="B8CCE4" w:themeFill="accent1" w:themeFillTint="66"/>
          </w:tcPr>
          <w:p w:rsidR="00246597" w:rsidRPr="008B7A61" w:rsidRDefault="00246597" w:rsidP="00907C81">
            <w:pPr>
              <w:ind w:left="34" w:hanging="34"/>
              <w:rPr>
                <w:rFonts w:eastAsia="Times New Roman" w:cs="Arial"/>
                <w:sz w:val="20"/>
                <w:szCs w:val="20"/>
                <w:lang w:eastAsia="en-AU"/>
              </w:rPr>
            </w:pPr>
            <w:r w:rsidRPr="008B7A61">
              <w:rPr>
                <w:rFonts w:eastAsia="Times New Roman" w:cs="Arial"/>
                <w:sz w:val="20"/>
                <w:szCs w:val="20"/>
                <w:lang w:eastAsia="en-AU"/>
              </w:rPr>
              <w:t>Situation to-date, 3</w:t>
            </w:r>
            <w:r>
              <w:rPr>
                <w:rFonts w:eastAsia="Times New Roman" w:cs="Arial"/>
                <w:sz w:val="20"/>
                <w:szCs w:val="20"/>
                <w:lang w:eastAsia="en-AU"/>
              </w:rPr>
              <w:t>1</w:t>
            </w:r>
            <w:r w:rsidRPr="008B7A61">
              <w:rPr>
                <w:rFonts w:eastAsia="Times New Roman" w:cs="Arial"/>
                <w:sz w:val="20"/>
                <w:szCs w:val="20"/>
                <w:lang w:eastAsia="en-AU"/>
              </w:rPr>
              <w:t xml:space="preserve"> </w:t>
            </w:r>
            <w:r>
              <w:rPr>
                <w:rFonts w:eastAsia="Times New Roman" w:cs="Arial"/>
                <w:sz w:val="20"/>
                <w:szCs w:val="20"/>
                <w:lang w:eastAsia="en-AU"/>
              </w:rPr>
              <w:t>July</w:t>
            </w:r>
            <w:r w:rsidRPr="008B7A61">
              <w:rPr>
                <w:rFonts w:eastAsia="Times New Roman" w:cs="Arial"/>
                <w:sz w:val="20"/>
                <w:szCs w:val="20"/>
                <w:lang w:eastAsia="en-AU"/>
              </w:rPr>
              <w:t xml:space="preserve"> 2017</w:t>
            </w:r>
          </w:p>
        </w:tc>
        <w:tc>
          <w:tcPr>
            <w:tcW w:w="15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660" w:type="dxa"/>
            <w:tcBorders>
              <w:left w:val="nil"/>
              <w:righ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531"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highlight w:val="yellow"/>
                <w:lang w:eastAsia="en-AU"/>
              </w:rPr>
            </w:pPr>
          </w:p>
        </w:tc>
        <w:tc>
          <w:tcPr>
            <w:tcW w:w="1770" w:type="dxa"/>
            <w:tcBorders>
              <w:left w:val="nil"/>
            </w:tcBorders>
            <w:shd w:val="clear" w:color="auto" w:fill="B8CCE4" w:themeFill="accent1" w:themeFillTint="66"/>
          </w:tcPr>
          <w:p w:rsidR="00246597" w:rsidRPr="008B7A61" w:rsidRDefault="00246597" w:rsidP="008B7A61">
            <w:pPr>
              <w:ind w:left="34" w:hanging="34"/>
              <w:rPr>
                <w:rFonts w:eastAsia="Times New Roman" w:cs="Arial"/>
                <w:sz w:val="20"/>
                <w:szCs w:val="20"/>
                <w:lang w:eastAsia="en-AU"/>
              </w:rPr>
            </w:pPr>
          </w:p>
        </w:tc>
      </w:tr>
      <w:tr w:rsidR="00246597" w:rsidRPr="008B7A61" w:rsidTr="008B7A61">
        <w:tc>
          <w:tcPr>
            <w:tcW w:w="4111" w:type="dxa"/>
          </w:tcPr>
          <w:p w:rsidR="00246597" w:rsidRPr="008B7A61" w:rsidRDefault="00246597" w:rsidP="008B7A61">
            <w:pPr>
              <w:ind w:left="34" w:hanging="34"/>
              <w:rPr>
                <w:rFonts w:eastAsia="Times New Roman" w:cs="Arial"/>
                <w:sz w:val="20"/>
                <w:szCs w:val="20"/>
                <w:lang w:eastAsia="en-AU"/>
              </w:rPr>
            </w:pPr>
            <w:r w:rsidRPr="008B7A61">
              <w:rPr>
                <w:rFonts w:eastAsia="Times New Roman" w:cs="Arial"/>
                <w:sz w:val="20"/>
                <w:szCs w:val="20"/>
                <w:lang w:eastAsia="en-AU"/>
              </w:rPr>
              <w:t>Outbreak commencement month/year</w:t>
            </w:r>
          </w:p>
        </w:tc>
        <w:tc>
          <w:tcPr>
            <w:tcW w:w="1560" w:type="dxa"/>
            <w:shd w:val="clear" w:color="auto" w:fill="C6D9F1" w:themeFill="text2" w:themeFillTint="33"/>
            <w:vAlign w:val="center"/>
          </w:tcPr>
          <w:p w:rsidR="00246597" w:rsidRPr="00350C8C" w:rsidRDefault="00246597" w:rsidP="008B7A61">
            <w:pPr>
              <w:ind w:left="34" w:hanging="34"/>
              <w:jc w:val="center"/>
              <w:rPr>
                <w:rFonts w:eastAsia="Times New Roman" w:cs="Arial"/>
                <w:sz w:val="20"/>
                <w:szCs w:val="20"/>
                <w:lang w:eastAsia="en-AU"/>
              </w:rPr>
            </w:pPr>
            <w:r w:rsidRPr="00350C8C">
              <w:rPr>
                <w:rFonts w:eastAsia="Times New Roman" w:cs="Arial"/>
                <w:sz w:val="20"/>
                <w:szCs w:val="20"/>
                <w:lang w:eastAsia="en-AU"/>
              </w:rPr>
              <w:t>January 2011</w:t>
            </w:r>
          </w:p>
        </w:tc>
        <w:tc>
          <w:tcPr>
            <w:tcW w:w="1660" w:type="dxa"/>
            <w:shd w:val="clear" w:color="auto" w:fill="DAEEF3" w:themeFill="accent5" w:themeFillTint="33"/>
            <w:vAlign w:val="center"/>
          </w:tcPr>
          <w:p w:rsidR="00246597" w:rsidRPr="00350C8C" w:rsidRDefault="00246597" w:rsidP="008B7A61">
            <w:pPr>
              <w:ind w:left="34" w:hanging="34"/>
              <w:jc w:val="center"/>
              <w:rPr>
                <w:rFonts w:eastAsia="Times New Roman" w:cs="Arial"/>
                <w:sz w:val="20"/>
                <w:szCs w:val="20"/>
                <w:lang w:eastAsia="en-AU"/>
              </w:rPr>
            </w:pPr>
            <w:r w:rsidRPr="00350C8C">
              <w:rPr>
                <w:rFonts w:eastAsia="Times New Roman" w:cs="Arial"/>
                <w:sz w:val="20"/>
                <w:szCs w:val="20"/>
                <w:lang w:eastAsia="en-AU"/>
              </w:rPr>
              <w:t>July 2013</w:t>
            </w:r>
          </w:p>
        </w:tc>
        <w:tc>
          <w:tcPr>
            <w:tcW w:w="1531" w:type="dxa"/>
            <w:shd w:val="clear" w:color="auto" w:fill="E5DFEC" w:themeFill="accent4" w:themeFillTint="33"/>
            <w:vAlign w:val="center"/>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June 2014</w:t>
            </w:r>
          </w:p>
        </w:tc>
        <w:tc>
          <w:tcPr>
            <w:tcW w:w="1770" w:type="dxa"/>
            <w:shd w:val="clear" w:color="auto" w:fill="FBD4B4" w:themeFill="accent6" w:themeFillTint="66"/>
          </w:tcPr>
          <w:p w:rsidR="00246597" w:rsidRPr="00B0465E" w:rsidRDefault="00246597" w:rsidP="008B7A61">
            <w:pPr>
              <w:ind w:left="34" w:hanging="34"/>
              <w:jc w:val="center"/>
              <w:rPr>
                <w:rFonts w:eastAsia="Times New Roman" w:cs="Arial"/>
                <w:sz w:val="20"/>
                <w:szCs w:val="20"/>
                <w:lang w:eastAsia="en-AU"/>
              </w:rPr>
            </w:pPr>
            <w:r w:rsidRPr="00B0465E">
              <w:rPr>
                <w:rFonts w:eastAsia="Times New Roman" w:cs="Arial"/>
                <w:sz w:val="20"/>
                <w:szCs w:val="20"/>
                <w:lang w:eastAsia="en-AU"/>
              </w:rPr>
              <w:t>November 2016</w:t>
            </w:r>
          </w:p>
        </w:tc>
      </w:tr>
      <w:tr w:rsidR="00246597" w:rsidRPr="008B7A61" w:rsidTr="008B7A61">
        <w:tc>
          <w:tcPr>
            <w:tcW w:w="4111" w:type="dxa"/>
          </w:tcPr>
          <w:p w:rsidR="00246597" w:rsidRPr="00907C81" w:rsidRDefault="00246597" w:rsidP="008B7A61">
            <w:pPr>
              <w:ind w:left="34" w:hanging="34"/>
              <w:rPr>
                <w:rFonts w:eastAsia="Times New Roman" w:cs="Arial"/>
                <w:sz w:val="20"/>
                <w:szCs w:val="20"/>
                <w:lang w:eastAsia="en-AU"/>
              </w:rPr>
            </w:pPr>
            <w:r w:rsidRPr="00907C81">
              <w:rPr>
                <w:rFonts w:eastAsia="Times New Roman" w:cs="Arial"/>
                <w:sz w:val="20"/>
                <w:szCs w:val="20"/>
                <w:lang w:eastAsia="en-AU"/>
              </w:rPr>
              <w:t>Total number of cases</w:t>
            </w:r>
            <w:r w:rsidRPr="00907C81">
              <w:rPr>
                <w:rFonts w:eastAsia="Times New Roman" w:cs="Arial"/>
                <w:b/>
                <w:sz w:val="20"/>
                <w:szCs w:val="20"/>
                <w:vertAlign w:val="superscript"/>
                <w:lang w:eastAsia="en-AU"/>
              </w:rPr>
              <w:t xml:space="preserve"> </w:t>
            </w:r>
            <w:r w:rsidRPr="00907C81">
              <w:rPr>
                <w:rFonts w:eastAsia="Times New Roman" w:cs="Arial"/>
                <w:sz w:val="20"/>
                <w:szCs w:val="20"/>
                <w:vertAlign w:val="superscript"/>
                <w:lang w:eastAsia="en-AU"/>
              </w:rPr>
              <w:t>α</w:t>
            </w:r>
          </w:p>
        </w:tc>
        <w:tc>
          <w:tcPr>
            <w:tcW w:w="1560" w:type="dxa"/>
            <w:shd w:val="clear" w:color="auto" w:fill="C6D9F1" w:themeFill="text2" w:themeFillTint="33"/>
            <w:vAlign w:val="center"/>
          </w:tcPr>
          <w:p w:rsidR="00246597" w:rsidRPr="00907C81" w:rsidRDefault="00246597" w:rsidP="00350C8C">
            <w:pPr>
              <w:ind w:left="34" w:hanging="34"/>
              <w:jc w:val="center"/>
              <w:rPr>
                <w:rFonts w:eastAsia="Times New Roman" w:cs="Arial"/>
                <w:b/>
                <w:sz w:val="20"/>
                <w:szCs w:val="20"/>
                <w:vertAlign w:val="superscript"/>
                <w:lang w:eastAsia="en-AU"/>
              </w:rPr>
            </w:pPr>
            <w:r w:rsidRPr="00907C81">
              <w:rPr>
                <w:rFonts w:eastAsia="Times New Roman" w:cs="Arial"/>
                <w:b/>
                <w:sz w:val="20"/>
                <w:szCs w:val="20"/>
                <w:lang w:eastAsia="en-AU"/>
              </w:rPr>
              <w:t>915</w:t>
            </w:r>
          </w:p>
        </w:tc>
        <w:tc>
          <w:tcPr>
            <w:tcW w:w="1660" w:type="dxa"/>
            <w:shd w:val="clear" w:color="auto" w:fill="DAEEF3" w:themeFill="accent5" w:themeFillTint="33"/>
            <w:vAlign w:val="center"/>
          </w:tcPr>
          <w:p w:rsidR="00246597" w:rsidRPr="00907C81" w:rsidRDefault="00246597" w:rsidP="008B7A61">
            <w:pPr>
              <w:ind w:left="34" w:hanging="34"/>
              <w:jc w:val="center"/>
              <w:rPr>
                <w:rFonts w:eastAsia="Times New Roman" w:cs="Arial"/>
                <w:b/>
                <w:sz w:val="20"/>
                <w:szCs w:val="20"/>
                <w:highlight w:val="yellow"/>
                <w:lang w:eastAsia="en-AU"/>
              </w:rPr>
            </w:pPr>
            <w:r w:rsidRPr="000F4306">
              <w:rPr>
                <w:rFonts w:eastAsia="Times New Roman" w:cs="Arial"/>
                <w:b/>
                <w:sz w:val="20"/>
                <w:szCs w:val="20"/>
                <w:lang w:eastAsia="en-AU"/>
              </w:rPr>
              <w:t>562</w:t>
            </w:r>
          </w:p>
        </w:tc>
        <w:tc>
          <w:tcPr>
            <w:tcW w:w="1531" w:type="dxa"/>
            <w:shd w:val="clear" w:color="auto" w:fill="E5DFEC" w:themeFill="accent4" w:themeFillTint="33"/>
            <w:vAlign w:val="center"/>
          </w:tcPr>
          <w:p w:rsidR="00246597" w:rsidRPr="000F4306" w:rsidRDefault="00246597" w:rsidP="008B7A61">
            <w:pPr>
              <w:ind w:left="34" w:hanging="34"/>
              <w:jc w:val="center"/>
              <w:rPr>
                <w:rFonts w:eastAsia="Times New Roman" w:cs="Arial"/>
                <w:b/>
                <w:sz w:val="20"/>
                <w:szCs w:val="20"/>
                <w:lang w:eastAsia="en-AU"/>
              </w:rPr>
            </w:pPr>
            <w:r w:rsidRPr="000F4306">
              <w:rPr>
                <w:rFonts w:eastAsia="Times New Roman" w:cs="Arial"/>
                <w:b/>
                <w:sz w:val="20"/>
                <w:szCs w:val="20"/>
                <w:lang w:eastAsia="en-AU"/>
              </w:rPr>
              <w:t>129</w:t>
            </w:r>
          </w:p>
        </w:tc>
        <w:tc>
          <w:tcPr>
            <w:tcW w:w="1770" w:type="dxa"/>
            <w:shd w:val="clear" w:color="auto" w:fill="FBD4B4" w:themeFill="accent6" w:themeFillTint="66"/>
          </w:tcPr>
          <w:p w:rsidR="00246597" w:rsidRPr="00907C81" w:rsidRDefault="00246597" w:rsidP="008B7A61">
            <w:pPr>
              <w:ind w:left="34" w:hanging="34"/>
              <w:jc w:val="center"/>
              <w:rPr>
                <w:rFonts w:eastAsia="Times New Roman" w:cs="Arial"/>
                <w:b/>
                <w:sz w:val="20"/>
                <w:szCs w:val="20"/>
                <w:highlight w:val="yellow"/>
                <w:lang w:eastAsia="en-AU"/>
              </w:rPr>
            </w:pPr>
            <w:r w:rsidRPr="000F4306">
              <w:rPr>
                <w:rFonts w:eastAsia="Times New Roman" w:cs="Arial"/>
                <w:b/>
                <w:sz w:val="20"/>
                <w:szCs w:val="20"/>
                <w:lang w:eastAsia="en-AU"/>
              </w:rPr>
              <w:t>22</w:t>
            </w:r>
          </w:p>
        </w:tc>
      </w:tr>
      <w:tr w:rsidR="00246597" w:rsidRPr="008B7A61" w:rsidTr="008B7A61">
        <w:tc>
          <w:tcPr>
            <w:tcW w:w="4111" w:type="dxa"/>
          </w:tcPr>
          <w:p w:rsidR="00246597" w:rsidRPr="00907C81" w:rsidRDefault="00246597" w:rsidP="008B7A61">
            <w:pPr>
              <w:ind w:left="34" w:hanging="34"/>
              <w:rPr>
                <w:rFonts w:eastAsia="Times New Roman" w:cs="Arial"/>
                <w:sz w:val="20"/>
                <w:szCs w:val="20"/>
                <w:lang w:eastAsia="en-AU"/>
              </w:rPr>
            </w:pPr>
            <w:r w:rsidRPr="00907C81">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907C81" w:rsidRDefault="00246597" w:rsidP="00907C81">
            <w:pPr>
              <w:ind w:left="34" w:hanging="34"/>
              <w:jc w:val="center"/>
              <w:rPr>
                <w:rFonts w:eastAsia="Times New Roman" w:cs="Arial"/>
                <w:sz w:val="20"/>
                <w:szCs w:val="20"/>
                <w:lang w:eastAsia="en-AU"/>
              </w:rPr>
            </w:pPr>
            <w:r w:rsidRPr="00907C81">
              <w:rPr>
                <w:rFonts w:eastAsia="Times New Roman" w:cs="Arial"/>
                <w:sz w:val="20"/>
                <w:szCs w:val="20"/>
                <w:lang w:eastAsia="en-AU"/>
              </w:rPr>
              <w:t>68%</w:t>
            </w:r>
          </w:p>
        </w:tc>
        <w:tc>
          <w:tcPr>
            <w:tcW w:w="1660" w:type="dxa"/>
            <w:shd w:val="clear" w:color="auto" w:fill="DAEEF3" w:themeFill="accent5" w:themeFillTint="33"/>
            <w:vAlign w:val="center"/>
          </w:tcPr>
          <w:p w:rsidR="00246597" w:rsidRPr="00907C81" w:rsidRDefault="00246597" w:rsidP="00384BA7">
            <w:pPr>
              <w:ind w:left="34" w:hanging="34"/>
              <w:jc w:val="center"/>
              <w:rPr>
                <w:rFonts w:eastAsia="Times New Roman" w:cs="Arial"/>
                <w:sz w:val="20"/>
                <w:szCs w:val="20"/>
                <w:highlight w:val="yellow"/>
                <w:lang w:eastAsia="en-AU"/>
              </w:rPr>
            </w:pPr>
            <w:r w:rsidRPr="000F4306">
              <w:rPr>
                <w:rFonts w:eastAsia="Times New Roman" w:cs="Arial"/>
                <w:sz w:val="20"/>
                <w:szCs w:val="20"/>
                <w:lang w:eastAsia="en-AU"/>
              </w:rPr>
              <w:t>71%</w:t>
            </w:r>
          </w:p>
        </w:tc>
        <w:tc>
          <w:tcPr>
            <w:tcW w:w="1531" w:type="dxa"/>
            <w:shd w:val="clear" w:color="auto" w:fill="E5DFEC" w:themeFill="accent4" w:themeFillTint="33"/>
            <w:vAlign w:val="center"/>
          </w:tcPr>
          <w:p w:rsidR="00246597" w:rsidRPr="000F4306" w:rsidRDefault="00246597" w:rsidP="00B0465E">
            <w:pPr>
              <w:ind w:left="34" w:hanging="34"/>
              <w:jc w:val="center"/>
              <w:rPr>
                <w:rFonts w:eastAsia="Times New Roman" w:cs="Arial"/>
                <w:sz w:val="20"/>
                <w:szCs w:val="20"/>
                <w:lang w:eastAsia="en-AU"/>
              </w:rPr>
            </w:pPr>
            <w:r w:rsidRPr="000F4306">
              <w:rPr>
                <w:rFonts w:eastAsia="Times New Roman" w:cs="Arial"/>
                <w:sz w:val="20"/>
                <w:szCs w:val="20"/>
                <w:lang w:eastAsia="en-AU"/>
              </w:rPr>
              <w:t>70%</w:t>
            </w:r>
          </w:p>
        </w:tc>
        <w:tc>
          <w:tcPr>
            <w:tcW w:w="1770" w:type="dxa"/>
            <w:shd w:val="clear" w:color="auto" w:fill="FBD4B4" w:themeFill="accent6" w:themeFillTint="66"/>
          </w:tcPr>
          <w:p w:rsidR="00246597" w:rsidRPr="00907C81" w:rsidRDefault="00246597" w:rsidP="00B0465E">
            <w:pPr>
              <w:ind w:left="34" w:hanging="34"/>
              <w:jc w:val="center"/>
              <w:rPr>
                <w:rFonts w:eastAsia="Times New Roman" w:cs="Arial"/>
                <w:sz w:val="20"/>
                <w:szCs w:val="20"/>
                <w:highlight w:val="yellow"/>
                <w:lang w:eastAsia="en-AU"/>
              </w:rPr>
            </w:pPr>
            <w:r w:rsidRPr="000F4306">
              <w:rPr>
                <w:rFonts w:eastAsia="Times New Roman" w:cs="Arial"/>
                <w:sz w:val="20"/>
                <w:szCs w:val="20"/>
                <w:lang w:eastAsia="en-AU"/>
              </w:rPr>
              <w:t>41%</w:t>
            </w:r>
          </w:p>
        </w:tc>
      </w:tr>
      <w:tr w:rsidR="00246597" w:rsidRPr="008B7A61" w:rsidTr="008B7A61">
        <w:tc>
          <w:tcPr>
            <w:tcW w:w="4111" w:type="dxa"/>
          </w:tcPr>
          <w:p w:rsidR="00246597" w:rsidRPr="00907C81" w:rsidRDefault="00246597" w:rsidP="008B7A61">
            <w:pPr>
              <w:ind w:left="34" w:hanging="34"/>
              <w:rPr>
                <w:rFonts w:eastAsia="Times New Roman" w:cs="Arial"/>
                <w:sz w:val="20"/>
                <w:szCs w:val="20"/>
                <w:lang w:eastAsia="en-AU"/>
              </w:rPr>
            </w:pPr>
            <w:r w:rsidRPr="00907C81">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907C81" w:rsidRDefault="00246597" w:rsidP="008B7A61">
            <w:pPr>
              <w:ind w:left="34" w:hanging="34"/>
              <w:jc w:val="center"/>
              <w:rPr>
                <w:rFonts w:eastAsia="Times New Roman" w:cs="Arial"/>
                <w:sz w:val="20"/>
                <w:szCs w:val="20"/>
                <w:lang w:eastAsia="en-AU"/>
              </w:rPr>
            </w:pPr>
            <w:r w:rsidRPr="00907C81">
              <w:rPr>
                <w:rFonts w:eastAsia="Times New Roman" w:cs="Arial"/>
                <w:sz w:val="20"/>
                <w:szCs w:val="20"/>
                <w:lang w:eastAsia="en-AU"/>
              </w:rPr>
              <w:t>48% / 52%</w:t>
            </w:r>
          </w:p>
        </w:tc>
        <w:tc>
          <w:tcPr>
            <w:tcW w:w="1660" w:type="dxa"/>
            <w:shd w:val="clear" w:color="auto" w:fill="DAEEF3" w:themeFill="accent5" w:themeFillTint="33"/>
            <w:vAlign w:val="center"/>
          </w:tcPr>
          <w:p w:rsidR="00246597" w:rsidRPr="00907C81" w:rsidRDefault="00246597" w:rsidP="008B7A61">
            <w:pPr>
              <w:ind w:left="34" w:hanging="34"/>
              <w:jc w:val="center"/>
              <w:rPr>
                <w:rFonts w:eastAsia="Times New Roman" w:cs="Arial"/>
                <w:sz w:val="20"/>
                <w:szCs w:val="20"/>
                <w:highlight w:val="yellow"/>
                <w:lang w:eastAsia="en-AU"/>
              </w:rPr>
            </w:pPr>
            <w:r w:rsidRPr="000F4306">
              <w:rPr>
                <w:rFonts w:eastAsia="Times New Roman" w:cs="Arial"/>
                <w:sz w:val="20"/>
                <w:szCs w:val="20"/>
                <w:lang w:eastAsia="en-AU"/>
              </w:rPr>
              <w:t>47% / 53%</w:t>
            </w:r>
          </w:p>
        </w:tc>
        <w:tc>
          <w:tcPr>
            <w:tcW w:w="1531" w:type="dxa"/>
            <w:shd w:val="clear" w:color="auto" w:fill="E5DFEC" w:themeFill="accent4" w:themeFillTint="33"/>
            <w:vAlign w:val="center"/>
          </w:tcPr>
          <w:p w:rsidR="00246597" w:rsidRPr="000F4306" w:rsidRDefault="00246597" w:rsidP="000F4306">
            <w:pPr>
              <w:ind w:left="34" w:hanging="34"/>
              <w:jc w:val="center"/>
              <w:rPr>
                <w:rFonts w:eastAsia="Times New Roman" w:cs="Arial"/>
                <w:sz w:val="20"/>
                <w:szCs w:val="20"/>
                <w:lang w:eastAsia="en-AU"/>
              </w:rPr>
            </w:pPr>
            <w:r w:rsidRPr="000F4306">
              <w:rPr>
                <w:rFonts w:eastAsia="Times New Roman" w:cs="Arial"/>
                <w:sz w:val="20"/>
                <w:szCs w:val="20"/>
                <w:lang w:eastAsia="en-AU"/>
              </w:rPr>
              <w:t>36% / 64%</w:t>
            </w:r>
          </w:p>
        </w:tc>
        <w:tc>
          <w:tcPr>
            <w:tcW w:w="1770" w:type="dxa"/>
            <w:shd w:val="clear" w:color="auto" w:fill="FBD4B4" w:themeFill="accent6" w:themeFillTint="66"/>
          </w:tcPr>
          <w:p w:rsidR="00246597" w:rsidRPr="00907C81" w:rsidRDefault="00246597" w:rsidP="000F4306">
            <w:pPr>
              <w:ind w:left="34" w:hanging="34"/>
              <w:jc w:val="center"/>
              <w:rPr>
                <w:rFonts w:eastAsia="Times New Roman" w:cs="Arial"/>
                <w:sz w:val="20"/>
                <w:szCs w:val="20"/>
                <w:highlight w:val="yellow"/>
                <w:lang w:eastAsia="en-AU"/>
              </w:rPr>
            </w:pPr>
            <w:r w:rsidRPr="000F4306">
              <w:rPr>
                <w:rFonts w:eastAsia="Times New Roman" w:cs="Arial"/>
                <w:sz w:val="20"/>
                <w:szCs w:val="20"/>
                <w:lang w:eastAsia="en-AU"/>
              </w:rPr>
              <w:t>55% /45%</w:t>
            </w:r>
          </w:p>
        </w:tc>
      </w:tr>
      <w:tr w:rsidR="00246597" w:rsidRPr="008B7A61" w:rsidTr="008B7A61">
        <w:tc>
          <w:tcPr>
            <w:tcW w:w="4111" w:type="dxa"/>
          </w:tcPr>
          <w:p w:rsidR="00246597" w:rsidRPr="007B2992" w:rsidRDefault="00246597" w:rsidP="008B7A61">
            <w:pPr>
              <w:ind w:left="34" w:hanging="34"/>
              <w:rPr>
                <w:rFonts w:eastAsia="Times New Roman" w:cs="Arial"/>
                <w:sz w:val="20"/>
                <w:szCs w:val="20"/>
                <w:lang w:eastAsia="en-AU"/>
              </w:rPr>
            </w:pPr>
            <w:r w:rsidRPr="007B2992">
              <w:rPr>
                <w:rFonts w:eastAsia="Times New Roman" w:cs="Arial"/>
                <w:sz w:val="20"/>
                <w:szCs w:val="20"/>
                <w:lang w:eastAsia="en-AU"/>
              </w:rPr>
              <w:t>Congenital cases, confirmed (probable)</w:t>
            </w:r>
          </w:p>
        </w:tc>
        <w:tc>
          <w:tcPr>
            <w:tcW w:w="1560" w:type="dxa"/>
            <w:shd w:val="clear" w:color="auto" w:fill="C6D9F1" w:themeFill="text2" w:themeFillTint="33"/>
            <w:vAlign w:val="center"/>
          </w:tcPr>
          <w:p w:rsidR="00246597" w:rsidRPr="007B2992" w:rsidRDefault="00246597" w:rsidP="00350C8C">
            <w:pPr>
              <w:ind w:left="34" w:hanging="34"/>
              <w:jc w:val="center"/>
              <w:rPr>
                <w:rFonts w:eastAsia="Times New Roman" w:cs="Arial"/>
                <w:sz w:val="20"/>
                <w:szCs w:val="20"/>
                <w:lang w:eastAsia="en-AU"/>
              </w:rPr>
            </w:pPr>
            <w:r w:rsidRPr="007B2992">
              <w:rPr>
                <w:rFonts w:eastAsia="Times New Roman" w:cs="Arial"/>
                <w:sz w:val="20"/>
                <w:szCs w:val="20"/>
                <w:lang w:eastAsia="en-AU"/>
              </w:rPr>
              <w:t>3 (3)</w:t>
            </w:r>
          </w:p>
        </w:tc>
        <w:tc>
          <w:tcPr>
            <w:tcW w:w="1660" w:type="dxa"/>
            <w:shd w:val="clear" w:color="auto" w:fill="DAEEF3" w:themeFill="accent5" w:themeFillTint="33"/>
            <w:vAlign w:val="center"/>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2 (2)</w:t>
            </w:r>
          </w:p>
        </w:tc>
        <w:tc>
          <w:tcPr>
            <w:tcW w:w="1531" w:type="dxa"/>
            <w:shd w:val="clear" w:color="auto" w:fill="E5DFEC" w:themeFill="accent4" w:themeFillTint="33"/>
            <w:vAlign w:val="center"/>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0 (0)</w:t>
            </w:r>
          </w:p>
        </w:tc>
        <w:tc>
          <w:tcPr>
            <w:tcW w:w="1770" w:type="dxa"/>
            <w:shd w:val="clear" w:color="auto" w:fill="FBD4B4" w:themeFill="accent6" w:themeFillTint="66"/>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1 (0)</w:t>
            </w:r>
          </w:p>
        </w:tc>
      </w:tr>
      <w:tr w:rsidR="00246597" w:rsidRPr="008B7A61" w:rsidTr="008B7A61">
        <w:tc>
          <w:tcPr>
            <w:tcW w:w="4111" w:type="dxa"/>
            <w:tcBorders>
              <w:bottom w:val="single" w:sz="4" w:space="0" w:color="auto"/>
            </w:tcBorders>
            <w:shd w:val="clear" w:color="auto" w:fill="auto"/>
          </w:tcPr>
          <w:p w:rsidR="00246597" w:rsidRPr="007B2992" w:rsidRDefault="00246597" w:rsidP="008B7A61">
            <w:pPr>
              <w:ind w:left="34" w:hanging="34"/>
              <w:rPr>
                <w:rFonts w:eastAsia="Times New Roman" w:cs="Arial"/>
                <w:sz w:val="20"/>
                <w:szCs w:val="20"/>
                <w:lang w:eastAsia="en-AU"/>
              </w:rPr>
            </w:pPr>
            <w:r w:rsidRPr="007B2992">
              <w:rPr>
                <w:rFonts w:eastAsia="Times New Roman" w:cs="Arial"/>
                <w:sz w:val="20"/>
                <w:szCs w:val="20"/>
                <w:lang w:eastAsia="en-AU"/>
              </w:rPr>
              <w:t xml:space="preserve">   -number of deaths in congenital cases</w:t>
            </w:r>
          </w:p>
        </w:tc>
        <w:tc>
          <w:tcPr>
            <w:tcW w:w="1560" w:type="dxa"/>
            <w:tcBorders>
              <w:bottom w:val="single" w:sz="4" w:space="0" w:color="auto"/>
            </w:tcBorders>
            <w:shd w:val="clear" w:color="auto" w:fill="C6D9F1" w:themeFill="text2" w:themeFillTint="33"/>
            <w:vAlign w:val="center"/>
          </w:tcPr>
          <w:p w:rsidR="00246597" w:rsidRPr="007B2992" w:rsidRDefault="00246597" w:rsidP="008B7A61">
            <w:pPr>
              <w:ind w:left="34" w:hanging="34"/>
              <w:jc w:val="center"/>
              <w:rPr>
                <w:rFonts w:eastAsia="Times New Roman" w:cs="Arial"/>
                <w:sz w:val="20"/>
                <w:szCs w:val="20"/>
                <w:lang w:eastAsia="en-AU"/>
              </w:rPr>
            </w:pPr>
            <w:r w:rsidRPr="007B2992">
              <w:rPr>
                <w:rFonts w:eastAsia="Times New Roman" w:cs="Arial"/>
                <w:sz w:val="20"/>
                <w:szCs w:val="20"/>
                <w:lang w:eastAsia="en-AU"/>
              </w:rPr>
              <w:t>5</w:t>
            </w:r>
          </w:p>
        </w:tc>
        <w:tc>
          <w:tcPr>
            <w:tcW w:w="1660" w:type="dxa"/>
            <w:tcBorders>
              <w:bottom w:val="single" w:sz="4" w:space="0" w:color="auto"/>
            </w:tcBorders>
            <w:shd w:val="clear" w:color="auto" w:fill="DAEEF3" w:themeFill="accent5" w:themeFillTint="33"/>
            <w:vAlign w:val="center"/>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0</w:t>
            </w:r>
          </w:p>
        </w:tc>
        <w:tc>
          <w:tcPr>
            <w:tcW w:w="1531" w:type="dxa"/>
            <w:tcBorders>
              <w:bottom w:val="single" w:sz="4" w:space="0" w:color="auto"/>
            </w:tcBorders>
            <w:shd w:val="clear" w:color="auto" w:fill="E5DFEC" w:themeFill="accent4" w:themeFillTint="33"/>
            <w:vAlign w:val="center"/>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0</w:t>
            </w:r>
          </w:p>
        </w:tc>
        <w:tc>
          <w:tcPr>
            <w:tcW w:w="1770" w:type="dxa"/>
            <w:tcBorders>
              <w:bottom w:val="single" w:sz="4" w:space="0" w:color="auto"/>
            </w:tcBorders>
            <w:shd w:val="clear" w:color="auto" w:fill="FBD4B4" w:themeFill="accent6" w:themeFillTint="66"/>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0</w:t>
            </w:r>
          </w:p>
        </w:tc>
      </w:tr>
      <w:tr w:rsidR="00246597" w:rsidRPr="008B7A61" w:rsidTr="008B7A61">
        <w:tc>
          <w:tcPr>
            <w:tcW w:w="4111" w:type="dxa"/>
            <w:tcBorders>
              <w:right w:val="nil"/>
            </w:tcBorders>
            <w:shd w:val="clear" w:color="auto" w:fill="B8CCE4" w:themeFill="accent1" w:themeFillTint="66"/>
            <w:vAlign w:val="center"/>
          </w:tcPr>
          <w:p w:rsidR="00246597" w:rsidRPr="008B7A61" w:rsidRDefault="00246597" w:rsidP="00907C81">
            <w:pPr>
              <w:ind w:left="34" w:hanging="34"/>
              <w:rPr>
                <w:rFonts w:eastAsia="Times New Roman" w:cs="Arial"/>
                <w:sz w:val="20"/>
                <w:szCs w:val="20"/>
                <w:lang w:eastAsia="en-AU"/>
              </w:rPr>
            </w:pPr>
            <w:r>
              <w:rPr>
                <w:rFonts w:eastAsia="Times New Roman" w:cs="Arial"/>
                <w:sz w:val="20"/>
                <w:szCs w:val="20"/>
                <w:lang w:eastAsia="en-AU"/>
              </w:rPr>
              <w:t>Last reporting month, 1–31</w:t>
            </w:r>
            <w:r w:rsidRPr="008B7A61">
              <w:rPr>
                <w:rFonts w:eastAsia="Times New Roman" w:cs="Arial"/>
                <w:sz w:val="20"/>
                <w:szCs w:val="20"/>
                <w:lang w:eastAsia="en-AU"/>
              </w:rPr>
              <w:t xml:space="preserve"> </w:t>
            </w:r>
            <w:r>
              <w:rPr>
                <w:rFonts w:eastAsia="Times New Roman" w:cs="Arial"/>
                <w:sz w:val="20"/>
                <w:szCs w:val="20"/>
                <w:lang w:eastAsia="en-AU"/>
              </w:rPr>
              <w:t>July</w:t>
            </w:r>
            <w:r w:rsidRPr="008B7A61">
              <w:rPr>
                <w:rFonts w:eastAsia="Times New Roman" w:cs="Arial"/>
                <w:sz w:val="20"/>
                <w:szCs w:val="20"/>
                <w:lang w:eastAsia="en-AU"/>
              </w:rPr>
              <w:t xml:space="preserve"> 2017</w:t>
            </w:r>
          </w:p>
        </w:tc>
        <w:tc>
          <w:tcPr>
            <w:tcW w:w="1560" w:type="dxa"/>
            <w:tcBorders>
              <w:left w:val="nil"/>
              <w:right w:val="nil"/>
            </w:tcBorders>
            <w:shd w:val="clear" w:color="auto" w:fill="B8CCE4" w:themeFill="accent1" w:themeFillTint="66"/>
            <w:vAlign w:val="center"/>
          </w:tcPr>
          <w:p w:rsidR="00246597" w:rsidRPr="00350C8C" w:rsidRDefault="00246597" w:rsidP="008B7A61">
            <w:pPr>
              <w:ind w:left="34" w:hanging="34"/>
              <w:rPr>
                <w:rFonts w:eastAsia="Times New Roman" w:cs="Arial"/>
                <w:color w:val="FF0000"/>
                <w:sz w:val="20"/>
                <w:szCs w:val="20"/>
                <w:highlight w:val="yellow"/>
                <w:lang w:eastAsia="en-AU"/>
              </w:rPr>
            </w:pPr>
          </w:p>
        </w:tc>
        <w:tc>
          <w:tcPr>
            <w:tcW w:w="1660" w:type="dxa"/>
            <w:tcBorders>
              <w:left w:val="nil"/>
              <w:right w:val="nil"/>
            </w:tcBorders>
            <w:shd w:val="clear" w:color="auto" w:fill="B8CCE4" w:themeFill="accent1" w:themeFillTint="66"/>
            <w:vAlign w:val="center"/>
          </w:tcPr>
          <w:p w:rsidR="00246597" w:rsidRPr="00350C8C" w:rsidRDefault="00246597" w:rsidP="008B7A61">
            <w:pPr>
              <w:ind w:left="34" w:hanging="34"/>
              <w:rPr>
                <w:rFonts w:eastAsia="Times New Roman" w:cs="Arial"/>
                <w:color w:val="FF0000"/>
                <w:sz w:val="20"/>
                <w:szCs w:val="20"/>
                <w:highlight w:val="yellow"/>
                <w:lang w:eastAsia="en-AU"/>
              </w:rPr>
            </w:pPr>
          </w:p>
        </w:tc>
        <w:tc>
          <w:tcPr>
            <w:tcW w:w="1531" w:type="dxa"/>
            <w:tcBorders>
              <w:left w:val="nil"/>
            </w:tcBorders>
            <w:shd w:val="clear" w:color="auto" w:fill="B8CCE4" w:themeFill="accent1" w:themeFillTint="66"/>
            <w:vAlign w:val="center"/>
          </w:tcPr>
          <w:p w:rsidR="00246597" w:rsidRPr="00350C8C" w:rsidRDefault="00246597" w:rsidP="008B7A61">
            <w:pPr>
              <w:ind w:left="34" w:hanging="34"/>
              <w:rPr>
                <w:rFonts w:eastAsia="Times New Roman" w:cs="Arial"/>
                <w:color w:val="FF0000"/>
                <w:sz w:val="20"/>
                <w:szCs w:val="20"/>
                <w:highlight w:val="yellow"/>
                <w:lang w:eastAsia="en-AU"/>
              </w:rPr>
            </w:pPr>
          </w:p>
        </w:tc>
        <w:tc>
          <w:tcPr>
            <w:tcW w:w="1770" w:type="dxa"/>
            <w:tcBorders>
              <w:left w:val="nil"/>
            </w:tcBorders>
            <w:shd w:val="clear" w:color="auto" w:fill="B8CCE4" w:themeFill="accent1" w:themeFillTint="66"/>
          </w:tcPr>
          <w:p w:rsidR="00246597" w:rsidRPr="00350C8C" w:rsidRDefault="00246597" w:rsidP="008B7A61">
            <w:pPr>
              <w:ind w:left="34" w:hanging="34"/>
              <w:rPr>
                <w:rFonts w:eastAsia="Times New Roman" w:cs="Arial"/>
                <w:sz w:val="20"/>
                <w:szCs w:val="20"/>
                <w:highlight w:val="yellow"/>
                <w:lang w:eastAsia="en-AU"/>
              </w:rPr>
            </w:pPr>
          </w:p>
        </w:tc>
      </w:tr>
      <w:tr w:rsidR="00246597" w:rsidRPr="008B7A61" w:rsidTr="008B7A61">
        <w:tc>
          <w:tcPr>
            <w:tcW w:w="4111" w:type="dxa"/>
          </w:tcPr>
          <w:p w:rsidR="00246597" w:rsidRPr="007B2992" w:rsidRDefault="00246597" w:rsidP="008B7A61">
            <w:pPr>
              <w:ind w:left="34" w:hanging="34"/>
              <w:rPr>
                <w:rFonts w:eastAsia="Times New Roman" w:cs="Arial"/>
                <w:sz w:val="20"/>
                <w:szCs w:val="20"/>
                <w:lang w:eastAsia="en-AU"/>
              </w:rPr>
            </w:pPr>
            <w:r w:rsidRPr="007B2992">
              <w:rPr>
                <w:rFonts w:eastAsia="Times New Roman" w:cs="Arial"/>
                <w:sz w:val="20"/>
                <w:szCs w:val="20"/>
                <w:lang w:eastAsia="en-AU"/>
              </w:rPr>
              <w:t>Number of cases</w:t>
            </w:r>
            <w:r w:rsidRPr="007B2992">
              <w:rPr>
                <w:rFonts w:eastAsia="Times New Roman" w:cs="Arial"/>
                <w:b/>
                <w:sz w:val="20"/>
                <w:szCs w:val="20"/>
                <w:vertAlign w:val="superscript"/>
                <w:lang w:eastAsia="en-AU"/>
              </w:rPr>
              <w:t xml:space="preserve"> </w:t>
            </w:r>
            <w:r w:rsidRPr="007B2992">
              <w:rPr>
                <w:rFonts w:eastAsia="Times New Roman" w:cs="Arial"/>
                <w:sz w:val="20"/>
                <w:szCs w:val="20"/>
                <w:vertAlign w:val="superscript"/>
                <w:lang w:eastAsia="en-AU"/>
              </w:rPr>
              <w:t>α</w:t>
            </w:r>
          </w:p>
        </w:tc>
        <w:tc>
          <w:tcPr>
            <w:tcW w:w="1560" w:type="dxa"/>
            <w:tcBorders>
              <w:bottom w:val="single" w:sz="4" w:space="0" w:color="auto"/>
            </w:tcBorders>
            <w:shd w:val="clear" w:color="auto" w:fill="C6D9F1" w:themeFill="text2" w:themeFillTint="33"/>
            <w:vAlign w:val="center"/>
          </w:tcPr>
          <w:p w:rsidR="00246597" w:rsidRPr="007B2992" w:rsidRDefault="00246597" w:rsidP="008B7A61">
            <w:pPr>
              <w:ind w:left="34" w:hanging="34"/>
              <w:jc w:val="center"/>
              <w:rPr>
                <w:rFonts w:eastAsia="Times New Roman" w:cs="Arial"/>
                <w:b/>
                <w:sz w:val="20"/>
                <w:szCs w:val="20"/>
                <w:lang w:eastAsia="en-AU"/>
              </w:rPr>
            </w:pPr>
            <w:r w:rsidRPr="007B2992">
              <w:rPr>
                <w:rFonts w:eastAsia="Times New Roman" w:cs="Arial"/>
                <w:b/>
                <w:sz w:val="20"/>
                <w:szCs w:val="20"/>
                <w:lang w:eastAsia="en-AU"/>
              </w:rPr>
              <w:t>27</w:t>
            </w:r>
          </w:p>
        </w:tc>
        <w:tc>
          <w:tcPr>
            <w:tcW w:w="1660" w:type="dxa"/>
            <w:shd w:val="clear" w:color="auto" w:fill="DAEEF3" w:themeFill="accent5" w:themeFillTint="33"/>
            <w:vAlign w:val="center"/>
          </w:tcPr>
          <w:p w:rsidR="00246597" w:rsidRPr="00907C81" w:rsidRDefault="00246597" w:rsidP="008B7A61">
            <w:pPr>
              <w:ind w:left="34" w:hanging="34"/>
              <w:jc w:val="center"/>
              <w:rPr>
                <w:rFonts w:eastAsia="Times New Roman" w:cs="Arial"/>
                <w:b/>
                <w:sz w:val="20"/>
                <w:szCs w:val="20"/>
                <w:highlight w:val="yellow"/>
                <w:lang w:eastAsia="en-AU"/>
              </w:rPr>
            </w:pPr>
            <w:r w:rsidRPr="000F4306">
              <w:rPr>
                <w:rFonts w:eastAsia="Times New Roman" w:cs="Arial"/>
                <w:b/>
                <w:sz w:val="20"/>
                <w:szCs w:val="20"/>
                <w:lang w:eastAsia="en-AU"/>
              </w:rPr>
              <w:t>20</w:t>
            </w:r>
          </w:p>
        </w:tc>
        <w:tc>
          <w:tcPr>
            <w:tcW w:w="1531" w:type="dxa"/>
            <w:shd w:val="clear" w:color="auto" w:fill="E5DFEC" w:themeFill="accent4" w:themeFillTint="33"/>
            <w:vAlign w:val="center"/>
          </w:tcPr>
          <w:p w:rsidR="00246597" w:rsidRPr="000F4306" w:rsidRDefault="00246597" w:rsidP="008B7A61">
            <w:pPr>
              <w:ind w:left="34" w:hanging="34"/>
              <w:jc w:val="center"/>
              <w:rPr>
                <w:rFonts w:eastAsia="Times New Roman" w:cs="Arial"/>
                <w:b/>
                <w:sz w:val="20"/>
                <w:szCs w:val="20"/>
                <w:lang w:eastAsia="en-AU"/>
              </w:rPr>
            </w:pPr>
            <w:r w:rsidRPr="000F4306">
              <w:rPr>
                <w:rFonts w:eastAsia="Times New Roman" w:cs="Arial"/>
                <w:b/>
                <w:sz w:val="20"/>
                <w:szCs w:val="20"/>
                <w:lang w:eastAsia="en-AU"/>
              </w:rPr>
              <w:t>5</w:t>
            </w:r>
          </w:p>
        </w:tc>
        <w:tc>
          <w:tcPr>
            <w:tcW w:w="1770" w:type="dxa"/>
            <w:shd w:val="clear" w:color="auto" w:fill="FBD4B4" w:themeFill="accent6" w:themeFillTint="66"/>
          </w:tcPr>
          <w:p w:rsidR="00246597" w:rsidRPr="000F4306" w:rsidRDefault="00246597" w:rsidP="008B7A61">
            <w:pPr>
              <w:ind w:left="34" w:hanging="34"/>
              <w:jc w:val="center"/>
              <w:rPr>
                <w:rFonts w:eastAsia="Times New Roman" w:cs="Arial"/>
                <w:b/>
                <w:sz w:val="20"/>
                <w:szCs w:val="20"/>
                <w:lang w:eastAsia="en-AU"/>
              </w:rPr>
            </w:pPr>
            <w:r w:rsidRPr="000F4306">
              <w:rPr>
                <w:rFonts w:eastAsia="Times New Roman" w:cs="Arial"/>
                <w:b/>
                <w:sz w:val="20"/>
                <w:szCs w:val="20"/>
                <w:lang w:eastAsia="en-AU"/>
              </w:rPr>
              <w:t>1</w:t>
            </w:r>
          </w:p>
        </w:tc>
      </w:tr>
      <w:tr w:rsidR="00246597" w:rsidRPr="008B7A61" w:rsidTr="008B7A61">
        <w:tc>
          <w:tcPr>
            <w:tcW w:w="4111" w:type="dxa"/>
          </w:tcPr>
          <w:p w:rsidR="00246597" w:rsidRPr="007B2992" w:rsidRDefault="00246597" w:rsidP="008B7A61">
            <w:pPr>
              <w:ind w:left="34" w:hanging="34"/>
              <w:rPr>
                <w:rFonts w:eastAsia="Times New Roman" w:cs="Arial"/>
                <w:sz w:val="20"/>
                <w:szCs w:val="20"/>
                <w:lang w:eastAsia="en-AU"/>
              </w:rPr>
            </w:pPr>
            <w:r w:rsidRPr="007B2992">
              <w:rPr>
                <w:rFonts w:eastAsia="Times New Roman" w:cs="Arial"/>
                <w:sz w:val="20"/>
                <w:szCs w:val="20"/>
                <w:lang w:eastAsia="en-AU"/>
              </w:rPr>
              <w:t>Percent cases reported in 15-29 year age group</w:t>
            </w:r>
          </w:p>
        </w:tc>
        <w:tc>
          <w:tcPr>
            <w:tcW w:w="1560" w:type="dxa"/>
            <w:shd w:val="clear" w:color="auto" w:fill="C6D9F1" w:themeFill="text2" w:themeFillTint="33"/>
            <w:vAlign w:val="center"/>
          </w:tcPr>
          <w:p w:rsidR="00246597" w:rsidRPr="007B2992" w:rsidRDefault="00246597" w:rsidP="007B2992">
            <w:pPr>
              <w:jc w:val="center"/>
              <w:rPr>
                <w:rFonts w:eastAsia="Times New Roman" w:cs="Arial"/>
                <w:sz w:val="20"/>
                <w:szCs w:val="20"/>
                <w:lang w:eastAsia="en-AU"/>
              </w:rPr>
            </w:pPr>
            <w:r w:rsidRPr="007B2992">
              <w:rPr>
                <w:rFonts w:eastAsia="Times New Roman" w:cs="Arial"/>
                <w:sz w:val="20"/>
                <w:szCs w:val="20"/>
                <w:lang w:eastAsia="en-AU"/>
              </w:rPr>
              <w:t>52%</w:t>
            </w:r>
          </w:p>
        </w:tc>
        <w:tc>
          <w:tcPr>
            <w:tcW w:w="1660" w:type="dxa"/>
            <w:shd w:val="clear" w:color="auto" w:fill="DAEEF3" w:themeFill="accent5" w:themeFillTint="33"/>
            <w:vAlign w:val="center"/>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50%</w:t>
            </w:r>
          </w:p>
        </w:tc>
        <w:tc>
          <w:tcPr>
            <w:tcW w:w="1531" w:type="dxa"/>
            <w:shd w:val="clear" w:color="auto" w:fill="E5DFEC" w:themeFill="accent4" w:themeFillTint="33"/>
            <w:vAlign w:val="center"/>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100%</w:t>
            </w:r>
          </w:p>
        </w:tc>
        <w:tc>
          <w:tcPr>
            <w:tcW w:w="1770" w:type="dxa"/>
            <w:shd w:val="clear" w:color="auto" w:fill="FBD4B4" w:themeFill="accent6" w:themeFillTint="66"/>
          </w:tcPr>
          <w:p w:rsidR="00246597" w:rsidRPr="000F4306" w:rsidRDefault="00246597" w:rsidP="008B7A61">
            <w:pPr>
              <w:ind w:left="34" w:hanging="34"/>
              <w:jc w:val="center"/>
              <w:rPr>
                <w:rFonts w:eastAsia="Times New Roman" w:cs="Arial"/>
                <w:sz w:val="20"/>
                <w:szCs w:val="20"/>
                <w:lang w:eastAsia="en-AU"/>
              </w:rPr>
            </w:pPr>
            <w:r w:rsidRPr="000F4306">
              <w:rPr>
                <w:rFonts w:eastAsia="Times New Roman" w:cs="Arial"/>
                <w:sz w:val="20"/>
                <w:szCs w:val="20"/>
                <w:lang w:eastAsia="en-AU"/>
              </w:rPr>
              <w:t>0%</w:t>
            </w:r>
          </w:p>
        </w:tc>
      </w:tr>
      <w:tr w:rsidR="00246597" w:rsidRPr="008B7A61" w:rsidTr="008B7A61">
        <w:tc>
          <w:tcPr>
            <w:tcW w:w="4111" w:type="dxa"/>
          </w:tcPr>
          <w:p w:rsidR="00246597" w:rsidRPr="007B2992" w:rsidRDefault="00246597" w:rsidP="008B7A61">
            <w:pPr>
              <w:ind w:left="34" w:hanging="34"/>
              <w:rPr>
                <w:rFonts w:eastAsia="Times New Roman" w:cs="Arial"/>
                <w:sz w:val="20"/>
                <w:szCs w:val="20"/>
                <w:lang w:eastAsia="en-AU"/>
              </w:rPr>
            </w:pPr>
            <w:r w:rsidRPr="007B2992">
              <w:rPr>
                <w:rFonts w:eastAsia="Times New Roman" w:cs="Arial"/>
                <w:sz w:val="20"/>
                <w:szCs w:val="20"/>
                <w:lang w:eastAsia="en-AU"/>
              </w:rPr>
              <w:t>% Male / % Female</w:t>
            </w:r>
          </w:p>
        </w:tc>
        <w:tc>
          <w:tcPr>
            <w:tcW w:w="1560" w:type="dxa"/>
            <w:shd w:val="clear" w:color="auto" w:fill="C6D9F1" w:themeFill="text2" w:themeFillTint="33"/>
            <w:vAlign w:val="center"/>
          </w:tcPr>
          <w:p w:rsidR="00246597" w:rsidRPr="007B2992" w:rsidRDefault="00246597" w:rsidP="007B2992">
            <w:pPr>
              <w:ind w:left="34" w:hanging="34"/>
              <w:jc w:val="center"/>
              <w:rPr>
                <w:rFonts w:eastAsia="Times New Roman" w:cs="Arial"/>
                <w:sz w:val="20"/>
                <w:szCs w:val="20"/>
                <w:lang w:eastAsia="en-AU"/>
              </w:rPr>
            </w:pPr>
            <w:r w:rsidRPr="007B2992">
              <w:rPr>
                <w:rFonts w:eastAsia="Times New Roman" w:cs="Arial"/>
                <w:sz w:val="20"/>
                <w:szCs w:val="20"/>
                <w:lang w:eastAsia="en-AU"/>
              </w:rPr>
              <w:t>48% / 52%</w:t>
            </w:r>
          </w:p>
        </w:tc>
        <w:tc>
          <w:tcPr>
            <w:tcW w:w="1660" w:type="dxa"/>
            <w:shd w:val="clear" w:color="auto" w:fill="DAEEF3" w:themeFill="accent5" w:themeFillTint="33"/>
            <w:vAlign w:val="center"/>
          </w:tcPr>
          <w:p w:rsidR="00246597" w:rsidRPr="000F4306" w:rsidRDefault="00246597" w:rsidP="00B0465E">
            <w:pPr>
              <w:ind w:left="34" w:hanging="34"/>
              <w:jc w:val="center"/>
              <w:rPr>
                <w:rFonts w:eastAsia="Times New Roman" w:cs="Arial"/>
                <w:sz w:val="20"/>
                <w:szCs w:val="20"/>
                <w:lang w:eastAsia="en-AU"/>
              </w:rPr>
            </w:pPr>
            <w:r w:rsidRPr="000F4306">
              <w:rPr>
                <w:rFonts w:eastAsia="Times New Roman" w:cs="Arial"/>
                <w:sz w:val="20"/>
                <w:szCs w:val="20"/>
                <w:lang w:eastAsia="en-AU"/>
              </w:rPr>
              <w:t>50% / 50%</w:t>
            </w:r>
          </w:p>
        </w:tc>
        <w:tc>
          <w:tcPr>
            <w:tcW w:w="1531" w:type="dxa"/>
            <w:shd w:val="clear" w:color="auto" w:fill="E5DFEC" w:themeFill="accent4" w:themeFillTint="33"/>
            <w:vAlign w:val="center"/>
          </w:tcPr>
          <w:p w:rsidR="00246597" w:rsidRPr="000F4306" w:rsidRDefault="00246597" w:rsidP="000F4306">
            <w:pPr>
              <w:ind w:left="34" w:hanging="34"/>
              <w:jc w:val="center"/>
              <w:rPr>
                <w:rFonts w:eastAsia="Times New Roman" w:cs="Arial"/>
                <w:sz w:val="20"/>
                <w:szCs w:val="20"/>
                <w:lang w:eastAsia="en-AU"/>
              </w:rPr>
            </w:pPr>
            <w:r w:rsidRPr="000F4306">
              <w:rPr>
                <w:rFonts w:eastAsia="Times New Roman" w:cs="Arial"/>
                <w:sz w:val="20"/>
                <w:szCs w:val="20"/>
                <w:lang w:eastAsia="en-AU"/>
              </w:rPr>
              <w:t>60% / 40%</w:t>
            </w:r>
          </w:p>
        </w:tc>
        <w:tc>
          <w:tcPr>
            <w:tcW w:w="1770" w:type="dxa"/>
            <w:shd w:val="clear" w:color="auto" w:fill="FBD4B4" w:themeFill="accent6" w:themeFillTint="66"/>
          </w:tcPr>
          <w:p w:rsidR="00246597" w:rsidRPr="000F4306" w:rsidRDefault="00246597" w:rsidP="000F4306">
            <w:pPr>
              <w:ind w:left="34" w:hanging="34"/>
              <w:jc w:val="center"/>
              <w:rPr>
                <w:rFonts w:eastAsia="Times New Roman" w:cs="Arial"/>
                <w:sz w:val="20"/>
                <w:szCs w:val="20"/>
                <w:lang w:eastAsia="en-AU"/>
              </w:rPr>
            </w:pPr>
            <w:r w:rsidRPr="000F4306">
              <w:rPr>
                <w:rFonts w:eastAsia="Times New Roman" w:cs="Arial"/>
                <w:sz w:val="20"/>
                <w:szCs w:val="20"/>
                <w:lang w:eastAsia="en-AU"/>
              </w:rPr>
              <w:t>100% / 0%</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w:t>
      </w:r>
      <w:r w:rsidRPr="00C019C3">
        <w:rPr>
          <w:sz w:val="16"/>
          <w:szCs w:val="16"/>
        </w:rPr>
        <w:t>Eyre</w:t>
      </w:r>
      <w:r>
        <w:rPr>
          <w:sz w:val="16"/>
          <w:szCs w:val="16"/>
        </w:rPr>
        <w:t xml:space="preserve"> and Far North</w:t>
      </w:r>
      <w:r w:rsidRPr="00C019C3">
        <w:rPr>
          <w:sz w:val="16"/>
          <w:szCs w:val="16"/>
        </w:rPr>
        <w:t xml:space="preserv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 xml:space="preserve">East Arnhem and Katherine regions in the Northern Territory;  the Kimberley health region in Western Australia, and; </w:t>
      </w:r>
      <w:r>
        <w:rPr>
          <w:sz w:val="16"/>
          <w:szCs w:val="16"/>
        </w:rPr>
        <w:t>Western,</w:t>
      </w:r>
      <w:r w:rsidRPr="00C019C3">
        <w:rPr>
          <w:sz w:val="16"/>
          <w:szCs w:val="16"/>
        </w:rPr>
        <w:t xml:space="preserve"> Eyre</w:t>
      </w:r>
      <w:r>
        <w:rPr>
          <w:sz w:val="16"/>
          <w:szCs w:val="16"/>
        </w:rPr>
        <w:t xml:space="preserve"> and Far North</w:t>
      </w:r>
      <w:r w:rsidRPr="00C019C3">
        <w:rPr>
          <w:sz w:val="16"/>
          <w:szCs w:val="16"/>
        </w:rPr>
        <w:t xml:space="preserve"> regions in</w:t>
      </w:r>
      <w:r>
        <w:rPr>
          <w:sz w:val="16"/>
          <w:szCs w:val="16"/>
        </w:rPr>
        <w:br/>
      </w:r>
      <w:r w:rsidRPr="00C019C3">
        <w:rPr>
          <w:sz w:val="16"/>
          <w:szCs w:val="16"/>
        </w:rPr>
        <w:t xml:space="preserve"> South Australia.</w:t>
      </w:r>
    </w:p>
    <w:p w:rsidR="00246597" w:rsidRDefault="00246597" w:rsidP="00165ADE">
      <w:pPr>
        <w:pStyle w:val="ListParagraph"/>
        <w:spacing w:after="0" w:line="240" w:lineRule="auto"/>
        <w:ind w:left="-567"/>
        <w:contextualSpacing w:val="0"/>
        <w:rPr>
          <w:rFonts w:ascii="Arial" w:hAnsi="Arial" w:cs="Arial"/>
          <w:b/>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Default="00246597">
      <w:pPr>
        <w:rPr>
          <w:rFonts w:ascii="Arial" w:hAnsi="Arial" w:cs="Arial"/>
          <w:b/>
          <w:sz w:val="28"/>
          <w:szCs w:val="28"/>
        </w:rPr>
      </w:pPr>
      <w:r>
        <w:rPr>
          <w:rFonts w:ascii="Arial" w:hAnsi="Arial" w:cs="Arial"/>
          <w:b/>
          <w:sz w:val="28"/>
          <w:szCs w:val="28"/>
        </w:rPr>
        <w:br w:type="page"/>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6721AA">
      <w:pPr>
        <w:spacing w:after="0" w:line="240" w:lineRule="auto"/>
        <w:ind w:left="-567" w:right="-612"/>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 xml:space="preserve">21 September </w:t>
      </w:r>
      <w:r w:rsidRPr="006829B0">
        <w:rPr>
          <w:rFonts w:ascii="Arial" w:hAnsi="Arial" w:cs="Arial"/>
          <w:b/>
          <w:sz w:val="28"/>
          <w:szCs w:val="28"/>
        </w:rPr>
        <w:t xml:space="preserve">2017 </w:t>
      </w:r>
      <w:r>
        <w:rPr>
          <w:rFonts w:ascii="Arial" w:hAnsi="Arial" w:cs="Arial"/>
          <w:b/>
          <w:sz w:val="28"/>
          <w:szCs w:val="28"/>
        </w:rPr>
        <w:t>(16</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907C81">
      <w:pPr>
        <w:spacing w:after="0" w:line="240" w:lineRule="auto"/>
        <w:ind w:left="-567" w:right="-612"/>
        <w:jc w:val="center"/>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w:t>
      </w:r>
      <w:r w:rsidRPr="00C019C3">
        <w:rPr>
          <w:color w:val="000000" w:themeColor="text1"/>
        </w:rPr>
        <w:t>Eyre</w:t>
      </w:r>
      <w:r>
        <w:rPr>
          <w:color w:val="000000" w:themeColor="text1"/>
        </w:rPr>
        <w:t xml:space="preserve"> and Far North</w:t>
      </w:r>
      <w:r w:rsidRPr="00C019C3">
        <w:rPr>
          <w:color w:val="000000" w:themeColor="text1"/>
        </w:rPr>
        <w:t xml:space="preserve"> regions from 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21 September</w:t>
      </w:r>
      <w:r w:rsidRPr="006829B0">
        <w:rPr>
          <w:color w:val="000000" w:themeColor="text1"/>
        </w:rPr>
        <w:t xml:space="preserve"> 2017 (current status</w:t>
      </w:r>
      <w:r>
        <w:rPr>
          <w:color w:val="000000" w:themeColor="text1"/>
        </w:rPr>
        <w:t>)</w:t>
      </w:r>
      <w:r w:rsidRPr="006829B0">
        <w:rPr>
          <w:color w:val="000000" w:themeColor="text1"/>
        </w:rPr>
        <w:t>.</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1 August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Pr="003E5666" w:rsidRDefault="00246597" w:rsidP="003E5666">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1</w:t>
      </w:r>
      <w:r w:rsidRPr="006829B0">
        <w:rPr>
          <w:rFonts w:ascii="Arial" w:hAnsi="Arial" w:cs="Arial"/>
          <w:sz w:val="20"/>
          <w:szCs w:val="20"/>
        </w:rPr>
        <w:t xml:space="preserve"> </w:t>
      </w:r>
      <w:r>
        <w:rPr>
          <w:rFonts w:ascii="Arial" w:hAnsi="Arial" w:cs="Arial"/>
          <w:sz w:val="20"/>
          <w:szCs w:val="20"/>
        </w:rPr>
        <w:t xml:space="preserve">August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Pr="003E5666" w:rsidRDefault="00246597" w:rsidP="003E5666">
      <w:pPr>
        <w:spacing w:after="0" w:line="240" w:lineRule="auto"/>
        <w:ind w:left="-567" w:right="-306"/>
        <w:rPr>
          <w:rFonts w:ascii="Arial" w:hAnsi="Arial" w:cs="Arial"/>
          <w:sz w:val="12"/>
          <w:szCs w:val="20"/>
        </w:rPr>
      </w:pPr>
      <w:r>
        <w:rPr>
          <w:noProof/>
          <w:lang w:eastAsia="en-AU"/>
        </w:rPr>
        <w:drawing>
          <wp:inline distT="0" distB="0" distL="0" distR="0" wp14:anchorId="6526C98F" wp14:editId="1C0F5DB9">
            <wp:extent cx="6753225" cy="3008643"/>
            <wp:effectExtent l="0" t="0" r="0" b="1270"/>
            <wp:docPr id="4" name="Picture 4" descr="Epidemic curve showing outbreak cases of infectious syphilis notified in affected regions of Queensland, the Northern Territory, Western Australia and South Australia from commencement of the outbreak in each jurisdiction to 31 August 2017"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3225" cy="3008643"/>
                    </a:xfrm>
                    <a:prstGeom prst="rect">
                      <a:avLst/>
                    </a:prstGeom>
                    <a:noFill/>
                  </pic:spPr>
                </pic:pic>
              </a:graphicData>
            </a:graphic>
          </wp:inline>
        </w:drawing>
      </w: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1</w:t>
      </w:r>
      <w:r w:rsidRPr="00427A81">
        <w:rPr>
          <w:rFonts w:ascii="Arial" w:hAnsi="Arial" w:cs="Arial"/>
          <w:sz w:val="20"/>
          <w:szCs w:val="20"/>
        </w:rPr>
        <w:t xml:space="preserve"> </w:t>
      </w:r>
      <w:r>
        <w:rPr>
          <w:rFonts w:ascii="Arial" w:hAnsi="Arial" w:cs="Arial"/>
          <w:sz w:val="20"/>
          <w:szCs w:val="20"/>
        </w:rPr>
        <w:t>August</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288" w:type="dxa"/>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7"/>
        <w:gridCol w:w="1542"/>
        <w:gridCol w:w="1543"/>
        <w:gridCol w:w="1543"/>
        <w:gridCol w:w="1543"/>
      </w:tblGrid>
      <w:tr w:rsidR="00246597" w:rsidRPr="008B7A61" w:rsidTr="00647A04">
        <w:trPr>
          <w:tblHeader/>
        </w:trPr>
        <w:tc>
          <w:tcPr>
            <w:tcW w:w="4253" w:type="dxa"/>
            <w:tcBorders>
              <w:bottom w:val="single" w:sz="4" w:space="0" w:color="auto"/>
            </w:tcBorders>
          </w:tcPr>
          <w:p w:rsidR="00246597" w:rsidRPr="00647A04" w:rsidRDefault="00246597" w:rsidP="008B7A61">
            <w:pPr>
              <w:ind w:left="34" w:hanging="34"/>
              <w:rPr>
                <w:rFonts w:ascii="Calibri" w:eastAsia="Times New Roman" w:hAnsi="Calibri" w:cs="Arial"/>
                <w:sz w:val="20"/>
                <w:szCs w:val="20"/>
                <w:lang w:eastAsia="en-AU"/>
              </w:rPr>
            </w:pPr>
          </w:p>
        </w:tc>
        <w:tc>
          <w:tcPr>
            <w:tcW w:w="1588" w:type="dxa"/>
            <w:tcBorders>
              <w:bottom w:val="single" w:sz="4" w:space="0" w:color="auto"/>
            </w:tcBorders>
            <w:shd w:val="clear" w:color="auto" w:fill="C6D9F1" w:themeFill="text2"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shd w:val="clear" w:color="auto" w:fill="C6D9F1" w:themeFill="text2" w:themeFillTint="33"/>
                <w:lang w:eastAsia="en-AU"/>
              </w:rPr>
              <w:t xml:space="preserve">North Qld </w:t>
            </w:r>
            <w:r w:rsidRPr="00647A04">
              <w:rPr>
                <w:rFonts w:ascii="Calibri" w:eastAsia="Times New Roman" w:hAnsi="Calibri" w:cs="Arial"/>
                <w:b/>
                <w:sz w:val="20"/>
                <w:szCs w:val="20"/>
                <w:shd w:val="clear" w:color="auto" w:fill="C6D9F1" w:themeFill="text2" w:themeFillTint="33"/>
                <w:lang w:eastAsia="en-AU"/>
              </w:rPr>
              <w:br/>
            </w:r>
            <w:r w:rsidRPr="00647A04">
              <w:rPr>
                <w:rFonts w:ascii="Calibri" w:eastAsia="Times New Roman" w:hAnsi="Calibri" w:cs="Arial"/>
                <w:sz w:val="20"/>
                <w:szCs w:val="20"/>
                <w:shd w:val="clear" w:color="auto" w:fill="C6D9F1" w:themeFill="text2" w:themeFillTint="33"/>
                <w:lang w:eastAsia="en-AU"/>
              </w:rPr>
              <w:t>(four HHSs</w:t>
            </w:r>
            <w:r w:rsidRPr="00647A04">
              <w:rPr>
                <w:rFonts w:ascii="Calibri" w:eastAsia="Times New Roman" w:hAnsi="Calibri" w:cs="Arial"/>
                <w:sz w:val="20"/>
                <w:szCs w:val="20"/>
                <w:shd w:val="clear" w:color="auto" w:fill="C6D9F1" w:themeFill="text2" w:themeFillTint="33"/>
                <w:vertAlign w:val="superscript"/>
                <w:lang w:eastAsia="en-AU"/>
              </w:rPr>
              <w:t>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DAEEF3" w:themeFill="accent5"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 xml:space="preserve">NT </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(four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E5DFEC" w:themeFill="accent4"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WA</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 xml:space="preserve"> (Kimberley region)</w:t>
            </w:r>
          </w:p>
        </w:tc>
        <w:tc>
          <w:tcPr>
            <w:tcW w:w="1588" w:type="dxa"/>
            <w:tcBorders>
              <w:bottom w:val="single" w:sz="4" w:space="0" w:color="auto"/>
            </w:tcBorders>
            <w:shd w:val="clear" w:color="auto" w:fill="FBD4B4" w:themeFill="accent6" w:themeFillTint="66"/>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SA</w:t>
            </w:r>
          </w:p>
          <w:p w:rsidR="00246597" w:rsidRPr="00647A04" w:rsidRDefault="00246597" w:rsidP="00707254">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(three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r>
      <w:tr w:rsidR="00246597" w:rsidRPr="008B7A61" w:rsidTr="00647A04">
        <w:tc>
          <w:tcPr>
            <w:tcW w:w="4253" w:type="dxa"/>
            <w:tcBorders>
              <w:right w:val="nil"/>
            </w:tcBorders>
            <w:shd w:val="clear" w:color="auto" w:fill="B8CCE4" w:themeFill="accent1" w:themeFillTint="66"/>
          </w:tcPr>
          <w:p w:rsidR="00246597" w:rsidRPr="00647A04" w:rsidRDefault="00246597" w:rsidP="0042214C">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Situation to-date, 31 August 2017</w:t>
            </w:r>
          </w:p>
        </w:tc>
        <w:tc>
          <w:tcPr>
            <w:tcW w:w="1588" w:type="dxa"/>
            <w:tcBorders>
              <w:left w:val="nil"/>
              <w:righ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righ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lang w:eastAsia="en-AU"/>
              </w:rPr>
            </w:pP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Outbreak commencement month/year</w:t>
            </w:r>
          </w:p>
        </w:tc>
        <w:tc>
          <w:tcPr>
            <w:tcW w:w="1588" w:type="dxa"/>
            <w:shd w:val="clear" w:color="auto" w:fill="C6D9F1" w:themeFill="text2"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January 2011</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July 2013</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June 2014</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November 2016</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Total 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shd w:val="clear" w:color="auto" w:fill="C6D9F1" w:themeFill="text2" w:themeFillTint="33"/>
            <w:vAlign w:val="center"/>
          </w:tcPr>
          <w:p w:rsidR="00246597" w:rsidRPr="00647A04" w:rsidRDefault="00246597" w:rsidP="00350C8C">
            <w:pPr>
              <w:ind w:left="34" w:hanging="34"/>
              <w:jc w:val="center"/>
              <w:rPr>
                <w:rFonts w:ascii="Calibri" w:eastAsia="Times New Roman" w:hAnsi="Calibri" w:cs="Arial"/>
                <w:b/>
                <w:sz w:val="20"/>
                <w:szCs w:val="20"/>
                <w:vertAlign w:val="superscript"/>
                <w:lang w:eastAsia="en-AU"/>
              </w:rPr>
            </w:pPr>
            <w:r w:rsidRPr="00647A04">
              <w:rPr>
                <w:rFonts w:ascii="Calibri" w:eastAsia="Times New Roman" w:hAnsi="Calibri" w:cs="Arial"/>
                <w:b/>
                <w:sz w:val="20"/>
                <w:szCs w:val="20"/>
                <w:lang w:eastAsia="en-AU"/>
              </w:rPr>
              <w:t>941</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b/>
                <w:sz w:val="20"/>
                <w:szCs w:val="20"/>
                <w:highlight w:val="yellow"/>
                <w:lang w:eastAsia="en-AU"/>
              </w:rPr>
            </w:pPr>
            <w:r w:rsidRPr="00647A04">
              <w:rPr>
                <w:rFonts w:ascii="Calibri" w:eastAsia="Times New Roman" w:hAnsi="Calibri" w:cs="Arial"/>
                <w:b/>
                <w:sz w:val="20"/>
                <w:szCs w:val="20"/>
                <w:lang w:eastAsia="en-AU"/>
              </w:rPr>
              <w:t>588</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134</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b/>
                <w:sz w:val="20"/>
                <w:szCs w:val="20"/>
                <w:highlight w:val="yellow"/>
                <w:lang w:eastAsia="en-AU"/>
              </w:rPr>
            </w:pPr>
            <w:r w:rsidRPr="00647A04">
              <w:rPr>
                <w:rFonts w:ascii="Calibri" w:eastAsia="Times New Roman" w:hAnsi="Calibri" w:cs="Arial"/>
                <w:b/>
                <w:sz w:val="20"/>
                <w:szCs w:val="20"/>
                <w:lang w:eastAsia="en-AU"/>
              </w:rPr>
              <w:t>26</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246597" w:rsidRPr="00647A04" w:rsidRDefault="00246597" w:rsidP="00907C81">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68%</w:t>
            </w:r>
          </w:p>
        </w:tc>
        <w:tc>
          <w:tcPr>
            <w:tcW w:w="1588" w:type="dxa"/>
            <w:shd w:val="clear" w:color="auto" w:fill="DAEEF3" w:themeFill="accent5" w:themeFillTint="33"/>
            <w:vAlign w:val="center"/>
          </w:tcPr>
          <w:p w:rsidR="00246597" w:rsidRPr="00647A04" w:rsidRDefault="00246597" w:rsidP="00384BA7">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70%</w:t>
            </w:r>
          </w:p>
        </w:tc>
        <w:tc>
          <w:tcPr>
            <w:tcW w:w="1588" w:type="dxa"/>
            <w:shd w:val="clear" w:color="auto" w:fill="E5DFEC" w:themeFill="accent4" w:themeFillTint="33"/>
            <w:vAlign w:val="center"/>
          </w:tcPr>
          <w:p w:rsidR="00246597" w:rsidRPr="00647A04" w:rsidRDefault="00246597" w:rsidP="00B0465E">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69%</w:t>
            </w:r>
          </w:p>
        </w:tc>
        <w:tc>
          <w:tcPr>
            <w:tcW w:w="1588" w:type="dxa"/>
            <w:shd w:val="clear" w:color="auto" w:fill="FBD4B4" w:themeFill="accent6" w:themeFillTint="66"/>
          </w:tcPr>
          <w:p w:rsidR="00246597" w:rsidRPr="00647A04" w:rsidRDefault="00246597" w:rsidP="00B0465E">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50%</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246597" w:rsidRPr="00647A04" w:rsidRDefault="00246597" w:rsidP="008B7A61">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49% / 51%</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47% / 53%</w:t>
            </w:r>
          </w:p>
        </w:tc>
        <w:tc>
          <w:tcPr>
            <w:tcW w:w="1588" w:type="dxa"/>
            <w:shd w:val="clear" w:color="auto" w:fill="E5DFEC" w:themeFill="accent4" w:themeFillTint="33"/>
            <w:vAlign w:val="center"/>
          </w:tcPr>
          <w:p w:rsidR="00246597" w:rsidRPr="00647A04" w:rsidRDefault="00246597" w:rsidP="000F4306">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37% / 63%</w:t>
            </w:r>
          </w:p>
        </w:tc>
        <w:tc>
          <w:tcPr>
            <w:tcW w:w="1588" w:type="dxa"/>
            <w:shd w:val="clear" w:color="auto" w:fill="FBD4B4" w:themeFill="accent6" w:themeFillTint="66"/>
          </w:tcPr>
          <w:p w:rsidR="00246597" w:rsidRPr="00647A04" w:rsidRDefault="00246597" w:rsidP="000F4306">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54% /46%</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Congenital cases, confirmed (probable)</w:t>
            </w:r>
          </w:p>
        </w:tc>
        <w:tc>
          <w:tcPr>
            <w:tcW w:w="1588" w:type="dxa"/>
            <w:shd w:val="clear" w:color="auto" w:fill="C6D9F1" w:themeFill="text2" w:themeFillTint="33"/>
            <w:vAlign w:val="center"/>
          </w:tcPr>
          <w:p w:rsidR="00246597" w:rsidRPr="00647A04" w:rsidRDefault="00246597" w:rsidP="00350C8C">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4 (3)</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2 (2)</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0 (0)</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1 (0)</w:t>
            </w:r>
          </w:p>
        </w:tc>
      </w:tr>
      <w:tr w:rsidR="00246597" w:rsidRPr="008B7A61" w:rsidTr="00647A04">
        <w:tc>
          <w:tcPr>
            <w:tcW w:w="4253" w:type="dxa"/>
            <w:tcBorders>
              <w:bottom w:val="single" w:sz="4" w:space="0" w:color="auto"/>
            </w:tcBorders>
            <w:shd w:val="clear" w:color="auto" w:fill="auto"/>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xml:space="preserve">   -number of deaths in congenital cases</w:t>
            </w:r>
          </w:p>
        </w:tc>
        <w:tc>
          <w:tcPr>
            <w:tcW w:w="1588" w:type="dxa"/>
            <w:tcBorders>
              <w:bottom w:val="single" w:sz="4" w:space="0" w:color="auto"/>
            </w:tcBorders>
            <w:shd w:val="clear" w:color="auto" w:fill="C6D9F1" w:themeFill="text2" w:themeFillTint="33"/>
            <w:vAlign w:val="center"/>
          </w:tcPr>
          <w:p w:rsidR="00246597" w:rsidRPr="00647A04" w:rsidRDefault="00246597" w:rsidP="008B7A61">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5</w:t>
            </w:r>
          </w:p>
        </w:tc>
        <w:tc>
          <w:tcPr>
            <w:tcW w:w="1588" w:type="dxa"/>
            <w:tcBorders>
              <w:bottom w:val="single" w:sz="4" w:space="0" w:color="auto"/>
            </w:tcBorders>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0</w:t>
            </w:r>
          </w:p>
        </w:tc>
        <w:tc>
          <w:tcPr>
            <w:tcW w:w="1588" w:type="dxa"/>
            <w:tcBorders>
              <w:bottom w:val="single" w:sz="4" w:space="0" w:color="auto"/>
            </w:tcBorders>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0</w:t>
            </w:r>
          </w:p>
        </w:tc>
        <w:tc>
          <w:tcPr>
            <w:tcW w:w="1588" w:type="dxa"/>
            <w:tcBorders>
              <w:bottom w:val="single" w:sz="4" w:space="0" w:color="auto"/>
            </w:tcBorders>
            <w:shd w:val="clear" w:color="auto" w:fill="FBD4B4" w:themeFill="accent6" w:themeFillTint="66"/>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0</w:t>
            </w:r>
          </w:p>
        </w:tc>
      </w:tr>
      <w:tr w:rsidR="00246597" w:rsidRPr="008B7A61" w:rsidTr="00647A04">
        <w:tc>
          <w:tcPr>
            <w:tcW w:w="4253" w:type="dxa"/>
            <w:tcBorders>
              <w:right w:val="nil"/>
            </w:tcBorders>
            <w:shd w:val="clear" w:color="auto" w:fill="B8CCE4" w:themeFill="accent1" w:themeFillTint="66"/>
            <w:vAlign w:val="center"/>
          </w:tcPr>
          <w:p w:rsidR="00246597" w:rsidRPr="00647A04" w:rsidRDefault="00246597" w:rsidP="00907C8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Last reporting month, 1–31 August 2017</w:t>
            </w:r>
          </w:p>
        </w:tc>
        <w:tc>
          <w:tcPr>
            <w:tcW w:w="1588" w:type="dxa"/>
            <w:tcBorders>
              <w:left w:val="nil"/>
              <w:righ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righ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tcBorders>
              <w:bottom w:val="single" w:sz="4" w:space="0" w:color="auto"/>
            </w:tcBorders>
            <w:shd w:val="clear" w:color="auto" w:fill="C6D9F1" w:themeFill="text2" w:themeFillTint="33"/>
            <w:vAlign w:val="center"/>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23</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26</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5</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4</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246597" w:rsidRPr="00647A04" w:rsidRDefault="00246597" w:rsidP="007B2992">
            <w:pPr>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56%</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50%</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40%</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25%</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246597" w:rsidRPr="00647A04" w:rsidRDefault="00246597" w:rsidP="007B2992">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44% / 56%</w:t>
            </w:r>
          </w:p>
        </w:tc>
        <w:tc>
          <w:tcPr>
            <w:tcW w:w="1588" w:type="dxa"/>
            <w:shd w:val="clear" w:color="auto" w:fill="DAEEF3" w:themeFill="accent5" w:themeFillTint="33"/>
            <w:vAlign w:val="center"/>
          </w:tcPr>
          <w:p w:rsidR="00246597" w:rsidRPr="00647A04" w:rsidRDefault="00246597" w:rsidP="00B0465E">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62% / 38%</w:t>
            </w:r>
          </w:p>
        </w:tc>
        <w:tc>
          <w:tcPr>
            <w:tcW w:w="1588" w:type="dxa"/>
            <w:shd w:val="clear" w:color="auto" w:fill="E5DFEC" w:themeFill="accent4" w:themeFillTint="33"/>
            <w:vAlign w:val="center"/>
          </w:tcPr>
          <w:p w:rsidR="00246597" w:rsidRPr="00647A04" w:rsidRDefault="00246597" w:rsidP="000F4306">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40% / 60%</w:t>
            </w:r>
          </w:p>
        </w:tc>
        <w:tc>
          <w:tcPr>
            <w:tcW w:w="1588" w:type="dxa"/>
            <w:shd w:val="clear" w:color="auto" w:fill="FBD4B4" w:themeFill="accent6" w:themeFillTint="66"/>
          </w:tcPr>
          <w:p w:rsidR="00246597" w:rsidRPr="00647A04" w:rsidRDefault="00246597" w:rsidP="000F4306">
            <w:pPr>
              <w:ind w:left="34" w:hanging="34"/>
              <w:jc w:val="center"/>
              <w:rPr>
                <w:rFonts w:ascii="Calibri" w:eastAsia="Times New Roman" w:hAnsi="Calibri" w:cs="Arial"/>
                <w:sz w:val="20"/>
                <w:szCs w:val="20"/>
                <w:highlight w:val="yellow"/>
                <w:lang w:eastAsia="en-AU"/>
              </w:rPr>
            </w:pPr>
            <w:r w:rsidRPr="00647A04">
              <w:rPr>
                <w:rFonts w:ascii="Calibri" w:eastAsia="Times New Roman" w:hAnsi="Calibri" w:cs="Arial"/>
                <w:sz w:val="20"/>
                <w:szCs w:val="20"/>
                <w:lang w:eastAsia="en-AU"/>
              </w:rPr>
              <w:t>50% / 50%</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w:t>
      </w:r>
      <w:r w:rsidRPr="00C019C3">
        <w:rPr>
          <w:sz w:val="16"/>
          <w:szCs w:val="16"/>
        </w:rPr>
        <w:t>Eyre</w:t>
      </w:r>
      <w:r>
        <w:rPr>
          <w:sz w:val="16"/>
          <w:szCs w:val="16"/>
        </w:rPr>
        <w:t xml:space="preserve"> and Far North</w:t>
      </w:r>
      <w:r w:rsidRPr="00C019C3">
        <w:rPr>
          <w:sz w:val="16"/>
          <w:szCs w:val="16"/>
        </w:rPr>
        <w:t xml:space="preserv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 xml:space="preserve">East Arnhem and Katherine regions in the Northern Territory;  the Kimberley health region in Western Australia, and; </w:t>
      </w:r>
      <w:r>
        <w:rPr>
          <w:sz w:val="16"/>
          <w:szCs w:val="16"/>
        </w:rPr>
        <w:t>Western,</w:t>
      </w:r>
      <w:r w:rsidRPr="00C019C3">
        <w:rPr>
          <w:sz w:val="16"/>
          <w:szCs w:val="16"/>
        </w:rPr>
        <w:t xml:space="preserve"> Eyre</w:t>
      </w:r>
      <w:r>
        <w:rPr>
          <w:sz w:val="16"/>
          <w:szCs w:val="16"/>
        </w:rPr>
        <w:t xml:space="preserve"> and Far North</w:t>
      </w:r>
      <w:r w:rsidRPr="00C019C3">
        <w:rPr>
          <w:sz w:val="16"/>
          <w:szCs w:val="16"/>
        </w:rPr>
        <w:t xml:space="preserve"> regions in</w:t>
      </w:r>
      <w:r>
        <w:rPr>
          <w:sz w:val="16"/>
          <w:szCs w:val="16"/>
        </w:rPr>
        <w:br/>
      </w:r>
      <w:r w:rsidRPr="00C019C3">
        <w:rPr>
          <w:sz w:val="16"/>
          <w:szCs w:val="16"/>
        </w:rPr>
        <w:t xml:space="preserve"> South Australia.</w:t>
      </w:r>
    </w:p>
    <w:p w:rsidR="00246597" w:rsidRDefault="00246597" w:rsidP="00165ADE">
      <w:pPr>
        <w:pStyle w:val="ListParagraph"/>
        <w:spacing w:after="0" w:line="240" w:lineRule="auto"/>
        <w:ind w:left="-567"/>
        <w:contextualSpacing w:val="0"/>
        <w:rPr>
          <w:rFonts w:ascii="Arial" w:hAnsi="Arial" w:cs="Arial"/>
          <w:b/>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 xml:space="preserve">19 October </w:t>
      </w:r>
      <w:r w:rsidRPr="006829B0">
        <w:rPr>
          <w:rFonts w:ascii="Arial" w:hAnsi="Arial" w:cs="Arial"/>
          <w:b/>
          <w:sz w:val="28"/>
          <w:szCs w:val="28"/>
        </w:rPr>
        <w:t xml:space="preserve">2017 </w:t>
      </w:r>
      <w:r>
        <w:rPr>
          <w:rFonts w:ascii="Arial" w:hAnsi="Arial" w:cs="Arial"/>
          <w:b/>
          <w:sz w:val="28"/>
          <w:szCs w:val="28"/>
        </w:rPr>
        <w:t>(17</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907C81">
      <w:pPr>
        <w:spacing w:after="0" w:line="240" w:lineRule="auto"/>
        <w:ind w:left="-567" w:right="-612"/>
        <w:jc w:val="center"/>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w:t>
      </w:r>
      <w:r w:rsidRPr="00C019C3">
        <w:rPr>
          <w:color w:val="000000" w:themeColor="text1"/>
        </w:rPr>
        <w:t>Eyre</w:t>
      </w:r>
      <w:r>
        <w:rPr>
          <w:color w:val="000000" w:themeColor="text1"/>
        </w:rPr>
        <w:t xml:space="preserve"> and Far North</w:t>
      </w:r>
      <w:r w:rsidRPr="00C019C3">
        <w:rPr>
          <w:color w:val="000000" w:themeColor="text1"/>
        </w:rPr>
        <w:t xml:space="preserve"> regions from 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 xml:space="preserve">19 October </w:t>
      </w:r>
      <w:r w:rsidRPr="006829B0">
        <w:rPr>
          <w:color w:val="000000" w:themeColor="text1"/>
        </w:rPr>
        <w:t>2017 (current status</w:t>
      </w:r>
      <w:r>
        <w:rPr>
          <w:color w:val="000000" w:themeColor="text1"/>
        </w:rPr>
        <w:t>)</w:t>
      </w:r>
      <w:r w:rsidRPr="006829B0">
        <w:rPr>
          <w:color w:val="000000" w:themeColor="text1"/>
        </w:rPr>
        <w:t>.</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0 September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3E5666">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 xml:space="preserve">0 September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Default="00246597" w:rsidP="003E5666">
      <w:pPr>
        <w:spacing w:after="0" w:line="240" w:lineRule="auto"/>
        <w:ind w:left="-567" w:right="-306"/>
        <w:rPr>
          <w:rFonts w:ascii="Arial" w:hAnsi="Arial" w:cs="Arial"/>
          <w:sz w:val="20"/>
          <w:szCs w:val="20"/>
        </w:rPr>
      </w:pPr>
      <w:r>
        <w:rPr>
          <w:rFonts w:ascii="Arial" w:hAnsi="Arial" w:cs="Arial"/>
          <w:noProof/>
          <w:sz w:val="20"/>
          <w:szCs w:val="20"/>
          <w:lang w:eastAsia="en-AU"/>
        </w:rPr>
        <w:drawing>
          <wp:inline distT="0" distB="0" distL="0" distR="0" wp14:anchorId="34633FEF">
            <wp:extent cx="6696075" cy="2886075"/>
            <wp:effectExtent l="0" t="0" r="9525" b="9525"/>
            <wp:docPr id="3" name="Picture 3" descr="Epidemic curve showing outbreak cases of infectious syphilisα notified in affected regions of Queensland,&#10;the Northern Territory, Western Australia and South Australia from commencement of the outbreak in each jurisdiction to 30 September 2017.&#10;" title="Epidem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801" cy="2890267"/>
                    </a:xfrm>
                    <a:prstGeom prst="rect">
                      <a:avLst/>
                    </a:prstGeom>
                    <a:noFill/>
                  </pic:spPr>
                </pic:pic>
              </a:graphicData>
            </a:graphic>
          </wp:inline>
        </w:drawing>
      </w:r>
    </w:p>
    <w:p w:rsidR="00246597" w:rsidRPr="003E5666" w:rsidRDefault="00246597" w:rsidP="003E5666">
      <w:pPr>
        <w:spacing w:after="0" w:line="240" w:lineRule="auto"/>
        <w:ind w:left="-567" w:right="-306"/>
        <w:rPr>
          <w:rFonts w:ascii="Arial" w:hAnsi="Arial" w:cs="Arial"/>
          <w:sz w:val="12"/>
          <w:szCs w:val="20"/>
        </w:rPr>
      </w:pP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0 September</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288" w:type="dxa"/>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7"/>
        <w:gridCol w:w="1542"/>
        <w:gridCol w:w="1543"/>
        <w:gridCol w:w="1543"/>
        <w:gridCol w:w="1543"/>
      </w:tblGrid>
      <w:tr w:rsidR="00246597" w:rsidRPr="008B7A61" w:rsidTr="00647A04">
        <w:trPr>
          <w:tblHeader/>
        </w:trPr>
        <w:tc>
          <w:tcPr>
            <w:tcW w:w="4253" w:type="dxa"/>
            <w:tcBorders>
              <w:bottom w:val="single" w:sz="4" w:space="0" w:color="auto"/>
            </w:tcBorders>
          </w:tcPr>
          <w:p w:rsidR="00246597" w:rsidRPr="00647A04" w:rsidRDefault="00246597" w:rsidP="008B7A61">
            <w:pPr>
              <w:ind w:left="34" w:hanging="34"/>
              <w:rPr>
                <w:rFonts w:ascii="Calibri" w:eastAsia="Times New Roman" w:hAnsi="Calibri" w:cs="Arial"/>
                <w:sz w:val="20"/>
                <w:szCs w:val="20"/>
                <w:lang w:eastAsia="en-AU"/>
              </w:rPr>
            </w:pPr>
          </w:p>
        </w:tc>
        <w:tc>
          <w:tcPr>
            <w:tcW w:w="1588" w:type="dxa"/>
            <w:tcBorders>
              <w:bottom w:val="single" w:sz="4" w:space="0" w:color="auto"/>
            </w:tcBorders>
            <w:shd w:val="clear" w:color="auto" w:fill="C6D9F1" w:themeFill="text2"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shd w:val="clear" w:color="auto" w:fill="C6D9F1" w:themeFill="text2" w:themeFillTint="33"/>
                <w:lang w:eastAsia="en-AU"/>
              </w:rPr>
              <w:t xml:space="preserve">North Qld </w:t>
            </w:r>
            <w:r w:rsidRPr="00647A04">
              <w:rPr>
                <w:rFonts w:ascii="Calibri" w:eastAsia="Times New Roman" w:hAnsi="Calibri" w:cs="Arial"/>
                <w:b/>
                <w:sz w:val="20"/>
                <w:szCs w:val="20"/>
                <w:shd w:val="clear" w:color="auto" w:fill="C6D9F1" w:themeFill="text2" w:themeFillTint="33"/>
                <w:lang w:eastAsia="en-AU"/>
              </w:rPr>
              <w:br/>
            </w:r>
            <w:r w:rsidRPr="00647A04">
              <w:rPr>
                <w:rFonts w:ascii="Calibri" w:eastAsia="Times New Roman" w:hAnsi="Calibri" w:cs="Arial"/>
                <w:sz w:val="20"/>
                <w:szCs w:val="20"/>
                <w:shd w:val="clear" w:color="auto" w:fill="C6D9F1" w:themeFill="text2" w:themeFillTint="33"/>
                <w:lang w:eastAsia="en-AU"/>
              </w:rPr>
              <w:t>(four HHSs</w:t>
            </w:r>
            <w:r w:rsidRPr="00647A04">
              <w:rPr>
                <w:rFonts w:ascii="Calibri" w:eastAsia="Times New Roman" w:hAnsi="Calibri" w:cs="Arial"/>
                <w:sz w:val="20"/>
                <w:szCs w:val="20"/>
                <w:shd w:val="clear" w:color="auto" w:fill="C6D9F1" w:themeFill="text2" w:themeFillTint="33"/>
                <w:vertAlign w:val="superscript"/>
                <w:lang w:eastAsia="en-AU"/>
              </w:rPr>
              <w:t>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DAEEF3" w:themeFill="accent5"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 xml:space="preserve">NT </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(four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E5DFEC" w:themeFill="accent4"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WA</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 xml:space="preserve"> (Kimberley region)</w:t>
            </w:r>
          </w:p>
        </w:tc>
        <w:tc>
          <w:tcPr>
            <w:tcW w:w="1588" w:type="dxa"/>
            <w:tcBorders>
              <w:bottom w:val="single" w:sz="4" w:space="0" w:color="auto"/>
            </w:tcBorders>
            <w:shd w:val="clear" w:color="auto" w:fill="FBD4B4" w:themeFill="accent6" w:themeFillTint="66"/>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SA</w:t>
            </w:r>
          </w:p>
          <w:p w:rsidR="00246597" w:rsidRPr="00647A04" w:rsidRDefault="00246597" w:rsidP="00707254">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(three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r>
      <w:tr w:rsidR="00246597" w:rsidRPr="008B7A61" w:rsidTr="00647A04">
        <w:tc>
          <w:tcPr>
            <w:tcW w:w="4253" w:type="dxa"/>
            <w:tcBorders>
              <w:right w:val="nil"/>
            </w:tcBorders>
            <w:shd w:val="clear" w:color="auto" w:fill="B8CCE4" w:themeFill="accent1" w:themeFillTint="66"/>
          </w:tcPr>
          <w:p w:rsidR="00246597" w:rsidRPr="00647A04" w:rsidRDefault="00246597" w:rsidP="00511F84">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Situation to-date, 3</w:t>
            </w:r>
            <w:r>
              <w:rPr>
                <w:rFonts w:ascii="Calibri" w:eastAsia="Times New Roman" w:hAnsi="Calibri" w:cs="Arial"/>
                <w:sz w:val="20"/>
                <w:szCs w:val="20"/>
                <w:lang w:eastAsia="en-AU"/>
              </w:rPr>
              <w:t>0 September</w:t>
            </w:r>
            <w:r w:rsidRPr="00647A04">
              <w:rPr>
                <w:rFonts w:ascii="Calibri" w:eastAsia="Times New Roman" w:hAnsi="Calibri" w:cs="Arial"/>
                <w:sz w:val="20"/>
                <w:szCs w:val="20"/>
                <w:lang w:eastAsia="en-AU"/>
              </w:rPr>
              <w:t xml:space="preserve"> 2017</w:t>
            </w:r>
          </w:p>
        </w:tc>
        <w:tc>
          <w:tcPr>
            <w:tcW w:w="1588" w:type="dxa"/>
            <w:tcBorders>
              <w:left w:val="nil"/>
              <w:righ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righ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lang w:eastAsia="en-AU"/>
              </w:rPr>
            </w:pP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Outbreak commencement month/year</w:t>
            </w:r>
          </w:p>
        </w:tc>
        <w:tc>
          <w:tcPr>
            <w:tcW w:w="1588" w:type="dxa"/>
            <w:shd w:val="clear" w:color="auto" w:fill="C6D9F1" w:themeFill="text2"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January 2011</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July 2013</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June 2014</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November 2016</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Total 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shd w:val="clear" w:color="auto" w:fill="C6D9F1" w:themeFill="text2" w:themeFillTint="33"/>
            <w:vAlign w:val="center"/>
          </w:tcPr>
          <w:p w:rsidR="00246597" w:rsidRPr="001022FA" w:rsidRDefault="00246597" w:rsidP="00350C8C">
            <w:pPr>
              <w:ind w:left="34" w:hanging="34"/>
              <w:jc w:val="center"/>
              <w:rPr>
                <w:rFonts w:ascii="Calibri" w:eastAsia="Times New Roman" w:hAnsi="Calibri" w:cs="Arial"/>
                <w:b/>
                <w:sz w:val="20"/>
                <w:szCs w:val="20"/>
                <w:highlight w:val="green"/>
                <w:vertAlign w:val="superscript"/>
                <w:lang w:eastAsia="en-AU"/>
              </w:rPr>
            </w:pPr>
            <w:r w:rsidRPr="001022FA">
              <w:rPr>
                <w:rFonts w:ascii="Calibri" w:eastAsia="Times New Roman" w:hAnsi="Calibri" w:cs="Arial"/>
                <w:b/>
                <w:sz w:val="20"/>
                <w:szCs w:val="20"/>
                <w:lang w:eastAsia="en-AU"/>
              </w:rPr>
              <w:t>966</w:t>
            </w:r>
          </w:p>
        </w:tc>
        <w:tc>
          <w:tcPr>
            <w:tcW w:w="1588" w:type="dxa"/>
            <w:shd w:val="clear" w:color="auto" w:fill="DAEEF3" w:themeFill="accent5" w:themeFillTint="33"/>
            <w:vAlign w:val="center"/>
          </w:tcPr>
          <w:p w:rsidR="00246597" w:rsidRPr="001022FA" w:rsidRDefault="00246597" w:rsidP="008B7A61">
            <w:pPr>
              <w:ind w:left="34" w:hanging="34"/>
              <w:jc w:val="center"/>
              <w:rPr>
                <w:rFonts w:ascii="Calibri" w:eastAsia="Times New Roman" w:hAnsi="Calibri" w:cs="Arial"/>
                <w:b/>
                <w:sz w:val="20"/>
                <w:szCs w:val="20"/>
                <w:highlight w:val="green"/>
                <w:lang w:eastAsia="en-AU"/>
              </w:rPr>
            </w:pPr>
            <w:r w:rsidRPr="001022FA">
              <w:rPr>
                <w:rFonts w:ascii="Calibri" w:eastAsia="Times New Roman" w:hAnsi="Calibri" w:cs="Arial"/>
                <w:b/>
                <w:sz w:val="20"/>
                <w:szCs w:val="20"/>
                <w:lang w:eastAsia="en-AU"/>
              </w:rPr>
              <w:t>614</w:t>
            </w:r>
          </w:p>
        </w:tc>
        <w:tc>
          <w:tcPr>
            <w:tcW w:w="1588" w:type="dxa"/>
            <w:shd w:val="clear" w:color="auto" w:fill="E5DFEC" w:themeFill="accent4" w:themeFillTint="33"/>
            <w:vAlign w:val="center"/>
          </w:tcPr>
          <w:p w:rsidR="00246597" w:rsidRPr="001022FA" w:rsidRDefault="00246597" w:rsidP="008B7A61">
            <w:pPr>
              <w:ind w:left="34" w:hanging="34"/>
              <w:jc w:val="center"/>
              <w:rPr>
                <w:rFonts w:ascii="Calibri" w:eastAsia="Times New Roman" w:hAnsi="Calibri" w:cs="Arial"/>
                <w:b/>
                <w:sz w:val="20"/>
                <w:szCs w:val="20"/>
                <w:highlight w:val="green"/>
                <w:lang w:eastAsia="en-AU"/>
              </w:rPr>
            </w:pPr>
            <w:r w:rsidRPr="00DD1889">
              <w:rPr>
                <w:rFonts w:ascii="Calibri" w:eastAsia="Times New Roman" w:hAnsi="Calibri" w:cs="Arial"/>
                <w:b/>
                <w:sz w:val="20"/>
                <w:szCs w:val="20"/>
                <w:lang w:eastAsia="en-AU"/>
              </w:rPr>
              <w:t>138</w:t>
            </w:r>
          </w:p>
        </w:tc>
        <w:tc>
          <w:tcPr>
            <w:tcW w:w="1588" w:type="dxa"/>
            <w:shd w:val="clear" w:color="auto" w:fill="FBD4B4" w:themeFill="accent6" w:themeFillTint="66"/>
          </w:tcPr>
          <w:p w:rsidR="00246597" w:rsidRPr="001022FA" w:rsidRDefault="00246597" w:rsidP="008B7A61">
            <w:pPr>
              <w:ind w:left="34" w:hanging="34"/>
              <w:jc w:val="center"/>
              <w:rPr>
                <w:rFonts w:ascii="Calibri" w:eastAsia="Times New Roman" w:hAnsi="Calibri" w:cs="Arial"/>
                <w:b/>
                <w:sz w:val="20"/>
                <w:szCs w:val="20"/>
                <w:highlight w:val="green"/>
                <w:lang w:eastAsia="en-AU"/>
              </w:rPr>
            </w:pPr>
            <w:r w:rsidRPr="00DD1889">
              <w:rPr>
                <w:rFonts w:ascii="Calibri" w:eastAsia="Times New Roman" w:hAnsi="Calibri" w:cs="Arial"/>
                <w:b/>
                <w:sz w:val="20"/>
                <w:szCs w:val="20"/>
                <w:lang w:eastAsia="en-AU"/>
              </w:rPr>
              <w:t>30</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246597" w:rsidRPr="001022FA" w:rsidRDefault="00246597" w:rsidP="00907C81">
            <w:pPr>
              <w:ind w:left="34" w:hanging="34"/>
              <w:jc w:val="center"/>
              <w:rPr>
                <w:rFonts w:ascii="Calibri" w:eastAsia="Times New Roman" w:hAnsi="Calibri" w:cs="Arial"/>
                <w:sz w:val="20"/>
                <w:szCs w:val="20"/>
                <w:highlight w:val="green"/>
                <w:lang w:eastAsia="en-AU"/>
              </w:rPr>
            </w:pPr>
            <w:r w:rsidRPr="001022FA">
              <w:rPr>
                <w:rFonts w:ascii="Calibri" w:eastAsia="Times New Roman" w:hAnsi="Calibri" w:cs="Arial"/>
                <w:sz w:val="20"/>
                <w:szCs w:val="20"/>
                <w:lang w:eastAsia="en-AU"/>
              </w:rPr>
              <w:t>68%</w:t>
            </w:r>
          </w:p>
        </w:tc>
        <w:tc>
          <w:tcPr>
            <w:tcW w:w="1588" w:type="dxa"/>
            <w:shd w:val="clear" w:color="auto" w:fill="DAEEF3" w:themeFill="accent5" w:themeFillTint="33"/>
            <w:vAlign w:val="center"/>
          </w:tcPr>
          <w:p w:rsidR="00246597" w:rsidRPr="001022FA" w:rsidRDefault="00246597" w:rsidP="00384BA7">
            <w:pPr>
              <w:ind w:left="34" w:hanging="34"/>
              <w:jc w:val="center"/>
              <w:rPr>
                <w:rFonts w:ascii="Calibri" w:eastAsia="Times New Roman" w:hAnsi="Calibri" w:cs="Arial"/>
                <w:sz w:val="20"/>
                <w:szCs w:val="20"/>
                <w:highlight w:val="green"/>
                <w:lang w:eastAsia="en-AU"/>
              </w:rPr>
            </w:pPr>
            <w:r w:rsidRPr="001022FA">
              <w:rPr>
                <w:rFonts w:ascii="Calibri" w:eastAsia="Times New Roman" w:hAnsi="Calibri" w:cs="Arial"/>
                <w:sz w:val="20"/>
                <w:szCs w:val="20"/>
                <w:lang w:eastAsia="en-AU"/>
              </w:rPr>
              <w:t>69%</w:t>
            </w:r>
          </w:p>
        </w:tc>
        <w:tc>
          <w:tcPr>
            <w:tcW w:w="1588" w:type="dxa"/>
            <w:shd w:val="clear" w:color="auto" w:fill="E5DFEC" w:themeFill="accent4" w:themeFillTint="33"/>
            <w:vAlign w:val="center"/>
          </w:tcPr>
          <w:p w:rsidR="00246597" w:rsidRPr="001022FA" w:rsidRDefault="00246597" w:rsidP="00B0465E">
            <w:pPr>
              <w:ind w:left="34" w:hanging="34"/>
              <w:jc w:val="center"/>
              <w:rPr>
                <w:rFonts w:ascii="Calibri" w:eastAsia="Times New Roman" w:hAnsi="Calibri" w:cs="Arial"/>
                <w:sz w:val="20"/>
                <w:szCs w:val="20"/>
                <w:highlight w:val="green"/>
                <w:lang w:eastAsia="en-AU"/>
              </w:rPr>
            </w:pPr>
            <w:r w:rsidRPr="00DD1889">
              <w:rPr>
                <w:rFonts w:ascii="Calibri" w:eastAsia="Times New Roman" w:hAnsi="Calibri" w:cs="Arial"/>
                <w:sz w:val="20"/>
                <w:szCs w:val="20"/>
                <w:lang w:eastAsia="en-AU"/>
              </w:rPr>
              <w:t>70%</w:t>
            </w:r>
          </w:p>
        </w:tc>
        <w:tc>
          <w:tcPr>
            <w:tcW w:w="1588" w:type="dxa"/>
            <w:shd w:val="clear" w:color="auto" w:fill="FBD4B4" w:themeFill="accent6" w:themeFillTint="66"/>
          </w:tcPr>
          <w:p w:rsidR="00246597" w:rsidRPr="001022FA" w:rsidRDefault="00246597" w:rsidP="00B0465E">
            <w:pPr>
              <w:ind w:left="34" w:hanging="34"/>
              <w:jc w:val="center"/>
              <w:rPr>
                <w:rFonts w:ascii="Calibri" w:eastAsia="Times New Roman" w:hAnsi="Calibri" w:cs="Arial"/>
                <w:sz w:val="20"/>
                <w:szCs w:val="20"/>
                <w:highlight w:val="green"/>
                <w:lang w:eastAsia="en-AU"/>
              </w:rPr>
            </w:pPr>
            <w:r w:rsidRPr="00DD1889">
              <w:rPr>
                <w:rFonts w:ascii="Calibri" w:eastAsia="Times New Roman" w:hAnsi="Calibri" w:cs="Arial"/>
                <w:sz w:val="20"/>
                <w:szCs w:val="20"/>
                <w:lang w:eastAsia="en-AU"/>
              </w:rPr>
              <w:t>47%</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246597" w:rsidRPr="001022FA" w:rsidRDefault="00246597" w:rsidP="001022FA">
            <w:pPr>
              <w:ind w:left="34" w:hanging="34"/>
              <w:jc w:val="center"/>
              <w:rPr>
                <w:rFonts w:ascii="Calibri" w:eastAsia="Times New Roman" w:hAnsi="Calibri" w:cs="Arial"/>
                <w:sz w:val="20"/>
                <w:szCs w:val="20"/>
                <w:highlight w:val="green"/>
                <w:lang w:eastAsia="en-AU"/>
              </w:rPr>
            </w:pPr>
            <w:r w:rsidRPr="001022FA">
              <w:rPr>
                <w:rFonts w:ascii="Calibri" w:eastAsia="Times New Roman" w:hAnsi="Calibri" w:cs="Arial"/>
                <w:sz w:val="20"/>
                <w:szCs w:val="20"/>
                <w:lang w:eastAsia="en-AU"/>
              </w:rPr>
              <w:t>48% / 52%</w:t>
            </w:r>
          </w:p>
        </w:tc>
        <w:tc>
          <w:tcPr>
            <w:tcW w:w="1588" w:type="dxa"/>
            <w:shd w:val="clear" w:color="auto" w:fill="DAEEF3" w:themeFill="accent5" w:themeFillTint="33"/>
            <w:vAlign w:val="center"/>
          </w:tcPr>
          <w:p w:rsidR="00246597" w:rsidRPr="001022FA" w:rsidRDefault="00246597" w:rsidP="008B7A61">
            <w:pPr>
              <w:ind w:left="34" w:hanging="34"/>
              <w:jc w:val="center"/>
              <w:rPr>
                <w:rFonts w:ascii="Calibri" w:eastAsia="Times New Roman" w:hAnsi="Calibri" w:cs="Arial"/>
                <w:sz w:val="20"/>
                <w:szCs w:val="20"/>
                <w:highlight w:val="green"/>
                <w:lang w:eastAsia="en-AU"/>
              </w:rPr>
            </w:pPr>
            <w:r w:rsidRPr="001022FA">
              <w:rPr>
                <w:rFonts w:ascii="Calibri" w:eastAsia="Times New Roman" w:hAnsi="Calibri" w:cs="Arial"/>
                <w:sz w:val="20"/>
                <w:szCs w:val="20"/>
                <w:lang w:eastAsia="en-AU"/>
              </w:rPr>
              <w:t>47% / 53%</w:t>
            </w:r>
          </w:p>
        </w:tc>
        <w:tc>
          <w:tcPr>
            <w:tcW w:w="1588" w:type="dxa"/>
            <w:shd w:val="clear" w:color="auto" w:fill="E5DFEC" w:themeFill="accent4" w:themeFillTint="33"/>
            <w:vAlign w:val="center"/>
          </w:tcPr>
          <w:p w:rsidR="00246597" w:rsidRPr="00DD1889" w:rsidRDefault="00246597" w:rsidP="00DD1889">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36% / 64%</w:t>
            </w:r>
          </w:p>
        </w:tc>
        <w:tc>
          <w:tcPr>
            <w:tcW w:w="1588" w:type="dxa"/>
            <w:shd w:val="clear" w:color="auto" w:fill="FBD4B4" w:themeFill="accent6" w:themeFillTint="66"/>
          </w:tcPr>
          <w:p w:rsidR="00246597" w:rsidRPr="001022FA" w:rsidRDefault="00246597" w:rsidP="00DD1889">
            <w:pPr>
              <w:ind w:left="34" w:hanging="34"/>
              <w:jc w:val="center"/>
              <w:rPr>
                <w:rFonts w:ascii="Calibri" w:eastAsia="Times New Roman" w:hAnsi="Calibri" w:cs="Arial"/>
                <w:sz w:val="20"/>
                <w:szCs w:val="20"/>
                <w:highlight w:val="green"/>
                <w:lang w:eastAsia="en-AU"/>
              </w:rPr>
            </w:pPr>
            <w:r w:rsidRPr="00DD1889">
              <w:rPr>
                <w:rFonts w:ascii="Calibri" w:eastAsia="Times New Roman" w:hAnsi="Calibri" w:cs="Arial"/>
                <w:sz w:val="20"/>
                <w:szCs w:val="20"/>
                <w:lang w:eastAsia="en-AU"/>
              </w:rPr>
              <w:t>46% /54%</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Congenital cases, confirmed (probable)</w:t>
            </w:r>
          </w:p>
        </w:tc>
        <w:tc>
          <w:tcPr>
            <w:tcW w:w="1588" w:type="dxa"/>
            <w:shd w:val="clear" w:color="auto" w:fill="C6D9F1" w:themeFill="text2" w:themeFillTint="33"/>
            <w:vAlign w:val="center"/>
          </w:tcPr>
          <w:p w:rsidR="00246597" w:rsidRPr="001022FA" w:rsidRDefault="00246597" w:rsidP="00350C8C">
            <w:pPr>
              <w:ind w:left="34" w:hanging="34"/>
              <w:jc w:val="center"/>
              <w:rPr>
                <w:rFonts w:ascii="Calibri" w:eastAsia="Times New Roman" w:hAnsi="Calibri" w:cs="Arial"/>
                <w:sz w:val="20"/>
                <w:szCs w:val="20"/>
                <w:lang w:eastAsia="en-AU"/>
              </w:rPr>
            </w:pPr>
            <w:r w:rsidRPr="001022FA">
              <w:rPr>
                <w:rFonts w:ascii="Calibri" w:eastAsia="Times New Roman" w:hAnsi="Calibri" w:cs="Arial"/>
                <w:sz w:val="20"/>
                <w:szCs w:val="20"/>
                <w:lang w:eastAsia="en-AU"/>
              </w:rPr>
              <w:t>4 (3)</w:t>
            </w:r>
          </w:p>
        </w:tc>
        <w:tc>
          <w:tcPr>
            <w:tcW w:w="1588" w:type="dxa"/>
            <w:shd w:val="clear" w:color="auto" w:fill="DAEEF3" w:themeFill="accent5" w:themeFillTint="33"/>
            <w:vAlign w:val="center"/>
          </w:tcPr>
          <w:p w:rsidR="00246597" w:rsidRPr="001B06D2" w:rsidRDefault="00246597" w:rsidP="008B7A61">
            <w:pPr>
              <w:ind w:left="34" w:hanging="34"/>
              <w:jc w:val="center"/>
              <w:rPr>
                <w:rFonts w:ascii="Calibri" w:eastAsia="Times New Roman" w:hAnsi="Calibri" w:cs="Arial"/>
                <w:sz w:val="20"/>
                <w:szCs w:val="20"/>
                <w:lang w:eastAsia="en-AU"/>
              </w:rPr>
            </w:pPr>
            <w:r w:rsidRPr="001B06D2">
              <w:rPr>
                <w:rFonts w:ascii="Calibri" w:eastAsia="Times New Roman" w:hAnsi="Calibri" w:cs="Arial"/>
                <w:sz w:val="20"/>
                <w:szCs w:val="20"/>
                <w:lang w:eastAsia="en-AU"/>
              </w:rPr>
              <w:t>2 (2)</w:t>
            </w:r>
          </w:p>
        </w:tc>
        <w:tc>
          <w:tcPr>
            <w:tcW w:w="1588" w:type="dxa"/>
            <w:shd w:val="clear" w:color="auto" w:fill="E5DFEC" w:themeFill="accent4" w:themeFillTint="33"/>
            <w:vAlign w:val="center"/>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0 (0)</w:t>
            </w:r>
          </w:p>
        </w:tc>
        <w:tc>
          <w:tcPr>
            <w:tcW w:w="1588" w:type="dxa"/>
            <w:shd w:val="clear" w:color="auto" w:fill="FBD4B4" w:themeFill="accent6" w:themeFillTint="66"/>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1 (0)</w:t>
            </w:r>
          </w:p>
        </w:tc>
      </w:tr>
      <w:tr w:rsidR="00246597" w:rsidRPr="008B7A61" w:rsidTr="00647A04">
        <w:tc>
          <w:tcPr>
            <w:tcW w:w="4253" w:type="dxa"/>
            <w:tcBorders>
              <w:bottom w:val="single" w:sz="4" w:space="0" w:color="auto"/>
            </w:tcBorders>
            <w:shd w:val="clear" w:color="auto" w:fill="auto"/>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xml:space="preserve">   -number of deaths in congenital cases</w:t>
            </w:r>
          </w:p>
        </w:tc>
        <w:tc>
          <w:tcPr>
            <w:tcW w:w="1588" w:type="dxa"/>
            <w:tcBorders>
              <w:bottom w:val="single" w:sz="4" w:space="0" w:color="auto"/>
            </w:tcBorders>
            <w:shd w:val="clear" w:color="auto" w:fill="C6D9F1" w:themeFill="text2" w:themeFillTint="33"/>
            <w:vAlign w:val="center"/>
          </w:tcPr>
          <w:p w:rsidR="00246597" w:rsidRPr="001022FA" w:rsidRDefault="00246597" w:rsidP="008B7A61">
            <w:pPr>
              <w:ind w:left="34" w:hanging="34"/>
              <w:jc w:val="center"/>
              <w:rPr>
                <w:rFonts w:ascii="Calibri" w:eastAsia="Times New Roman" w:hAnsi="Calibri" w:cs="Arial"/>
                <w:sz w:val="20"/>
                <w:szCs w:val="20"/>
                <w:lang w:eastAsia="en-AU"/>
              </w:rPr>
            </w:pPr>
            <w:r w:rsidRPr="001022FA">
              <w:rPr>
                <w:rFonts w:ascii="Calibri" w:eastAsia="Times New Roman" w:hAnsi="Calibri" w:cs="Arial"/>
                <w:sz w:val="20"/>
                <w:szCs w:val="20"/>
                <w:lang w:eastAsia="en-AU"/>
              </w:rPr>
              <w:t>5</w:t>
            </w:r>
          </w:p>
        </w:tc>
        <w:tc>
          <w:tcPr>
            <w:tcW w:w="1588" w:type="dxa"/>
            <w:tcBorders>
              <w:bottom w:val="single" w:sz="4" w:space="0" w:color="auto"/>
            </w:tcBorders>
            <w:shd w:val="clear" w:color="auto" w:fill="DAEEF3" w:themeFill="accent5" w:themeFillTint="33"/>
            <w:vAlign w:val="center"/>
          </w:tcPr>
          <w:p w:rsidR="00246597" w:rsidRPr="001B06D2" w:rsidRDefault="00246597" w:rsidP="008B7A61">
            <w:pPr>
              <w:ind w:left="34" w:hanging="34"/>
              <w:jc w:val="center"/>
              <w:rPr>
                <w:rFonts w:ascii="Calibri" w:eastAsia="Times New Roman" w:hAnsi="Calibri" w:cs="Arial"/>
                <w:sz w:val="20"/>
                <w:szCs w:val="20"/>
                <w:lang w:eastAsia="en-AU"/>
              </w:rPr>
            </w:pPr>
            <w:r w:rsidRPr="001B06D2">
              <w:rPr>
                <w:rFonts w:ascii="Calibri" w:eastAsia="Times New Roman" w:hAnsi="Calibri" w:cs="Arial"/>
                <w:sz w:val="20"/>
                <w:szCs w:val="20"/>
                <w:lang w:eastAsia="en-AU"/>
              </w:rPr>
              <w:t>0</w:t>
            </w:r>
          </w:p>
        </w:tc>
        <w:tc>
          <w:tcPr>
            <w:tcW w:w="1588" w:type="dxa"/>
            <w:tcBorders>
              <w:bottom w:val="single" w:sz="4" w:space="0" w:color="auto"/>
            </w:tcBorders>
            <w:shd w:val="clear" w:color="auto" w:fill="E5DFEC" w:themeFill="accent4" w:themeFillTint="33"/>
            <w:vAlign w:val="center"/>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0</w:t>
            </w:r>
          </w:p>
        </w:tc>
        <w:tc>
          <w:tcPr>
            <w:tcW w:w="1588" w:type="dxa"/>
            <w:tcBorders>
              <w:bottom w:val="single" w:sz="4" w:space="0" w:color="auto"/>
            </w:tcBorders>
            <w:shd w:val="clear" w:color="auto" w:fill="FBD4B4" w:themeFill="accent6" w:themeFillTint="66"/>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0</w:t>
            </w:r>
          </w:p>
        </w:tc>
      </w:tr>
      <w:tr w:rsidR="00246597" w:rsidRPr="008B7A61" w:rsidTr="00647A04">
        <w:tc>
          <w:tcPr>
            <w:tcW w:w="4253" w:type="dxa"/>
            <w:tcBorders>
              <w:right w:val="nil"/>
            </w:tcBorders>
            <w:shd w:val="clear" w:color="auto" w:fill="B8CCE4" w:themeFill="accent1" w:themeFillTint="66"/>
            <w:vAlign w:val="center"/>
          </w:tcPr>
          <w:p w:rsidR="00246597" w:rsidRPr="00647A04" w:rsidRDefault="00246597" w:rsidP="001022FA">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Last reporting month, 1–3</w:t>
            </w:r>
            <w:r>
              <w:rPr>
                <w:rFonts w:ascii="Calibri" w:eastAsia="Times New Roman" w:hAnsi="Calibri" w:cs="Arial"/>
                <w:sz w:val="20"/>
                <w:szCs w:val="20"/>
                <w:lang w:eastAsia="en-AU"/>
              </w:rPr>
              <w:t>0 September</w:t>
            </w:r>
            <w:r w:rsidRPr="00647A04">
              <w:rPr>
                <w:rFonts w:ascii="Calibri" w:eastAsia="Times New Roman" w:hAnsi="Calibri" w:cs="Arial"/>
                <w:sz w:val="20"/>
                <w:szCs w:val="20"/>
                <w:lang w:eastAsia="en-AU"/>
              </w:rPr>
              <w:t xml:space="preserve"> 2017</w:t>
            </w:r>
          </w:p>
        </w:tc>
        <w:tc>
          <w:tcPr>
            <w:tcW w:w="1588" w:type="dxa"/>
            <w:tcBorders>
              <w:left w:val="nil"/>
              <w:righ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righ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tcBorders>
              <w:bottom w:val="single" w:sz="4" w:space="0" w:color="auto"/>
            </w:tcBorders>
            <w:shd w:val="clear" w:color="auto" w:fill="C6D9F1" w:themeFill="text2" w:themeFillTint="33"/>
            <w:vAlign w:val="center"/>
          </w:tcPr>
          <w:p w:rsidR="00246597" w:rsidRPr="001022FA" w:rsidRDefault="00246597" w:rsidP="008B7A61">
            <w:pPr>
              <w:ind w:left="34" w:hanging="34"/>
              <w:jc w:val="center"/>
              <w:rPr>
                <w:rFonts w:ascii="Calibri" w:eastAsia="Times New Roman" w:hAnsi="Calibri" w:cs="Arial"/>
                <w:b/>
                <w:sz w:val="20"/>
                <w:szCs w:val="20"/>
                <w:highlight w:val="green"/>
                <w:lang w:eastAsia="en-AU"/>
              </w:rPr>
            </w:pPr>
            <w:r w:rsidRPr="001022FA">
              <w:rPr>
                <w:rFonts w:ascii="Calibri" w:eastAsia="Times New Roman" w:hAnsi="Calibri" w:cs="Arial"/>
                <w:b/>
                <w:sz w:val="20"/>
                <w:szCs w:val="20"/>
                <w:lang w:eastAsia="en-AU"/>
              </w:rPr>
              <w:t>26</w:t>
            </w:r>
          </w:p>
        </w:tc>
        <w:tc>
          <w:tcPr>
            <w:tcW w:w="1588" w:type="dxa"/>
            <w:shd w:val="clear" w:color="auto" w:fill="DAEEF3" w:themeFill="accent5" w:themeFillTint="33"/>
            <w:vAlign w:val="center"/>
          </w:tcPr>
          <w:p w:rsidR="00246597" w:rsidRPr="00DD1889" w:rsidRDefault="00246597" w:rsidP="008B7A61">
            <w:pPr>
              <w:ind w:left="34" w:hanging="34"/>
              <w:jc w:val="center"/>
              <w:rPr>
                <w:rFonts w:ascii="Calibri" w:eastAsia="Times New Roman" w:hAnsi="Calibri" w:cs="Arial"/>
                <w:b/>
                <w:sz w:val="20"/>
                <w:szCs w:val="20"/>
                <w:lang w:eastAsia="en-AU"/>
              </w:rPr>
            </w:pPr>
            <w:r w:rsidRPr="00DD1889">
              <w:rPr>
                <w:rFonts w:ascii="Calibri" w:eastAsia="Times New Roman" w:hAnsi="Calibri" w:cs="Arial"/>
                <w:b/>
                <w:sz w:val="20"/>
                <w:szCs w:val="20"/>
                <w:lang w:eastAsia="en-AU"/>
              </w:rPr>
              <w:t>24</w:t>
            </w:r>
          </w:p>
        </w:tc>
        <w:tc>
          <w:tcPr>
            <w:tcW w:w="1588" w:type="dxa"/>
            <w:shd w:val="clear" w:color="auto" w:fill="E5DFEC" w:themeFill="accent4" w:themeFillTint="33"/>
            <w:vAlign w:val="center"/>
          </w:tcPr>
          <w:p w:rsidR="00246597" w:rsidRPr="00DD1889" w:rsidRDefault="00246597" w:rsidP="008B7A61">
            <w:pPr>
              <w:ind w:left="34" w:hanging="34"/>
              <w:jc w:val="center"/>
              <w:rPr>
                <w:rFonts w:ascii="Calibri" w:eastAsia="Times New Roman" w:hAnsi="Calibri" w:cs="Arial"/>
                <w:b/>
                <w:sz w:val="20"/>
                <w:szCs w:val="20"/>
                <w:lang w:eastAsia="en-AU"/>
              </w:rPr>
            </w:pPr>
            <w:r w:rsidRPr="00DD1889">
              <w:rPr>
                <w:rFonts w:ascii="Calibri" w:eastAsia="Times New Roman" w:hAnsi="Calibri" w:cs="Arial"/>
                <w:b/>
                <w:sz w:val="20"/>
                <w:szCs w:val="20"/>
                <w:lang w:eastAsia="en-AU"/>
              </w:rPr>
              <w:t>4</w:t>
            </w:r>
          </w:p>
        </w:tc>
        <w:tc>
          <w:tcPr>
            <w:tcW w:w="1588" w:type="dxa"/>
            <w:shd w:val="clear" w:color="auto" w:fill="FBD4B4" w:themeFill="accent6" w:themeFillTint="66"/>
          </w:tcPr>
          <w:p w:rsidR="00246597" w:rsidRPr="00DD1889" w:rsidRDefault="00246597" w:rsidP="008B7A61">
            <w:pPr>
              <w:ind w:left="34" w:hanging="34"/>
              <w:jc w:val="center"/>
              <w:rPr>
                <w:rFonts w:ascii="Calibri" w:eastAsia="Times New Roman" w:hAnsi="Calibri" w:cs="Arial"/>
                <w:b/>
                <w:sz w:val="20"/>
                <w:szCs w:val="20"/>
                <w:lang w:eastAsia="en-AU"/>
              </w:rPr>
            </w:pPr>
            <w:r w:rsidRPr="00DD1889">
              <w:rPr>
                <w:rFonts w:ascii="Calibri" w:eastAsia="Times New Roman" w:hAnsi="Calibri" w:cs="Arial"/>
                <w:b/>
                <w:sz w:val="20"/>
                <w:szCs w:val="20"/>
                <w:lang w:eastAsia="en-AU"/>
              </w:rPr>
              <w:t>4</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246597" w:rsidRPr="001022FA" w:rsidRDefault="00246597" w:rsidP="007B2992">
            <w:pPr>
              <w:jc w:val="center"/>
              <w:rPr>
                <w:rFonts w:ascii="Calibri" w:eastAsia="Times New Roman" w:hAnsi="Calibri" w:cs="Arial"/>
                <w:sz w:val="20"/>
                <w:szCs w:val="20"/>
                <w:highlight w:val="green"/>
                <w:lang w:eastAsia="en-AU"/>
              </w:rPr>
            </w:pPr>
            <w:r w:rsidRPr="001022FA">
              <w:rPr>
                <w:rFonts w:ascii="Calibri" w:eastAsia="Times New Roman" w:hAnsi="Calibri" w:cs="Arial"/>
                <w:sz w:val="20"/>
                <w:szCs w:val="20"/>
                <w:lang w:eastAsia="en-AU"/>
              </w:rPr>
              <w:t>73%</w:t>
            </w:r>
          </w:p>
        </w:tc>
        <w:tc>
          <w:tcPr>
            <w:tcW w:w="1588" w:type="dxa"/>
            <w:shd w:val="clear" w:color="auto" w:fill="DAEEF3" w:themeFill="accent5" w:themeFillTint="33"/>
            <w:vAlign w:val="center"/>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29%</w:t>
            </w:r>
          </w:p>
        </w:tc>
        <w:tc>
          <w:tcPr>
            <w:tcW w:w="1588" w:type="dxa"/>
            <w:shd w:val="clear" w:color="auto" w:fill="E5DFEC" w:themeFill="accent4" w:themeFillTint="33"/>
            <w:vAlign w:val="center"/>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100%</w:t>
            </w:r>
          </w:p>
        </w:tc>
        <w:tc>
          <w:tcPr>
            <w:tcW w:w="1588" w:type="dxa"/>
            <w:shd w:val="clear" w:color="auto" w:fill="FBD4B4" w:themeFill="accent6" w:themeFillTint="66"/>
          </w:tcPr>
          <w:p w:rsidR="00246597" w:rsidRPr="00DD1889" w:rsidRDefault="00246597" w:rsidP="008B7A61">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25%</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246597" w:rsidRPr="001022FA" w:rsidRDefault="00246597" w:rsidP="007B2992">
            <w:pPr>
              <w:ind w:left="34" w:hanging="34"/>
              <w:jc w:val="center"/>
              <w:rPr>
                <w:rFonts w:ascii="Calibri" w:eastAsia="Times New Roman" w:hAnsi="Calibri" w:cs="Arial"/>
                <w:sz w:val="20"/>
                <w:szCs w:val="20"/>
                <w:highlight w:val="green"/>
                <w:lang w:eastAsia="en-AU"/>
              </w:rPr>
            </w:pPr>
            <w:r w:rsidRPr="001022FA">
              <w:rPr>
                <w:rFonts w:ascii="Calibri" w:eastAsia="Times New Roman" w:hAnsi="Calibri" w:cs="Arial"/>
                <w:sz w:val="20"/>
                <w:szCs w:val="20"/>
                <w:lang w:eastAsia="en-AU"/>
              </w:rPr>
              <w:t>35% / 65%</w:t>
            </w:r>
          </w:p>
        </w:tc>
        <w:tc>
          <w:tcPr>
            <w:tcW w:w="1588" w:type="dxa"/>
            <w:shd w:val="clear" w:color="auto" w:fill="DAEEF3" w:themeFill="accent5" w:themeFillTint="33"/>
            <w:vAlign w:val="center"/>
          </w:tcPr>
          <w:p w:rsidR="00246597" w:rsidRPr="00DD1889" w:rsidRDefault="00246597" w:rsidP="001B06D2">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25% / 75%</w:t>
            </w:r>
          </w:p>
        </w:tc>
        <w:tc>
          <w:tcPr>
            <w:tcW w:w="1588" w:type="dxa"/>
            <w:shd w:val="clear" w:color="auto" w:fill="E5DFEC" w:themeFill="accent4" w:themeFillTint="33"/>
            <w:vAlign w:val="center"/>
          </w:tcPr>
          <w:p w:rsidR="00246597" w:rsidRPr="00DD1889" w:rsidRDefault="00246597" w:rsidP="00DD1889">
            <w:pPr>
              <w:ind w:left="34" w:hanging="34"/>
              <w:jc w:val="center"/>
              <w:rPr>
                <w:rFonts w:ascii="Calibri" w:eastAsia="Times New Roman" w:hAnsi="Calibri" w:cs="Arial"/>
                <w:sz w:val="20"/>
                <w:szCs w:val="20"/>
                <w:lang w:eastAsia="en-AU"/>
              </w:rPr>
            </w:pPr>
            <w:r w:rsidRPr="00DD1889">
              <w:rPr>
                <w:rFonts w:ascii="Calibri" w:eastAsia="Times New Roman" w:hAnsi="Calibri" w:cs="Arial"/>
                <w:sz w:val="20"/>
                <w:szCs w:val="20"/>
                <w:lang w:eastAsia="en-AU"/>
              </w:rPr>
              <w:t>25% / 75%</w:t>
            </w:r>
          </w:p>
        </w:tc>
        <w:tc>
          <w:tcPr>
            <w:tcW w:w="1588" w:type="dxa"/>
            <w:shd w:val="clear" w:color="auto" w:fill="FBD4B4" w:themeFill="accent6" w:themeFillTint="66"/>
          </w:tcPr>
          <w:p w:rsidR="00246597" w:rsidRPr="001022FA" w:rsidRDefault="00246597" w:rsidP="00DD1889">
            <w:pPr>
              <w:ind w:left="34" w:hanging="34"/>
              <w:jc w:val="center"/>
              <w:rPr>
                <w:rFonts w:ascii="Calibri" w:eastAsia="Times New Roman" w:hAnsi="Calibri" w:cs="Arial"/>
                <w:sz w:val="20"/>
                <w:szCs w:val="20"/>
                <w:highlight w:val="green"/>
                <w:lang w:eastAsia="en-AU"/>
              </w:rPr>
            </w:pPr>
            <w:r w:rsidRPr="00DD1889">
              <w:rPr>
                <w:rFonts w:ascii="Calibri" w:eastAsia="Times New Roman" w:hAnsi="Calibri" w:cs="Arial"/>
                <w:sz w:val="20"/>
                <w:szCs w:val="20"/>
                <w:lang w:eastAsia="en-AU"/>
              </w:rPr>
              <w:t>25% / 75%</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417EA4">
      <w:pPr>
        <w:pStyle w:val="ListParagraph"/>
        <w:spacing w:after="0" w:line="240" w:lineRule="auto"/>
        <w:ind w:left="-426" w:right="-166"/>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1 June 2014), </w:t>
      </w:r>
      <w:r w:rsidRPr="00C019C3">
        <w:rPr>
          <w:b/>
          <w:i/>
          <w:sz w:val="16"/>
          <w:szCs w:val="16"/>
        </w:rPr>
        <w:t>SA</w:t>
      </w:r>
      <w:r w:rsidRPr="00C019C3">
        <w:rPr>
          <w:b/>
          <w:sz w:val="16"/>
          <w:szCs w:val="16"/>
        </w:rPr>
        <w:t xml:space="preserve"> </w:t>
      </w:r>
      <w:r w:rsidRPr="00C019C3">
        <w:rPr>
          <w:sz w:val="16"/>
          <w:szCs w:val="16"/>
        </w:rPr>
        <w:t xml:space="preserve"> - Western</w:t>
      </w:r>
      <w:r>
        <w:rPr>
          <w:sz w:val="16"/>
          <w:szCs w:val="16"/>
        </w:rPr>
        <w:t xml:space="preserve">, </w:t>
      </w:r>
      <w:r w:rsidRPr="00C019C3">
        <w:rPr>
          <w:sz w:val="16"/>
          <w:szCs w:val="16"/>
        </w:rPr>
        <w:t>Eyre</w:t>
      </w:r>
      <w:r>
        <w:rPr>
          <w:sz w:val="16"/>
          <w:szCs w:val="16"/>
        </w:rPr>
        <w:t xml:space="preserve"> and Far North</w:t>
      </w:r>
      <w:r w:rsidRPr="00C019C3">
        <w:rPr>
          <w:sz w:val="16"/>
          <w:szCs w:val="16"/>
        </w:rPr>
        <w:t xml:space="preserve"> 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 xml:space="preserve">East Arnhem and Katherine regions in the Northern Territory;  the Kimberley health region in Western Australia, and; </w:t>
      </w:r>
      <w:r>
        <w:rPr>
          <w:sz w:val="16"/>
          <w:szCs w:val="16"/>
        </w:rPr>
        <w:t>Western,</w:t>
      </w:r>
      <w:r w:rsidRPr="00C019C3">
        <w:rPr>
          <w:sz w:val="16"/>
          <w:szCs w:val="16"/>
        </w:rPr>
        <w:t xml:space="preserve"> Eyre</w:t>
      </w:r>
      <w:r>
        <w:rPr>
          <w:sz w:val="16"/>
          <w:szCs w:val="16"/>
        </w:rPr>
        <w:t xml:space="preserve"> and Far North</w:t>
      </w:r>
      <w:r w:rsidRPr="00C019C3">
        <w:rPr>
          <w:sz w:val="16"/>
          <w:szCs w:val="16"/>
        </w:rPr>
        <w:t xml:space="preserve"> regions in</w:t>
      </w:r>
      <w:r>
        <w:rPr>
          <w:sz w:val="16"/>
          <w:szCs w:val="16"/>
        </w:rPr>
        <w:br/>
      </w:r>
      <w:r w:rsidRPr="00C019C3">
        <w:rPr>
          <w:sz w:val="16"/>
          <w:szCs w:val="16"/>
        </w:rPr>
        <w:t xml:space="preserve"> South Australia.</w:t>
      </w:r>
    </w:p>
    <w:p w:rsidR="00246597" w:rsidRDefault="00246597" w:rsidP="00165ADE">
      <w:pPr>
        <w:pStyle w:val="ListParagraph"/>
        <w:spacing w:after="0" w:line="240" w:lineRule="auto"/>
        <w:ind w:left="-567"/>
        <w:contextualSpacing w:val="0"/>
        <w:rPr>
          <w:rFonts w:ascii="Arial" w:hAnsi="Arial" w:cs="Arial"/>
          <w:b/>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Pr="006829B0" w:rsidRDefault="00246597"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46597" w:rsidRPr="006829B0" w:rsidRDefault="00246597" w:rsidP="002F7525">
      <w:pPr>
        <w:spacing w:after="0" w:line="120" w:lineRule="auto"/>
        <w:ind w:left="-567" w:right="-612"/>
        <w:rPr>
          <w:rFonts w:ascii="Arial" w:hAnsi="Arial" w:cs="Arial"/>
          <w:b/>
          <w:sz w:val="28"/>
          <w:szCs w:val="28"/>
        </w:rPr>
      </w:pPr>
    </w:p>
    <w:p w:rsidR="00246597" w:rsidRPr="006829B0" w:rsidRDefault="00246597"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Communique, </w:t>
      </w:r>
      <w:r>
        <w:rPr>
          <w:rFonts w:ascii="Arial" w:hAnsi="Arial" w:cs="Arial"/>
          <w:b/>
          <w:sz w:val="28"/>
          <w:szCs w:val="28"/>
        </w:rPr>
        <w:t xml:space="preserve">23 November </w:t>
      </w:r>
      <w:r w:rsidRPr="006829B0">
        <w:rPr>
          <w:rFonts w:ascii="Arial" w:hAnsi="Arial" w:cs="Arial"/>
          <w:b/>
          <w:sz w:val="28"/>
          <w:szCs w:val="28"/>
        </w:rPr>
        <w:t xml:space="preserve">2017 </w:t>
      </w:r>
      <w:r>
        <w:rPr>
          <w:rFonts w:ascii="Arial" w:hAnsi="Arial" w:cs="Arial"/>
          <w:b/>
          <w:sz w:val="28"/>
          <w:szCs w:val="28"/>
        </w:rPr>
        <w:t>(18</w:t>
      </w:r>
      <w:r w:rsidRPr="00246597">
        <w:rPr>
          <w:rFonts w:ascii="Arial" w:hAnsi="Arial" w:cs="Arial"/>
          <w:b/>
          <w:sz w:val="28"/>
          <w:szCs w:val="28"/>
          <w:vertAlign w:val="superscript"/>
        </w:rPr>
        <w:t>th</w:t>
      </w:r>
      <w:r>
        <w:rPr>
          <w:rFonts w:ascii="Arial" w:hAnsi="Arial" w:cs="Arial"/>
          <w:b/>
          <w:sz w:val="28"/>
          <w:szCs w:val="28"/>
        </w:rPr>
        <w:t xml:space="preserve"> Communique)</w:t>
      </w:r>
    </w:p>
    <w:p w:rsidR="00246597" w:rsidRPr="006829B0" w:rsidRDefault="00246597" w:rsidP="00873960">
      <w:pPr>
        <w:spacing w:after="0" w:line="120" w:lineRule="auto"/>
        <w:ind w:left="-567" w:right="-612"/>
      </w:pPr>
    </w:p>
    <w:p w:rsidR="00246597" w:rsidRPr="006829B0" w:rsidRDefault="00246597" w:rsidP="00907C81">
      <w:pPr>
        <w:spacing w:after="0" w:line="240" w:lineRule="auto"/>
        <w:ind w:left="-567" w:right="-612"/>
        <w:jc w:val="center"/>
        <w:rPr>
          <w:rFonts w:ascii="Arial" w:hAnsi="Arial" w:cs="Arial"/>
          <w:b/>
          <w:sz w:val="24"/>
          <w:szCs w:val="24"/>
        </w:rPr>
      </w:pPr>
      <w:r w:rsidRPr="006829B0">
        <w:rPr>
          <w:rFonts w:ascii="Arial" w:hAnsi="Arial" w:cs="Arial"/>
          <w:b/>
          <w:sz w:val="24"/>
          <w:szCs w:val="24"/>
        </w:rPr>
        <w:t>This communique has been authorised by the chair of the MJSO, Dr Nathan Ryder.</w:t>
      </w:r>
    </w:p>
    <w:p w:rsidR="00246597" w:rsidRPr="00294EE1" w:rsidRDefault="00246597" w:rsidP="00372E85">
      <w:pPr>
        <w:spacing w:after="0" w:line="240" w:lineRule="auto"/>
        <w:ind w:right="-613"/>
        <w:rPr>
          <w:rFonts w:ascii="Arial" w:hAnsi="Arial" w:cs="Arial"/>
          <w:sz w:val="20"/>
          <w:szCs w:val="20"/>
          <w:highlight w:val="yellow"/>
        </w:rPr>
      </w:pPr>
    </w:p>
    <w:p w:rsidR="00246597" w:rsidRDefault="00246597"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Pr>
          <w:color w:val="000000" w:themeColor="text1"/>
        </w:rPr>
        <w:t xml:space="preserve">red an outbreak in the Western and </w:t>
      </w:r>
      <w:r w:rsidRPr="00C019C3">
        <w:rPr>
          <w:color w:val="000000" w:themeColor="text1"/>
        </w:rPr>
        <w:t>Eyre</w:t>
      </w:r>
      <w:r>
        <w:rPr>
          <w:color w:val="000000" w:themeColor="text1"/>
        </w:rPr>
        <w:t xml:space="preserve"> and Far North</w:t>
      </w:r>
      <w:r w:rsidRPr="00C019C3">
        <w:rPr>
          <w:color w:val="000000" w:themeColor="text1"/>
        </w:rPr>
        <w:t xml:space="preserve"> regions from November 2016.</w:t>
      </w:r>
    </w:p>
    <w:p w:rsidR="00246597" w:rsidRPr="00294EE1" w:rsidRDefault="00246597" w:rsidP="00C55AC7">
      <w:pPr>
        <w:pStyle w:val="PlainText"/>
        <w:ind w:left="-567"/>
        <w:rPr>
          <w:color w:val="000000" w:themeColor="text1"/>
          <w:highlight w:val="yellow"/>
        </w:rPr>
      </w:pPr>
    </w:p>
    <w:p w:rsidR="00246597" w:rsidRPr="006829B0" w:rsidRDefault="00246597" w:rsidP="00C55AC7">
      <w:pPr>
        <w:pStyle w:val="PlainText"/>
        <w:ind w:left="-567"/>
      </w:pPr>
      <w:r w:rsidRPr="006829B0">
        <w:rPr>
          <w:color w:val="000000" w:themeColor="text1"/>
        </w:rPr>
        <w:t xml:space="preserve">This communique summarises the outbreak epidemiological data as of </w:t>
      </w:r>
      <w:r>
        <w:rPr>
          <w:color w:val="000000" w:themeColor="text1"/>
        </w:rPr>
        <w:t xml:space="preserve">23 November </w:t>
      </w:r>
      <w:r w:rsidRPr="006829B0">
        <w:rPr>
          <w:color w:val="000000" w:themeColor="text1"/>
        </w:rPr>
        <w:t>2017 (current status</w:t>
      </w:r>
      <w:r>
        <w:rPr>
          <w:color w:val="000000" w:themeColor="text1"/>
        </w:rPr>
        <w:t>)</w:t>
      </w:r>
      <w:r w:rsidRPr="006829B0">
        <w:rPr>
          <w:color w:val="000000" w:themeColor="text1"/>
        </w:rPr>
        <w:t>.</w:t>
      </w:r>
    </w:p>
    <w:p w:rsidR="00246597" w:rsidRPr="006829B0" w:rsidRDefault="00246597" w:rsidP="00094607">
      <w:pPr>
        <w:spacing w:after="0" w:line="180" w:lineRule="auto"/>
        <w:ind w:right="261"/>
        <w:jc w:val="both"/>
        <w:rPr>
          <w:rFonts w:ascii="Arial" w:hAnsi="Arial" w:cs="Arial"/>
          <w:sz w:val="20"/>
          <w:szCs w:val="20"/>
        </w:rPr>
      </w:pPr>
    </w:p>
    <w:p w:rsidR="00246597" w:rsidRPr="006829B0" w:rsidRDefault="00246597" w:rsidP="004E075B">
      <w:pPr>
        <w:spacing w:after="0" w:line="240" w:lineRule="auto"/>
        <w:ind w:left="-567" w:right="261"/>
        <w:jc w:val="both"/>
        <w:rPr>
          <w:rFonts w:ascii="Arial" w:hAnsi="Arial" w:cs="Arial"/>
          <w:b/>
        </w:rPr>
      </w:pPr>
      <w:r w:rsidRPr="006829B0">
        <w:rPr>
          <w:rFonts w:ascii="Arial" w:hAnsi="Arial" w:cs="Arial"/>
          <w:b/>
        </w:rPr>
        <w:t>Current status</w:t>
      </w:r>
    </w:p>
    <w:p w:rsidR="00246597" w:rsidRPr="006829B0" w:rsidRDefault="00246597" w:rsidP="004E075B">
      <w:pPr>
        <w:spacing w:after="0" w:line="240" w:lineRule="auto"/>
        <w:ind w:left="-567" w:right="261"/>
        <w:jc w:val="both"/>
        <w:rPr>
          <w:rFonts w:ascii="Arial" w:hAnsi="Arial" w:cs="Arial"/>
          <w:sz w:val="20"/>
          <w:szCs w:val="20"/>
        </w:rPr>
      </w:pPr>
      <w:r w:rsidRPr="006829B0">
        <w:rPr>
          <w:rFonts w:ascii="Arial" w:hAnsi="Arial" w:cs="Arial"/>
          <w:sz w:val="20"/>
          <w:szCs w:val="20"/>
        </w:rPr>
        <w:t>Outbreak data to 3</w:t>
      </w:r>
      <w:r>
        <w:rPr>
          <w:rFonts w:ascii="Arial" w:hAnsi="Arial" w:cs="Arial"/>
          <w:sz w:val="20"/>
          <w:szCs w:val="20"/>
        </w:rPr>
        <w:t xml:space="preserve">1 October </w:t>
      </w:r>
      <w:r w:rsidRPr="006829B0">
        <w:rPr>
          <w:rFonts w:ascii="Arial" w:hAnsi="Arial" w:cs="Arial"/>
          <w:sz w:val="20"/>
          <w:szCs w:val="20"/>
        </w:rPr>
        <w:t>2017 are summarised in Figure 1 and Table 1 below.</w:t>
      </w:r>
    </w:p>
    <w:p w:rsidR="00246597" w:rsidRPr="006829B0" w:rsidRDefault="00246597" w:rsidP="00094607">
      <w:pPr>
        <w:spacing w:after="0" w:line="240" w:lineRule="auto"/>
        <w:ind w:left="-567" w:right="261"/>
        <w:jc w:val="both"/>
        <w:rPr>
          <w:rFonts w:ascii="Arial" w:hAnsi="Arial" w:cs="Arial"/>
          <w:sz w:val="20"/>
          <w:szCs w:val="20"/>
        </w:rPr>
      </w:pPr>
    </w:p>
    <w:p w:rsidR="00246597" w:rsidRDefault="00246597" w:rsidP="003E5666">
      <w:pPr>
        <w:spacing w:after="0" w:line="240" w:lineRule="auto"/>
        <w:ind w:left="-567" w:right="-306"/>
        <w:rPr>
          <w:rFonts w:ascii="Arial" w:hAnsi="Arial" w:cs="Arial"/>
          <w:sz w:val="20"/>
          <w:szCs w:val="20"/>
        </w:rPr>
      </w:pPr>
      <w:r w:rsidRPr="006829B0">
        <w:rPr>
          <w:rFonts w:ascii="Arial" w:hAnsi="Arial" w:cs="Arial"/>
          <w:b/>
          <w:sz w:val="20"/>
          <w:szCs w:val="20"/>
        </w:rPr>
        <w:t>Figure 1</w:t>
      </w:r>
      <w:r w:rsidRPr="006829B0">
        <w:rPr>
          <w:rFonts w:ascii="Arial" w:hAnsi="Arial" w:cs="Arial"/>
          <w:sz w:val="20"/>
          <w:szCs w:val="20"/>
        </w:rPr>
        <w:t>. Epidemic curve showing outbreak cases of infectious syphilis</w:t>
      </w:r>
      <w:r w:rsidRPr="006829B0">
        <w:rPr>
          <w:rFonts w:ascii="Arial" w:hAnsi="Arial" w:cs="Arial"/>
          <w:sz w:val="20"/>
          <w:szCs w:val="20"/>
          <w:vertAlign w:val="superscript"/>
        </w:rPr>
        <w:t>α</w:t>
      </w:r>
      <w:r w:rsidRPr="006829B0">
        <w:rPr>
          <w:rFonts w:ascii="Arial" w:hAnsi="Arial" w:cs="Arial"/>
          <w:sz w:val="20"/>
          <w:szCs w:val="20"/>
        </w:rPr>
        <w:t xml:space="preserve"> notified in affected regions</w:t>
      </w:r>
      <w:r w:rsidRPr="006829B0">
        <w:rPr>
          <w:rFonts w:ascii="Arial" w:hAnsi="Arial" w:cs="Arial"/>
          <w:sz w:val="20"/>
          <w:szCs w:val="20"/>
          <w:vertAlign w:val="superscript"/>
        </w:rPr>
        <w:t>β</w:t>
      </w:r>
      <w:r w:rsidRPr="006829B0">
        <w:rPr>
          <w:rFonts w:ascii="Arial" w:hAnsi="Arial" w:cs="Arial"/>
          <w:sz w:val="20"/>
          <w:szCs w:val="20"/>
        </w:rPr>
        <w:t xml:space="preserve"> of Queensland</w:t>
      </w:r>
      <w:proofErr w:type="gramStart"/>
      <w:r w:rsidRPr="006829B0">
        <w:rPr>
          <w:rFonts w:ascii="Arial" w:hAnsi="Arial" w:cs="Arial"/>
          <w:sz w:val="20"/>
          <w:szCs w:val="20"/>
        </w:rPr>
        <w:t>,</w:t>
      </w:r>
      <w:proofErr w:type="gramEnd"/>
      <w:r>
        <w:rPr>
          <w:rFonts w:ascii="Arial" w:hAnsi="Arial" w:cs="Arial"/>
          <w:sz w:val="20"/>
          <w:szCs w:val="20"/>
        </w:rPr>
        <w:br/>
      </w:r>
      <w:r w:rsidRPr="006829B0">
        <w:rPr>
          <w:rFonts w:ascii="Arial" w:hAnsi="Arial" w:cs="Arial"/>
          <w:sz w:val="20"/>
          <w:szCs w:val="20"/>
        </w:rPr>
        <w:t>the Northern Territory, Western Australia</w:t>
      </w:r>
      <w:r>
        <w:rPr>
          <w:rFonts w:ascii="Arial" w:hAnsi="Arial" w:cs="Arial"/>
          <w:sz w:val="20"/>
          <w:szCs w:val="20"/>
        </w:rPr>
        <w:t xml:space="preserve"> and South Australia</w:t>
      </w:r>
      <w:r w:rsidRPr="006829B0">
        <w:rPr>
          <w:rFonts w:ascii="Arial" w:hAnsi="Arial" w:cs="Arial"/>
          <w:sz w:val="20"/>
          <w:szCs w:val="20"/>
        </w:rPr>
        <w:t xml:space="preserve"> from commencement of the outbreak in each jurisdiction to 3</w:t>
      </w:r>
      <w:r>
        <w:rPr>
          <w:rFonts w:ascii="Arial" w:hAnsi="Arial" w:cs="Arial"/>
          <w:sz w:val="20"/>
          <w:szCs w:val="20"/>
        </w:rPr>
        <w:t xml:space="preserve">1 October </w:t>
      </w:r>
      <w:r w:rsidRPr="006829B0">
        <w:rPr>
          <w:rFonts w:ascii="Arial" w:hAnsi="Arial" w:cs="Arial"/>
          <w:sz w:val="20"/>
          <w:szCs w:val="20"/>
        </w:rPr>
        <w:t>2017</w:t>
      </w:r>
      <w:r w:rsidRPr="006829B0">
        <w:rPr>
          <w:rFonts w:ascii="Arial" w:hAnsi="Arial" w:cs="Arial"/>
          <w:sz w:val="20"/>
          <w:szCs w:val="20"/>
          <w:vertAlign w:val="superscript"/>
        </w:rPr>
        <w:t>ᵞ</w:t>
      </w:r>
      <w:r w:rsidRPr="006829B0">
        <w:rPr>
          <w:rFonts w:ascii="Arial" w:hAnsi="Arial" w:cs="Arial"/>
          <w:sz w:val="20"/>
          <w:szCs w:val="20"/>
        </w:rPr>
        <w:t>.</w:t>
      </w:r>
    </w:p>
    <w:p w:rsidR="00246597" w:rsidRDefault="00246597" w:rsidP="003E5666">
      <w:pPr>
        <w:spacing w:after="0" w:line="240" w:lineRule="auto"/>
        <w:ind w:left="-567" w:right="-306"/>
        <w:rPr>
          <w:rFonts w:ascii="Arial" w:hAnsi="Arial" w:cs="Arial"/>
          <w:sz w:val="20"/>
          <w:szCs w:val="20"/>
        </w:rPr>
      </w:pPr>
      <w:r>
        <w:rPr>
          <w:rFonts w:ascii="Arial" w:hAnsi="Arial" w:cs="Arial"/>
          <w:noProof/>
          <w:sz w:val="20"/>
          <w:szCs w:val="20"/>
          <w:lang w:eastAsia="en-AU"/>
        </w:rPr>
        <w:drawing>
          <wp:inline distT="0" distB="0" distL="0" distR="0" wp14:anchorId="5FBE1DF6">
            <wp:extent cx="6438900" cy="2619375"/>
            <wp:effectExtent l="0" t="0" r="0" b="9525"/>
            <wp:docPr id="1" name="Picture 1" descr="Epidemic curve showing outbreak cases of infectious syphilisα notified in affected regions of Queensland,&#10;the Northern Territory, Western Australia and South Australia from commencement of the outbreak in each jurisdiction to 31 October 2017&#10;" title="Epidemic curve infectious syphilis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018" cy="2619016"/>
                    </a:xfrm>
                    <a:prstGeom prst="rect">
                      <a:avLst/>
                    </a:prstGeom>
                    <a:noFill/>
                  </pic:spPr>
                </pic:pic>
              </a:graphicData>
            </a:graphic>
          </wp:inline>
        </w:drawing>
      </w:r>
    </w:p>
    <w:p w:rsidR="00246597" w:rsidRPr="003E5666" w:rsidRDefault="00246597" w:rsidP="003E5666">
      <w:pPr>
        <w:spacing w:after="0" w:line="240" w:lineRule="auto"/>
        <w:ind w:left="-567" w:right="-306"/>
        <w:rPr>
          <w:rFonts w:ascii="Arial" w:hAnsi="Arial" w:cs="Arial"/>
          <w:sz w:val="12"/>
          <w:szCs w:val="20"/>
        </w:rPr>
      </w:pPr>
    </w:p>
    <w:p w:rsidR="00246597" w:rsidRDefault="00246597"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Pr="00427A81">
        <w:rPr>
          <w:rFonts w:ascii="Arial" w:hAnsi="Arial" w:cs="Arial"/>
          <w:sz w:val="20"/>
          <w:szCs w:val="20"/>
        </w:rPr>
        <w:t>Characteristics of outbreak cases of infectious syphilis notified in affected regions of Queensland, the Northern Territory</w:t>
      </w:r>
      <w:r>
        <w:rPr>
          <w:rFonts w:ascii="Arial" w:hAnsi="Arial" w:cs="Arial"/>
          <w:sz w:val="20"/>
          <w:szCs w:val="20"/>
        </w:rPr>
        <w:t>,</w:t>
      </w:r>
      <w:r w:rsidRPr="00427A81">
        <w:rPr>
          <w:rFonts w:ascii="Arial" w:hAnsi="Arial" w:cs="Arial"/>
          <w:sz w:val="20"/>
          <w:szCs w:val="20"/>
        </w:rPr>
        <w:t xml:space="preserve"> Western Australia</w:t>
      </w:r>
      <w:r>
        <w:rPr>
          <w:rFonts w:ascii="Arial" w:hAnsi="Arial" w:cs="Arial"/>
          <w:sz w:val="20"/>
          <w:szCs w:val="20"/>
        </w:rPr>
        <w:t xml:space="preserve"> and South Australia</w:t>
      </w:r>
      <w:r w:rsidRPr="00427A81">
        <w:rPr>
          <w:rFonts w:ascii="Arial" w:hAnsi="Arial" w:cs="Arial"/>
          <w:sz w:val="20"/>
          <w:szCs w:val="20"/>
        </w:rPr>
        <w:t>, to 3</w:t>
      </w:r>
      <w:r>
        <w:rPr>
          <w:rFonts w:ascii="Arial" w:hAnsi="Arial" w:cs="Arial"/>
          <w:sz w:val="20"/>
          <w:szCs w:val="20"/>
        </w:rPr>
        <w:t>1 October</w:t>
      </w:r>
      <w:r w:rsidRPr="00427A81">
        <w:rPr>
          <w:rFonts w:ascii="Arial" w:hAnsi="Arial" w:cs="Arial"/>
          <w:sz w:val="20"/>
          <w:szCs w:val="20"/>
        </w:rPr>
        <w:t xml:space="preserve"> 2017</w:t>
      </w:r>
      <w:r w:rsidRPr="00427A81">
        <w:rPr>
          <w:rFonts w:ascii="Arial" w:hAnsi="Arial" w:cs="Arial"/>
          <w:sz w:val="20"/>
          <w:szCs w:val="20"/>
          <w:vertAlign w:val="superscript"/>
        </w:rPr>
        <w:t>ᵞ</w:t>
      </w:r>
      <w:r w:rsidRPr="00427A81">
        <w:rPr>
          <w:rFonts w:ascii="Arial" w:hAnsi="Arial" w:cs="Arial"/>
          <w:sz w:val="20"/>
          <w:szCs w:val="20"/>
        </w:rPr>
        <w:t>.</w:t>
      </w:r>
    </w:p>
    <w:tbl>
      <w:tblPr>
        <w:tblStyle w:val="TableGrid12"/>
        <w:tblW w:w="10288" w:type="dxa"/>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7"/>
        <w:gridCol w:w="1542"/>
        <w:gridCol w:w="1543"/>
        <w:gridCol w:w="1543"/>
        <w:gridCol w:w="1543"/>
      </w:tblGrid>
      <w:tr w:rsidR="00246597" w:rsidRPr="008B7A61" w:rsidTr="00647A04">
        <w:trPr>
          <w:tblHeader/>
        </w:trPr>
        <w:tc>
          <w:tcPr>
            <w:tcW w:w="4253" w:type="dxa"/>
            <w:tcBorders>
              <w:bottom w:val="single" w:sz="4" w:space="0" w:color="auto"/>
            </w:tcBorders>
          </w:tcPr>
          <w:p w:rsidR="00246597" w:rsidRPr="00647A04" w:rsidRDefault="00246597" w:rsidP="008B7A61">
            <w:pPr>
              <w:ind w:left="34" w:hanging="34"/>
              <w:rPr>
                <w:rFonts w:ascii="Calibri" w:eastAsia="Times New Roman" w:hAnsi="Calibri" w:cs="Arial"/>
                <w:sz w:val="20"/>
                <w:szCs w:val="20"/>
                <w:lang w:eastAsia="en-AU"/>
              </w:rPr>
            </w:pPr>
          </w:p>
        </w:tc>
        <w:tc>
          <w:tcPr>
            <w:tcW w:w="1588" w:type="dxa"/>
            <w:tcBorders>
              <w:bottom w:val="single" w:sz="4" w:space="0" w:color="auto"/>
            </w:tcBorders>
            <w:shd w:val="clear" w:color="auto" w:fill="C6D9F1" w:themeFill="text2"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shd w:val="clear" w:color="auto" w:fill="C6D9F1" w:themeFill="text2" w:themeFillTint="33"/>
                <w:lang w:eastAsia="en-AU"/>
              </w:rPr>
              <w:t xml:space="preserve">North Qld </w:t>
            </w:r>
            <w:r w:rsidRPr="00647A04">
              <w:rPr>
                <w:rFonts w:ascii="Calibri" w:eastAsia="Times New Roman" w:hAnsi="Calibri" w:cs="Arial"/>
                <w:b/>
                <w:sz w:val="20"/>
                <w:szCs w:val="20"/>
                <w:shd w:val="clear" w:color="auto" w:fill="C6D9F1" w:themeFill="text2" w:themeFillTint="33"/>
                <w:lang w:eastAsia="en-AU"/>
              </w:rPr>
              <w:br/>
            </w:r>
            <w:r w:rsidRPr="00647A04">
              <w:rPr>
                <w:rFonts w:ascii="Calibri" w:eastAsia="Times New Roman" w:hAnsi="Calibri" w:cs="Arial"/>
                <w:sz w:val="20"/>
                <w:szCs w:val="20"/>
                <w:shd w:val="clear" w:color="auto" w:fill="C6D9F1" w:themeFill="text2" w:themeFillTint="33"/>
                <w:lang w:eastAsia="en-AU"/>
              </w:rPr>
              <w:t>(four HHSs</w:t>
            </w:r>
            <w:r w:rsidRPr="00647A04">
              <w:rPr>
                <w:rFonts w:ascii="Calibri" w:eastAsia="Times New Roman" w:hAnsi="Calibri" w:cs="Arial"/>
                <w:sz w:val="20"/>
                <w:szCs w:val="20"/>
                <w:shd w:val="clear" w:color="auto" w:fill="C6D9F1" w:themeFill="text2" w:themeFillTint="33"/>
                <w:vertAlign w:val="superscript"/>
                <w:lang w:eastAsia="en-AU"/>
              </w:rPr>
              <w:t>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DAEEF3" w:themeFill="accent5"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 xml:space="preserve">NT </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(four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E5DFEC" w:themeFill="accent4" w:themeFillTint="33"/>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WA</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 xml:space="preserve"> (Kimberley region)</w:t>
            </w:r>
          </w:p>
        </w:tc>
        <w:tc>
          <w:tcPr>
            <w:tcW w:w="1588" w:type="dxa"/>
            <w:tcBorders>
              <w:bottom w:val="single" w:sz="4" w:space="0" w:color="auto"/>
            </w:tcBorders>
            <w:shd w:val="clear" w:color="auto" w:fill="FBD4B4" w:themeFill="accent6" w:themeFillTint="66"/>
          </w:tcPr>
          <w:p w:rsidR="00246597" w:rsidRPr="00647A04" w:rsidRDefault="00246597"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SA</w:t>
            </w:r>
          </w:p>
          <w:p w:rsidR="00246597" w:rsidRPr="00647A04" w:rsidRDefault="00246597" w:rsidP="00707254">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(three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r>
      <w:tr w:rsidR="00246597" w:rsidRPr="008B7A61" w:rsidTr="00647A04">
        <w:tc>
          <w:tcPr>
            <w:tcW w:w="4253" w:type="dxa"/>
            <w:tcBorders>
              <w:right w:val="nil"/>
            </w:tcBorders>
            <w:shd w:val="clear" w:color="auto" w:fill="B8CCE4" w:themeFill="accent1" w:themeFillTint="66"/>
          </w:tcPr>
          <w:p w:rsidR="00246597" w:rsidRPr="00647A04" w:rsidRDefault="00246597" w:rsidP="00E7631A">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Situation to-date, 3</w:t>
            </w:r>
            <w:r>
              <w:rPr>
                <w:rFonts w:ascii="Calibri" w:eastAsia="Times New Roman" w:hAnsi="Calibri" w:cs="Arial"/>
                <w:sz w:val="20"/>
                <w:szCs w:val="20"/>
                <w:lang w:eastAsia="en-AU"/>
              </w:rPr>
              <w:t>1 October</w:t>
            </w:r>
            <w:r w:rsidRPr="00647A04">
              <w:rPr>
                <w:rFonts w:ascii="Calibri" w:eastAsia="Times New Roman" w:hAnsi="Calibri" w:cs="Arial"/>
                <w:sz w:val="20"/>
                <w:szCs w:val="20"/>
                <w:lang w:eastAsia="en-AU"/>
              </w:rPr>
              <w:t xml:space="preserve"> 2017</w:t>
            </w:r>
          </w:p>
        </w:tc>
        <w:tc>
          <w:tcPr>
            <w:tcW w:w="1588" w:type="dxa"/>
            <w:tcBorders>
              <w:left w:val="nil"/>
              <w:righ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righ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lang w:eastAsia="en-AU"/>
              </w:rPr>
            </w:pP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Outbreak commencement month/year</w:t>
            </w:r>
          </w:p>
        </w:tc>
        <w:tc>
          <w:tcPr>
            <w:tcW w:w="1588" w:type="dxa"/>
            <w:shd w:val="clear" w:color="auto" w:fill="C6D9F1" w:themeFill="text2"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January 2011</w:t>
            </w:r>
          </w:p>
        </w:tc>
        <w:tc>
          <w:tcPr>
            <w:tcW w:w="1588" w:type="dxa"/>
            <w:shd w:val="clear" w:color="auto" w:fill="DAEEF3" w:themeFill="accent5"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July 2013</w:t>
            </w:r>
          </w:p>
        </w:tc>
        <w:tc>
          <w:tcPr>
            <w:tcW w:w="1588" w:type="dxa"/>
            <w:shd w:val="clear" w:color="auto" w:fill="E5DFEC" w:themeFill="accent4" w:themeFillTint="33"/>
            <w:vAlign w:val="center"/>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June 2014</w:t>
            </w:r>
          </w:p>
        </w:tc>
        <w:tc>
          <w:tcPr>
            <w:tcW w:w="1588" w:type="dxa"/>
            <w:shd w:val="clear" w:color="auto" w:fill="FBD4B4" w:themeFill="accent6" w:themeFillTint="66"/>
          </w:tcPr>
          <w:p w:rsidR="00246597" w:rsidRPr="00647A04" w:rsidRDefault="00246597"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November 2016</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Total 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shd w:val="clear" w:color="auto" w:fill="C6D9F1" w:themeFill="text2" w:themeFillTint="33"/>
            <w:vAlign w:val="center"/>
          </w:tcPr>
          <w:p w:rsidR="00246597" w:rsidRPr="00E7631A" w:rsidRDefault="00246597" w:rsidP="00350C8C">
            <w:pPr>
              <w:ind w:left="34" w:hanging="34"/>
              <w:jc w:val="center"/>
              <w:rPr>
                <w:rFonts w:ascii="Calibri" w:eastAsia="Times New Roman" w:hAnsi="Calibri" w:cs="Arial"/>
                <w:b/>
                <w:sz w:val="20"/>
                <w:szCs w:val="20"/>
                <w:vertAlign w:val="superscript"/>
                <w:lang w:eastAsia="en-AU"/>
              </w:rPr>
            </w:pPr>
            <w:r w:rsidRPr="00E7631A">
              <w:rPr>
                <w:rFonts w:ascii="Calibri" w:eastAsia="Times New Roman" w:hAnsi="Calibri" w:cs="Arial"/>
                <w:b/>
                <w:sz w:val="20"/>
                <w:szCs w:val="20"/>
                <w:lang w:eastAsia="en-AU"/>
              </w:rPr>
              <w:t>994</w:t>
            </w:r>
          </w:p>
        </w:tc>
        <w:tc>
          <w:tcPr>
            <w:tcW w:w="1588" w:type="dxa"/>
            <w:shd w:val="clear" w:color="auto" w:fill="DAEEF3" w:themeFill="accent5" w:themeFillTint="33"/>
            <w:vAlign w:val="center"/>
          </w:tcPr>
          <w:p w:rsidR="00246597" w:rsidRPr="00E7631A" w:rsidRDefault="00246597" w:rsidP="008B7A61">
            <w:pPr>
              <w:ind w:left="34" w:hanging="34"/>
              <w:jc w:val="center"/>
              <w:rPr>
                <w:rFonts w:ascii="Calibri" w:eastAsia="Times New Roman" w:hAnsi="Calibri" w:cs="Arial"/>
                <w:b/>
                <w:sz w:val="20"/>
                <w:szCs w:val="20"/>
                <w:lang w:eastAsia="en-AU"/>
              </w:rPr>
            </w:pPr>
            <w:r w:rsidRPr="00E7631A">
              <w:rPr>
                <w:rFonts w:ascii="Calibri" w:eastAsia="Times New Roman" w:hAnsi="Calibri" w:cs="Arial"/>
                <w:b/>
                <w:sz w:val="20"/>
                <w:szCs w:val="20"/>
                <w:lang w:eastAsia="en-AU"/>
              </w:rPr>
              <w:t>634</w:t>
            </w:r>
          </w:p>
        </w:tc>
        <w:tc>
          <w:tcPr>
            <w:tcW w:w="1588" w:type="dxa"/>
            <w:shd w:val="clear" w:color="auto" w:fill="E5DFEC" w:themeFill="accent4" w:themeFillTint="33"/>
            <w:vAlign w:val="center"/>
          </w:tcPr>
          <w:p w:rsidR="00246597" w:rsidRPr="00E7631A" w:rsidRDefault="00246597" w:rsidP="008B7A61">
            <w:pPr>
              <w:ind w:left="34" w:hanging="34"/>
              <w:jc w:val="center"/>
              <w:rPr>
                <w:rFonts w:ascii="Calibri" w:eastAsia="Times New Roman" w:hAnsi="Calibri" w:cs="Arial"/>
                <w:b/>
                <w:sz w:val="20"/>
                <w:szCs w:val="20"/>
                <w:highlight w:val="green"/>
                <w:lang w:eastAsia="en-AU"/>
              </w:rPr>
            </w:pPr>
            <w:r w:rsidRPr="004D0EAB">
              <w:rPr>
                <w:rFonts w:ascii="Calibri" w:eastAsia="Times New Roman" w:hAnsi="Calibri" w:cs="Arial"/>
                <w:b/>
                <w:sz w:val="20"/>
                <w:szCs w:val="20"/>
                <w:lang w:eastAsia="en-AU"/>
              </w:rPr>
              <w:t>141</w:t>
            </w:r>
          </w:p>
        </w:tc>
        <w:tc>
          <w:tcPr>
            <w:tcW w:w="1588" w:type="dxa"/>
            <w:shd w:val="clear" w:color="auto" w:fill="FBD4B4" w:themeFill="accent6" w:themeFillTint="66"/>
          </w:tcPr>
          <w:p w:rsidR="00246597" w:rsidRPr="004D0EAB" w:rsidRDefault="00246597" w:rsidP="008B7A61">
            <w:pPr>
              <w:ind w:left="34" w:hanging="34"/>
              <w:jc w:val="center"/>
              <w:rPr>
                <w:rFonts w:ascii="Calibri" w:eastAsia="Times New Roman" w:hAnsi="Calibri" w:cs="Arial"/>
                <w:b/>
                <w:sz w:val="20"/>
                <w:szCs w:val="20"/>
                <w:lang w:eastAsia="en-AU"/>
              </w:rPr>
            </w:pPr>
            <w:r w:rsidRPr="004D0EAB">
              <w:rPr>
                <w:rFonts w:ascii="Calibri" w:eastAsia="Times New Roman" w:hAnsi="Calibri" w:cs="Arial"/>
                <w:b/>
                <w:sz w:val="20"/>
                <w:szCs w:val="20"/>
                <w:lang w:eastAsia="en-AU"/>
              </w:rPr>
              <w:t>30</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246597" w:rsidRPr="00E7631A" w:rsidRDefault="00246597" w:rsidP="00907C81">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68%</w:t>
            </w:r>
          </w:p>
        </w:tc>
        <w:tc>
          <w:tcPr>
            <w:tcW w:w="1588" w:type="dxa"/>
            <w:shd w:val="clear" w:color="auto" w:fill="DAEEF3" w:themeFill="accent5" w:themeFillTint="33"/>
            <w:vAlign w:val="center"/>
          </w:tcPr>
          <w:p w:rsidR="00246597" w:rsidRPr="00E7631A" w:rsidRDefault="00246597" w:rsidP="00384BA7">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67%</w:t>
            </w:r>
          </w:p>
        </w:tc>
        <w:tc>
          <w:tcPr>
            <w:tcW w:w="1588" w:type="dxa"/>
            <w:shd w:val="clear" w:color="auto" w:fill="E5DFEC" w:themeFill="accent4" w:themeFillTint="33"/>
            <w:vAlign w:val="center"/>
          </w:tcPr>
          <w:p w:rsidR="00246597" w:rsidRPr="00E7631A" w:rsidRDefault="00246597" w:rsidP="00B0465E">
            <w:pPr>
              <w:ind w:left="34" w:hanging="34"/>
              <w:jc w:val="center"/>
              <w:rPr>
                <w:rFonts w:ascii="Calibri" w:eastAsia="Times New Roman" w:hAnsi="Calibri" w:cs="Arial"/>
                <w:sz w:val="20"/>
                <w:szCs w:val="20"/>
                <w:highlight w:val="green"/>
                <w:lang w:eastAsia="en-AU"/>
              </w:rPr>
            </w:pPr>
            <w:r w:rsidRPr="004D0EAB">
              <w:rPr>
                <w:rFonts w:ascii="Calibri" w:eastAsia="Times New Roman" w:hAnsi="Calibri" w:cs="Arial"/>
                <w:sz w:val="20"/>
                <w:szCs w:val="20"/>
                <w:lang w:eastAsia="en-AU"/>
              </w:rPr>
              <w:t>70%</w:t>
            </w:r>
          </w:p>
        </w:tc>
        <w:tc>
          <w:tcPr>
            <w:tcW w:w="1588" w:type="dxa"/>
            <w:shd w:val="clear" w:color="auto" w:fill="FBD4B4" w:themeFill="accent6" w:themeFillTint="66"/>
          </w:tcPr>
          <w:p w:rsidR="00246597" w:rsidRPr="004D0EAB" w:rsidRDefault="00246597" w:rsidP="00B0465E">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47%</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246597" w:rsidRPr="00E7631A" w:rsidRDefault="00246597" w:rsidP="00E7631A">
            <w:pPr>
              <w:ind w:left="34" w:hanging="34"/>
              <w:jc w:val="center"/>
              <w:rPr>
                <w:rFonts w:ascii="Calibri" w:eastAsia="Times New Roman" w:hAnsi="Calibri" w:cs="Arial"/>
                <w:sz w:val="20"/>
                <w:szCs w:val="20"/>
                <w:highlight w:val="green"/>
                <w:lang w:eastAsia="en-AU"/>
              </w:rPr>
            </w:pPr>
            <w:r w:rsidRPr="00E7631A">
              <w:rPr>
                <w:rFonts w:ascii="Calibri" w:eastAsia="Times New Roman" w:hAnsi="Calibri" w:cs="Arial"/>
                <w:sz w:val="20"/>
                <w:szCs w:val="20"/>
                <w:lang w:eastAsia="en-AU"/>
              </w:rPr>
              <w:t>47% / 53%</w:t>
            </w:r>
          </w:p>
        </w:tc>
        <w:tc>
          <w:tcPr>
            <w:tcW w:w="1588" w:type="dxa"/>
            <w:shd w:val="clear" w:color="auto" w:fill="DAEEF3" w:themeFill="accent5" w:themeFillTint="33"/>
            <w:vAlign w:val="center"/>
          </w:tcPr>
          <w:p w:rsidR="00246597" w:rsidRPr="00E7631A" w:rsidRDefault="00246597" w:rsidP="008B7A61">
            <w:pPr>
              <w:ind w:left="34" w:hanging="34"/>
              <w:jc w:val="center"/>
              <w:rPr>
                <w:rFonts w:ascii="Calibri" w:eastAsia="Times New Roman" w:hAnsi="Calibri" w:cs="Arial"/>
                <w:sz w:val="20"/>
                <w:szCs w:val="20"/>
                <w:highlight w:val="green"/>
                <w:lang w:eastAsia="en-AU"/>
              </w:rPr>
            </w:pPr>
            <w:r w:rsidRPr="004D0EAB">
              <w:rPr>
                <w:rFonts w:ascii="Calibri" w:eastAsia="Times New Roman" w:hAnsi="Calibri" w:cs="Arial"/>
                <w:sz w:val="20"/>
                <w:szCs w:val="20"/>
                <w:lang w:eastAsia="en-AU"/>
              </w:rPr>
              <w:t>47% / 53%</w:t>
            </w:r>
          </w:p>
        </w:tc>
        <w:tc>
          <w:tcPr>
            <w:tcW w:w="1588" w:type="dxa"/>
            <w:shd w:val="clear" w:color="auto" w:fill="E5DFEC" w:themeFill="accent4" w:themeFillTint="33"/>
            <w:vAlign w:val="center"/>
          </w:tcPr>
          <w:p w:rsidR="00246597" w:rsidRPr="004D0EAB" w:rsidRDefault="00246597" w:rsidP="004D0EAB">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35% / 65%</w:t>
            </w:r>
          </w:p>
        </w:tc>
        <w:tc>
          <w:tcPr>
            <w:tcW w:w="1588" w:type="dxa"/>
            <w:shd w:val="clear" w:color="auto" w:fill="FBD4B4" w:themeFill="accent6" w:themeFillTint="66"/>
          </w:tcPr>
          <w:p w:rsidR="00246597" w:rsidRPr="004D0EAB" w:rsidRDefault="00246597" w:rsidP="004D0EAB">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50% /50%</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Congenital cases, confirmed (probable)</w:t>
            </w:r>
          </w:p>
        </w:tc>
        <w:tc>
          <w:tcPr>
            <w:tcW w:w="1588" w:type="dxa"/>
            <w:shd w:val="clear" w:color="auto" w:fill="C6D9F1" w:themeFill="text2" w:themeFillTint="33"/>
            <w:vAlign w:val="center"/>
          </w:tcPr>
          <w:p w:rsidR="00246597" w:rsidRPr="00E7631A" w:rsidRDefault="00246597" w:rsidP="00350C8C">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4 (3)</w:t>
            </w:r>
          </w:p>
        </w:tc>
        <w:tc>
          <w:tcPr>
            <w:tcW w:w="1588" w:type="dxa"/>
            <w:shd w:val="clear" w:color="auto" w:fill="DAEEF3" w:themeFill="accent5" w:themeFillTint="33"/>
            <w:vAlign w:val="center"/>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2 (2)</w:t>
            </w:r>
          </w:p>
        </w:tc>
        <w:tc>
          <w:tcPr>
            <w:tcW w:w="1588" w:type="dxa"/>
            <w:shd w:val="clear" w:color="auto" w:fill="E5DFEC" w:themeFill="accent4" w:themeFillTint="33"/>
            <w:vAlign w:val="center"/>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 (0)</w:t>
            </w:r>
          </w:p>
        </w:tc>
        <w:tc>
          <w:tcPr>
            <w:tcW w:w="1588" w:type="dxa"/>
            <w:shd w:val="clear" w:color="auto" w:fill="FBD4B4" w:themeFill="accent6" w:themeFillTint="66"/>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1 (0)</w:t>
            </w:r>
          </w:p>
        </w:tc>
      </w:tr>
      <w:tr w:rsidR="00246597" w:rsidRPr="008B7A61" w:rsidTr="00647A04">
        <w:tc>
          <w:tcPr>
            <w:tcW w:w="4253" w:type="dxa"/>
            <w:tcBorders>
              <w:bottom w:val="single" w:sz="4" w:space="0" w:color="auto"/>
            </w:tcBorders>
            <w:shd w:val="clear" w:color="auto" w:fill="auto"/>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xml:space="preserve">   -number of deaths in congenital cases</w:t>
            </w:r>
          </w:p>
        </w:tc>
        <w:tc>
          <w:tcPr>
            <w:tcW w:w="1588" w:type="dxa"/>
            <w:tcBorders>
              <w:bottom w:val="single" w:sz="4" w:space="0" w:color="auto"/>
            </w:tcBorders>
            <w:shd w:val="clear" w:color="auto" w:fill="C6D9F1" w:themeFill="text2" w:themeFillTint="33"/>
            <w:vAlign w:val="center"/>
          </w:tcPr>
          <w:p w:rsidR="00246597" w:rsidRPr="00E7631A" w:rsidRDefault="00246597" w:rsidP="008B7A61">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5</w:t>
            </w:r>
          </w:p>
        </w:tc>
        <w:tc>
          <w:tcPr>
            <w:tcW w:w="1588" w:type="dxa"/>
            <w:tcBorders>
              <w:bottom w:val="single" w:sz="4" w:space="0" w:color="auto"/>
            </w:tcBorders>
            <w:shd w:val="clear" w:color="auto" w:fill="DAEEF3" w:themeFill="accent5" w:themeFillTint="33"/>
            <w:vAlign w:val="center"/>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w:t>
            </w:r>
          </w:p>
        </w:tc>
        <w:tc>
          <w:tcPr>
            <w:tcW w:w="1588" w:type="dxa"/>
            <w:tcBorders>
              <w:bottom w:val="single" w:sz="4" w:space="0" w:color="auto"/>
            </w:tcBorders>
            <w:shd w:val="clear" w:color="auto" w:fill="E5DFEC" w:themeFill="accent4" w:themeFillTint="33"/>
            <w:vAlign w:val="center"/>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w:t>
            </w:r>
          </w:p>
        </w:tc>
        <w:tc>
          <w:tcPr>
            <w:tcW w:w="1588" w:type="dxa"/>
            <w:tcBorders>
              <w:bottom w:val="single" w:sz="4" w:space="0" w:color="auto"/>
            </w:tcBorders>
            <w:shd w:val="clear" w:color="auto" w:fill="FBD4B4" w:themeFill="accent6" w:themeFillTint="66"/>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w:t>
            </w:r>
          </w:p>
        </w:tc>
      </w:tr>
      <w:tr w:rsidR="00246597" w:rsidRPr="008B7A61" w:rsidTr="00647A04">
        <w:tc>
          <w:tcPr>
            <w:tcW w:w="4253" w:type="dxa"/>
            <w:tcBorders>
              <w:right w:val="nil"/>
            </w:tcBorders>
            <w:shd w:val="clear" w:color="auto" w:fill="B8CCE4" w:themeFill="accent1" w:themeFillTint="66"/>
            <w:vAlign w:val="center"/>
          </w:tcPr>
          <w:p w:rsidR="00246597" w:rsidRPr="00647A04" w:rsidRDefault="00246597" w:rsidP="00E7631A">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Last reporting month, 1–3</w:t>
            </w:r>
            <w:r>
              <w:rPr>
                <w:rFonts w:ascii="Calibri" w:eastAsia="Times New Roman" w:hAnsi="Calibri" w:cs="Arial"/>
                <w:sz w:val="20"/>
                <w:szCs w:val="20"/>
                <w:lang w:eastAsia="en-AU"/>
              </w:rPr>
              <w:t>1 October</w:t>
            </w:r>
            <w:r w:rsidRPr="00647A04">
              <w:rPr>
                <w:rFonts w:ascii="Calibri" w:eastAsia="Times New Roman" w:hAnsi="Calibri" w:cs="Arial"/>
                <w:sz w:val="20"/>
                <w:szCs w:val="20"/>
                <w:lang w:eastAsia="en-AU"/>
              </w:rPr>
              <w:t xml:space="preserve"> 2017</w:t>
            </w:r>
          </w:p>
        </w:tc>
        <w:tc>
          <w:tcPr>
            <w:tcW w:w="1588" w:type="dxa"/>
            <w:tcBorders>
              <w:left w:val="nil"/>
              <w:righ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righ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vAlign w:val="center"/>
          </w:tcPr>
          <w:p w:rsidR="00246597" w:rsidRPr="00647A04" w:rsidRDefault="00246597"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tcPr>
          <w:p w:rsidR="00246597" w:rsidRPr="00647A04" w:rsidRDefault="00246597" w:rsidP="008B7A61">
            <w:pPr>
              <w:ind w:left="34" w:hanging="34"/>
              <w:rPr>
                <w:rFonts w:ascii="Calibri" w:eastAsia="Times New Roman" w:hAnsi="Calibri" w:cs="Arial"/>
                <w:sz w:val="20"/>
                <w:szCs w:val="20"/>
                <w:highlight w:val="yellow"/>
                <w:lang w:eastAsia="en-AU"/>
              </w:rPr>
            </w:pP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tcBorders>
              <w:bottom w:val="single" w:sz="4" w:space="0" w:color="auto"/>
            </w:tcBorders>
            <w:shd w:val="clear" w:color="auto" w:fill="C6D9F1" w:themeFill="text2" w:themeFillTint="33"/>
            <w:vAlign w:val="center"/>
          </w:tcPr>
          <w:p w:rsidR="00246597" w:rsidRPr="00E7631A" w:rsidRDefault="00246597" w:rsidP="008B7A61">
            <w:pPr>
              <w:ind w:left="34" w:hanging="34"/>
              <w:jc w:val="center"/>
              <w:rPr>
                <w:rFonts w:ascii="Calibri" w:eastAsia="Times New Roman" w:hAnsi="Calibri" w:cs="Arial"/>
                <w:b/>
                <w:sz w:val="20"/>
                <w:szCs w:val="20"/>
                <w:lang w:eastAsia="en-AU"/>
              </w:rPr>
            </w:pPr>
            <w:r w:rsidRPr="00E7631A">
              <w:rPr>
                <w:rFonts w:ascii="Calibri" w:eastAsia="Times New Roman" w:hAnsi="Calibri" w:cs="Arial"/>
                <w:b/>
                <w:sz w:val="20"/>
                <w:szCs w:val="20"/>
                <w:lang w:eastAsia="en-AU"/>
              </w:rPr>
              <w:t>28</w:t>
            </w:r>
          </w:p>
        </w:tc>
        <w:tc>
          <w:tcPr>
            <w:tcW w:w="1588" w:type="dxa"/>
            <w:shd w:val="clear" w:color="auto" w:fill="DAEEF3" w:themeFill="accent5" w:themeFillTint="33"/>
            <w:vAlign w:val="center"/>
          </w:tcPr>
          <w:p w:rsidR="00246597" w:rsidRPr="004D0EAB" w:rsidRDefault="00246597" w:rsidP="008B7A61">
            <w:pPr>
              <w:ind w:left="34" w:hanging="34"/>
              <w:jc w:val="center"/>
              <w:rPr>
                <w:rFonts w:ascii="Calibri" w:eastAsia="Times New Roman" w:hAnsi="Calibri" w:cs="Arial"/>
                <w:b/>
                <w:sz w:val="20"/>
                <w:szCs w:val="20"/>
                <w:lang w:eastAsia="en-AU"/>
              </w:rPr>
            </w:pPr>
            <w:r w:rsidRPr="004D0EAB">
              <w:rPr>
                <w:rFonts w:ascii="Calibri" w:eastAsia="Times New Roman" w:hAnsi="Calibri" w:cs="Arial"/>
                <w:b/>
                <w:sz w:val="20"/>
                <w:szCs w:val="20"/>
                <w:lang w:eastAsia="en-AU"/>
              </w:rPr>
              <w:t>18</w:t>
            </w:r>
          </w:p>
        </w:tc>
        <w:tc>
          <w:tcPr>
            <w:tcW w:w="1588" w:type="dxa"/>
            <w:shd w:val="clear" w:color="auto" w:fill="E5DFEC" w:themeFill="accent4" w:themeFillTint="33"/>
            <w:vAlign w:val="center"/>
          </w:tcPr>
          <w:p w:rsidR="00246597" w:rsidRPr="004D0EAB" w:rsidRDefault="00246597" w:rsidP="008B7A61">
            <w:pPr>
              <w:ind w:left="34" w:hanging="34"/>
              <w:jc w:val="center"/>
              <w:rPr>
                <w:rFonts w:ascii="Calibri" w:eastAsia="Times New Roman" w:hAnsi="Calibri" w:cs="Arial"/>
                <w:b/>
                <w:sz w:val="20"/>
                <w:szCs w:val="20"/>
                <w:lang w:eastAsia="en-AU"/>
              </w:rPr>
            </w:pPr>
            <w:r w:rsidRPr="004D0EAB">
              <w:rPr>
                <w:rFonts w:ascii="Calibri" w:eastAsia="Times New Roman" w:hAnsi="Calibri" w:cs="Arial"/>
                <w:b/>
                <w:sz w:val="20"/>
                <w:szCs w:val="20"/>
                <w:lang w:eastAsia="en-AU"/>
              </w:rPr>
              <w:t>3</w:t>
            </w:r>
          </w:p>
        </w:tc>
        <w:tc>
          <w:tcPr>
            <w:tcW w:w="1588" w:type="dxa"/>
            <w:shd w:val="clear" w:color="auto" w:fill="FBD4B4" w:themeFill="accent6" w:themeFillTint="66"/>
          </w:tcPr>
          <w:p w:rsidR="00246597" w:rsidRPr="004D0EAB" w:rsidRDefault="00246597" w:rsidP="008B7A61">
            <w:pPr>
              <w:ind w:left="34" w:hanging="34"/>
              <w:jc w:val="center"/>
              <w:rPr>
                <w:rFonts w:ascii="Calibri" w:eastAsia="Times New Roman" w:hAnsi="Calibri" w:cs="Arial"/>
                <w:b/>
                <w:sz w:val="20"/>
                <w:szCs w:val="20"/>
                <w:lang w:eastAsia="en-AU"/>
              </w:rPr>
            </w:pPr>
            <w:r w:rsidRPr="004D0EAB">
              <w:rPr>
                <w:rFonts w:ascii="Calibri" w:eastAsia="Times New Roman" w:hAnsi="Calibri" w:cs="Arial"/>
                <w:b/>
                <w:sz w:val="20"/>
                <w:szCs w:val="20"/>
                <w:lang w:eastAsia="en-AU"/>
              </w:rPr>
              <w:t>0</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246597" w:rsidRPr="00E7631A" w:rsidRDefault="00246597" w:rsidP="007B2992">
            <w:pPr>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64%</w:t>
            </w:r>
          </w:p>
        </w:tc>
        <w:tc>
          <w:tcPr>
            <w:tcW w:w="1588" w:type="dxa"/>
            <w:shd w:val="clear" w:color="auto" w:fill="DAEEF3" w:themeFill="accent5" w:themeFillTint="33"/>
            <w:vAlign w:val="center"/>
          </w:tcPr>
          <w:p w:rsidR="00246597" w:rsidRPr="004D0EAB" w:rsidRDefault="00246597" w:rsidP="004D0EAB">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22%</w:t>
            </w:r>
          </w:p>
        </w:tc>
        <w:tc>
          <w:tcPr>
            <w:tcW w:w="1588" w:type="dxa"/>
            <w:shd w:val="clear" w:color="auto" w:fill="E5DFEC" w:themeFill="accent4" w:themeFillTint="33"/>
            <w:vAlign w:val="center"/>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100%</w:t>
            </w:r>
          </w:p>
        </w:tc>
        <w:tc>
          <w:tcPr>
            <w:tcW w:w="1588" w:type="dxa"/>
            <w:shd w:val="clear" w:color="auto" w:fill="FBD4B4" w:themeFill="accent6" w:themeFillTint="66"/>
          </w:tcPr>
          <w:p w:rsidR="00246597" w:rsidRPr="004D0EAB" w:rsidRDefault="00246597"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w:t>
            </w:r>
          </w:p>
        </w:tc>
      </w:tr>
      <w:tr w:rsidR="00246597" w:rsidRPr="008B7A61" w:rsidTr="00647A04">
        <w:tc>
          <w:tcPr>
            <w:tcW w:w="4253" w:type="dxa"/>
          </w:tcPr>
          <w:p w:rsidR="00246597" w:rsidRPr="00647A04" w:rsidRDefault="00246597"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246597" w:rsidRPr="00E7631A" w:rsidRDefault="00246597" w:rsidP="00E7631A">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54% / 46%</w:t>
            </w:r>
          </w:p>
        </w:tc>
        <w:tc>
          <w:tcPr>
            <w:tcW w:w="1588" w:type="dxa"/>
            <w:shd w:val="clear" w:color="auto" w:fill="DAEEF3" w:themeFill="accent5" w:themeFillTint="33"/>
            <w:vAlign w:val="center"/>
          </w:tcPr>
          <w:p w:rsidR="00246597" w:rsidRPr="00E7631A" w:rsidRDefault="00246597" w:rsidP="001B06D2">
            <w:pPr>
              <w:ind w:left="34" w:hanging="34"/>
              <w:jc w:val="center"/>
              <w:rPr>
                <w:rFonts w:ascii="Calibri" w:eastAsia="Times New Roman" w:hAnsi="Calibri" w:cs="Arial"/>
                <w:sz w:val="20"/>
                <w:szCs w:val="20"/>
                <w:highlight w:val="green"/>
                <w:lang w:eastAsia="en-AU"/>
              </w:rPr>
            </w:pPr>
            <w:r w:rsidRPr="004D0EAB">
              <w:rPr>
                <w:rFonts w:ascii="Calibri" w:eastAsia="Times New Roman" w:hAnsi="Calibri" w:cs="Arial"/>
                <w:sz w:val="20"/>
                <w:szCs w:val="20"/>
                <w:lang w:eastAsia="en-AU"/>
              </w:rPr>
              <w:t>50% / 50%</w:t>
            </w:r>
          </w:p>
        </w:tc>
        <w:tc>
          <w:tcPr>
            <w:tcW w:w="1588" w:type="dxa"/>
            <w:shd w:val="clear" w:color="auto" w:fill="E5DFEC" w:themeFill="accent4" w:themeFillTint="33"/>
            <w:vAlign w:val="center"/>
          </w:tcPr>
          <w:p w:rsidR="00246597" w:rsidRPr="004D0EAB" w:rsidRDefault="00246597" w:rsidP="004D0EAB">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 / 100%</w:t>
            </w:r>
          </w:p>
        </w:tc>
        <w:tc>
          <w:tcPr>
            <w:tcW w:w="1588" w:type="dxa"/>
            <w:shd w:val="clear" w:color="auto" w:fill="FBD4B4" w:themeFill="accent6" w:themeFillTint="66"/>
          </w:tcPr>
          <w:p w:rsidR="00246597" w:rsidRPr="004D0EAB" w:rsidRDefault="00246597" w:rsidP="00DD1889">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w:t>
            </w:r>
          </w:p>
        </w:tc>
      </w:tr>
    </w:tbl>
    <w:p w:rsidR="00246597" w:rsidRPr="006829B0" w:rsidRDefault="00246597"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246597" w:rsidRPr="00C019C3" w:rsidRDefault="00246597" w:rsidP="00E7631A">
      <w:pPr>
        <w:pStyle w:val="ListParagraph"/>
        <w:spacing w:after="0" w:line="240" w:lineRule="auto"/>
        <w:ind w:left="-426" w:right="-308"/>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w:t>
      </w:r>
      <w:r>
        <w:rPr>
          <w:sz w:val="16"/>
          <w:szCs w:val="16"/>
        </w:rPr>
        <w:br/>
      </w:r>
      <w:r w:rsidRPr="00C019C3">
        <w:rPr>
          <w:sz w:val="16"/>
          <w:szCs w:val="16"/>
        </w:rPr>
        <w:t xml:space="preserve">1 June 2014), </w:t>
      </w:r>
      <w:r w:rsidRPr="00C019C3">
        <w:rPr>
          <w:b/>
          <w:i/>
          <w:sz w:val="16"/>
          <w:szCs w:val="16"/>
        </w:rPr>
        <w:t>SA</w:t>
      </w:r>
      <w:r w:rsidRPr="00C019C3">
        <w:rPr>
          <w:b/>
          <w:sz w:val="16"/>
          <w:szCs w:val="16"/>
        </w:rPr>
        <w:t xml:space="preserve"> </w:t>
      </w:r>
      <w:r w:rsidRPr="00C019C3">
        <w:rPr>
          <w:sz w:val="16"/>
          <w:szCs w:val="16"/>
        </w:rPr>
        <w:t xml:space="preserve"> - </w:t>
      </w:r>
      <w:r>
        <w:rPr>
          <w:sz w:val="16"/>
          <w:szCs w:val="16"/>
        </w:rPr>
        <w:t xml:space="preserve">Far North and Western and </w:t>
      </w:r>
      <w:r w:rsidRPr="00C019C3">
        <w:rPr>
          <w:sz w:val="16"/>
          <w:szCs w:val="16"/>
        </w:rPr>
        <w:t>Eyre</w:t>
      </w:r>
      <w:r>
        <w:rPr>
          <w:sz w:val="16"/>
          <w:szCs w:val="16"/>
        </w:rPr>
        <w:t xml:space="preserve"> and </w:t>
      </w:r>
      <w:r w:rsidRPr="00C019C3">
        <w:rPr>
          <w:sz w:val="16"/>
          <w:szCs w:val="16"/>
        </w:rPr>
        <w:t xml:space="preserve">regions (from 15 November 2016) </w:t>
      </w:r>
      <w:r w:rsidRPr="00C019C3">
        <w:rPr>
          <w:b/>
          <w:sz w:val="16"/>
          <w:szCs w:val="16"/>
        </w:rPr>
        <w:t>OR</w:t>
      </w:r>
      <w:r w:rsidRPr="00C019C3">
        <w:rPr>
          <w:sz w:val="16"/>
          <w:szCs w:val="16"/>
        </w:rPr>
        <w:t xml:space="preserve">,  is a sexual contact of a confirmed outbreak case. </w:t>
      </w:r>
    </w:p>
    <w:p w:rsidR="00246597" w:rsidRPr="00427A81" w:rsidRDefault="00246597"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Pr>
          <w:sz w:val="16"/>
          <w:szCs w:val="16"/>
        </w:rPr>
        <w:br/>
      </w:r>
      <w:r w:rsidRPr="00C019C3">
        <w:rPr>
          <w:sz w:val="16"/>
          <w:szCs w:val="16"/>
        </w:rPr>
        <w:t xml:space="preserve">East Arnhem and Katherine regions in the Northern Territory;  the Kimberley health region in Western Australia, and; </w:t>
      </w:r>
      <w:r>
        <w:rPr>
          <w:sz w:val="16"/>
          <w:szCs w:val="16"/>
        </w:rPr>
        <w:t>Western,</w:t>
      </w:r>
      <w:r w:rsidRPr="00C019C3">
        <w:rPr>
          <w:sz w:val="16"/>
          <w:szCs w:val="16"/>
        </w:rPr>
        <w:t xml:space="preserve"> Eyre</w:t>
      </w:r>
      <w:r>
        <w:rPr>
          <w:sz w:val="16"/>
          <w:szCs w:val="16"/>
        </w:rPr>
        <w:t xml:space="preserve"> and Far North</w:t>
      </w:r>
      <w:r w:rsidRPr="00C019C3">
        <w:rPr>
          <w:sz w:val="16"/>
          <w:szCs w:val="16"/>
        </w:rPr>
        <w:t xml:space="preserve"> regions in</w:t>
      </w:r>
      <w:r>
        <w:rPr>
          <w:sz w:val="16"/>
          <w:szCs w:val="16"/>
        </w:rPr>
        <w:br/>
      </w:r>
      <w:r w:rsidRPr="00C019C3">
        <w:rPr>
          <w:sz w:val="16"/>
          <w:szCs w:val="16"/>
        </w:rPr>
        <w:t xml:space="preserve"> South Australia.</w:t>
      </w:r>
    </w:p>
    <w:p w:rsidR="00246597" w:rsidRDefault="00246597" w:rsidP="00165ADE">
      <w:pPr>
        <w:pStyle w:val="ListParagraph"/>
        <w:spacing w:after="0" w:line="240" w:lineRule="auto"/>
        <w:ind w:left="-567"/>
        <w:contextualSpacing w:val="0"/>
        <w:rPr>
          <w:rFonts w:ascii="Arial" w:hAnsi="Arial" w:cs="Arial"/>
          <w:b/>
          <w:highlight w:val="yellow"/>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246597" w:rsidRDefault="00246597">
      <w:pPr>
        <w:rPr>
          <w:rFonts w:ascii="Arial" w:hAnsi="Arial" w:cs="Arial"/>
          <w:b/>
          <w:sz w:val="28"/>
          <w:szCs w:val="28"/>
        </w:rPr>
      </w:pPr>
      <w:r>
        <w:rPr>
          <w:rFonts w:ascii="Arial" w:hAnsi="Arial" w:cs="Arial"/>
          <w:b/>
          <w:sz w:val="28"/>
          <w:szCs w:val="28"/>
        </w:rPr>
        <w:br w:type="page"/>
      </w:r>
    </w:p>
    <w:p w:rsidR="002F7525" w:rsidRPr="006829B0" w:rsidRDefault="002F7525" w:rsidP="00630D11">
      <w:pPr>
        <w:spacing w:after="0" w:line="240" w:lineRule="auto"/>
        <w:ind w:left="-567" w:right="-613"/>
        <w:rPr>
          <w:rFonts w:ascii="Arial" w:hAnsi="Arial" w:cs="Arial"/>
          <w:b/>
          <w:sz w:val="28"/>
          <w:szCs w:val="28"/>
        </w:rPr>
      </w:pPr>
      <w:r w:rsidRPr="006829B0">
        <w:rPr>
          <w:rFonts w:ascii="Arial" w:hAnsi="Arial" w:cs="Arial"/>
          <w:b/>
          <w:sz w:val="28"/>
          <w:szCs w:val="28"/>
        </w:rPr>
        <w:t>MULTIJURISDICTIONAL SYPHILIS OUTBREAK WORKING GROUP (MJSO)</w:t>
      </w:r>
    </w:p>
    <w:p w:rsidR="002F7525" w:rsidRPr="006829B0" w:rsidRDefault="002F7525" w:rsidP="002F7525">
      <w:pPr>
        <w:spacing w:after="0" w:line="120" w:lineRule="auto"/>
        <w:ind w:left="-567" w:right="-612"/>
        <w:rPr>
          <w:rFonts w:ascii="Arial" w:hAnsi="Arial" w:cs="Arial"/>
          <w:b/>
          <w:sz w:val="28"/>
          <w:szCs w:val="28"/>
        </w:rPr>
      </w:pPr>
    </w:p>
    <w:p w:rsidR="00DC57E5" w:rsidRPr="006829B0" w:rsidRDefault="002F7525" w:rsidP="002F7525">
      <w:pPr>
        <w:spacing w:after="0" w:line="240" w:lineRule="auto"/>
        <w:ind w:left="-567" w:right="-613"/>
        <w:jc w:val="center"/>
        <w:rPr>
          <w:rFonts w:ascii="Arial" w:hAnsi="Arial" w:cs="Arial"/>
          <w:sz w:val="28"/>
          <w:szCs w:val="28"/>
        </w:rPr>
      </w:pPr>
      <w:r w:rsidRPr="006829B0">
        <w:rPr>
          <w:rFonts w:ascii="Arial" w:hAnsi="Arial" w:cs="Arial"/>
          <w:b/>
          <w:sz w:val="28"/>
          <w:szCs w:val="28"/>
        </w:rPr>
        <w:t xml:space="preserve">Meeting </w:t>
      </w:r>
      <w:r w:rsidR="00DC57E5" w:rsidRPr="006829B0">
        <w:rPr>
          <w:rFonts w:ascii="Arial" w:hAnsi="Arial" w:cs="Arial"/>
          <w:b/>
          <w:sz w:val="28"/>
          <w:szCs w:val="28"/>
        </w:rPr>
        <w:t>Communique</w:t>
      </w:r>
      <w:r w:rsidR="00646927" w:rsidRPr="006829B0">
        <w:rPr>
          <w:rFonts w:ascii="Arial" w:hAnsi="Arial" w:cs="Arial"/>
          <w:b/>
          <w:sz w:val="28"/>
          <w:szCs w:val="28"/>
        </w:rPr>
        <w:t xml:space="preserve">, </w:t>
      </w:r>
      <w:r w:rsidR="006441E0">
        <w:rPr>
          <w:rFonts w:ascii="Arial" w:hAnsi="Arial" w:cs="Arial"/>
          <w:b/>
          <w:sz w:val="28"/>
          <w:szCs w:val="28"/>
        </w:rPr>
        <w:t>21</w:t>
      </w:r>
      <w:r w:rsidR="00E7631A">
        <w:rPr>
          <w:rFonts w:ascii="Arial" w:hAnsi="Arial" w:cs="Arial"/>
          <w:b/>
          <w:sz w:val="28"/>
          <w:szCs w:val="28"/>
        </w:rPr>
        <w:t xml:space="preserve"> </w:t>
      </w:r>
      <w:r w:rsidR="006441E0">
        <w:rPr>
          <w:rFonts w:ascii="Arial" w:hAnsi="Arial" w:cs="Arial"/>
          <w:b/>
          <w:sz w:val="28"/>
          <w:szCs w:val="28"/>
        </w:rPr>
        <w:t>December</w:t>
      </w:r>
      <w:r w:rsidR="001022FA">
        <w:rPr>
          <w:rFonts w:ascii="Arial" w:hAnsi="Arial" w:cs="Arial"/>
          <w:b/>
          <w:sz w:val="28"/>
          <w:szCs w:val="28"/>
        </w:rPr>
        <w:t xml:space="preserve"> </w:t>
      </w:r>
      <w:r w:rsidR="003B1FF8" w:rsidRPr="006829B0">
        <w:rPr>
          <w:rFonts w:ascii="Arial" w:hAnsi="Arial" w:cs="Arial"/>
          <w:b/>
          <w:sz w:val="28"/>
          <w:szCs w:val="28"/>
        </w:rPr>
        <w:t>2017</w:t>
      </w:r>
      <w:r w:rsidR="001F22FF" w:rsidRPr="006829B0">
        <w:rPr>
          <w:rFonts w:ascii="Arial" w:hAnsi="Arial" w:cs="Arial"/>
          <w:b/>
          <w:sz w:val="28"/>
          <w:szCs w:val="28"/>
        </w:rPr>
        <w:t xml:space="preserve"> </w:t>
      </w:r>
      <w:r w:rsidR="00246597">
        <w:rPr>
          <w:rFonts w:ascii="Arial" w:hAnsi="Arial" w:cs="Arial"/>
          <w:b/>
          <w:sz w:val="28"/>
          <w:szCs w:val="28"/>
        </w:rPr>
        <w:t>(19</w:t>
      </w:r>
      <w:r w:rsidR="00246597" w:rsidRPr="00246597">
        <w:rPr>
          <w:rFonts w:ascii="Arial" w:hAnsi="Arial" w:cs="Arial"/>
          <w:b/>
          <w:sz w:val="28"/>
          <w:szCs w:val="28"/>
          <w:vertAlign w:val="superscript"/>
        </w:rPr>
        <w:t>th</w:t>
      </w:r>
      <w:r w:rsidR="00246597">
        <w:rPr>
          <w:rFonts w:ascii="Arial" w:hAnsi="Arial" w:cs="Arial"/>
          <w:b/>
          <w:sz w:val="28"/>
          <w:szCs w:val="28"/>
        </w:rPr>
        <w:t xml:space="preserve"> Communique)</w:t>
      </w:r>
    </w:p>
    <w:p w:rsidR="00353031" w:rsidRPr="006829B0" w:rsidRDefault="00353031" w:rsidP="00873960">
      <w:pPr>
        <w:spacing w:after="0" w:line="120" w:lineRule="auto"/>
        <w:ind w:left="-567" w:right="-612"/>
      </w:pPr>
    </w:p>
    <w:p w:rsidR="00353031" w:rsidRPr="006829B0" w:rsidRDefault="00353031" w:rsidP="00907C81">
      <w:pPr>
        <w:spacing w:after="0" w:line="240" w:lineRule="auto"/>
        <w:ind w:left="-567" w:right="-612"/>
        <w:jc w:val="center"/>
        <w:rPr>
          <w:rFonts w:ascii="Arial" w:hAnsi="Arial" w:cs="Arial"/>
          <w:b/>
          <w:sz w:val="24"/>
          <w:szCs w:val="24"/>
        </w:rPr>
      </w:pPr>
      <w:r w:rsidRPr="006829B0">
        <w:rPr>
          <w:rFonts w:ascii="Arial" w:hAnsi="Arial" w:cs="Arial"/>
          <w:b/>
          <w:sz w:val="24"/>
          <w:szCs w:val="24"/>
        </w:rPr>
        <w:t>This communique has been authorised by the chair of the MJSO</w:t>
      </w:r>
      <w:r w:rsidR="00630D11" w:rsidRPr="006829B0">
        <w:rPr>
          <w:rFonts w:ascii="Arial" w:hAnsi="Arial" w:cs="Arial"/>
          <w:b/>
          <w:sz w:val="24"/>
          <w:szCs w:val="24"/>
        </w:rPr>
        <w:t>, Dr Nathan Ryder.</w:t>
      </w:r>
    </w:p>
    <w:p w:rsidR="002F7525" w:rsidRPr="00294EE1" w:rsidRDefault="002F7525" w:rsidP="00372E85">
      <w:pPr>
        <w:spacing w:after="0" w:line="240" w:lineRule="auto"/>
        <w:ind w:right="-613"/>
        <w:rPr>
          <w:rFonts w:ascii="Arial" w:hAnsi="Arial" w:cs="Arial"/>
          <w:sz w:val="20"/>
          <w:szCs w:val="20"/>
          <w:highlight w:val="yellow"/>
        </w:rPr>
      </w:pPr>
    </w:p>
    <w:p w:rsidR="006829B0" w:rsidRDefault="006829B0" w:rsidP="006829B0">
      <w:pPr>
        <w:pStyle w:val="PlainText"/>
        <w:ind w:left="-567"/>
        <w:rPr>
          <w:color w:val="000000" w:themeColor="text1"/>
        </w:rPr>
      </w:pPr>
      <w:r w:rsidRPr="004E075B">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E27FA1">
        <w:rPr>
          <w:rFonts w:cs="Arial"/>
          <w:color w:val="000000" w:themeColor="text1"/>
          <w:szCs w:val="20"/>
        </w:rPr>
        <w:t xml:space="preserve">rural areas of northern Australia. </w:t>
      </w:r>
      <w:r w:rsidRPr="00E27FA1">
        <w:rPr>
          <w:color w:val="000000" w:themeColor="text1"/>
        </w:rPr>
        <w:t xml:space="preserve">Increased notifications associated </w:t>
      </w:r>
      <w:r w:rsidRPr="00B35B4A">
        <w:rPr>
          <w:color w:val="000000" w:themeColor="text1"/>
        </w:rPr>
        <w:t xml:space="preserve">with the outbreak in northern Australia were first reported in January 2011 in northwest Queensland, followed by the Northern Territory (NT) in July 2013, and the Kimberley region of Western Australia (WA) in </w:t>
      </w:r>
      <w:r w:rsidRPr="00B35B4A">
        <w:rPr>
          <w:color w:val="000000" w:themeColor="text1"/>
        </w:rPr>
        <w:br/>
        <w:t xml:space="preserve">June </w:t>
      </w:r>
      <w:r w:rsidRPr="00C019C3">
        <w:rPr>
          <w:color w:val="000000" w:themeColor="text1"/>
        </w:rPr>
        <w:t>2014. In March 2017, South Australia (SA) decla</w:t>
      </w:r>
      <w:r w:rsidR="004D0EAB">
        <w:rPr>
          <w:color w:val="000000" w:themeColor="text1"/>
        </w:rPr>
        <w:t>red an outbreak in the Western and</w:t>
      </w:r>
      <w:r w:rsidR="00707254">
        <w:rPr>
          <w:color w:val="000000" w:themeColor="text1"/>
        </w:rPr>
        <w:t xml:space="preserve"> </w:t>
      </w:r>
      <w:r w:rsidRPr="00C019C3">
        <w:rPr>
          <w:color w:val="000000" w:themeColor="text1"/>
        </w:rPr>
        <w:t>Eyre</w:t>
      </w:r>
      <w:r w:rsidR="00707254">
        <w:rPr>
          <w:color w:val="000000" w:themeColor="text1"/>
        </w:rPr>
        <w:t xml:space="preserve"> and Far North</w:t>
      </w:r>
      <w:r w:rsidRPr="00C019C3">
        <w:rPr>
          <w:color w:val="000000" w:themeColor="text1"/>
        </w:rPr>
        <w:t xml:space="preserve"> regions from November 2016.</w:t>
      </w:r>
    </w:p>
    <w:p w:rsidR="00202507" w:rsidRPr="00294EE1" w:rsidRDefault="00202507" w:rsidP="00C55AC7">
      <w:pPr>
        <w:pStyle w:val="PlainText"/>
        <w:ind w:left="-567"/>
        <w:rPr>
          <w:color w:val="000000" w:themeColor="text1"/>
          <w:highlight w:val="yellow"/>
        </w:rPr>
      </w:pPr>
    </w:p>
    <w:p w:rsidR="00E050FE" w:rsidRPr="006829B0" w:rsidRDefault="00FC4048" w:rsidP="00C55AC7">
      <w:pPr>
        <w:pStyle w:val="PlainText"/>
        <w:ind w:left="-567"/>
      </w:pPr>
      <w:r w:rsidRPr="006829B0">
        <w:rPr>
          <w:color w:val="000000" w:themeColor="text1"/>
        </w:rPr>
        <w:t xml:space="preserve">This communique summarises the </w:t>
      </w:r>
      <w:r w:rsidR="006D7EDC" w:rsidRPr="006829B0">
        <w:rPr>
          <w:color w:val="000000" w:themeColor="text1"/>
        </w:rPr>
        <w:t xml:space="preserve">outbreak </w:t>
      </w:r>
      <w:r w:rsidR="00DC456E" w:rsidRPr="006829B0">
        <w:rPr>
          <w:color w:val="000000" w:themeColor="text1"/>
        </w:rPr>
        <w:t xml:space="preserve">epidemiological data as of </w:t>
      </w:r>
      <w:r w:rsidR="006441E0">
        <w:rPr>
          <w:color w:val="000000" w:themeColor="text1"/>
        </w:rPr>
        <w:t>21</w:t>
      </w:r>
      <w:r w:rsidR="00E7631A">
        <w:rPr>
          <w:color w:val="000000" w:themeColor="text1"/>
        </w:rPr>
        <w:t xml:space="preserve"> </w:t>
      </w:r>
      <w:r w:rsidR="006441E0">
        <w:rPr>
          <w:color w:val="000000" w:themeColor="text1"/>
        </w:rPr>
        <w:t>December</w:t>
      </w:r>
      <w:r w:rsidR="001022FA">
        <w:rPr>
          <w:color w:val="000000" w:themeColor="text1"/>
        </w:rPr>
        <w:t xml:space="preserve"> </w:t>
      </w:r>
      <w:r w:rsidR="003B1FF8" w:rsidRPr="006829B0">
        <w:rPr>
          <w:color w:val="000000" w:themeColor="text1"/>
        </w:rPr>
        <w:t>2017</w:t>
      </w:r>
      <w:r w:rsidR="004E075B" w:rsidRPr="006829B0">
        <w:rPr>
          <w:color w:val="000000" w:themeColor="text1"/>
        </w:rPr>
        <w:t xml:space="preserve"> (current status</w:t>
      </w:r>
      <w:r w:rsidR="00B0465E">
        <w:rPr>
          <w:color w:val="000000" w:themeColor="text1"/>
        </w:rPr>
        <w:t>)</w:t>
      </w:r>
      <w:r w:rsidR="00646927" w:rsidRPr="006829B0">
        <w:rPr>
          <w:color w:val="000000" w:themeColor="text1"/>
        </w:rPr>
        <w:t>.</w:t>
      </w:r>
    </w:p>
    <w:p w:rsidR="0037506D" w:rsidRPr="006829B0" w:rsidRDefault="0037506D" w:rsidP="00094607">
      <w:pPr>
        <w:spacing w:after="0" w:line="180" w:lineRule="auto"/>
        <w:ind w:right="261"/>
        <w:jc w:val="both"/>
        <w:rPr>
          <w:rFonts w:ascii="Arial" w:hAnsi="Arial" w:cs="Arial"/>
          <w:sz w:val="20"/>
          <w:szCs w:val="20"/>
        </w:rPr>
      </w:pPr>
    </w:p>
    <w:p w:rsidR="004E075B" w:rsidRPr="006829B0" w:rsidRDefault="0037506D" w:rsidP="004E075B">
      <w:pPr>
        <w:spacing w:after="0" w:line="240" w:lineRule="auto"/>
        <w:ind w:left="-567" w:right="261"/>
        <w:jc w:val="both"/>
        <w:rPr>
          <w:rFonts w:ascii="Arial" w:hAnsi="Arial" w:cs="Arial"/>
          <w:b/>
        </w:rPr>
      </w:pPr>
      <w:r w:rsidRPr="006829B0">
        <w:rPr>
          <w:rFonts w:ascii="Arial" w:hAnsi="Arial" w:cs="Arial"/>
          <w:b/>
        </w:rPr>
        <w:t>Current status</w:t>
      </w:r>
    </w:p>
    <w:p w:rsidR="009C3C6F" w:rsidRPr="006829B0" w:rsidRDefault="009C3C6F" w:rsidP="004E075B">
      <w:pPr>
        <w:spacing w:after="0" w:line="240" w:lineRule="auto"/>
        <w:ind w:left="-567" w:right="261"/>
        <w:jc w:val="both"/>
        <w:rPr>
          <w:rFonts w:ascii="Arial" w:hAnsi="Arial" w:cs="Arial"/>
          <w:sz w:val="20"/>
          <w:szCs w:val="20"/>
        </w:rPr>
      </w:pPr>
      <w:r w:rsidRPr="006829B0">
        <w:rPr>
          <w:rFonts w:ascii="Arial" w:hAnsi="Arial" w:cs="Arial"/>
          <w:sz w:val="20"/>
          <w:szCs w:val="20"/>
        </w:rPr>
        <w:t xml:space="preserve">Outbreak data to </w:t>
      </w:r>
      <w:r w:rsidR="006829B0" w:rsidRPr="006829B0">
        <w:rPr>
          <w:rFonts w:ascii="Arial" w:hAnsi="Arial" w:cs="Arial"/>
          <w:sz w:val="20"/>
          <w:szCs w:val="20"/>
        </w:rPr>
        <w:t>3</w:t>
      </w:r>
      <w:r w:rsidR="006441E0">
        <w:rPr>
          <w:rFonts w:ascii="Arial" w:hAnsi="Arial" w:cs="Arial"/>
          <w:sz w:val="20"/>
          <w:szCs w:val="20"/>
        </w:rPr>
        <w:t>0</w:t>
      </w:r>
      <w:r w:rsidR="00350C8C">
        <w:rPr>
          <w:rFonts w:ascii="Arial" w:hAnsi="Arial" w:cs="Arial"/>
          <w:sz w:val="20"/>
          <w:szCs w:val="20"/>
        </w:rPr>
        <w:t xml:space="preserve"> </w:t>
      </w:r>
      <w:r w:rsidR="006441E0">
        <w:rPr>
          <w:rFonts w:ascii="Arial" w:hAnsi="Arial" w:cs="Arial"/>
          <w:sz w:val="20"/>
          <w:szCs w:val="20"/>
        </w:rPr>
        <w:t>November</w:t>
      </w:r>
      <w:r w:rsidR="00907C81">
        <w:rPr>
          <w:rFonts w:ascii="Arial" w:hAnsi="Arial" w:cs="Arial"/>
          <w:sz w:val="20"/>
          <w:szCs w:val="20"/>
        </w:rPr>
        <w:t xml:space="preserve"> </w:t>
      </w:r>
      <w:r w:rsidR="003B1FF8" w:rsidRPr="006829B0">
        <w:rPr>
          <w:rFonts w:ascii="Arial" w:hAnsi="Arial" w:cs="Arial"/>
          <w:sz w:val="20"/>
          <w:szCs w:val="20"/>
        </w:rPr>
        <w:t>2017</w:t>
      </w:r>
      <w:r w:rsidRPr="006829B0">
        <w:rPr>
          <w:rFonts w:ascii="Arial" w:hAnsi="Arial" w:cs="Arial"/>
          <w:sz w:val="20"/>
          <w:szCs w:val="20"/>
        </w:rPr>
        <w:t xml:space="preserve"> are summarised in Figure 1 and Table 1 below.</w:t>
      </w:r>
    </w:p>
    <w:p w:rsidR="00A34CE9" w:rsidRPr="006829B0" w:rsidRDefault="00A34CE9" w:rsidP="00094607">
      <w:pPr>
        <w:spacing w:after="0" w:line="240" w:lineRule="auto"/>
        <w:ind w:left="-567" w:right="261"/>
        <w:jc w:val="both"/>
        <w:rPr>
          <w:rFonts w:ascii="Arial" w:hAnsi="Arial" w:cs="Arial"/>
          <w:sz w:val="20"/>
          <w:szCs w:val="20"/>
        </w:rPr>
      </w:pPr>
    </w:p>
    <w:p w:rsidR="00035C8C" w:rsidRDefault="006441E0" w:rsidP="003E5666">
      <w:pPr>
        <w:spacing w:after="0" w:line="240" w:lineRule="auto"/>
        <w:ind w:left="-567" w:right="-306"/>
        <w:rPr>
          <w:rFonts w:ascii="Arial" w:hAnsi="Arial" w:cs="Arial"/>
          <w:sz w:val="20"/>
          <w:szCs w:val="20"/>
        </w:rPr>
      </w:pPr>
      <w:r>
        <w:rPr>
          <w:rFonts w:ascii="Arial" w:hAnsi="Arial" w:cs="Arial"/>
          <w:noProof/>
          <w:sz w:val="20"/>
          <w:szCs w:val="20"/>
          <w:lang w:eastAsia="en-AU"/>
        </w:rPr>
        <w:drawing>
          <wp:anchor distT="0" distB="0" distL="114300" distR="114300" simplePos="0" relativeHeight="251658240" behindDoc="0" locked="0" layoutInCell="1" allowOverlap="1" wp14:anchorId="212794FA" wp14:editId="068B0FDE">
            <wp:simplePos x="0" y="0"/>
            <wp:positionH relativeFrom="column">
              <wp:posOffset>-428625</wp:posOffset>
            </wp:positionH>
            <wp:positionV relativeFrom="paragraph">
              <wp:posOffset>559435</wp:posOffset>
            </wp:positionV>
            <wp:extent cx="6610350" cy="2590800"/>
            <wp:effectExtent l="0" t="0" r="0" b="0"/>
            <wp:wrapSquare wrapText="bothSides"/>
            <wp:docPr id="2" name="Picture 2" descr="Epidemic curve showing outbreak cases of infectious syphilis notified in affected regions of Queensland,&#10;the Northern Territory, Western Australia and South Australia from commencement of the outbreak in each jurisdiction to 30 November 2017" title="Image displays outbreak data to 30 Nov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0350" cy="2590800"/>
                    </a:xfrm>
                    <a:prstGeom prst="rect">
                      <a:avLst/>
                    </a:prstGeom>
                    <a:noFill/>
                  </pic:spPr>
                </pic:pic>
              </a:graphicData>
            </a:graphic>
            <wp14:sizeRelH relativeFrom="page">
              <wp14:pctWidth>0</wp14:pctWidth>
            </wp14:sizeRelH>
            <wp14:sizeRelV relativeFrom="page">
              <wp14:pctHeight>0</wp14:pctHeight>
            </wp14:sizeRelV>
          </wp:anchor>
        </w:drawing>
      </w:r>
      <w:r w:rsidR="00C55AC7" w:rsidRPr="006829B0">
        <w:rPr>
          <w:rFonts w:ascii="Arial" w:hAnsi="Arial" w:cs="Arial"/>
          <w:b/>
          <w:sz w:val="20"/>
          <w:szCs w:val="20"/>
        </w:rPr>
        <w:t>Figure 1</w:t>
      </w:r>
      <w:r w:rsidR="00C55AC7" w:rsidRPr="006829B0">
        <w:rPr>
          <w:rFonts w:ascii="Arial" w:hAnsi="Arial" w:cs="Arial"/>
          <w:sz w:val="20"/>
          <w:szCs w:val="20"/>
        </w:rPr>
        <w:t>. Epidemic curve showing outbreak cases of infectious syphilis</w:t>
      </w:r>
      <w:r w:rsidR="00C55AC7" w:rsidRPr="006829B0">
        <w:rPr>
          <w:rFonts w:ascii="Arial" w:hAnsi="Arial" w:cs="Arial"/>
          <w:sz w:val="20"/>
          <w:szCs w:val="20"/>
          <w:vertAlign w:val="superscript"/>
        </w:rPr>
        <w:t>α</w:t>
      </w:r>
      <w:r w:rsidR="00C55AC7" w:rsidRPr="006829B0">
        <w:rPr>
          <w:rFonts w:ascii="Arial" w:hAnsi="Arial" w:cs="Arial"/>
          <w:sz w:val="20"/>
          <w:szCs w:val="20"/>
        </w:rPr>
        <w:t xml:space="preserve"> notified in affected regions</w:t>
      </w:r>
      <w:r w:rsidR="00C55AC7" w:rsidRPr="006829B0">
        <w:rPr>
          <w:rFonts w:ascii="Arial" w:hAnsi="Arial" w:cs="Arial"/>
          <w:sz w:val="20"/>
          <w:szCs w:val="20"/>
          <w:vertAlign w:val="superscript"/>
        </w:rPr>
        <w:t>β</w:t>
      </w:r>
      <w:r w:rsidR="00C55AC7" w:rsidRPr="006829B0">
        <w:rPr>
          <w:rFonts w:ascii="Arial" w:hAnsi="Arial" w:cs="Arial"/>
          <w:sz w:val="20"/>
          <w:szCs w:val="20"/>
        </w:rPr>
        <w:t xml:space="preserve"> of Queensl</w:t>
      </w:r>
      <w:r w:rsidR="001541C8" w:rsidRPr="006829B0">
        <w:rPr>
          <w:rFonts w:ascii="Arial" w:hAnsi="Arial" w:cs="Arial"/>
          <w:sz w:val="20"/>
          <w:szCs w:val="20"/>
        </w:rPr>
        <w:t>and</w:t>
      </w:r>
      <w:proofErr w:type="gramStart"/>
      <w:r w:rsidR="001541C8" w:rsidRPr="006829B0">
        <w:rPr>
          <w:rFonts w:ascii="Arial" w:hAnsi="Arial" w:cs="Arial"/>
          <w:sz w:val="20"/>
          <w:szCs w:val="20"/>
        </w:rPr>
        <w:t>,</w:t>
      </w:r>
      <w:proofErr w:type="gramEnd"/>
      <w:r w:rsidR="008B7A61">
        <w:rPr>
          <w:rFonts w:ascii="Arial" w:hAnsi="Arial" w:cs="Arial"/>
          <w:sz w:val="20"/>
          <w:szCs w:val="20"/>
        </w:rPr>
        <w:br/>
      </w:r>
      <w:r w:rsidR="001541C8" w:rsidRPr="006829B0">
        <w:rPr>
          <w:rFonts w:ascii="Arial" w:hAnsi="Arial" w:cs="Arial"/>
          <w:sz w:val="20"/>
          <w:szCs w:val="20"/>
        </w:rPr>
        <w:t xml:space="preserve">the Northern Territory, </w:t>
      </w:r>
      <w:r w:rsidR="00EC732E" w:rsidRPr="006829B0">
        <w:rPr>
          <w:rFonts w:ascii="Arial" w:hAnsi="Arial" w:cs="Arial"/>
          <w:sz w:val="20"/>
          <w:szCs w:val="20"/>
        </w:rPr>
        <w:t>Western Australia</w:t>
      </w:r>
      <w:r w:rsidR="00E572C9">
        <w:rPr>
          <w:rFonts w:ascii="Arial" w:hAnsi="Arial" w:cs="Arial"/>
          <w:sz w:val="20"/>
          <w:szCs w:val="20"/>
        </w:rPr>
        <w:t xml:space="preserve"> and South Australia</w:t>
      </w:r>
      <w:r w:rsidR="00EC732E" w:rsidRPr="006829B0">
        <w:rPr>
          <w:rFonts w:ascii="Arial" w:hAnsi="Arial" w:cs="Arial"/>
          <w:sz w:val="20"/>
          <w:szCs w:val="20"/>
        </w:rPr>
        <w:t xml:space="preserve"> </w:t>
      </w:r>
      <w:r w:rsidR="00C55AC7" w:rsidRPr="006829B0">
        <w:rPr>
          <w:rFonts w:ascii="Arial" w:hAnsi="Arial" w:cs="Arial"/>
          <w:sz w:val="20"/>
          <w:szCs w:val="20"/>
        </w:rPr>
        <w:t>from commencement of the o</w:t>
      </w:r>
      <w:r w:rsidR="00EC732E" w:rsidRPr="006829B0">
        <w:rPr>
          <w:rFonts w:ascii="Arial" w:hAnsi="Arial" w:cs="Arial"/>
          <w:sz w:val="20"/>
          <w:szCs w:val="20"/>
        </w:rPr>
        <w:t xml:space="preserve">utbreak in each jurisdiction to </w:t>
      </w:r>
      <w:r w:rsidR="006829B0" w:rsidRPr="006829B0">
        <w:rPr>
          <w:rFonts w:ascii="Arial" w:hAnsi="Arial" w:cs="Arial"/>
          <w:sz w:val="20"/>
          <w:szCs w:val="20"/>
        </w:rPr>
        <w:t>3</w:t>
      </w:r>
      <w:r>
        <w:rPr>
          <w:rFonts w:ascii="Arial" w:hAnsi="Arial" w:cs="Arial"/>
          <w:sz w:val="20"/>
          <w:szCs w:val="20"/>
        </w:rPr>
        <w:t>0</w:t>
      </w:r>
      <w:r w:rsidR="001022FA">
        <w:rPr>
          <w:rFonts w:ascii="Arial" w:hAnsi="Arial" w:cs="Arial"/>
          <w:sz w:val="20"/>
          <w:szCs w:val="20"/>
        </w:rPr>
        <w:t xml:space="preserve"> </w:t>
      </w:r>
      <w:r>
        <w:rPr>
          <w:rFonts w:ascii="Arial" w:hAnsi="Arial" w:cs="Arial"/>
          <w:sz w:val="20"/>
          <w:szCs w:val="20"/>
        </w:rPr>
        <w:t>November</w:t>
      </w:r>
      <w:r w:rsidR="008B7A61">
        <w:rPr>
          <w:rFonts w:ascii="Arial" w:hAnsi="Arial" w:cs="Arial"/>
          <w:sz w:val="20"/>
          <w:szCs w:val="20"/>
        </w:rPr>
        <w:t xml:space="preserve"> </w:t>
      </w:r>
      <w:r w:rsidR="003B1FF8" w:rsidRPr="006829B0">
        <w:rPr>
          <w:rFonts w:ascii="Arial" w:hAnsi="Arial" w:cs="Arial"/>
          <w:sz w:val="20"/>
          <w:szCs w:val="20"/>
        </w:rPr>
        <w:t>2017</w:t>
      </w:r>
      <w:r w:rsidR="00C55AC7" w:rsidRPr="006829B0">
        <w:rPr>
          <w:rFonts w:ascii="Arial" w:hAnsi="Arial" w:cs="Arial"/>
          <w:sz w:val="20"/>
          <w:szCs w:val="20"/>
          <w:vertAlign w:val="superscript"/>
        </w:rPr>
        <w:t>ᵞ</w:t>
      </w:r>
      <w:r w:rsidR="00C55AC7" w:rsidRPr="006829B0">
        <w:rPr>
          <w:rFonts w:ascii="Arial" w:hAnsi="Arial" w:cs="Arial"/>
          <w:sz w:val="20"/>
          <w:szCs w:val="20"/>
        </w:rPr>
        <w:t>.</w:t>
      </w:r>
    </w:p>
    <w:p w:rsidR="000E159A" w:rsidRDefault="000E159A" w:rsidP="003E5666">
      <w:pPr>
        <w:spacing w:after="0" w:line="240" w:lineRule="auto"/>
        <w:ind w:left="-567" w:right="-306"/>
        <w:rPr>
          <w:rFonts w:ascii="Arial" w:hAnsi="Arial" w:cs="Arial"/>
          <w:sz w:val="20"/>
          <w:szCs w:val="20"/>
        </w:rPr>
      </w:pPr>
    </w:p>
    <w:p w:rsidR="00094607" w:rsidRDefault="0037506D" w:rsidP="00094607">
      <w:pPr>
        <w:spacing w:after="0" w:line="240" w:lineRule="auto"/>
        <w:ind w:left="-567"/>
        <w:rPr>
          <w:rFonts w:ascii="Arial" w:hAnsi="Arial" w:cs="Arial"/>
          <w:sz w:val="20"/>
          <w:szCs w:val="20"/>
        </w:rPr>
      </w:pPr>
      <w:r w:rsidRPr="00427A81">
        <w:rPr>
          <w:rFonts w:ascii="Arial" w:hAnsi="Arial" w:cs="Arial"/>
          <w:b/>
          <w:sz w:val="20"/>
          <w:szCs w:val="20"/>
        </w:rPr>
        <w:t>Table 1</w:t>
      </w:r>
      <w:r w:rsidRPr="00427A81">
        <w:rPr>
          <w:rFonts w:ascii="Arial" w:hAnsi="Arial" w:cs="Arial"/>
          <w:sz w:val="20"/>
          <w:szCs w:val="20"/>
        </w:rPr>
        <w:t>.</w:t>
      </w:r>
      <w:r w:rsidRPr="00427A81">
        <w:rPr>
          <w:rFonts w:ascii="Arial" w:hAnsi="Arial" w:cs="Arial"/>
          <w:b/>
          <w:sz w:val="20"/>
          <w:szCs w:val="20"/>
        </w:rPr>
        <w:t xml:space="preserve"> </w:t>
      </w:r>
      <w:r w:rsidR="004E075B" w:rsidRPr="00427A81">
        <w:rPr>
          <w:rFonts w:ascii="Arial" w:hAnsi="Arial" w:cs="Arial"/>
          <w:sz w:val="20"/>
          <w:szCs w:val="20"/>
        </w:rPr>
        <w:t>Characteristics of o</w:t>
      </w:r>
      <w:r w:rsidR="00CC111F" w:rsidRPr="00427A81">
        <w:rPr>
          <w:rFonts w:ascii="Arial" w:hAnsi="Arial" w:cs="Arial"/>
          <w:sz w:val="20"/>
          <w:szCs w:val="20"/>
        </w:rPr>
        <w:t>utbreak c</w:t>
      </w:r>
      <w:r w:rsidR="00FD71F0" w:rsidRPr="00427A81">
        <w:rPr>
          <w:rFonts w:ascii="Arial" w:hAnsi="Arial" w:cs="Arial"/>
          <w:sz w:val="20"/>
          <w:szCs w:val="20"/>
        </w:rPr>
        <w:t xml:space="preserve">ases of infectious syphilis notified </w:t>
      </w:r>
      <w:r w:rsidR="000E032B" w:rsidRPr="00427A81">
        <w:rPr>
          <w:rFonts w:ascii="Arial" w:hAnsi="Arial" w:cs="Arial"/>
          <w:sz w:val="20"/>
          <w:szCs w:val="20"/>
        </w:rPr>
        <w:t>in affected regions of Queensland, the Northern Territory</w:t>
      </w:r>
      <w:r w:rsidR="00E572C9">
        <w:rPr>
          <w:rFonts w:ascii="Arial" w:hAnsi="Arial" w:cs="Arial"/>
          <w:sz w:val="20"/>
          <w:szCs w:val="20"/>
        </w:rPr>
        <w:t>,</w:t>
      </w:r>
      <w:r w:rsidR="000E032B" w:rsidRPr="00427A81">
        <w:rPr>
          <w:rFonts w:ascii="Arial" w:hAnsi="Arial" w:cs="Arial"/>
          <w:sz w:val="20"/>
          <w:szCs w:val="20"/>
        </w:rPr>
        <w:t xml:space="preserve"> Western Australia</w:t>
      </w:r>
      <w:r w:rsidR="00E572C9">
        <w:rPr>
          <w:rFonts w:ascii="Arial" w:hAnsi="Arial" w:cs="Arial"/>
          <w:sz w:val="20"/>
          <w:szCs w:val="20"/>
        </w:rPr>
        <w:t xml:space="preserve"> and South Australia</w:t>
      </w:r>
      <w:r w:rsidR="000E032B" w:rsidRPr="00427A81">
        <w:rPr>
          <w:rFonts w:ascii="Arial" w:hAnsi="Arial" w:cs="Arial"/>
          <w:sz w:val="20"/>
          <w:szCs w:val="20"/>
        </w:rPr>
        <w:t xml:space="preserve">, to </w:t>
      </w:r>
      <w:r w:rsidR="00722EA8" w:rsidRPr="00427A81">
        <w:rPr>
          <w:rFonts w:ascii="Arial" w:hAnsi="Arial" w:cs="Arial"/>
          <w:sz w:val="20"/>
          <w:szCs w:val="20"/>
        </w:rPr>
        <w:t>3</w:t>
      </w:r>
      <w:r w:rsidR="006441E0">
        <w:rPr>
          <w:rFonts w:ascii="Arial" w:hAnsi="Arial" w:cs="Arial"/>
          <w:sz w:val="20"/>
          <w:szCs w:val="20"/>
        </w:rPr>
        <w:t>0</w:t>
      </w:r>
      <w:r w:rsidR="001022FA">
        <w:rPr>
          <w:rFonts w:ascii="Arial" w:hAnsi="Arial" w:cs="Arial"/>
          <w:sz w:val="20"/>
          <w:szCs w:val="20"/>
        </w:rPr>
        <w:t xml:space="preserve"> </w:t>
      </w:r>
      <w:r w:rsidR="006441E0">
        <w:rPr>
          <w:rFonts w:ascii="Arial" w:hAnsi="Arial" w:cs="Arial"/>
          <w:sz w:val="20"/>
          <w:szCs w:val="20"/>
        </w:rPr>
        <w:t>November</w:t>
      </w:r>
      <w:r w:rsidR="00B3597C" w:rsidRPr="00427A81">
        <w:rPr>
          <w:rFonts w:ascii="Arial" w:hAnsi="Arial" w:cs="Arial"/>
          <w:sz w:val="20"/>
          <w:szCs w:val="20"/>
        </w:rPr>
        <w:t xml:space="preserve"> </w:t>
      </w:r>
      <w:r w:rsidR="000E032B" w:rsidRPr="00427A81">
        <w:rPr>
          <w:rFonts w:ascii="Arial" w:hAnsi="Arial" w:cs="Arial"/>
          <w:sz w:val="20"/>
          <w:szCs w:val="20"/>
        </w:rPr>
        <w:t>201</w:t>
      </w:r>
      <w:r w:rsidR="00722EA8" w:rsidRPr="00427A81">
        <w:rPr>
          <w:rFonts w:ascii="Arial" w:hAnsi="Arial" w:cs="Arial"/>
          <w:sz w:val="20"/>
          <w:szCs w:val="20"/>
        </w:rPr>
        <w:t>7</w:t>
      </w:r>
      <w:r w:rsidR="000E032B" w:rsidRPr="00427A81">
        <w:rPr>
          <w:rFonts w:ascii="Arial" w:hAnsi="Arial" w:cs="Arial"/>
          <w:sz w:val="20"/>
          <w:szCs w:val="20"/>
          <w:vertAlign w:val="superscript"/>
        </w:rPr>
        <w:t>ᵞ</w:t>
      </w:r>
      <w:r w:rsidR="000E032B" w:rsidRPr="00427A81">
        <w:rPr>
          <w:rFonts w:ascii="Arial" w:hAnsi="Arial" w:cs="Arial"/>
          <w:sz w:val="20"/>
          <w:szCs w:val="20"/>
        </w:rPr>
        <w:t>.</w:t>
      </w:r>
    </w:p>
    <w:tbl>
      <w:tblPr>
        <w:tblStyle w:val="TableGrid12"/>
        <w:tblW w:w="10288" w:type="dxa"/>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7"/>
        <w:gridCol w:w="1542"/>
        <w:gridCol w:w="1543"/>
        <w:gridCol w:w="1543"/>
        <w:gridCol w:w="1543"/>
      </w:tblGrid>
      <w:tr w:rsidR="008B7A61" w:rsidRPr="008B7A61" w:rsidTr="00647A04">
        <w:trPr>
          <w:tblHeader/>
        </w:trPr>
        <w:tc>
          <w:tcPr>
            <w:tcW w:w="4253" w:type="dxa"/>
            <w:tcBorders>
              <w:bottom w:val="single" w:sz="4" w:space="0" w:color="auto"/>
            </w:tcBorders>
          </w:tcPr>
          <w:p w:rsidR="008B7A61" w:rsidRPr="00647A04" w:rsidRDefault="008B7A61" w:rsidP="008B7A61">
            <w:pPr>
              <w:ind w:left="34" w:hanging="34"/>
              <w:rPr>
                <w:rFonts w:ascii="Calibri" w:eastAsia="Times New Roman" w:hAnsi="Calibri" w:cs="Arial"/>
                <w:sz w:val="20"/>
                <w:szCs w:val="20"/>
                <w:lang w:eastAsia="en-AU"/>
              </w:rPr>
            </w:pPr>
          </w:p>
        </w:tc>
        <w:tc>
          <w:tcPr>
            <w:tcW w:w="1588" w:type="dxa"/>
            <w:tcBorders>
              <w:bottom w:val="single" w:sz="4" w:space="0" w:color="auto"/>
            </w:tcBorders>
            <w:shd w:val="clear" w:color="auto" w:fill="C6D9F1" w:themeFill="text2" w:themeFillTint="33"/>
          </w:tcPr>
          <w:p w:rsidR="008B7A61" w:rsidRPr="00647A04" w:rsidRDefault="008B7A61"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shd w:val="clear" w:color="auto" w:fill="C6D9F1" w:themeFill="text2" w:themeFillTint="33"/>
                <w:lang w:eastAsia="en-AU"/>
              </w:rPr>
              <w:t xml:space="preserve">North Qld </w:t>
            </w:r>
            <w:r w:rsidRPr="00647A04">
              <w:rPr>
                <w:rFonts w:ascii="Calibri" w:eastAsia="Times New Roman" w:hAnsi="Calibri" w:cs="Arial"/>
                <w:b/>
                <w:sz w:val="20"/>
                <w:szCs w:val="20"/>
                <w:shd w:val="clear" w:color="auto" w:fill="C6D9F1" w:themeFill="text2" w:themeFillTint="33"/>
                <w:lang w:eastAsia="en-AU"/>
              </w:rPr>
              <w:br/>
            </w:r>
            <w:r w:rsidRPr="00647A04">
              <w:rPr>
                <w:rFonts w:ascii="Calibri" w:eastAsia="Times New Roman" w:hAnsi="Calibri" w:cs="Arial"/>
                <w:sz w:val="20"/>
                <w:szCs w:val="20"/>
                <w:shd w:val="clear" w:color="auto" w:fill="C6D9F1" w:themeFill="text2" w:themeFillTint="33"/>
                <w:lang w:eastAsia="en-AU"/>
              </w:rPr>
              <w:t>(four HHSs</w:t>
            </w:r>
            <w:r w:rsidRPr="00647A04">
              <w:rPr>
                <w:rFonts w:ascii="Calibri" w:eastAsia="Times New Roman" w:hAnsi="Calibri" w:cs="Arial"/>
                <w:sz w:val="20"/>
                <w:szCs w:val="20"/>
                <w:shd w:val="clear" w:color="auto" w:fill="C6D9F1" w:themeFill="text2" w:themeFillTint="33"/>
                <w:vertAlign w:val="superscript"/>
                <w:lang w:eastAsia="en-AU"/>
              </w:rPr>
              <w:t>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DAEEF3" w:themeFill="accent5" w:themeFillTint="33"/>
          </w:tcPr>
          <w:p w:rsidR="008B7A61" w:rsidRPr="00647A04" w:rsidRDefault="008B7A61"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 xml:space="preserve">NT </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(four regions</w:t>
            </w:r>
            <w:r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c>
          <w:tcPr>
            <w:tcW w:w="1588" w:type="dxa"/>
            <w:tcBorders>
              <w:bottom w:val="single" w:sz="4" w:space="0" w:color="auto"/>
            </w:tcBorders>
            <w:shd w:val="clear" w:color="auto" w:fill="E5DFEC" w:themeFill="accent4" w:themeFillTint="33"/>
          </w:tcPr>
          <w:p w:rsidR="008B7A61" w:rsidRPr="00647A04" w:rsidRDefault="008B7A61"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WA</w:t>
            </w:r>
            <w:r w:rsidRPr="00647A04">
              <w:rPr>
                <w:rFonts w:ascii="Calibri" w:eastAsia="Times New Roman" w:hAnsi="Calibri" w:cs="Arial"/>
                <w:b/>
                <w:sz w:val="20"/>
                <w:szCs w:val="20"/>
                <w:lang w:eastAsia="en-AU"/>
              </w:rPr>
              <w:br/>
            </w:r>
            <w:r w:rsidRPr="00647A04">
              <w:rPr>
                <w:rFonts w:ascii="Calibri" w:eastAsia="Times New Roman" w:hAnsi="Calibri" w:cs="Arial"/>
                <w:sz w:val="20"/>
                <w:szCs w:val="20"/>
                <w:lang w:eastAsia="en-AU"/>
              </w:rPr>
              <w:t xml:space="preserve"> (Kimberley region)</w:t>
            </w:r>
          </w:p>
        </w:tc>
        <w:tc>
          <w:tcPr>
            <w:tcW w:w="1588" w:type="dxa"/>
            <w:tcBorders>
              <w:bottom w:val="single" w:sz="4" w:space="0" w:color="auto"/>
            </w:tcBorders>
            <w:shd w:val="clear" w:color="auto" w:fill="FBD4B4" w:themeFill="accent6" w:themeFillTint="66"/>
          </w:tcPr>
          <w:p w:rsidR="008B7A61" w:rsidRPr="00647A04" w:rsidRDefault="008B7A61" w:rsidP="008B7A61">
            <w:pPr>
              <w:ind w:left="34" w:hanging="34"/>
              <w:jc w:val="center"/>
              <w:rPr>
                <w:rFonts w:ascii="Calibri" w:eastAsia="Times New Roman" w:hAnsi="Calibri" w:cs="Arial"/>
                <w:b/>
                <w:sz w:val="20"/>
                <w:szCs w:val="20"/>
                <w:lang w:eastAsia="en-AU"/>
              </w:rPr>
            </w:pPr>
            <w:r w:rsidRPr="00647A04">
              <w:rPr>
                <w:rFonts w:ascii="Calibri" w:eastAsia="Times New Roman" w:hAnsi="Calibri" w:cs="Arial"/>
                <w:b/>
                <w:sz w:val="20"/>
                <w:szCs w:val="20"/>
                <w:lang w:eastAsia="en-AU"/>
              </w:rPr>
              <w:t>SA</w:t>
            </w:r>
          </w:p>
          <w:p w:rsidR="008B7A61" w:rsidRPr="00647A04" w:rsidRDefault="008B7A61" w:rsidP="00707254">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w:t>
            </w:r>
            <w:r w:rsidR="00707254" w:rsidRPr="00647A04">
              <w:rPr>
                <w:rFonts w:ascii="Calibri" w:eastAsia="Times New Roman" w:hAnsi="Calibri" w:cs="Arial"/>
                <w:sz w:val="20"/>
                <w:szCs w:val="20"/>
                <w:lang w:eastAsia="en-AU"/>
              </w:rPr>
              <w:t>three</w:t>
            </w:r>
            <w:r w:rsidRPr="00647A04">
              <w:rPr>
                <w:rFonts w:ascii="Calibri" w:eastAsia="Times New Roman" w:hAnsi="Calibri" w:cs="Arial"/>
                <w:sz w:val="20"/>
                <w:szCs w:val="20"/>
                <w:lang w:eastAsia="en-AU"/>
              </w:rPr>
              <w:t xml:space="preserve"> regions</w:t>
            </w:r>
            <w:r w:rsidR="00707254" w:rsidRPr="00647A04">
              <w:rPr>
                <w:rFonts w:ascii="Calibri" w:eastAsia="Times New Roman" w:hAnsi="Calibri" w:cs="Arial"/>
                <w:sz w:val="20"/>
                <w:szCs w:val="20"/>
                <w:vertAlign w:val="superscript"/>
                <w:lang w:eastAsia="en-AU"/>
              </w:rPr>
              <w:t xml:space="preserve"> β</w:t>
            </w:r>
            <w:r w:rsidRPr="00647A04">
              <w:rPr>
                <w:rFonts w:ascii="Calibri" w:eastAsia="Times New Roman" w:hAnsi="Calibri" w:cs="Arial"/>
                <w:sz w:val="20"/>
                <w:szCs w:val="20"/>
                <w:lang w:eastAsia="en-AU"/>
              </w:rPr>
              <w:t>)</w:t>
            </w:r>
          </w:p>
        </w:tc>
      </w:tr>
      <w:tr w:rsidR="008B7A61" w:rsidRPr="008B7A61" w:rsidTr="00647A04">
        <w:tc>
          <w:tcPr>
            <w:tcW w:w="4253" w:type="dxa"/>
            <w:tcBorders>
              <w:right w:val="nil"/>
            </w:tcBorders>
            <w:shd w:val="clear" w:color="auto" w:fill="B8CCE4" w:themeFill="accent1" w:themeFillTint="66"/>
          </w:tcPr>
          <w:p w:rsidR="008B7A61" w:rsidRPr="00647A04" w:rsidRDefault="008B7A61" w:rsidP="006441E0">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Situation to-date, 3</w:t>
            </w:r>
            <w:r w:rsidR="006441E0">
              <w:rPr>
                <w:rFonts w:ascii="Calibri" w:eastAsia="Times New Roman" w:hAnsi="Calibri" w:cs="Arial"/>
                <w:sz w:val="20"/>
                <w:szCs w:val="20"/>
                <w:lang w:eastAsia="en-AU"/>
              </w:rPr>
              <w:t>0</w:t>
            </w:r>
            <w:r w:rsidR="00511F84">
              <w:rPr>
                <w:rFonts w:ascii="Calibri" w:eastAsia="Times New Roman" w:hAnsi="Calibri" w:cs="Arial"/>
                <w:sz w:val="20"/>
                <w:szCs w:val="20"/>
                <w:lang w:eastAsia="en-AU"/>
              </w:rPr>
              <w:t xml:space="preserve"> </w:t>
            </w:r>
            <w:r w:rsidR="006441E0">
              <w:rPr>
                <w:rFonts w:ascii="Calibri" w:eastAsia="Times New Roman" w:hAnsi="Calibri" w:cs="Arial"/>
                <w:sz w:val="20"/>
                <w:szCs w:val="20"/>
                <w:lang w:eastAsia="en-AU"/>
              </w:rPr>
              <w:t>November</w:t>
            </w:r>
            <w:r w:rsidRPr="00647A04">
              <w:rPr>
                <w:rFonts w:ascii="Calibri" w:eastAsia="Times New Roman" w:hAnsi="Calibri" w:cs="Arial"/>
                <w:sz w:val="20"/>
                <w:szCs w:val="20"/>
                <w:lang w:eastAsia="en-AU"/>
              </w:rPr>
              <w:t xml:space="preserve"> 2017</w:t>
            </w:r>
          </w:p>
        </w:tc>
        <w:tc>
          <w:tcPr>
            <w:tcW w:w="1588" w:type="dxa"/>
            <w:tcBorders>
              <w:left w:val="nil"/>
              <w:right w:val="nil"/>
            </w:tcBorders>
            <w:shd w:val="clear" w:color="auto" w:fill="B8CCE4" w:themeFill="accent1" w:themeFillTint="66"/>
          </w:tcPr>
          <w:p w:rsidR="008B7A61" w:rsidRPr="00647A04" w:rsidRDefault="008B7A61" w:rsidP="008B7A61">
            <w:pPr>
              <w:ind w:left="34" w:hanging="34"/>
              <w:rPr>
                <w:rFonts w:ascii="Calibri" w:eastAsia="Times New Roman" w:hAnsi="Calibri" w:cs="Arial"/>
                <w:sz w:val="20"/>
                <w:szCs w:val="20"/>
                <w:highlight w:val="yellow"/>
                <w:lang w:eastAsia="en-AU"/>
              </w:rPr>
            </w:pPr>
          </w:p>
        </w:tc>
        <w:tc>
          <w:tcPr>
            <w:tcW w:w="1588" w:type="dxa"/>
            <w:tcBorders>
              <w:left w:val="nil"/>
              <w:right w:val="nil"/>
            </w:tcBorders>
            <w:shd w:val="clear" w:color="auto" w:fill="B8CCE4" w:themeFill="accent1" w:themeFillTint="66"/>
          </w:tcPr>
          <w:p w:rsidR="008B7A61" w:rsidRPr="00647A04" w:rsidRDefault="008B7A61"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8B7A61" w:rsidRPr="00647A04" w:rsidRDefault="008B7A61" w:rsidP="008B7A61">
            <w:pPr>
              <w:ind w:left="34" w:hanging="34"/>
              <w:rPr>
                <w:rFonts w:ascii="Calibri" w:eastAsia="Times New Roman" w:hAnsi="Calibri" w:cs="Arial"/>
                <w:sz w:val="20"/>
                <w:szCs w:val="20"/>
                <w:highlight w:val="yellow"/>
                <w:lang w:eastAsia="en-AU"/>
              </w:rPr>
            </w:pPr>
          </w:p>
        </w:tc>
        <w:tc>
          <w:tcPr>
            <w:tcW w:w="1588" w:type="dxa"/>
            <w:tcBorders>
              <w:left w:val="nil"/>
            </w:tcBorders>
            <w:shd w:val="clear" w:color="auto" w:fill="B8CCE4" w:themeFill="accent1" w:themeFillTint="66"/>
          </w:tcPr>
          <w:p w:rsidR="008B7A61" w:rsidRPr="00647A04" w:rsidRDefault="008B7A61" w:rsidP="008B7A61">
            <w:pPr>
              <w:ind w:left="34" w:hanging="34"/>
              <w:rPr>
                <w:rFonts w:ascii="Calibri" w:eastAsia="Times New Roman" w:hAnsi="Calibri" w:cs="Arial"/>
                <w:sz w:val="20"/>
                <w:szCs w:val="20"/>
                <w:lang w:eastAsia="en-AU"/>
              </w:rPr>
            </w:pP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Outbreak commencement month/year</w:t>
            </w:r>
          </w:p>
        </w:tc>
        <w:tc>
          <w:tcPr>
            <w:tcW w:w="1588" w:type="dxa"/>
            <w:shd w:val="clear" w:color="auto" w:fill="C6D9F1" w:themeFill="text2" w:themeFillTint="33"/>
            <w:vAlign w:val="center"/>
          </w:tcPr>
          <w:p w:rsidR="008B7A61" w:rsidRPr="00647A04" w:rsidRDefault="008B7A61"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January 2011</w:t>
            </w:r>
          </w:p>
        </w:tc>
        <w:tc>
          <w:tcPr>
            <w:tcW w:w="1588" w:type="dxa"/>
            <w:shd w:val="clear" w:color="auto" w:fill="DAEEF3" w:themeFill="accent5" w:themeFillTint="33"/>
            <w:vAlign w:val="center"/>
          </w:tcPr>
          <w:p w:rsidR="008B7A61" w:rsidRPr="00647A04" w:rsidRDefault="008B7A61"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July 2013</w:t>
            </w:r>
          </w:p>
        </w:tc>
        <w:tc>
          <w:tcPr>
            <w:tcW w:w="1588" w:type="dxa"/>
            <w:shd w:val="clear" w:color="auto" w:fill="E5DFEC" w:themeFill="accent4" w:themeFillTint="33"/>
            <w:vAlign w:val="center"/>
          </w:tcPr>
          <w:p w:rsidR="008B7A61" w:rsidRPr="00647A04" w:rsidRDefault="008B7A61"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June 2014</w:t>
            </w:r>
          </w:p>
        </w:tc>
        <w:tc>
          <w:tcPr>
            <w:tcW w:w="1588" w:type="dxa"/>
            <w:shd w:val="clear" w:color="auto" w:fill="FBD4B4" w:themeFill="accent6" w:themeFillTint="66"/>
          </w:tcPr>
          <w:p w:rsidR="008B7A61" w:rsidRPr="00647A04" w:rsidRDefault="008B7A61" w:rsidP="008B7A61">
            <w:pPr>
              <w:ind w:left="34" w:hanging="34"/>
              <w:jc w:val="center"/>
              <w:rPr>
                <w:rFonts w:ascii="Calibri" w:eastAsia="Times New Roman" w:hAnsi="Calibri" w:cs="Arial"/>
                <w:sz w:val="20"/>
                <w:szCs w:val="20"/>
                <w:lang w:eastAsia="en-AU"/>
              </w:rPr>
            </w:pPr>
            <w:r w:rsidRPr="00647A04">
              <w:rPr>
                <w:rFonts w:ascii="Calibri" w:eastAsia="Times New Roman" w:hAnsi="Calibri" w:cs="Arial"/>
                <w:sz w:val="20"/>
                <w:szCs w:val="20"/>
                <w:lang w:eastAsia="en-AU"/>
              </w:rPr>
              <w:t>November 2016</w:t>
            </w: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Total 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shd w:val="clear" w:color="auto" w:fill="C6D9F1" w:themeFill="text2" w:themeFillTint="33"/>
            <w:vAlign w:val="center"/>
          </w:tcPr>
          <w:p w:rsidR="008B7A61" w:rsidRPr="00E7631A" w:rsidRDefault="006441E0" w:rsidP="00350C8C">
            <w:pPr>
              <w:ind w:left="34" w:hanging="34"/>
              <w:jc w:val="center"/>
              <w:rPr>
                <w:rFonts w:ascii="Calibri" w:eastAsia="Times New Roman" w:hAnsi="Calibri" w:cs="Arial"/>
                <w:b/>
                <w:sz w:val="20"/>
                <w:szCs w:val="20"/>
                <w:vertAlign w:val="superscript"/>
                <w:lang w:eastAsia="en-AU"/>
              </w:rPr>
            </w:pPr>
            <w:r>
              <w:rPr>
                <w:rFonts w:ascii="Calibri" w:eastAsia="Times New Roman" w:hAnsi="Calibri" w:cs="Arial"/>
                <w:b/>
                <w:sz w:val="20"/>
                <w:szCs w:val="20"/>
                <w:lang w:eastAsia="en-AU"/>
              </w:rPr>
              <w:t>1022</w:t>
            </w:r>
          </w:p>
        </w:tc>
        <w:tc>
          <w:tcPr>
            <w:tcW w:w="1588" w:type="dxa"/>
            <w:shd w:val="clear" w:color="auto" w:fill="DAEEF3" w:themeFill="accent5" w:themeFillTint="33"/>
            <w:vAlign w:val="center"/>
          </w:tcPr>
          <w:p w:rsidR="008B7A61" w:rsidRPr="00E7631A" w:rsidRDefault="00A43AA9" w:rsidP="008B7A61">
            <w:pPr>
              <w:ind w:left="34" w:hanging="34"/>
              <w:jc w:val="center"/>
              <w:rPr>
                <w:rFonts w:ascii="Calibri" w:eastAsia="Times New Roman" w:hAnsi="Calibri" w:cs="Arial"/>
                <w:b/>
                <w:sz w:val="20"/>
                <w:szCs w:val="20"/>
                <w:lang w:eastAsia="en-AU"/>
              </w:rPr>
            </w:pPr>
            <w:r>
              <w:rPr>
                <w:rFonts w:ascii="Calibri" w:eastAsia="Times New Roman" w:hAnsi="Calibri" w:cs="Arial"/>
                <w:b/>
                <w:sz w:val="20"/>
                <w:szCs w:val="20"/>
                <w:lang w:eastAsia="en-AU"/>
              </w:rPr>
              <w:t>655</w:t>
            </w:r>
          </w:p>
        </w:tc>
        <w:tc>
          <w:tcPr>
            <w:tcW w:w="1588" w:type="dxa"/>
            <w:shd w:val="clear" w:color="auto" w:fill="E5DFEC" w:themeFill="accent4" w:themeFillTint="33"/>
            <w:vAlign w:val="center"/>
          </w:tcPr>
          <w:p w:rsidR="008B7A61" w:rsidRPr="00E7631A" w:rsidRDefault="00A43AA9" w:rsidP="008B7A61">
            <w:pPr>
              <w:ind w:left="34" w:hanging="34"/>
              <w:jc w:val="center"/>
              <w:rPr>
                <w:rFonts w:ascii="Calibri" w:eastAsia="Times New Roman" w:hAnsi="Calibri" w:cs="Arial"/>
                <w:b/>
                <w:sz w:val="20"/>
                <w:szCs w:val="20"/>
                <w:highlight w:val="green"/>
                <w:lang w:eastAsia="en-AU"/>
              </w:rPr>
            </w:pPr>
            <w:r>
              <w:rPr>
                <w:rFonts w:ascii="Calibri" w:eastAsia="Times New Roman" w:hAnsi="Calibri" w:cs="Arial"/>
                <w:b/>
                <w:sz w:val="20"/>
                <w:szCs w:val="20"/>
                <w:lang w:eastAsia="en-AU"/>
              </w:rPr>
              <w:t>145</w:t>
            </w:r>
          </w:p>
        </w:tc>
        <w:tc>
          <w:tcPr>
            <w:tcW w:w="1588" w:type="dxa"/>
            <w:shd w:val="clear" w:color="auto" w:fill="FBD4B4" w:themeFill="accent6" w:themeFillTint="66"/>
          </w:tcPr>
          <w:p w:rsidR="008B7A61" w:rsidRPr="004D0EAB" w:rsidRDefault="00EE6B6C" w:rsidP="008B7A61">
            <w:pPr>
              <w:ind w:left="34" w:hanging="34"/>
              <w:jc w:val="center"/>
              <w:rPr>
                <w:rFonts w:ascii="Calibri" w:eastAsia="Times New Roman" w:hAnsi="Calibri" w:cs="Arial"/>
                <w:b/>
                <w:sz w:val="20"/>
                <w:szCs w:val="20"/>
                <w:lang w:eastAsia="en-AU"/>
              </w:rPr>
            </w:pPr>
            <w:r>
              <w:rPr>
                <w:rFonts w:ascii="Calibri" w:eastAsia="Times New Roman" w:hAnsi="Calibri" w:cs="Arial"/>
                <w:b/>
                <w:sz w:val="20"/>
                <w:szCs w:val="20"/>
                <w:lang w:eastAsia="en-AU"/>
              </w:rPr>
              <w:t>32</w:t>
            </w: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8B7A61" w:rsidRPr="00E7631A" w:rsidRDefault="008B7A61" w:rsidP="00907C81">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6</w:t>
            </w:r>
            <w:r w:rsidR="008628E3">
              <w:rPr>
                <w:rFonts w:ascii="Calibri" w:eastAsia="Times New Roman" w:hAnsi="Calibri" w:cs="Arial"/>
                <w:sz w:val="20"/>
                <w:szCs w:val="20"/>
                <w:lang w:eastAsia="en-AU"/>
              </w:rPr>
              <w:t>7</w:t>
            </w:r>
            <w:r w:rsidRPr="00E7631A">
              <w:rPr>
                <w:rFonts w:ascii="Calibri" w:eastAsia="Times New Roman" w:hAnsi="Calibri" w:cs="Arial"/>
                <w:sz w:val="20"/>
                <w:szCs w:val="20"/>
                <w:lang w:eastAsia="en-AU"/>
              </w:rPr>
              <w:t>%</w:t>
            </w:r>
          </w:p>
        </w:tc>
        <w:tc>
          <w:tcPr>
            <w:tcW w:w="1588" w:type="dxa"/>
            <w:shd w:val="clear" w:color="auto" w:fill="DAEEF3" w:themeFill="accent5" w:themeFillTint="33"/>
            <w:vAlign w:val="center"/>
          </w:tcPr>
          <w:p w:rsidR="008B7A61" w:rsidRPr="00E7631A" w:rsidRDefault="00A43AA9" w:rsidP="00384BA7">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68</w:t>
            </w:r>
            <w:r w:rsidR="008B7A61" w:rsidRPr="00E7631A">
              <w:rPr>
                <w:rFonts w:ascii="Calibri" w:eastAsia="Times New Roman" w:hAnsi="Calibri" w:cs="Arial"/>
                <w:sz w:val="20"/>
                <w:szCs w:val="20"/>
                <w:lang w:eastAsia="en-AU"/>
              </w:rPr>
              <w:t>%</w:t>
            </w:r>
          </w:p>
        </w:tc>
        <w:tc>
          <w:tcPr>
            <w:tcW w:w="1588" w:type="dxa"/>
            <w:shd w:val="clear" w:color="auto" w:fill="E5DFEC" w:themeFill="accent4" w:themeFillTint="33"/>
            <w:vAlign w:val="center"/>
          </w:tcPr>
          <w:p w:rsidR="008B7A61" w:rsidRPr="00E7631A" w:rsidRDefault="00DD1889" w:rsidP="00B0465E">
            <w:pPr>
              <w:ind w:left="34" w:hanging="34"/>
              <w:jc w:val="center"/>
              <w:rPr>
                <w:rFonts w:ascii="Calibri" w:eastAsia="Times New Roman" w:hAnsi="Calibri" w:cs="Arial"/>
                <w:sz w:val="20"/>
                <w:szCs w:val="20"/>
                <w:highlight w:val="green"/>
                <w:lang w:eastAsia="en-AU"/>
              </w:rPr>
            </w:pPr>
            <w:r w:rsidRPr="004D0EAB">
              <w:rPr>
                <w:rFonts w:ascii="Calibri" w:eastAsia="Times New Roman" w:hAnsi="Calibri" w:cs="Arial"/>
                <w:sz w:val="20"/>
                <w:szCs w:val="20"/>
                <w:lang w:eastAsia="en-AU"/>
              </w:rPr>
              <w:t>70</w:t>
            </w:r>
            <w:r w:rsidR="008B7A61" w:rsidRPr="004D0EAB">
              <w:rPr>
                <w:rFonts w:ascii="Calibri" w:eastAsia="Times New Roman" w:hAnsi="Calibri" w:cs="Arial"/>
                <w:sz w:val="20"/>
                <w:szCs w:val="20"/>
                <w:lang w:eastAsia="en-AU"/>
              </w:rPr>
              <w:t>%</w:t>
            </w:r>
          </w:p>
        </w:tc>
        <w:tc>
          <w:tcPr>
            <w:tcW w:w="1588" w:type="dxa"/>
            <w:shd w:val="clear" w:color="auto" w:fill="FBD4B4" w:themeFill="accent6" w:themeFillTint="66"/>
          </w:tcPr>
          <w:p w:rsidR="008B7A61" w:rsidRPr="004D0EAB" w:rsidRDefault="00DD1889" w:rsidP="00B0465E">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47</w:t>
            </w:r>
            <w:r w:rsidR="008B7A61" w:rsidRPr="004D0EAB">
              <w:rPr>
                <w:rFonts w:ascii="Calibri" w:eastAsia="Times New Roman" w:hAnsi="Calibri" w:cs="Arial"/>
                <w:sz w:val="20"/>
                <w:szCs w:val="20"/>
                <w:lang w:eastAsia="en-AU"/>
              </w:rPr>
              <w:t>%</w:t>
            </w: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8B7A61" w:rsidRPr="00E7631A" w:rsidRDefault="00E7631A" w:rsidP="007468C2">
            <w:pPr>
              <w:ind w:left="34" w:hanging="34"/>
              <w:jc w:val="center"/>
              <w:rPr>
                <w:rFonts w:ascii="Calibri" w:eastAsia="Times New Roman" w:hAnsi="Calibri" w:cs="Arial"/>
                <w:sz w:val="20"/>
                <w:szCs w:val="20"/>
                <w:highlight w:val="green"/>
                <w:lang w:eastAsia="en-AU"/>
              </w:rPr>
            </w:pPr>
            <w:r w:rsidRPr="00E7631A">
              <w:rPr>
                <w:rFonts w:ascii="Calibri" w:eastAsia="Times New Roman" w:hAnsi="Calibri" w:cs="Arial"/>
                <w:sz w:val="20"/>
                <w:szCs w:val="20"/>
                <w:lang w:eastAsia="en-AU"/>
              </w:rPr>
              <w:t>4</w:t>
            </w:r>
            <w:r w:rsidR="007468C2">
              <w:rPr>
                <w:rFonts w:ascii="Calibri" w:eastAsia="Times New Roman" w:hAnsi="Calibri" w:cs="Arial"/>
                <w:sz w:val="20"/>
                <w:szCs w:val="20"/>
                <w:lang w:eastAsia="en-AU"/>
              </w:rPr>
              <w:t>8</w:t>
            </w:r>
            <w:r w:rsidR="0042214C" w:rsidRPr="00E7631A">
              <w:rPr>
                <w:rFonts w:ascii="Calibri" w:eastAsia="Times New Roman" w:hAnsi="Calibri" w:cs="Arial"/>
                <w:sz w:val="20"/>
                <w:szCs w:val="20"/>
                <w:lang w:eastAsia="en-AU"/>
              </w:rPr>
              <w:t>% / 5</w:t>
            </w:r>
            <w:r w:rsidR="007468C2">
              <w:rPr>
                <w:rFonts w:ascii="Calibri" w:eastAsia="Times New Roman" w:hAnsi="Calibri" w:cs="Arial"/>
                <w:sz w:val="20"/>
                <w:szCs w:val="20"/>
                <w:lang w:eastAsia="en-AU"/>
              </w:rPr>
              <w:t>2</w:t>
            </w:r>
            <w:r w:rsidR="008B7A61" w:rsidRPr="00E7631A">
              <w:rPr>
                <w:rFonts w:ascii="Calibri" w:eastAsia="Times New Roman" w:hAnsi="Calibri" w:cs="Arial"/>
                <w:sz w:val="20"/>
                <w:szCs w:val="20"/>
                <w:lang w:eastAsia="en-AU"/>
              </w:rPr>
              <w:t>%</w:t>
            </w:r>
          </w:p>
        </w:tc>
        <w:tc>
          <w:tcPr>
            <w:tcW w:w="1588" w:type="dxa"/>
            <w:shd w:val="clear" w:color="auto" w:fill="DAEEF3" w:themeFill="accent5" w:themeFillTint="33"/>
            <w:vAlign w:val="center"/>
          </w:tcPr>
          <w:p w:rsidR="008B7A61" w:rsidRPr="00E7631A" w:rsidRDefault="000F4306" w:rsidP="008B7A61">
            <w:pPr>
              <w:ind w:left="34" w:hanging="34"/>
              <w:jc w:val="center"/>
              <w:rPr>
                <w:rFonts w:ascii="Calibri" w:eastAsia="Times New Roman" w:hAnsi="Calibri" w:cs="Arial"/>
                <w:sz w:val="20"/>
                <w:szCs w:val="20"/>
                <w:highlight w:val="green"/>
                <w:lang w:eastAsia="en-AU"/>
              </w:rPr>
            </w:pPr>
            <w:r w:rsidRPr="004D0EAB">
              <w:rPr>
                <w:rFonts w:ascii="Calibri" w:eastAsia="Times New Roman" w:hAnsi="Calibri" w:cs="Arial"/>
                <w:sz w:val="20"/>
                <w:szCs w:val="20"/>
                <w:lang w:eastAsia="en-AU"/>
              </w:rPr>
              <w:t>47% / 53</w:t>
            </w:r>
            <w:r w:rsidR="008B7A61" w:rsidRPr="004D0EAB">
              <w:rPr>
                <w:rFonts w:ascii="Calibri" w:eastAsia="Times New Roman" w:hAnsi="Calibri" w:cs="Arial"/>
                <w:sz w:val="20"/>
                <w:szCs w:val="20"/>
                <w:lang w:eastAsia="en-AU"/>
              </w:rPr>
              <w:t>%</w:t>
            </w:r>
          </w:p>
        </w:tc>
        <w:tc>
          <w:tcPr>
            <w:tcW w:w="1588" w:type="dxa"/>
            <w:shd w:val="clear" w:color="auto" w:fill="E5DFEC" w:themeFill="accent4" w:themeFillTint="33"/>
            <w:vAlign w:val="center"/>
          </w:tcPr>
          <w:p w:rsidR="008B7A61" w:rsidRPr="004D0EAB" w:rsidRDefault="00B0465E" w:rsidP="004D0EAB">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3</w:t>
            </w:r>
            <w:r w:rsidR="00A43AA9">
              <w:rPr>
                <w:rFonts w:ascii="Calibri" w:eastAsia="Times New Roman" w:hAnsi="Calibri" w:cs="Arial"/>
                <w:sz w:val="20"/>
                <w:szCs w:val="20"/>
                <w:lang w:eastAsia="en-AU"/>
              </w:rPr>
              <w:t>6</w:t>
            </w:r>
            <w:r w:rsidR="008B7A61" w:rsidRPr="004D0EAB">
              <w:rPr>
                <w:rFonts w:ascii="Calibri" w:eastAsia="Times New Roman" w:hAnsi="Calibri" w:cs="Arial"/>
                <w:sz w:val="20"/>
                <w:szCs w:val="20"/>
                <w:lang w:eastAsia="en-AU"/>
              </w:rPr>
              <w:t>% / 6</w:t>
            </w:r>
            <w:r w:rsidR="00A43AA9">
              <w:rPr>
                <w:rFonts w:ascii="Calibri" w:eastAsia="Times New Roman" w:hAnsi="Calibri" w:cs="Arial"/>
                <w:sz w:val="20"/>
                <w:szCs w:val="20"/>
                <w:lang w:eastAsia="en-AU"/>
              </w:rPr>
              <w:t>4</w:t>
            </w:r>
            <w:r w:rsidR="008B7A61" w:rsidRPr="004D0EAB">
              <w:rPr>
                <w:rFonts w:ascii="Calibri" w:eastAsia="Times New Roman" w:hAnsi="Calibri" w:cs="Arial"/>
                <w:sz w:val="20"/>
                <w:szCs w:val="20"/>
                <w:lang w:eastAsia="en-AU"/>
              </w:rPr>
              <w:t>%</w:t>
            </w:r>
          </w:p>
        </w:tc>
        <w:tc>
          <w:tcPr>
            <w:tcW w:w="1588" w:type="dxa"/>
            <w:shd w:val="clear" w:color="auto" w:fill="FBD4B4" w:themeFill="accent6" w:themeFillTint="66"/>
          </w:tcPr>
          <w:p w:rsidR="008B7A61" w:rsidRPr="004D0EAB" w:rsidRDefault="00EE6B6C" w:rsidP="004D0EAB">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47</w:t>
            </w:r>
            <w:r w:rsidR="008B7A61" w:rsidRPr="004D0EAB">
              <w:rPr>
                <w:rFonts w:ascii="Calibri" w:eastAsia="Times New Roman" w:hAnsi="Calibri" w:cs="Arial"/>
                <w:sz w:val="20"/>
                <w:szCs w:val="20"/>
                <w:lang w:eastAsia="en-AU"/>
              </w:rPr>
              <w:t>% /</w:t>
            </w:r>
            <w:r w:rsidR="00DD1889" w:rsidRPr="004D0EAB">
              <w:rPr>
                <w:rFonts w:ascii="Calibri" w:eastAsia="Times New Roman" w:hAnsi="Calibri" w:cs="Arial"/>
                <w:sz w:val="20"/>
                <w:szCs w:val="20"/>
                <w:lang w:eastAsia="en-AU"/>
              </w:rPr>
              <w:t>5</w:t>
            </w:r>
            <w:r>
              <w:rPr>
                <w:rFonts w:ascii="Calibri" w:eastAsia="Times New Roman" w:hAnsi="Calibri" w:cs="Arial"/>
                <w:sz w:val="20"/>
                <w:szCs w:val="20"/>
                <w:lang w:eastAsia="en-AU"/>
              </w:rPr>
              <w:t>3</w:t>
            </w:r>
            <w:r w:rsidR="008B7A61" w:rsidRPr="004D0EAB">
              <w:rPr>
                <w:rFonts w:ascii="Calibri" w:eastAsia="Times New Roman" w:hAnsi="Calibri" w:cs="Arial"/>
                <w:sz w:val="20"/>
                <w:szCs w:val="20"/>
                <w:lang w:eastAsia="en-AU"/>
              </w:rPr>
              <w:t>%</w:t>
            </w: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Congenital cases, confirmed (probable)</w:t>
            </w:r>
          </w:p>
        </w:tc>
        <w:tc>
          <w:tcPr>
            <w:tcW w:w="1588" w:type="dxa"/>
            <w:shd w:val="clear" w:color="auto" w:fill="C6D9F1" w:themeFill="text2" w:themeFillTint="33"/>
            <w:vAlign w:val="center"/>
          </w:tcPr>
          <w:p w:rsidR="008B7A61" w:rsidRPr="00E7631A" w:rsidRDefault="0042214C" w:rsidP="00350C8C">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4</w:t>
            </w:r>
            <w:r w:rsidR="008B7A61" w:rsidRPr="00E7631A">
              <w:rPr>
                <w:rFonts w:ascii="Calibri" w:eastAsia="Times New Roman" w:hAnsi="Calibri" w:cs="Arial"/>
                <w:sz w:val="20"/>
                <w:szCs w:val="20"/>
                <w:lang w:eastAsia="en-AU"/>
              </w:rPr>
              <w:t xml:space="preserve"> (</w:t>
            </w:r>
            <w:r w:rsidR="00350C8C" w:rsidRPr="00E7631A">
              <w:rPr>
                <w:rFonts w:ascii="Calibri" w:eastAsia="Times New Roman" w:hAnsi="Calibri" w:cs="Arial"/>
                <w:sz w:val="20"/>
                <w:szCs w:val="20"/>
                <w:lang w:eastAsia="en-AU"/>
              </w:rPr>
              <w:t>3</w:t>
            </w:r>
            <w:r w:rsidR="008B7A61" w:rsidRPr="00E7631A">
              <w:rPr>
                <w:rFonts w:ascii="Calibri" w:eastAsia="Times New Roman" w:hAnsi="Calibri" w:cs="Arial"/>
                <w:sz w:val="20"/>
                <w:szCs w:val="20"/>
                <w:lang w:eastAsia="en-AU"/>
              </w:rPr>
              <w:t>)</w:t>
            </w:r>
          </w:p>
        </w:tc>
        <w:tc>
          <w:tcPr>
            <w:tcW w:w="1588" w:type="dxa"/>
            <w:shd w:val="clear" w:color="auto" w:fill="DAEEF3" w:themeFill="accent5" w:themeFillTint="33"/>
            <w:vAlign w:val="center"/>
          </w:tcPr>
          <w:p w:rsidR="008B7A61" w:rsidRPr="004D0EAB" w:rsidRDefault="008B7A61"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2 (2)</w:t>
            </w:r>
          </w:p>
        </w:tc>
        <w:tc>
          <w:tcPr>
            <w:tcW w:w="1588" w:type="dxa"/>
            <w:shd w:val="clear" w:color="auto" w:fill="E5DFEC" w:themeFill="accent4" w:themeFillTint="33"/>
            <w:vAlign w:val="center"/>
          </w:tcPr>
          <w:p w:rsidR="008B7A61" w:rsidRPr="004D0EAB" w:rsidRDefault="008B7A61"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 (0)</w:t>
            </w:r>
          </w:p>
        </w:tc>
        <w:tc>
          <w:tcPr>
            <w:tcW w:w="1588" w:type="dxa"/>
            <w:shd w:val="clear" w:color="auto" w:fill="FBD4B4" w:themeFill="accent6" w:themeFillTint="66"/>
          </w:tcPr>
          <w:p w:rsidR="008B7A61" w:rsidRPr="004D0EAB" w:rsidRDefault="008B7A61"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1 (0)</w:t>
            </w:r>
          </w:p>
        </w:tc>
      </w:tr>
      <w:tr w:rsidR="008B7A61" w:rsidRPr="008B7A61" w:rsidTr="00647A04">
        <w:tc>
          <w:tcPr>
            <w:tcW w:w="4253" w:type="dxa"/>
            <w:tcBorders>
              <w:bottom w:val="single" w:sz="4" w:space="0" w:color="auto"/>
            </w:tcBorders>
            <w:shd w:val="clear" w:color="auto" w:fill="auto"/>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xml:space="preserve">   -number of deaths in congenital cases</w:t>
            </w:r>
          </w:p>
        </w:tc>
        <w:tc>
          <w:tcPr>
            <w:tcW w:w="1588" w:type="dxa"/>
            <w:tcBorders>
              <w:bottom w:val="single" w:sz="4" w:space="0" w:color="auto"/>
            </w:tcBorders>
            <w:shd w:val="clear" w:color="auto" w:fill="C6D9F1" w:themeFill="text2" w:themeFillTint="33"/>
            <w:vAlign w:val="center"/>
          </w:tcPr>
          <w:p w:rsidR="008B7A61" w:rsidRPr="00E7631A" w:rsidRDefault="00350C8C" w:rsidP="008B7A61">
            <w:pPr>
              <w:ind w:left="34" w:hanging="34"/>
              <w:jc w:val="center"/>
              <w:rPr>
                <w:rFonts w:ascii="Calibri" w:eastAsia="Times New Roman" w:hAnsi="Calibri" w:cs="Arial"/>
                <w:sz w:val="20"/>
                <w:szCs w:val="20"/>
                <w:lang w:eastAsia="en-AU"/>
              </w:rPr>
            </w:pPr>
            <w:r w:rsidRPr="00E7631A">
              <w:rPr>
                <w:rFonts w:ascii="Calibri" w:eastAsia="Times New Roman" w:hAnsi="Calibri" w:cs="Arial"/>
                <w:sz w:val="20"/>
                <w:szCs w:val="20"/>
                <w:lang w:eastAsia="en-AU"/>
              </w:rPr>
              <w:t>5</w:t>
            </w:r>
          </w:p>
        </w:tc>
        <w:tc>
          <w:tcPr>
            <w:tcW w:w="1588" w:type="dxa"/>
            <w:tcBorders>
              <w:bottom w:val="single" w:sz="4" w:space="0" w:color="auto"/>
            </w:tcBorders>
            <w:shd w:val="clear" w:color="auto" w:fill="DAEEF3" w:themeFill="accent5" w:themeFillTint="33"/>
            <w:vAlign w:val="center"/>
          </w:tcPr>
          <w:p w:rsidR="008B7A61" w:rsidRPr="004D0EAB" w:rsidRDefault="008B7A61"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w:t>
            </w:r>
          </w:p>
        </w:tc>
        <w:tc>
          <w:tcPr>
            <w:tcW w:w="1588" w:type="dxa"/>
            <w:tcBorders>
              <w:bottom w:val="single" w:sz="4" w:space="0" w:color="auto"/>
            </w:tcBorders>
            <w:shd w:val="clear" w:color="auto" w:fill="E5DFEC" w:themeFill="accent4" w:themeFillTint="33"/>
            <w:vAlign w:val="center"/>
          </w:tcPr>
          <w:p w:rsidR="008B7A61" w:rsidRPr="004D0EAB" w:rsidRDefault="008B7A61"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w:t>
            </w:r>
          </w:p>
        </w:tc>
        <w:tc>
          <w:tcPr>
            <w:tcW w:w="1588" w:type="dxa"/>
            <w:tcBorders>
              <w:bottom w:val="single" w:sz="4" w:space="0" w:color="auto"/>
            </w:tcBorders>
            <w:shd w:val="clear" w:color="auto" w:fill="FBD4B4" w:themeFill="accent6" w:themeFillTint="66"/>
          </w:tcPr>
          <w:p w:rsidR="008B7A61" w:rsidRPr="004D0EAB" w:rsidRDefault="008B7A61" w:rsidP="008B7A61">
            <w:pPr>
              <w:ind w:left="34" w:hanging="34"/>
              <w:jc w:val="center"/>
              <w:rPr>
                <w:rFonts w:ascii="Calibri" w:eastAsia="Times New Roman" w:hAnsi="Calibri" w:cs="Arial"/>
                <w:sz w:val="20"/>
                <w:szCs w:val="20"/>
                <w:lang w:eastAsia="en-AU"/>
              </w:rPr>
            </w:pPr>
            <w:r w:rsidRPr="004D0EAB">
              <w:rPr>
                <w:rFonts w:ascii="Calibri" w:eastAsia="Times New Roman" w:hAnsi="Calibri" w:cs="Arial"/>
                <w:sz w:val="20"/>
                <w:szCs w:val="20"/>
                <w:lang w:eastAsia="en-AU"/>
              </w:rPr>
              <w:t>0</w:t>
            </w:r>
          </w:p>
        </w:tc>
      </w:tr>
      <w:tr w:rsidR="008B7A61" w:rsidRPr="008B7A61" w:rsidTr="00647A04">
        <w:tc>
          <w:tcPr>
            <w:tcW w:w="4253" w:type="dxa"/>
            <w:tcBorders>
              <w:right w:val="nil"/>
            </w:tcBorders>
            <w:shd w:val="clear" w:color="auto" w:fill="B8CCE4" w:themeFill="accent1" w:themeFillTint="66"/>
            <w:vAlign w:val="center"/>
          </w:tcPr>
          <w:p w:rsidR="008B7A61" w:rsidRPr="00647A04" w:rsidRDefault="00707254" w:rsidP="006441E0">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Last reporting month, 1–3</w:t>
            </w:r>
            <w:r w:rsidR="006441E0">
              <w:rPr>
                <w:rFonts w:ascii="Calibri" w:eastAsia="Times New Roman" w:hAnsi="Calibri" w:cs="Arial"/>
                <w:sz w:val="20"/>
                <w:szCs w:val="20"/>
                <w:lang w:eastAsia="en-AU"/>
              </w:rPr>
              <w:t>0 November</w:t>
            </w:r>
            <w:r w:rsidR="008B7A61" w:rsidRPr="00647A04">
              <w:rPr>
                <w:rFonts w:ascii="Calibri" w:eastAsia="Times New Roman" w:hAnsi="Calibri" w:cs="Arial"/>
                <w:sz w:val="20"/>
                <w:szCs w:val="20"/>
                <w:lang w:eastAsia="en-AU"/>
              </w:rPr>
              <w:t xml:space="preserve"> 2017</w:t>
            </w:r>
          </w:p>
        </w:tc>
        <w:tc>
          <w:tcPr>
            <w:tcW w:w="1588" w:type="dxa"/>
            <w:tcBorders>
              <w:left w:val="nil"/>
              <w:right w:val="nil"/>
            </w:tcBorders>
            <w:shd w:val="clear" w:color="auto" w:fill="B8CCE4" w:themeFill="accent1" w:themeFillTint="66"/>
            <w:vAlign w:val="center"/>
          </w:tcPr>
          <w:p w:rsidR="008B7A61" w:rsidRPr="00647A04" w:rsidRDefault="008B7A61" w:rsidP="008B7A61">
            <w:pPr>
              <w:ind w:left="34" w:hanging="34"/>
              <w:rPr>
                <w:rFonts w:ascii="Calibri" w:eastAsia="Times New Roman" w:hAnsi="Calibri" w:cs="Arial"/>
                <w:color w:val="FF0000"/>
                <w:sz w:val="20"/>
                <w:szCs w:val="20"/>
                <w:highlight w:val="yellow"/>
                <w:lang w:eastAsia="en-AU"/>
              </w:rPr>
            </w:pPr>
          </w:p>
        </w:tc>
        <w:tc>
          <w:tcPr>
            <w:tcW w:w="1588" w:type="dxa"/>
            <w:tcBorders>
              <w:left w:val="nil"/>
              <w:right w:val="nil"/>
            </w:tcBorders>
            <w:shd w:val="clear" w:color="auto" w:fill="B8CCE4" w:themeFill="accent1" w:themeFillTint="66"/>
            <w:vAlign w:val="center"/>
          </w:tcPr>
          <w:p w:rsidR="008B7A61" w:rsidRPr="00647A04" w:rsidRDefault="008B7A61"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vAlign w:val="center"/>
          </w:tcPr>
          <w:p w:rsidR="008B7A61" w:rsidRPr="00647A04" w:rsidRDefault="008B7A61" w:rsidP="008B7A61">
            <w:pPr>
              <w:ind w:left="34" w:hanging="34"/>
              <w:rPr>
                <w:rFonts w:ascii="Calibri" w:eastAsia="Times New Roman" w:hAnsi="Calibri" w:cs="Arial"/>
                <w:color w:val="FF0000"/>
                <w:sz w:val="20"/>
                <w:szCs w:val="20"/>
                <w:highlight w:val="yellow"/>
                <w:lang w:eastAsia="en-AU"/>
              </w:rPr>
            </w:pPr>
          </w:p>
        </w:tc>
        <w:tc>
          <w:tcPr>
            <w:tcW w:w="1588" w:type="dxa"/>
            <w:tcBorders>
              <w:left w:val="nil"/>
            </w:tcBorders>
            <w:shd w:val="clear" w:color="auto" w:fill="B8CCE4" w:themeFill="accent1" w:themeFillTint="66"/>
          </w:tcPr>
          <w:p w:rsidR="008B7A61" w:rsidRPr="00647A04" w:rsidRDefault="008B7A61" w:rsidP="008B7A61">
            <w:pPr>
              <w:ind w:left="34" w:hanging="34"/>
              <w:rPr>
                <w:rFonts w:ascii="Calibri" w:eastAsia="Times New Roman" w:hAnsi="Calibri" w:cs="Arial"/>
                <w:sz w:val="20"/>
                <w:szCs w:val="20"/>
                <w:highlight w:val="yellow"/>
                <w:lang w:eastAsia="en-AU"/>
              </w:rPr>
            </w:pP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Number of cases</w:t>
            </w:r>
            <w:r w:rsidRPr="00647A04">
              <w:rPr>
                <w:rFonts w:ascii="Calibri" w:eastAsia="Times New Roman" w:hAnsi="Calibri" w:cs="Arial"/>
                <w:b/>
                <w:sz w:val="20"/>
                <w:szCs w:val="20"/>
                <w:vertAlign w:val="superscript"/>
                <w:lang w:eastAsia="en-AU"/>
              </w:rPr>
              <w:t xml:space="preserve"> </w:t>
            </w:r>
            <w:r w:rsidRPr="00647A04">
              <w:rPr>
                <w:rFonts w:ascii="Calibri" w:eastAsia="Times New Roman" w:hAnsi="Calibri" w:cs="Arial"/>
                <w:sz w:val="20"/>
                <w:szCs w:val="20"/>
                <w:vertAlign w:val="superscript"/>
                <w:lang w:eastAsia="en-AU"/>
              </w:rPr>
              <w:t>α</w:t>
            </w:r>
          </w:p>
        </w:tc>
        <w:tc>
          <w:tcPr>
            <w:tcW w:w="1588" w:type="dxa"/>
            <w:tcBorders>
              <w:bottom w:val="single" w:sz="4" w:space="0" w:color="auto"/>
            </w:tcBorders>
            <w:shd w:val="clear" w:color="auto" w:fill="C6D9F1" w:themeFill="text2" w:themeFillTint="33"/>
            <w:vAlign w:val="center"/>
          </w:tcPr>
          <w:p w:rsidR="008B7A61" w:rsidRPr="00E7631A" w:rsidRDefault="00E7631A" w:rsidP="008B7A61">
            <w:pPr>
              <w:ind w:left="34" w:hanging="34"/>
              <w:jc w:val="center"/>
              <w:rPr>
                <w:rFonts w:ascii="Calibri" w:eastAsia="Times New Roman" w:hAnsi="Calibri" w:cs="Arial"/>
                <w:b/>
                <w:sz w:val="20"/>
                <w:szCs w:val="20"/>
                <w:lang w:eastAsia="en-AU"/>
              </w:rPr>
            </w:pPr>
            <w:r w:rsidRPr="00E7631A">
              <w:rPr>
                <w:rFonts w:ascii="Calibri" w:eastAsia="Times New Roman" w:hAnsi="Calibri" w:cs="Arial"/>
                <w:b/>
                <w:sz w:val="20"/>
                <w:szCs w:val="20"/>
                <w:lang w:eastAsia="en-AU"/>
              </w:rPr>
              <w:t>28</w:t>
            </w:r>
          </w:p>
        </w:tc>
        <w:tc>
          <w:tcPr>
            <w:tcW w:w="1588" w:type="dxa"/>
            <w:shd w:val="clear" w:color="auto" w:fill="DAEEF3" w:themeFill="accent5" w:themeFillTint="33"/>
            <w:vAlign w:val="center"/>
          </w:tcPr>
          <w:p w:rsidR="008B7A61" w:rsidRPr="004D0EAB" w:rsidRDefault="00A43AA9" w:rsidP="008B7A61">
            <w:pPr>
              <w:ind w:left="34" w:hanging="34"/>
              <w:jc w:val="center"/>
              <w:rPr>
                <w:rFonts w:ascii="Calibri" w:eastAsia="Times New Roman" w:hAnsi="Calibri" w:cs="Arial"/>
                <w:b/>
                <w:sz w:val="20"/>
                <w:szCs w:val="20"/>
                <w:lang w:eastAsia="en-AU"/>
              </w:rPr>
            </w:pPr>
            <w:r>
              <w:rPr>
                <w:rFonts w:ascii="Calibri" w:eastAsia="Times New Roman" w:hAnsi="Calibri" w:cs="Arial"/>
                <w:b/>
                <w:sz w:val="20"/>
                <w:szCs w:val="20"/>
                <w:lang w:eastAsia="en-AU"/>
              </w:rPr>
              <w:t>21</w:t>
            </w:r>
          </w:p>
        </w:tc>
        <w:tc>
          <w:tcPr>
            <w:tcW w:w="1588" w:type="dxa"/>
            <w:shd w:val="clear" w:color="auto" w:fill="E5DFEC" w:themeFill="accent4" w:themeFillTint="33"/>
            <w:vAlign w:val="center"/>
          </w:tcPr>
          <w:p w:rsidR="008B7A61" w:rsidRPr="004D0EAB" w:rsidRDefault="00A43AA9" w:rsidP="008B7A61">
            <w:pPr>
              <w:ind w:left="34" w:hanging="34"/>
              <w:jc w:val="center"/>
              <w:rPr>
                <w:rFonts w:ascii="Calibri" w:eastAsia="Times New Roman" w:hAnsi="Calibri" w:cs="Arial"/>
                <w:b/>
                <w:sz w:val="20"/>
                <w:szCs w:val="20"/>
                <w:lang w:eastAsia="en-AU"/>
              </w:rPr>
            </w:pPr>
            <w:r>
              <w:rPr>
                <w:rFonts w:ascii="Calibri" w:eastAsia="Times New Roman" w:hAnsi="Calibri" w:cs="Arial"/>
                <w:b/>
                <w:sz w:val="20"/>
                <w:szCs w:val="20"/>
                <w:lang w:eastAsia="en-AU"/>
              </w:rPr>
              <w:t>4</w:t>
            </w:r>
          </w:p>
        </w:tc>
        <w:tc>
          <w:tcPr>
            <w:tcW w:w="1588" w:type="dxa"/>
            <w:shd w:val="clear" w:color="auto" w:fill="FBD4B4" w:themeFill="accent6" w:themeFillTint="66"/>
          </w:tcPr>
          <w:p w:rsidR="008B7A61" w:rsidRPr="004D0EAB" w:rsidRDefault="00EE6B6C" w:rsidP="008B7A61">
            <w:pPr>
              <w:ind w:left="34" w:hanging="34"/>
              <w:jc w:val="center"/>
              <w:rPr>
                <w:rFonts w:ascii="Calibri" w:eastAsia="Times New Roman" w:hAnsi="Calibri" w:cs="Arial"/>
                <w:b/>
                <w:sz w:val="20"/>
                <w:szCs w:val="20"/>
                <w:lang w:eastAsia="en-AU"/>
              </w:rPr>
            </w:pPr>
            <w:r>
              <w:rPr>
                <w:rFonts w:ascii="Calibri" w:eastAsia="Times New Roman" w:hAnsi="Calibri" w:cs="Arial"/>
                <w:b/>
                <w:sz w:val="20"/>
                <w:szCs w:val="20"/>
                <w:lang w:eastAsia="en-AU"/>
              </w:rPr>
              <w:t>2</w:t>
            </w: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Percent cases reported in 15-29 year age group</w:t>
            </w:r>
          </w:p>
        </w:tc>
        <w:tc>
          <w:tcPr>
            <w:tcW w:w="1588" w:type="dxa"/>
            <w:shd w:val="clear" w:color="auto" w:fill="C6D9F1" w:themeFill="text2" w:themeFillTint="33"/>
            <w:vAlign w:val="center"/>
          </w:tcPr>
          <w:p w:rsidR="008B7A61" w:rsidRPr="00E7631A" w:rsidRDefault="00A43AA9" w:rsidP="007B2992">
            <w:pPr>
              <w:jc w:val="center"/>
              <w:rPr>
                <w:rFonts w:ascii="Calibri" w:eastAsia="Times New Roman" w:hAnsi="Calibri" w:cs="Arial"/>
                <w:sz w:val="20"/>
                <w:szCs w:val="20"/>
                <w:lang w:eastAsia="en-AU"/>
              </w:rPr>
            </w:pPr>
            <w:r>
              <w:rPr>
                <w:rFonts w:ascii="Calibri" w:eastAsia="Times New Roman" w:hAnsi="Calibri" w:cs="Arial"/>
                <w:sz w:val="20"/>
                <w:szCs w:val="20"/>
                <w:lang w:eastAsia="en-AU"/>
              </w:rPr>
              <w:t>61</w:t>
            </w:r>
            <w:r w:rsidR="008B7A61" w:rsidRPr="00E7631A">
              <w:rPr>
                <w:rFonts w:ascii="Calibri" w:eastAsia="Times New Roman" w:hAnsi="Calibri" w:cs="Arial"/>
                <w:sz w:val="20"/>
                <w:szCs w:val="20"/>
                <w:lang w:eastAsia="en-AU"/>
              </w:rPr>
              <w:t>%</w:t>
            </w:r>
          </w:p>
        </w:tc>
        <w:tc>
          <w:tcPr>
            <w:tcW w:w="1588" w:type="dxa"/>
            <w:shd w:val="clear" w:color="auto" w:fill="DAEEF3" w:themeFill="accent5" w:themeFillTint="33"/>
            <w:vAlign w:val="center"/>
          </w:tcPr>
          <w:p w:rsidR="008B7A61" w:rsidRPr="004D0EAB" w:rsidRDefault="00A43AA9" w:rsidP="004D0EAB">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81</w:t>
            </w:r>
            <w:r w:rsidR="008B7A61" w:rsidRPr="004D0EAB">
              <w:rPr>
                <w:rFonts w:ascii="Calibri" w:eastAsia="Times New Roman" w:hAnsi="Calibri" w:cs="Arial"/>
                <w:sz w:val="20"/>
                <w:szCs w:val="20"/>
                <w:lang w:eastAsia="en-AU"/>
              </w:rPr>
              <w:t>%</w:t>
            </w:r>
          </w:p>
        </w:tc>
        <w:tc>
          <w:tcPr>
            <w:tcW w:w="1588" w:type="dxa"/>
            <w:shd w:val="clear" w:color="auto" w:fill="E5DFEC" w:themeFill="accent4" w:themeFillTint="33"/>
            <w:vAlign w:val="center"/>
          </w:tcPr>
          <w:p w:rsidR="008B7A61" w:rsidRPr="004D0EAB" w:rsidRDefault="00A43AA9" w:rsidP="008B7A61">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75</w:t>
            </w:r>
            <w:r w:rsidR="008B7A61" w:rsidRPr="004D0EAB">
              <w:rPr>
                <w:rFonts w:ascii="Calibri" w:eastAsia="Times New Roman" w:hAnsi="Calibri" w:cs="Arial"/>
                <w:sz w:val="20"/>
                <w:szCs w:val="20"/>
                <w:lang w:eastAsia="en-AU"/>
              </w:rPr>
              <w:t>%</w:t>
            </w:r>
          </w:p>
        </w:tc>
        <w:tc>
          <w:tcPr>
            <w:tcW w:w="1588" w:type="dxa"/>
            <w:shd w:val="clear" w:color="auto" w:fill="FBD4B4" w:themeFill="accent6" w:themeFillTint="66"/>
          </w:tcPr>
          <w:p w:rsidR="008B7A61" w:rsidRPr="004D0EAB" w:rsidRDefault="00EE6B6C" w:rsidP="008B7A61">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50%</w:t>
            </w:r>
          </w:p>
        </w:tc>
      </w:tr>
      <w:tr w:rsidR="008B7A61" w:rsidRPr="008B7A61" w:rsidTr="00647A04">
        <w:tc>
          <w:tcPr>
            <w:tcW w:w="4253" w:type="dxa"/>
          </w:tcPr>
          <w:p w:rsidR="008B7A61" w:rsidRPr="00647A04" w:rsidRDefault="008B7A61" w:rsidP="008B7A61">
            <w:pPr>
              <w:ind w:left="34" w:hanging="34"/>
              <w:rPr>
                <w:rFonts w:ascii="Calibri" w:eastAsia="Times New Roman" w:hAnsi="Calibri" w:cs="Arial"/>
                <w:sz w:val="20"/>
                <w:szCs w:val="20"/>
                <w:lang w:eastAsia="en-AU"/>
              </w:rPr>
            </w:pPr>
            <w:r w:rsidRPr="00647A04">
              <w:rPr>
                <w:rFonts w:ascii="Calibri" w:eastAsia="Times New Roman" w:hAnsi="Calibri" w:cs="Arial"/>
                <w:sz w:val="20"/>
                <w:szCs w:val="20"/>
                <w:lang w:eastAsia="en-AU"/>
              </w:rPr>
              <w:t>% Male / % Female</w:t>
            </w:r>
          </w:p>
        </w:tc>
        <w:tc>
          <w:tcPr>
            <w:tcW w:w="1588" w:type="dxa"/>
            <w:shd w:val="clear" w:color="auto" w:fill="C6D9F1" w:themeFill="text2" w:themeFillTint="33"/>
            <w:vAlign w:val="center"/>
          </w:tcPr>
          <w:p w:rsidR="008B7A61" w:rsidRPr="00E7631A" w:rsidRDefault="00A43AA9" w:rsidP="00E7631A">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39</w:t>
            </w:r>
            <w:r w:rsidR="008B7A61" w:rsidRPr="00E7631A">
              <w:rPr>
                <w:rFonts w:ascii="Calibri" w:eastAsia="Times New Roman" w:hAnsi="Calibri" w:cs="Arial"/>
                <w:sz w:val="20"/>
                <w:szCs w:val="20"/>
                <w:lang w:eastAsia="en-AU"/>
              </w:rPr>
              <w:t xml:space="preserve">% / </w:t>
            </w:r>
            <w:r>
              <w:rPr>
                <w:rFonts w:ascii="Calibri" w:eastAsia="Times New Roman" w:hAnsi="Calibri" w:cs="Arial"/>
                <w:sz w:val="20"/>
                <w:szCs w:val="20"/>
                <w:lang w:eastAsia="en-AU"/>
              </w:rPr>
              <w:t>61</w:t>
            </w:r>
            <w:r w:rsidR="008B7A61" w:rsidRPr="00E7631A">
              <w:rPr>
                <w:rFonts w:ascii="Calibri" w:eastAsia="Times New Roman" w:hAnsi="Calibri" w:cs="Arial"/>
                <w:sz w:val="20"/>
                <w:szCs w:val="20"/>
                <w:lang w:eastAsia="en-AU"/>
              </w:rPr>
              <w:t>%</w:t>
            </w:r>
          </w:p>
        </w:tc>
        <w:tc>
          <w:tcPr>
            <w:tcW w:w="1588" w:type="dxa"/>
            <w:shd w:val="clear" w:color="auto" w:fill="DAEEF3" w:themeFill="accent5" w:themeFillTint="33"/>
            <w:vAlign w:val="center"/>
          </w:tcPr>
          <w:p w:rsidR="008B7A61" w:rsidRPr="00E7631A" w:rsidRDefault="001B06D2" w:rsidP="001B06D2">
            <w:pPr>
              <w:ind w:left="34" w:hanging="34"/>
              <w:jc w:val="center"/>
              <w:rPr>
                <w:rFonts w:ascii="Calibri" w:eastAsia="Times New Roman" w:hAnsi="Calibri" w:cs="Arial"/>
                <w:sz w:val="20"/>
                <w:szCs w:val="20"/>
                <w:highlight w:val="green"/>
                <w:lang w:eastAsia="en-AU"/>
              </w:rPr>
            </w:pPr>
            <w:r w:rsidRPr="004D0EAB">
              <w:rPr>
                <w:rFonts w:ascii="Calibri" w:eastAsia="Times New Roman" w:hAnsi="Calibri" w:cs="Arial"/>
                <w:sz w:val="20"/>
                <w:szCs w:val="20"/>
                <w:lang w:eastAsia="en-AU"/>
              </w:rPr>
              <w:t>5</w:t>
            </w:r>
            <w:r w:rsidR="00A43AA9">
              <w:rPr>
                <w:rFonts w:ascii="Calibri" w:eastAsia="Times New Roman" w:hAnsi="Calibri" w:cs="Arial"/>
                <w:sz w:val="20"/>
                <w:szCs w:val="20"/>
                <w:lang w:eastAsia="en-AU"/>
              </w:rPr>
              <w:t>7</w:t>
            </w:r>
            <w:r w:rsidR="006521BD" w:rsidRPr="004D0EAB">
              <w:rPr>
                <w:rFonts w:ascii="Calibri" w:eastAsia="Times New Roman" w:hAnsi="Calibri" w:cs="Arial"/>
                <w:sz w:val="20"/>
                <w:szCs w:val="20"/>
                <w:lang w:eastAsia="en-AU"/>
              </w:rPr>
              <w:t xml:space="preserve">% / </w:t>
            </w:r>
            <w:r w:rsidR="00A43AA9">
              <w:rPr>
                <w:rFonts w:ascii="Calibri" w:eastAsia="Times New Roman" w:hAnsi="Calibri" w:cs="Arial"/>
                <w:sz w:val="20"/>
                <w:szCs w:val="20"/>
                <w:lang w:eastAsia="en-AU"/>
              </w:rPr>
              <w:t>43</w:t>
            </w:r>
            <w:r w:rsidR="008B7A61" w:rsidRPr="004D0EAB">
              <w:rPr>
                <w:rFonts w:ascii="Calibri" w:eastAsia="Times New Roman" w:hAnsi="Calibri" w:cs="Arial"/>
                <w:sz w:val="20"/>
                <w:szCs w:val="20"/>
                <w:lang w:eastAsia="en-AU"/>
              </w:rPr>
              <w:t>%</w:t>
            </w:r>
          </w:p>
        </w:tc>
        <w:tc>
          <w:tcPr>
            <w:tcW w:w="1588" w:type="dxa"/>
            <w:shd w:val="clear" w:color="auto" w:fill="E5DFEC" w:themeFill="accent4" w:themeFillTint="33"/>
            <w:vAlign w:val="center"/>
          </w:tcPr>
          <w:p w:rsidR="008B7A61" w:rsidRPr="004D0EAB" w:rsidRDefault="00A43AA9" w:rsidP="004D0EAB">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5</w:t>
            </w:r>
            <w:r w:rsidR="004D0EAB" w:rsidRPr="004D0EAB">
              <w:rPr>
                <w:rFonts w:ascii="Calibri" w:eastAsia="Times New Roman" w:hAnsi="Calibri" w:cs="Arial"/>
                <w:sz w:val="20"/>
                <w:szCs w:val="20"/>
                <w:lang w:eastAsia="en-AU"/>
              </w:rPr>
              <w:t>0</w:t>
            </w:r>
            <w:r w:rsidR="008B7A61" w:rsidRPr="004D0EAB">
              <w:rPr>
                <w:rFonts w:ascii="Calibri" w:eastAsia="Times New Roman" w:hAnsi="Calibri" w:cs="Arial"/>
                <w:sz w:val="20"/>
                <w:szCs w:val="20"/>
                <w:lang w:eastAsia="en-AU"/>
              </w:rPr>
              <w:t xml:space="preserve">% / </w:t>
            </w:r>
            <w:r>
              <w:rPr>
                <w:rFonts w:ascii="Calibri" w:eastAsia="Times New Roman" w:hAnsi="Calibri" w:cs="Arial"/>
                <w:sz w:val="20"/>
                <w:szCs w:val="20"/>
                <w:lang w:eastAsia="en-AU"/>
              </w:rPr>
              <w:t>5</w:t>
            </w:r>
            <w:r w:rsidR="004D0EAB" w:rsidRPr="004D0EAB">
              <w:rPr>
                <w:rFonts w:ascii="Calibri" w:eastAsia="Times New Roman" w:hAnsi="Calibri" w:cs="Arial"/>
                <w:sz w:val="20"/>
                <w:szCs w:val="20"/>
                <w:lang w:eastAsia="en-AU"/>
              </w:rPr>
              <w:t>0</w:t>
            </w:r>
            <w:r w:rsidR="008B7A61" w:rsidRPr="004D0EAB">
              <w:rPr>
                <w:rFonts w:ascii="Calibri" w:eastAsia="Times New Roman" w:hAnsi="Calibri" w:cs="Arial"/>
                <w:sz w:val="20"/>
                <w:szCs w:val="20"/>
                <w:lang w:eastAsia="en-AU"/>
              </w:rPr>
              <w:t>%</w:t>
            </w:r>
          </w:p>
        </w:tc>
        <w:tc>
          <w:tcPr>
            <w:tcW w:w="1588" w:type="dxa"/>
            <w:shd w:val="clear" w:color="auto" w:fill="FBD4B4" w:themeFill="accent6" w:themeFillTint="66"/>
          </w:tcPr>
          <w:p w:rsidR="008B7A61" w:rsidRPr="004D0EAB" w:rsidRDefault="00EE6B6C" w:rsidP="00DD1889">
            <w:pPr>
              <w:ind w:left="34" w:hanging="34"/>
              <w:jc w:val="center"/>
              <w:rPr>
                <w:rFonts w:ascii="Calibri" w:eastAsia="Times New Roman" w:hAnsi="Calibri" w:cs="Arial"/>
                <w:sz w:val="20"/>
                <w:szCs w:val="20"/>
                <w:lang w:eastAsia="en-AU"/>
              </w:rPr>
            </w:pPr>
            <w:r>
              <w:rPr>
                <w:rFonts w:ascii="Calibri" w:eastAsia="Times New Roman" w:hAnsi="Calibri" w:cs="Arial"/>
                <w:sz w:val="20"/>
                <w:szCs w:val="20"/>
                <w:lang w:eastAsia="en-AU"/>
              </w:rPr>
              <w:t>100%/0%</w:t>
            </w:r>
          </w:p>
        </w:tc>
      </w:tr>
    </w:tbl>
    <w:p w:rsidR="00C321FF" w:rsidRPr="006829B0" w:rsidRDefault="00C321FF" w:rsidP="00C321FF">
      <w:pPr>
        <w:pStyle w:val="ListParagraph"/>
        <w:spacing w:before="60" w:after="0" w:line="240" w:lineRule="auto"/>
        <w:ind w:left="-567"/>
        <w:contextualSpacing w:val="0"/>
        <w:rPr>
          <w:sz w:val="16"/>
          <w:szCs w:val="16"/>
        </w:rPr>
      </w:pPr>
      <w:proofErr w:type="gramStart"/>
      <w:r w:rsidRPr="006829B0">
        <w:rPr>
          <w:b/>
          <w:sz w:val="16"/>
          <w:szCs w:val="16"/>
          <w:vertAlign w:val="superscript"/>
        </w:rPr>
        <w:t>α</w:t>
      </w:r>
      <w:proofErr w:type="gramEnd"/>
      <w:r w:rsidRPr="006829B0">
        <w:rPr>
          <w:sz w:val="16"/>
          <w:szCs w:val="16"/>
        </w:rPr>
        <w:t xml:space="preserve"> Cases defined as per the MJSO syphilis outbreak case definition: </w:t>
      </w:r>
    </w:p>
    <w:p w:rsidR="006829B0" w:rsidRPr="00C019C3" w:rsidRDefault="006829B0" w:rsidP="00E7631A">
      <w:pPr>
        <w:pStyle w:val="ListParagraph"/>
        <w:spacing w:after="0" w:line="240" w:lineRule="auto"/>
        <w:ind w:left="-426" w:right="-308"/>
        <w:contextualSpacing w:val="0"/>
      </w:pPr>
      <w:r w:rsidRPr="00372E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372E85">
        <w:rPr>
          <w:b/>
          <w:sz w:val="16"/>
          <w:szCs w:val="16"/>
        </w:rPr>
        <w:t>AND</w:t>
      </w:r>
      <w:r w:rsidRPr="00372E85">
        <w:rPr>
          <w:sz w:val="16"/>
          <w:szCs w:val="16"/>
        </w:rPr>
        <w:t xml:space="preserve">, is an Aboriginal or Torres Strait Islander person who resides in any of the following </w:t>
      </w:r>
      <w:r w:rsidRPr="00C019C3">
        <w:rPr>
          <w:sz w:val="16"/>
          <w:szCs w:val="16"/>
        </w:rPr>
        <w:t>outbreak declared regions</w:t>
      </w:r>
      <w:r w:rsidRPr="00C019C3">
        <w:rPr>
          <w:rFonts w:cs="Arial"/>
          <w:sz w:val="16"/>
          <w:szCs w:val="16"/>
        </w:rPr>
        <w:t xml:space="preserve"> as defined and documented by that jurisdiction</w:t>
      </w:r>
      <w:r w:rsidRPr="00C019C3">
        <w:rPr>
          <w:rFonts w:ascii="Arial" w:hAnsi="Arial" w:cs="Arial"/>
          <w:sz w:val="16"/>
          <w:szCs w:val="16"/>
        </w:rPr>
        <w:t>,</w:t>
      </w:r>
      <w:r w:rsidRPr="00C019C3">
        <w:rPr>
          <w:sz w:val="16"/>
          <w:szCs w:val="16"/>
        </w:rPr>
        <w:t xml:space="preserve"> at or after the dates indicated: </w:t>
      </w:r>
      <w:r w:rsidRPr="00C019C3">
        <w:rPr>
          <w:b/>
          <w:i/>
          <w:sz w:val="16"/>
          <w:szCs w:val="16"/>
        </w:rPr>
        <w:t>Qld</w:t>
      </w:r>
      <w:r w:rsidRPr="00C019C3">
        <w:rPr>
          <w:sz w:val="16"/>
          <w:szCs w:val="16"/>
        </w:rPr>
        <w:t xml:space="preserve"> - </w:t>
      </w:r>
      <w:r w:rsidRPr="00C019C3">
        <w:rPr>
          <w:color w:val="000000" w:themeColor="text1"/>
          <w:sz w:val="16"/>
          <w:szCs w:val="16"/>
        </w:rPr>
        <w:t xml:space="preserve">Torres and Cape </w:t>
      </w:r>
      <w:r w:rsidRPr="00C019C3">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C019C3">
        <w:rPr>
          <w:b/>
          <w:i/>
          <w:sz w:val="16"/>
          <w:szCs w:val="16"/>
        </w:rPr>
        <w:t>NT</w:t>
      </w:r>
      <w:r w:rsidRPr="00C019C3">
        <w:rPr>
          <w:sz w:val="16"/>
          <w:szCs w:val="16"/>
        </w:rPr>
        <w:t xml:space="preserve"> - Alice Springs or Barkly district (from 1 July 2013); Katherine district (from 1 May 2014); East Arnhem district (from 1 November 2015); Darwin Rural and Urban (from 1 January 2017); </w:t>
      </w:r>
      <w:r w:rsidRPr="00C019C3">
        <w:rPr>
          <w:b/>
          <w:i/>
          <w:sz w:val="16"/>
          <w:szCs w:val="16"/>
        </w:rPr>
        <w:t>WA</w:t>
      </w:r>
      <w:r w:rsidRPr="00C019C3">
        <w:rPr>
          <w:sz w:val="16"/>
          <w:szCs w:val="16"/>
        </w:rPr>
        <w:t xml:space="preserve"> - Kimberley region, Western Australia (from </w:t>
      </w:r>
      <w:r w:rsidR="00E7631A">
        <w:rPr>
          <w:sz w:val="16"/>
          <w:szCs w:val="16"/>
        </w:rPr>
        <w:br/>
      </w:r>
      <w:r w:rsidRPr="00C019C3">
        <w:rPr>
          <w:sz w:val="16"/>
          <w:szCs w:val="16"/>
        </w:rPr>
        <w:t xml:space="preserve">1 June 2014), </w:t>
      </w:r>
      <w:r w:rsidRPr="00C019C3">
        <w:rPr>
          <w:b/>
          <w:i/>
          <w:sz w:val="16"/>
          <w:szCs w:val="16"/>
        </w:rPr>
        <w:t>SA</w:t>
      </w:r>
      <w:r w:rsidRPr="00C019C3">
        <w:rPr>
          <w:b/>
          <w:sz w:val="16"/>
          <w:szCs w:val="16"/>
        </w:rPr>
        <w:t xml:space="preserve"> </w:t>
      </w:r>
      <w:r w:rsidRPr="00C019C3">
        <w:rPr>
          <w:sz w:val="16"/>
          <w:szCs w:val="16"/>
        </w:rPr>
        <w:t xml:space="preserve"> - </w:t>
      </w:r>
      <w:r w:rsidR="00E7631A">
        <w:rPr>
          <w:sz w:val="16"/>
          <w:szCs w:val="16"/>
        </w:rPr>
        <w:t>Far North and Western and</w:t>
      </w:r>
      <w:r w:rsidR="00417EA4">
        <w:rPr>
          <w:sz w:val="16"/>
          <w:szCs w:val="16"/>
        </w:rPr>
        <w:t xml:space="preserve"> </w:t>
      </w:r>
      <w:r w:rsidRPr="00C019C3">
        <w:rPr>
          <w:sz w:val="16"/>
          <w:szCs w:val="16"/>
        </w:rPr>
        <w:t>Eyre</w:t>
      </w:r>
      <w:r w:rsidR="00707254">
        <w:rPr>
          <w:sz w:val="16"/>
          <w:szCs w:val="16"/>
        </w:rPr>
        <w:t xml:space="preserve"> and </w:t>
      </w:r>
      <w:r w:rsidRPr="00C019C3">
        <w:rPr>
          <w:sz w:val="16"/>
          <w:szCs w:val="16"/>
        </w:rPr>
        <w:t xml:space="preserve">regions (from 15 November 2016) </w:t>
      </w:r>
      <w:r w:rsidRPr="00C019C3">
        <w:rPr>
          <w:b/>
          <w:sz w:val="16"/>
          <w:szCs w:val="16"/>
        </w:rPr>
        <w:t>OR</w:t>
      </w:r>
      <w:r w:rsidRPr="00C019C3">
        <w:rPr>
          <w:sz w:val="16"/>
          <w:szCs w:val="16"/>
        </w:rPr>
        <w:t xml:space="preserve">,  is a sexual contact of a confirmed outbreak case. </w:t>
      </w:r>
    </w:p>
    <w:p w:rsidR="00C321FF" w:rsidRPr="00427A81" w:rsidRDefault="00C321FF" w:rsidP="00C019C3">
      <w:pPr>
        <w:spacing w:after="0" w:line="240" w:lineRule="auto"/>
        <w:ind w:left="-426" w:right="-449" w:hanging="141"/>
        <w:rPr>
          <w:sz w:val="16"/>
          <w:szCs w:val="16"/>
        </w:rPr>
      </w:pPr>
      <w:r w:rsidRPr="00C019C3">
        <w:rPr>
          <w:b/>
          <w:sz w:val="16"/>
          <w:szCs w:val="16"/>
          <w:vertAlign w:val="superscript"/>
        </w:rPr>
        <w:t>β</w:t>
      </w:r>
      <w:r w:rsidRPr="00C019C3">
        <w:rPr>
          <w:sz w:val="16"/>
          <w:szCs w:val="16"/>
          <w:vertAlign w:val="superscript"/>
        </w:rPr>
        <w:t xml:space="preserve"> </w:t>
      </w:r>
      <w:r w:rsidRPr="00C019C3">
        <w:rPr>
          <w:sz w:val="16"/>
          <w:szCs w:val="16"/>
        </w:rPr>
        <w:t xml:space="preserve">Affected regions include Torres and Cape, Cairns and Hinterland, North West, and Townsville Hospital and Health Services in Queensland; Alice Springs, Barkly, </w:t>
      </w:r>
      <w:r w:rsidR="00C019C3">
        <w:rPr>
          <w:sz w:val="16"/>
          <w:szCs w:val="16"/>
        </w:rPr>
        <w:br/>
      </w:r>
      <w:r w:rsidRPr="00C019C3">
        <w:rPr>
          <w:sz w:val="16"/>
          <w:szCs w:val="16"/>
        </w:rPr>
        <w:t>East Arnhem and Katherine regions in</w:t>
      </w:r>
      <w:r w:rsidR="006829B0" w:rsidRPr="00C019C3">
        <w:rPr>
          <w:sz w:val="16"/>
          <w:szCs w:val="16"/>
        </w:rPr>
        <w:t xml:space="preserve"> the Northern Territory; </w:t>
      </w:r>
      <w:r w:rsidRPr="00C019C3">
        <w:rPr>
          <w:sz w:val="16"/>
          <w:szCs w:val="16"/>
        </w:rPr>
        <w:t xml:space="preserve"> the Kimberley hea</w:t>
      </w:r>
      <w:r w:rsidR="006829B0" w:rsidRPr="00C019C3">
        <w:rPr>
          <w:sz w:val="16"/>
          <w:szCs w:val="16"/>
        </w:rPr>
        <w:t xml:space="preserve">lth region in Western Australia, and; </w:t>
      </w:r>
      <w:r w:rsidR="00707254">
        <w:rPr>
          <w:sz w:val="16"/>
          <w:szCs w:val="16"/>
        </w:rPr>
        <w:t>Western,</w:t>
      </w:r>
      <w:r w:rsidR="00427A81" w:rsidRPr="00C019C3">
        <w:rPr>
          <w:sz w:val="16"/>
          <w:szCs w:val="16"/>
        </w:rPr>
        <w:t xml:space="preserve"> Eyre</w:t>
      </w:r>
      <w:r w:rsidR="00707254">
        <w:rPr>
          <w:sz w:val="16"/>
          <w:szCs w:val="16"/>
        </w:rPr>
        <w:t xml:space="preserve"> and Far North</w:t>
      </w:r>
      <w:r w:rsidR="00427A81" w:rsidRPr="00C019C3">
        <w:rPr>
          <w:sz w:val="16"/>
          <w:szCs w:val="16"/>
        </w:rPr>
        <w:t xml:space="preserve"> regions in</w:t>
      </w:r>
      <w:r w:rsidR="00707254">
        <w:rPr>
          <w:sz w:val="16"/>
          <w:szCs w:val="16"/>
        </w:rPr>
        <w:br/>
      </w:r>
      <w:r w:rsidR="00427A81" w:rsidRPr="00C019C3">
        <w:rPr>
          <w:sz w:val="16"/>
          <w:szCs w:val="16"/>
        </w:rPr>
        <w:t xml:space="preserve"> South Australia.</w:t>
      </w:r>
    </w:p>
    <w:p w:rsidR="00F512E2" w:rsidRDefault="00C321FF" w:rsidP="00165ADE">
      <w:pPr>
        <w:pStyle w:val="ListParagraph"/>
        <w:spacing w:after="0" w:line="240" w:lineRule="auto"/>
        <w:ind w:left="-567"/>
        <w:contextualSpacing w:val="0"/>
        <w:rPr>
          <w:sz w:val="16"/>
          <w:szCs w:val="16"/>
        </w:rPr>
      </w:pPr>
      <w:r w:rsidRPr="00427A81">
        <w:rPr>
          <w:b/>
          <w:sz w:val="16"/>
          <w:szCs w:val="16"/>
        </w:rPr>
        <w:t>ᵞ</w:t>
      </w:r>
      <w:r w:rsidRPr="00427A81">
        <w:rPr>
          <w:sz w:val="16"/>
          <w:szCs w:val="16"/>
        </w:rPr>
        <w:t xml:space="preserve"> </w:t>
      </w:r>
      <w:proofErr w:type="gramStart"/>
      <w:r w:rsidRPr="00427A81">
        <w:rPr>
          <w:sz w:val="16"/>
          <w:szCs w:val="16"/>
          <w:u w:val="single"/>
        </w:rPr>
        <w:t>Please</w:t>
      </w:r>
      <w:proofErr w:type="gramEnd"/>
      <w:r w:rsidRPr="00427A81">
        <w:rPr>
          <w:sz w:val="16"/>
          <w:szCs w:val="16"/>
          <w:u w:val="single"/>
        </w:rPr>
        <w:t xml:space="preserve"> note that </w:t>
      </w:r>
      <w:r w:rsidRPr="00427A81">
        <w:rPr>
          <w:b/>
          <w:sz w:val="16"/>
          <w:szCs w:val="16"/>
          <w:u w:val="single"/>
        </w:rPr>
        <w:t>all data are provisional</w:t>
      </w:r>
      <w:r w:rsidRPr="00427A81">
        <w:rPr>
          <w:sz w:val="16"/>
          <w:szCs w:val="16"/>
          <w:u w:val="single"/>
        </w:rPr>
        <w:t xml:space="preserve"> and subject to change due to ongoing case investigation</w:t>
      </w:r>
      <w:r w:rsidRPr="00427A81">
        <w:rPr>
          <w:sz w:val="16"/>
          <w:szCs w:val="16"/>
        </w:rPr>
        <w:t>.</w:t>
      </w:r>
    </w:p>
    <w:p w:rsidR="00F512E2" w:rsidRDefault="00F512E2" w:rsidP="00F512E2">
      <w:r>
        <w:br w:type="page"/>
      </w:r>
    </w:p>
    <w:p w:rsidR="00F512E2" w:rsidRPr="00350985" w:rsidRDefault="00F512E2" w:rsidP="00F512E2">
      <w:pPr>
        <w:spacing w:after="0" w:line="240" w:lineRule="auto"/>
        <w:ind w:left="-567" w:right="-613"/>
        <w:jc w:val="center"/>
        <w:rPr>
          <w:rFonts w:ascii="Arial" w:hAnsi="Arial" w:cs="Arial"/>
          <w:b/>
          <w:sz w:val="24"/>
          <w:szCs w:val="24"/>
        </w:rPr>
      </w:pPr>
      <w:r w:rsidRPr="00350985">
        <w:rPr>
          <w:rFonts w:ascii="Arial" w:hAnsi="Arial" w:cs="Arial"/>
          <w:b/>
          <w:sz w:val="24"/>
          <w:szCs w:val="24"/>
        </w:rPr>
        <w:t>MULTIJURISDICTIONAL SYPHILIS OUTBREAK WORKING GROUP (MJSO)</w:t>
      </w:r>
    </w:p>
    <w:p w:rsidR="00F512E2" w:rsidRPr="00350985" w:rsidRDefault="00F512E2" w:rsidP="00F512E2">
      <w:pPr>
        <w:spacing w:after="0" w:line="120" w:lineRule="auto"/>
        <w:ind w:left="-567" w:right="-612"/>
        <w:jc w:val="center"/>
        <w:rPr>
          <w:rFonts w:ascii="Arial" w:hAnsi="Arial" w:cs="Arial"/>
          <w:b/>
          <w:sz w:val="24"/>
          <w:szCs w:val="24"/>
        </w:rPr>
      </w:pPr>
    </w:p>
    <w:p w:rsidR="00F512E2" w:rsidRPr="00350985" w:rsidRDefault="00F512E2" w:rsidP="00F512E2">
      <w:pPr>
        <w:spacing w:after="0" w:line="240" w:lineRule="auto"/>
        <w:ind w:left="-567" w:right="-613"/>
        <w:jc w:val="center"/>
        <w:rPr>
          <w:rFonts w:ascii="Arial" w:hAnsi="Arial" w:cs="Arial"/>
          <w:sz w:val="24"/>
          <w:szCs w:val="24"/>
        </w:rPr>
      </w:pPr>
      <w:r w:rsidRPr="00350985">
        <w:rPr>
          <w:rFonts w:ascii="Arial" w:hAnsi="Arial" w:cs="Arial"/>
          <w:b/>
          <w:sz w:val="24"/>
          <w:szCs w:val="24"/>
        </w:rPr>
        <w:t>Meeting Communique, 22 February 2018</w:t>
      </w:r>
    </w:p>
    <w:p w:rsidR="00F512E2" w:rsidRPr="00216285" w:rsidRDefault="00F512E2" w:rsidP="00F512E2">
      <w:pPr>
        <w:spacing w:after="0" w:line="120" w:lineRule="auto"/>
        <w:ind w:left="-567" w:right="-612"/>
      </w:pPr>
    </w:p>
    <w:p w:rsidR="00F512E2" w:rsidRPr="00216285" w:rsidRDefault="00F512E2" w:rsidP="00F512E2">
      <w:pPr>
        <w:spacing w:after="0" w:line="240" w:lineRule="auto"/>
        <w:ind w:left="-567" w:right="-612"/>
        <w:jc w:val="center"/>
        <w:rPr>
          <w:rFonts w:ascii="Arial" w:hAnsi="Arial" w:cs="Arial"/>
          <w:b/>
          <w:sz w:val="24"/>
          <w:szCs w:val="24"/>
        </w:rPr>
      </w:pPr>
      <w:r w:rsidRPr="00216285">
        <w:rPr>
          <w:rFonts w:ascii="Arial" w:hAnsi="Arial" w:cs="Arial"/>
          <w:b/>
          <w:sz w:val="24"/>
          <w:szCs w:val="24"/>
        </w:rPr>
        <w:t>This communique has been authorised by the chair of the MJSO, Dr Nathan Ryder.</w:t>
      </w:r>
    </w:p>
    <w:p w:rsidR="00F512E2" w:rsidRPr="00216285" w:rsidRDefault="00F512E2" w:rsidP="00F512E2">
      <w:pPr>
        <w:spacing w:after="0" w:line="240" w:lineRule="auto"/>
        <w:ind w:right="-613"/>
        <w:rPr>
          <w:rFonts w:ascii="Arial" w:hAnsi="Arial" w:cs="Arial"/>
          <w:sz w:val="20"/>
          <w:szCs w:val="20"/>
        </w:rPr>
      </w:pPr>
    </w:p>
    <w:p w:rsidR="00F512E2" w:rsidRPr="00216285" w:rsidRDefault="00F512E2" w:rsidP="00F512E2">
      <w:pPr>
        <w:pStyle w:val="PlainText"/>
        <w:ind w:left="-567"/>
        <w:rPr>
          <w:color w:val="000000" w:themeColor="text1"/>
        </w:rPr>
      </w:pPr>
      <w:r w:rsidRPr="00216285">
        <w:rPr>
          <w:rFonts w:cs="Arial"/>
          <w:szCs w:val="20"/>
        </w:rPr>
        <w:t xml:space="preserve">The Multijurisdictional Syphilis Outbreak Working Group (MJSO) was formed by the Communicable Diseases Network of Australia (CDNA) in April 2015, in response to an ongoing outbreak of syphilis among Aboriginal and Torres Strait Islander people living largely in remote and </w:t>
      </w:r>
      <w:r w:rsidRPr="00216285">
        <w:rPr>
          <w:rFonts w:cs="Arial"/>
          <w:color w:val="000000" w:themeColor="text1"/>
          <w:szCs w:val="20"/>
        </w:rPr>
        <w:t xml:space="preserve">rural areas of northern Australia. </w:t>
      </w:r>
      <w:r w:rsidRPr="00216285">
        <w:rPr>
          <w:color w:val="000000" w:themeColor="text1"/>
        </w:rPr>
        <w:t xml:space="preserve">Increased notifications associated with the outbreak in northern Australia were first reported in January 2011 in northwest Queensland, followed by the Northern Territory (NT) in July 2013, and the Kimberley region of Western Australia (WA) in </w:t>
      </w:r>
      <w:r w:rsidRPr="00216285">
        <w:rPr>
          <w:color w:val="000000" w:themeColor="text1"/>
        </w:rPr>
        <w:br/>
        <w:t>June 2014. In March 2017, South Australia (SA) declared an outbreak in the Western and Eyre and Far North regions from November 2016.</w:t>
      </w:r>
    </w:p>
    <w:p w:rsidR="00F512E2" w:rsidRPr="00216285" w:rsidRDefault="00F512E2" w:rsidP="00F512E2">
      <w:pPr>
        <w:pStyle w:val="PlainText"/>
        <w:ind w:left="-567"/>
        <w:rPr>
          <w:color w:val="000000" w:themeColor="text1"/>
          <w:highlight w:val="yellow"/>
        </w:rPr>
      </w:pPr>
    </w:p>
    <w:p w:rsidR="00F512E2" w:rsidRPr="00216285" w:rsidRDefault="00F512E2" w:rsidP="00F512E2">
      <w:pPr>
        <w:pStyle w:val="PlainText"/>
        <w:ind w:left="-567"/>
      </w:pPr>
      <w:r w:rsidRPr="00216285">
        <w:rPr>
          <w:color w:val="000000" w:themeColor="text1"/>
        </w:rPr>
        <w:t>This communique summarises the outbreak epidemiological data as of 22 February 2018 (current status).</w:t>
      </w:r>
    </w:p>
    <w:p w:rsidR="00F512E2" w:rsidRPr="00216285" w:rsidRDefault="00F512E2" w:rsidP="00F512E2">
      <w:pPr>
        <w:spacing w:after="0" w:line="180" w:lineRule="auto"/>
        <w:ind w:right="261"/>
        <w:jc w:val="both"/>
        <w:rPr>
          <w:rFonts w:ascii="Arial" w:hAnsi="Arial" w:cs="Arial"/>
          <w:sz w:val="20"/>
          <w:szCs w:val="20"/>
          <w:highlight w:val="yellow"/>
        </w:rPr>
      </w:pPr>
    </w:p>
    <w:p w:rsidR="00F512E2" w:rsidRPr="00216285" w:rsidRDefault="00F512E2" w:rsidP="00F512E2">
      <w:pPr>
        <w:spacing w:after="0" w:line="240" w:lineRule="auto"/>
        <w:ind w:left="-567" w:right="261"/>
        <w:jc w:val="both"/>
        <w:rPr>
          <w:rFonts w:ascii="Arial" w:hAnsi="Arial" w:cs="Arial"/>
          <w:b/>
        </w:rPr>
      </w:pPr>
      <w:r w:rsidRPr="00216285">
        <w:rPr>
          <w:rFonts w:ascii="Arial" w:hAnsi="Arial" w:cs="Arial"/>
          <w:b/>
        </w:rPr>
        <w:t>Current status</w:t>
      </w:r>
    </w:p>
    <w:p w:rsidR="00F512E2" w:rsidRPr="00216285" w:rsidRDefault="00F512E2" w:rsidP="00F512E2">
      <w:pPr>
        <w:spacing w:after="0" w:line="240" w:lineRule="auto"/>
        <w:ind w:left="-567" w:right="261"/>
        <w:jc w:val="both"/>
        <w:rPr>
          <w:rFonts w:ascii="Arial" w:hAnsi="Arial" w:cs="Arial"/>
          <w:sz w:val="20"/>
          <w:szCs w:val="20"/>
        </w:rPr>
      </w:pPr>
      <w:r w:rsidRPr="00216285">
        <w:rPr>
          <w:rFonts w:ascii="Arial" w:hAnsi="Arial" w:cs="Arial"/>
          <w:sz w:val="20"/>
          <w:szCs w:val="20"/>
        </w:rPr>
        <w:t>Outbreak data to 31 January 2018 are summarised in Figure 1 and Table 1 below.</w:t>
      </w:r>
    </w:p>
    <w:p w:rsidR="00F512E2" w:rsidRPr="00216285" w:rsidRDefault="00F512E2" w:rsidP="00F512E2">
      <w:pPr>
        <w:spacing w:after="0" w:line="240" w:lineRule="auto"/>
        <w:ind w:left="-567" w:right="261"/>
        <w:jc w:val="both"/>
        <w:rPr>
          <w:rFonts w:ascii="Arial" w:hAnsi="Arial" w:cs="Arial"/>
          <w:sz w:val="20"/>
          <w:szCs w:val="20"/>
        </w:rPr>
      </w:pPr>
    </w:p>
    <w:p w:rsidR="00F512E2" w:rsidRDefault="00F512E2" w:rsidP="00F512E2">
      <w:pPr>
        <w:spacing w:after="0" w:line="240" w:lineRule="auto"/>
        <w:ind w:left="-567" w:right="-306"/>
        <w:rPr>
          <w:rFonts w:ascii="Arial" w:hAnsi="Arial" w:cs="Arial"/>
          <w:sz w:val="20"/>
          <w:szCs w:val="20"/>
        </w:rPr>
      </w:pPr>
      <w:r w:rsidRPr="00216285">
        <w:rPr>
          <w:rFonts w:ascii="Arial" w:hAnsi="Arial" w:cs="Arial"/>
          <w:b/>
          <w:sz w:val="20"/>
          <w:szCs w:val="20"/>
        </w:rPr>
        <w:t>Figure 1</w:t>
      </w:r>
      <w:r w:rsidRPr="00216285">
        <w:rPr>
          <w:rFonts w:ascii="Arial" w:hAnsi="Arial" w:cs="Arial"/>
          <w:sz w:val="20"/>
          <w:szCs w:val="20"/>
        </w:rPr>
        <w:t>. Epidemic curve showing outbreak cases of infectious syphilis</w:t>
      </w:r>
      <w:r w:rsidRPr="00216285">
        <w:rPr>
          <w:rFonts w:ascii="Arial" w:hAnsi="Arial" w:cs="Arial"/>
          <w:sz w:val="20"/>
          <w:szCs w:val="20"/>
          <w:vertAlign w:val="superscript"/>
        </w:rPr>
        <w:t>α</w:t>
      </w:r>
      <w:r w:rsidRPr="00216285">
        <w:rPr>
          <w:rFonts w:ascii="Arial" w:hAnsi="Arial" w:cs="Arial"/>
          <w:sz w:val="20"/>
          <w:szCs w:val="20"/>
        </w:rPr>
        <w:t xml:space="preserve"> notified in affected regions</w:t>
      </w:r>
      <w:r w:rsidRPr="00216285">
        <w:rPr>
          <w:rFonts w:ascii="Arial" w:hAnsi="Arial" w:cs="Arial"/>
          <w:sz w:val="20"/>
          <w:szCs w:val="20"/>
          <w:vertAlign w:val="superscript"/>
        </w:rPr>
        <w:t>β</w:t>
      </w:r>
      <w:r w:rsidRPr="00216285">
        <w:rPr>
          <w:rFonts w:ascii="Arial" w:hAnsi="Arial" w:cs="Arial"/>
          <w:sz w:val="20"/>
          <w:szCs w:val="20"/>
        </w:rPr>
        <w:t xml:space="preserve"> of Queensland</w:t>
      </w:r>
      <w:proofErr w:type="gramStart"/>
      <w:r w:rsidRPr="00216285">
        <w:rPr>
          <w:rFonts w:ascii="Arial" w:hAnsi="Arial" w:cs="Arial"/>
          <w:sz w:val="20"/>
          <w:szCs w:val="20"/>
        </w:rPr>
        <w:t>,</w:t>
      </w:r>
      <w:proofErr w:type="gramEnd"/>
      <w:r w:rsidRPr="00216285">
        <w:rPr>
          <w:rFonts w:ascii="Arial" w:hAnsi="Arial" w:cs="Arial"/>
          <w:sz w:val="20"/>
          <w:szCs w:val="20"/>
        </w:rPr>
        <w:br/>
        <w:t>the Northern Territory, Western Australia and South Australia from commencement of the outbreak in each jurisdiction to 31 January 2018</w:t>
      </w:r>
      <w:r w:rsidRPr="00216285">
        <w:rPr>
          <w:rFonts w:ascii="Arial" w:hAnsi="Arial" w:cs="Arial"/>
          <w:sz w:val="20"/>
          <w:szCs w:val="20"/>
          <w:vertAlign w:val="superscript"/>
        </w:rPr>
        <w:t>ᵞ</w:t>
      </w:r>
      <w:r w:rsidRPr="00216285">
        <w:rPr>
          <w:rFonts w:ascii="Arial" w:hAnsi="Arial" w:cs="Arial"/>
          <w:sz w:val="20"/>
          <w:szCs w:val="20"/>
        </w:rPr>
        <w:t>.</w:t>
      </w:r>
    </w:p>
    <w:p w:rsidR="00F512E2" w:rsidRDefault="00F512E2" w:rsidP="00F512E2">
      <w:pPr>
        <w:spacing w:after="0" w:line="240" w:lineRule="auto"/>
        <w:ind w:left="-567" w:right="-306"/>
        <w:rPr>
          <w:rFonts w:ascii="Arial" w:hAnsi="Arial" w:cs="Arial"/>
          <w:sz w:val="20"/>
          <w:szCs w:val="20"/>
        </w:rPr>
      </w:pPr>
      <w:r>
        <w:rPr>
          <w:rFonts w:ascii="Arial" w:hAnsi="Arial" w:cs="Arial"/>
          <w:noProof/>
          <w:sz w:val="20"/>
          <w:szCs w:val="20"/>
          <w:lang w:eastAsia="en-AU"/>
        </w:rPr>
        <w:drawing>
          <wp:inline distT="0" distB="0" distL="0" distR="0" wp14:anchorId="355AF48F" wp14:editId="7D64E258">
            <wp:extent cx="6674191" cy="2886075"/>
            <wp:effectExtent l="0" t="0" r="0" b="0"/>
            <wp:docPr id="20" name="Picture 20" descr="Epidemic curve showing outbreak cases of infectious syphilisα notified in affected regions of Queensland,&#10;the Northern Territory, Western Australia and South Australia from commencement of the outbreak in each jurisdiction to 31 January 2018&#10;" title="Epidemic curve infectious syphilis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2324" cy="2889592"/>
                    </a:xfrm>
                    <a:prstGeom prst="rect">
                      <a:avLst/>
                    </a:prstGeom>
                    <a:noFill/>
                  </pic:spPr>
                </pic:pic>
              </a:graphicData>
            </a:graphic>
          </wp:inline>
        </w:drawing>
      </w:r>
    </w:p>
    <w:p w:rsidR="00F512E2" w:rsidRPr="00216285" w:rsidRDefault="00F512E2" w:rsidP="00F512E2">
      <w:pPr>
        <w:spacing w:after="0" w:line="240" w:lineRule="auto"/>
        <w:ind w:left="-567"/>
        <w:rPr>
          <w:rFonts w:ascii="Arial" w:hAnsi="Arial" w:cs="Arial"/>
          <w:sz w:val="20"/>
          <w:szCs w:val="20"/>
        </w:rPr>
      </w:pPr>
      <w:r w:rsidRPr="00216285">
        <w:rPr>
          <w:rFonts w:ascii="Arial" w:hAnsi="Arial" w:cs="Arial"/>
          <w:b/>
          <w:sz w:val="20"/>
          <w:szCs w:val="20"/>
        </w:rPr>
        <w:t>Table 1</w:t>
      </w:r>
      <w:r w:rsidRPr="00216285">
        <w:rPr>
          <w:rFonts w:ascii="Arial" w:hAnsi="Arial" w:cs="Arial"/>
          <w:sz w:val="20"/>
          <w:szCs w:val="20"/>
        </w:rPr>
        <w:t>.</w:t>
      </w:r>
      <w:r w:rsidRPr="00216285">
        <w:rPr>
          <w:rFonts w:ascii="Arial" w:hAnsi="Arial" w:cs="Arial"/>
          <w:b/>
          <w:sz w:val="20"/>
          <w:szCs w:val="20"/>
        </w:rPr>
        <w:t xml:space="preserve"> </w:t>
      </w:r>
      <w:r w:rsidRPr="00216285">
        <w:rPr>
          <w:rFonts w:ascii="Arial" w:hAnsi="Arial" w:cs="Arial"/>
          <w:sz w:val="20"/>
          <w:szCs w:val="20"/>
        </w:rPr>
        <w:t xml:space="preserve">Characteristics of outbreak cases of infectious syphilis notified in affected regions of Queensland, the Northern Territory, Western Australia and South Australia, to 31 </w:t>
      </w:r>
      <w:r>
        <w:rPr>
          <w:rFonts w:ascii="Arial" w:hAnsi="Arial" w:cs="Arial"/>
          <w:sz w:val="20"/>
          <w:szCs w:val="20"/>
        </w:rPr>
        <w:t>January</w:t>
      </w:r>
      <w:r w:rsidRPr="00216285">
        <w:rPr>
          <w:rFonts w:ascii="Arial" w:hAnsi="Arial" w:cs="Arial"/>
          <w:sz w:val="20"/>
          <w:szCs w:val="20"/>
        </w:rPr>
        <w:t xml:space="preserve"> 2018</w:t>
      </w:r>
      <w:r w:rsidRPr="00216285">
        <w:rPr>
          <w:rFonts w:ascii="Arial" w:hAnsi="Arial" w:cs="Arial"/>
          <w:sz w:val="20"/>
          <w:szCs w:val="20"/>
          <w:vertAlign w:val="superscript"/>
        </w:rPr>
        <w:t>ᵞ</w:t>
      </w:r>
      <w:r w:rsidRPr="00216285">
        <w:rPr>
          <w:rFonts w:ascii="Arial" w:hAnsi="Arial" w:cs="Arial"/>
          <w:sz w:val="20"/>
          <w:szCs w:val="20"/>
        </w:rPr>
        <w:t>.</w:t>
      </w:r>
    </w:p>
    <w:tbl>
      <w:tblPr>
        <w:tblStyle w:val="TableGrid12"/>
        <w:tblW w:w="10288" w:type="dxa"/>
        <w:tblInd w:w="-459"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4117"/>
        <w:gridCol w:w="1542"/>
        <w:gridCol w:w="11"/>
        <w:gridCol w:w="1532"/>
        <w:gridCol w:w="1543"/>
        <w:gridCol w:w="1543"/>
      </w:tblGrid>
      <w:tr w:rsidR="00F512E2" w:rsidRPr="00216285" w:rsidTr="0062029D">
        <w:trPr>
          <w:tblHeader/>
        </w:trPr>
        <w:tc>
          <w:tcPr>
            <w:tcW w:w="4117" w:type="dxa"/>
            <w:tcBorders>
              <w:bottom w:val="single" w:sz="4" w:space="0" w:color="auto"/>
            </w:tcBorders>
          </w:tcPr>
          <w:p w:rsidR="00F512E2" w:rsidRPr="00216285" w:rsidRDefault="00F512E2" w:rsidP="0062029D">
            <w:pPr>
              <w:ind w:left="34" w:hanging="34"/>
              <w:rPr>
                <w:rFonts w:ascii="Calibri" w:eastAsia="Times New Roman" w:hAnsi="Calibri" w:cs="Arial"/>
                <w:sz w:val="20"/>
                <w:szCs w:val="20"/>
                <w:highlight w:val="yellow"/>
                <w:lang w:eastAsia="en-AU"/>
              </w:rPr>
            </w:pPr>
          </w:p>
        </w:tc>
        <w:tc>
          <w:tcPr>
            <w:tcW w:w="1553" w:type="dxa"/>
            <w:gridSpan w:val="2"/>
            <w:tcBorders>
              <w:bottom w:val="single" w:sz="4" w:space="0" w:color="auto"/>
            </w:tcBorders>
            <w:shd w:val="clear" w:color="auto" w:fill="C6D9F1" w:themeFill="text2" w:themeFillTint="33"/>
          </w:tcPr>
          <w:p w:rsidR="00F512E2" w:rsidRPr="00216285" w:rsidRDefault="00F512E2" w:rsidP="0062029D">
            <w:pPr>
              <w:ind w:left="34" w:hanging="34"/>
              <w:jc w:val="center"/>
              <w:rPr>
                <w:rFonts w:ascii="Calibri" w:eastAsia="Times New Roman" w:hAnsi="Calibri" w:cs="Arial"/>
                <w:b/>
                <w:sz w:val="20"/>
                <w:szCs w:val="20"/>
                <w:lang w:eastAsia="en-AU"/>
              </w:rPr>
            </w:pPr>
            <w:r w:rsidRPr="00216285">
              <w:rPr>
                <w:rFonts w:ascii="Calibri" w:eastAsia="Times New Roman" w:hAnsi="Calibri" w:cs="Arial"/>
                <w:b/>
                <w:sz w:val="20"/>
                <w:szCs w:val="20"/>
                <w:shd w:val="clear" w:color="auto" w:fill="C6D9F1" w:themeFill="text2" w:themeFillTint="33"/>
                <w:lang w:eastAsia="en-AU"/>
              </w:rPr>
              <w:t xml:space="preserve">North Qld </w:t>
            </w:r>
            <w:r w:rsidRPr="00216285">
              <w:rPr>
                <w:rFonts w:ascii="Calibri" w:eastAsia="Times New Roman" w:hAnsi="Calibri" w:cs="Arial"/>
                <w:b/>
                <w:sz w:val="20"/>
                <w:szCs w:val="20"/>
                <w:shd w:val="clear" w:color="auto" w:fill="C6D9F1" w:themeFill="text2" w:themeFillTint="33"/>
                <w:lang w:eastAsia="en-AU"/>
              </w:rPr>
              <w:br/>
            </w:r>
            <w:r w:rsidRPr="00216285">
              <w:rPr>
                <w:rFonts w:ascii="Calibri" w:eastAsia="Times New Roman" w:hAnsi="Calibri" w:cs="Arial"/>
                <w:sz w:val="20"/>
                <w:szCs w:val="20"/>
                <w:shd w:val="clear" w:color="auto" w:fill="C6D9F1" w:themeFill="text2" w:themeFillTint="33"/>
                <w:lang w:eastAsia="en-AU"/>
              </w:rPr>
              <w:t>(four HHSs</w:t>
            </w:r>
            <w:r w:rsidRPr="00216285">
              <w:rPr>
                <w:rFonts w:ascii="Calibri" w:eastAsia="Times New Roman" w:hAnsi="Calibri" w:cs="Arial"/>
                <w:sz w:val="20"/>
                <w:szCs w:val="20"/>
                <w:shd w:val="clear" w:color="auto" w:fill="C6D9F1" w:themeFill="text2" w:themeFillTint="33"/>
                <w:vertAlign w:val="superscript"/>
                <w:lang w:eastAsia="en-AU"/>
              </w:rPr>
              <w:t>β</w:t>
            </w:r>
            <w:r w:rsidRPr="00216285">
              <w:rPr>
                <w:rFonts w:ascii="Calibri" w:eastAsia="Times New Roman" w:hAnsi="Calibri" w:cs="Arial"/>
                <w:sz w:val="20"/>
                <w:szCs w:val="20"/>
                <w:lang w:eastAsia="en-AU"/>
              </w:rPr>
              <w:t>)</w:t>
            </w:r>
          </w:p>
        </w:tc>
        <w:tc>
          <w:tcPr>
            <w:tcW w:w="1532" w:type="dxa"/>
            <w:tcBorders>
              <w:bottom w:val="single" w:sz="4" w:space="0" w:color="auto"/>
            </w:tcBorders>
            <w:shd w:val="clear" w:color="auto" w:fill="DAEEF3" w:themeFill="accent5" w:themeFillTint="33"/>
          </w:tcPr>
          <w:p w:rsidR="00F512E2" w:rsidRPr="00216285" w:rsidRDefault="00F512E2" w:rsidP="0062029D">
            <w:pPr>
              <w:ind w:left="34" w:hanging="34"/>
              <w:jc w:val="center"/>
              <w:rPr>
                <w:rFonts w:ascii="Calibri" w:eastAsia="Times New Roman" w:hAnsi="Calibri" w:cs="Arial"/>
                <w:b/>
                <w:sz w:val="20"/>
                <w:szCs w:val="20"/>
                <w:lang w:eastAsia="en-AU"/>
              </w:rPr>
            </w:pPr>
            <w:r w:rsidRPr="00216285">
              <w:rPr>
                <w:rFonts w:ascii="Calibri" w:eastAsia="Times New Roman" w:hAnsi="Calibri" w:cs="Arial"/>
                <w:b/>
                <w:sz w:val="20"/>
                <w:szCs w:val="20"/>
                <w:lang w:eastAsia="en-AU"/>
              </w:rPr>
              <w:t xml:space="preserve">NT </w:t>
            </w:r>
            <w:r w:rsidRPr="00216285">
              <w:rPr>
                <w:rFonts w:ascii="Calibri" w:eastAsia="Times New Roman" w:hAnsi="Calibri" w:cs="Arial"/>
                <w:b/>
                <w:sz w:val="20"/>
                <w:szCs w:val="20"/>
                <w:lang w:eastAsia="en-AU"/>
              </w:rPr>
              <w:br/>
            </w:r>
            <w:r w:rsidRPr="00216285">
              <w:rPr>
                <w:rFonts w:ascii="Calibri" w:eastAsia="Times New Roman" w:hAnsi="Calibri" w:cs="Arial"/>
                <w:sz w:val="20"/>
                <w:szCs w:val="20"/>
                <w:lang w:eastAsia="en-AU"/>
              </w:rPr>
              <w:t>(four regions</w:t>
            </w:r>
            <w:r w:rsidRPr="00216285">
              <w:rPr>
                <w:rFonts w:ascii="Calibri" w:eastAsia="Times New Roman" w:hAnsi="Calibri" w:cs="Arial"/>
                <w:sz w:val="20"/>
                <w:szCs w:val="20"/>
                <w:vertAlign w:val="superscript"/>
                <w:lang w:eastAsia="en-AU"/>
              </w:rPr>
              <w:t xml:space="preserve"> β</w:t>
            </w:r>
            <w:r w:rsidRPr="00216285">
              <w:rPr>
                <w:rFonts w:ascii="Calibri" w:eastAsia="Times New Roman" w:hAnsi="Calibri" w:cs="Arial"/>
                <w:sz w:val="20"/>
                <w:szCs w:val="20"/>
                <w:lang w:eastAsia="en-AU"/>
              </w:rPr>
              <w:t>)</w:t>
            </w:r>
          </w:p>
        </w:tc>
        <w:tc>
          <w:tcPr>
            <w:tcW w:w="1543" w:type="dxa"/>
            <w:tcBorders>
              <w:bottom w:val="single" w:sz="4" w:space="0" w:color="auto"/>
            </w:tcBorders>
            <w:shd w:val="clear" w:color="auto" w:fill="E5DFEC" w:themeFill="accent4" w:themeFillTint="33"/>
          </w:tcPr>
          <w:p w:rsidR="00F512E2" w:rsidRPr="00216285" w:rsidRDefault="00F512E2" w:rsidP="0062029D">
            <w:pPr>
              <w:ind w:left="34" w:hanging="34"/>
              <w:jc w:val="center"/>
              <w:rPr>
                <w:rFonts w:ascii="Calibri" w:eastAsia="Times New Roman" w:hAnsi="Calibri" w:cs="Arial"/>
                <w:b/>
                <w:sz w:val="20"/>
                <w:szCs w:val="20"/>
                <w:lang w:eastAsia="en-AU"/>
              </w:rPr>
            </w:pPr>
            <w:r w:rsidRPr="00216285">
              <w:rPr>
                <w:rFonts w:ascii="Calibri" w:eastAsia="Times New Roman" w:hAnsi="Calibri" w:cs="Arial"/>
                <w:b/>
                <w:sz w:val="20"/>
                <w:szCs w:val="20"/>
                <w:lang w:eastAsia="en-AU"/>
              </w:rPr>
              <w:t>WA</w:t>
            </w:r>
            <w:r w:rsidRPr="00216285">
              <w:rPr>
                <w:rFonts w:ascii="Calibri" w:eastAsia="Times New Roman" w:hAnsi="Calibri" w:cs="Arial"/>
                <w:b/>
                <w:sz w:val="20"/>
                <w:szCs w:val="20"/>
                <w:lang w:eastAsia="en-AU"/>
              </w:rPr>
              <w:br/>
            </w:r>
            <w:r w:rsidRPr="00216285">
              <w:rPr>
                <w:rFonts w:ascii="Calibri" w:eastAsia="Times New Roman" w:hAnsi="Calibri" w:cs="Arial"/>
                <w:sz w:val="20"/>
                <w:szCs w:val="20"/>
                <w:lang w:eastAsia="en-AU"/>
              </w:rPr>
              <w:t xml:space="preserve"> (Kimberley region)</w:t>
            </w:r>
          </w:p>
        </w:tc>
        <w:tc>
          <w:tcPr>
            <w:tcW w:w="1543" w:type="dxa"/>
            <w:tcBorders>
              <w:bottom w:val="single" w:sz="4" w:space="0" w:color="auto"/>
            </w:tcBorders>
            <w:shd w:val="clear" w:color="auto" w:fill="FBD4B4" w:themeFill="accent6" w:themeFillTint="66"/>
          </w:tcPr>
          <w:p w:rsidR="00F512E2" w:rsidRPr="00216285" w:rsidRDefault="00F512E2" w:rsidP="0062029D">
            <w:pPr>
              <w:ind w:left="34" w:hanging="34"/>
              <w:jc w:val="center"/>
              <w:rPr>
                <w:rFonts w:ascii="Calibri" w:eastAsia="Times New Roman" w:hAnsi="Calibri" w:cs="Arial"/>
                <w:b/>
                <w:sz w:val="20"/>
                <w:szCs w:val="20"/>
                <w:lang w:eastAsia="en-AU"/>
              </w:rPr>
            </w:pPr>
            <w:r w:rsidRPr="00216285">
              <w:rPr>
                <w:rFonts w:ascii="Calibri" w:eastAsia="Times New Roman" w:hAnsi="Calibri" w:cs="Arial"/>
                <w:b/>
                <w:sz w:val="20"/>
                <w:szCs w:val="20"/>
                <w:lang w:eastAsia="en-AU"/>
              </w:rPr>
              <w:t>SA</w:t>
            </w:r>
          </w:p>
          <w:p w:rsidR="00F512E2" w:rsidRPr="00216285" w:rsidRDefault="00F512E2" w:rsidP="0062029D">
            <w:pPr>
              <w:ind w:left="34" w:hanging="34"/>
              <w:jc w:val="center"/>
              <w:rPr>
                <w:rFonts w:ascii="Calibri" w:eastAsia="Times New Roman" w:hAnsi="Calibri" w:cs="Arial"/>
                <w:sz w:val="20"/>
                <w:szCs w:val="20"/>
                <w:lang w:eastAsia="en-AU"/>
              </w:rPr>
            </w:pPr>
            <w:r w:rsidRPr="00216285">
              <w:rPr>
                <w:rFonts w:ascii="Calibri" w:eastAsia="Times New Roman" w:hAnsi="Calibri" w:cs="Arial"/>
                <w:sz w:val="20"/>
                <w:szCs w:val="20"/>
                <w:lang w:eastAsia="en-AU"/>
              </w:rPr>
              <w:t>(three regions</w:t>
            </w:r>
            <w:r w:rsidRPr="00216285">
              <w:rPr>
                <w:rFonts w:ascii="Calibri" w:eastAsia="Times New Roman" w:hAnsi="Calibri" w:cs="Arial"/>
                <w:sz w:val="20"/>
                <w:szCs w:val="20"/>
                <w:vertAlign w:val="superscript"/>
                <w:lang w:eastAsia="en-AU"/>
              </w:rPr>
              <w:t xml:space="preserve"> β</w:t>
            </w:r>
            <w:r w:rsidRPr="00216285">
              <w:rPr>
                <w:rFonts w:ascii="Calibri" w:eastAsia="Times New Roman" w:hAnsi="Calibri" w:cs="Arial"/>
                <w:sz w:val="20"/>
                <w:szCs w:val="20"/>
                <w:lang w:eastAsia="en-AU"/>
              </w:rPr>
              <w:t>)</w:t>
            </w:r>
          </w:p>
        </w:tc>
      </w:tr>
      <w:tr w:rsidR="00F512E2" w:rsidRPr="00216285" w:rsidTr="0062029D">
        <w:tc>
          <w:tcPr>
            <w:tcW w:w="4117" w:type="dxa"/>
            <w:tcBorders>
              <w:right w:val="nil"/>
            </w:tcBorders>
            <w:shd w:val="clear" w:color="auto" w:fill="B8CCE4" w:themeFill="accent1" w:themeFillTint="66"/>
          </w:tcPr>
          <w:p w:rsidR="00F512E2" w:rsidRPr="00216285" w:rsidRDefault="00F512E2" w:rsidP="0062029D">
            <w:pPr>
              <w:ind w:left="34" w:hanging="34"/>
              <w:rPr>
                <w:rFonts w:ascii="Calibri" w:eastAsia="Times New Roman" w:hAnsi="Calibri" w:cs="Arial"/>
                <w:sz w:val="20"/>
                <w:szCs w:val="20"/>
                <w:highlight w:val="yellow"/>
                <w:lang w:eastAsia="en-AU"/>
              </w:rPr>
            </w:pPr>
            <w:r w:rsidRPr="00216285">
              <w:rPr>
                <w:rFonts w:ascii="Calibri" w:eastAsia="Times New Roman" w:hAnsi="Calibri" w:cs="Arial"/>
                <w:sz w:val="20"/>
                <w:szCs w:val="20"/>
                <w:lang w:eastAsia="en-AU"/>
              </w:rPr>
              <w:t>Situation to-date, 31 January 2018</w:t>
            </w:r>
          </w:p>
        </w:tc>
        <w:tc>
          <w:tcPr>
            <w:tcW w:w="1553" w:type="dxa"/>
            <w:gridSpan w:val="2"/>
            <w:tcBorders>
              <w:left w:val="nil"/>
              <w:right w:val="nil"/>
            </w:tcBorders>
            <w:shd w:val="clear" w:color="auto" w:fill="B8CCE4" w:themeFill="accent1" w:themeFillTint="66"/>
          </w:tcPr>
          <w:p w:rsidR="00F512E2" w:rsidRPr="00216285" w:rsidRDefault="00F512E2" w:rsidP="0062029D">
            <w:pPr>
              <w:ind w:left="34" w:hanging="34"/>
              <w:rPr>
                <w:rFonts w:ascii="Calibri" w:eastAsia="Times New Roman" w:hAnsi="Calibri" w:cs="Arial"/>
                <w:sz w:val="20"/>
                <w:szCs w:val="20"/>
                <w:highlight w:val="yellow"/>
                <w:lang w:eastAsia="en-AU"/>
              </w:rPr>
            </w:pPr>
          </w:p>
        </w:tc>
        <w:tc>
          <w:tcPr>
            <w:tcW w:w="1532" w:type="dxa"/>
            <w:tcBorders>
              <w:left w:val="nil"/>
              <w:right w:val="nil"/>
            </w:tcBorders>
            <w:shd w:val="clear" w:color="auto" w:fill="B8CCE4" w:themeFill="accent1" w:themeFillTint="66"/>
          </w:tcPr>
          <w:p w:rsidR="00F512E2" w:rsidRPr="00216285" w:rsidRDefault="00F512E2" w:rsidP="0062029D">
            <w:pPr>
              <w:ind w:left="34" w:hanging="34"/>
              <w:rPr>
                <w:rFonts w:ascii="Calibri" w:eastAsia="Times New Roman" w:hAnsi="Calibri" w:cs="Arial"/>
                <w:sz w:val="20"/>
                <w:szCs w:val="20"/>
                <w:highlight w:val="yellow"/>
                <w:lang w:eastAsia="en-AU"/>
              </w:rPr>
            </w:pPr>
          </w:p>
        </w:tc>
        <w:tc>
          <w:tcPr>
            <w:tcW w:w="1543" w:type="dxa"/>
            <w:tcBorders>
              <w:left w:val="nil"/>
            </w:tcBorders>
            <w:shd w:val="clear" w:color="auto" w:fill="B8CCE4" w:themeFill="accent1" w:themeFillTint="66"/>
          </w:tcPr>
          <w:p w:rsidR="00F512E2" w:rsidRPr="00216285" w:rsidRDefault="00F512E2" w:rsidP="0062029D">
            <w:pPr>
              <w:ind w:left="34" w:hanging="34"/>
              <w:rPr>
                <w:rFonts w:ascii="Calibri" w:eastAsia="Times New Roman" w:hAnsi="Calibri" w:cs="Arial"/>
                <w:sz w:val="20"/>
                <w:szCs w:val="20"/>
                <w:highlight w:val="yellow"/>
                <w:lang w:eastAsia="en-AU"/>
              </w:rPr>
            </w:pPr>
          </w:p>
        </w:tc>
        <w:tc>
          <w:tcPr>
            <w:tcW w:w="1543" w:type="dxa"/>
            <w:tcBorders>
              <w:left w:val="nil"/>
            </w:tcBorders>
            <w:shd w:val="clear" w:color="auto" w:fill="B8CCE4" w:themeFill="accent1" w:themeFillTint="66"/>
          </w:tcPr>
          <w:p w:rsidR="00F512E2" w:rsidRPr="00216285" w:rsidRDefault="00F512E2" w:rsidP="0062029D">
            <w:pPr>
              <w:ind w:left="34" w:hanging="34"/>
              <w:rPr>
                <w:rFonts w:ascii="Calibri" w:eastAsia="Times New Roman" w:hAnsi="Calibri" w:cs="Arial"/>
                <w:sz w:val="20"/>
                <w:szCs w:val="20"/>
                <w:highlight w:val="yellow"/>
                <w:lang w:eastAsia="en-AU"/>
              </w:rPr>
            </w:pP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Outbreak commencement month/year</w:t>
            </w:r>
          </w:p>
        </w:tc>
        <w:tc>
          <w:tcPr>
            <w:tcW w:w="1553" w:type="dxa"/>
            <w:gridSpan w:val="2"/>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sz w:val="20"/>
                <w:szCs w:val="20"/>
                <w:lang w:eastAsia="en-AU"/>
              </w:rPr>
            </w:pPr>
            <w:r w:rsidRPr="00A5187A">
              <w:rPr>
                <w:rFonts w:ascii="Calibri" w:eastAsia="Times New Roman" w:hAnsi="Calibri" w:cs="Arial"/>
                <w:sz w:val="20"/>
                <w:szCs w:val="20"/>
                <w:lang w:eastAsia="en-AU"/>
              </w:rPr>
              <w:t>January 2011</w:t>
            </w:r>
          </w:p>
        </w:tc>
        <w:tc>
          <w:tcPr>
            <w:tcW w:w="1532" w:type="dxa"/>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July 2013</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June 2014</w:t>
            </w:r>
          </w:p>
        </w:tc>
        <w:tc>
          <w:tcPr>
            <w:tcW w:w="1543" w:type="dxa"/>
            <w:shd w:val="clear" w:color="auto" w:fill="FBD4B4" w:themeFill="accent6" w:themeFillTint="66"/>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November 2016</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Total number of cases</w:t>
            </w:r>
            <w:r w:rsidRPr="00A5187A">
              <w:rPr>
                <w:rFonts w:ascii="Calibri" w:eastAsia="Times New Roman" w:hAnsi="Calibri" w:cs="Arial"/>
                <w:b/>
                <w:sz w:val="20"/>
                <w:szCs w:val="20"/>
                <w:vertAlign w:val="superscript"/>
                <w:lang w:eastAsia="en-AU"/>
              </w:rPr>
              <w:t xml:space="preserve"> </w:t>
            </w:r>
            <w:r w:rsidRPr="00A5187A">
              <w:rPr>
                <w:rFonts w:ascii="Calibri" w:eastAsia="Times New Roman" w:hAnsi="Calibri" w:cs="Arial"/>
                <w:sz w:val="20"/>
                <w:szCs w:val="20"/>
                <w:vertAlign w:val="superscript"/>
                <w:lang w:eastAsia="en-AU"/>
              </w:rPr>
              <w:t>α</w:t>
            </w:r>
          </w:p>
        </w:tc>
        <w:tc>
          <w:tcPr>
            <w:tcW w:w="1553" w:type="dxa"/>
            <w:gridSpan w:val="2"/>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b/>
                <w:sz w:val="20"/>
                <w:szCs w:val="20"/>
                <w:vertAlign w:val="superscript"/>
                <w:lang w:eastAsia="en-AU"/>
              </w:rPr>
            </w:pPr>
            <w:r w:rsidRPr="00A5187A">
              <w:rPr>
                <w:rFonts w:ascii="Calibri" w:eastAsia="Times New Roman" w:hAnsi="Calibri" w:cs="Arial"/>
                <w:b/>
                <w:sz w:val="20"/>
                <w:szCs w:val="20"/>
                <w:lang w:eastAsia="en-AU"/>
              </w:rPr>
              <w:t>1066</w:t>
            </w:r>
          </w:p>
        </w:tc>
        <w:tc>
          <w:tcPr>
            <w:tcW w:w="1532" w:type="dxa"/>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b/>
                <w:sz w:val="20"/>
                <w:szCs w:val="20"/>
                <w:lang w:eastAsia="en-AU"/>
              </w:rPr>
            </w:pPr>
            <w:r w:rsidRPr="00A37ED5">
              <w:rPr>
                <w:rFonts w:ascii="Calibri" w:eastAsia="Times New Roman" w:hAnsi="Calibri" w:cs="Arial"/>
                <w:b/>
                <w:sz w:val="20"/>
                <w:szCs w:val="20"/>
                <w:lang w:eastAsia="en-AU"/>
              </w:rPr>
              <w:t>704</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b/>
                <w:sz w:val="20"/>
                <w:szCs w:val="20"/>
                <w:lang w:eastAsia="en-AU"/>
              </w:rPr>
            </w:pPr>
            <w:r w:rsidRPr="00A37ED5">
              <w:rPr>
                <w:rFonts w:ascii="Calibri" w:eastAsia="Times New Roman" w:hAnsi="Calibri" w:cs="Arial"/>
                <w:b/>
                <w:sz w:val="20"/>
                <w:szCs w:val="20"/>
                <w:lang w:eastAsia="en-AU"/>
              </w:rPr>
              <w:t>148</w:t>
            </w:r>
          </w:p>
        </w:tc>
        <w:tc>
          <w:tcPr>
            <w:tcW w:w="1543" w:type="dxa"/>
            <w:shd w:val="clear" w:color="auto" w:fill="FBD4B4" w:themeFill="accent6" w:themeFillTint="66"/>
          </w:tcPr>
          <w:p w:rsidR="00F512E2" w:rsidRPr="00A37ED5" w:rsidRDefault="00F512E2" w:rsidP="0062029D">
            <w:pPr>
              <w:ind w:left="34" w:hanging="34"/>
              <w:jc w:val="center"/>
              <w:rPr>
                <w:rFonts w:ascii="Calibri" w:eastAsia="Times New Roman" w:hAnsi="Calibri" w:cs="Arial"/>
                <w:b/>
                <w:sz w:val="20"/>
                <w:szCs w:val="20"/>
                <w:lang w:eastAsia="en-AU"/>
              </w:rPr>
            </w:pPr>
            <w:r w:rsidRPr="00A37ED5">
              <w:rPr>
                <w:rFonts w:ascii="Calibri" w:eastAsia="Times New Roman" w:hAnsi="Calibri" w:cs="Arial"/>
                <w:b/>
                <w:sz w:val="20"/>
                <w:szCs w:val="20"/>
                <w:lang w:eastAsia="en-AU"/>
              </w:rPr>
              <w:t>34</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Percent cases reported in 15-29 year age group</w:t>
            </w:r>
          </w:p>
        </w:tc>
        <w:tc>
          <w:tcPr>
            <w:tcW w:w="1553" w:type="dxa"/>
            <w:gridSpan w:val="2"/>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sz w:val="20"/>
                <w:szCs w:val="20"/>
                <w:lang w:eastAsia="en-AU"/>
              </w:rPr>
            </w:pPr>
            <w:r w:rsidRPr="00A5187A">
              <w:rPr>
                <w:rFonts w:ascii="Calibri" w:eastAsia="Times New Roman" w:hAnsi="Calibri" w:cs="Arial"/>
                <w:sz w:val="20"/>
                <w:szCs w:val="20"/>
                <w:lang w:eastAsia="en-AU"/>
              </w:rPr>
              <w:t>67%</w:t>
            </w:r>
          </w:p>
        </w:tc>
        <w:tc>
          <w:tcPr>
            <w:tcW w:w="1532" w:type="dxa"/>
            <w:shd w:val="clear" w:color="auto" w:fill="DAEEF3" w:themeFill="accent5" w:themeFillTint="33"/>
            <w:vAlign w:val="center"/>
          </w:tcPr>
          <w:p w:rsidR="00F512E2" w:rsidRPr="00216285" w:rsidRDefault="00F512E2" w:rsidP="0062029D">
            <w:pPr>
              <w:ind w:left="34" w:hanging="34"/>
              <w:jc w:val="center"/>
              <w:rPr>
                <w:rFonts w:ascii="Calibri" w:eastAsia="Times New Roman" w:hAnsi="Calibri" w:cs="Arial"/>
                <w:sz w:val="20"/>
                <w:szCs w:val="20"/>
                <w:highlight w:val="yellow"/>
                <w:lang w:eastAsia="en-AU"/>
              </w:rPr>
            </w:pPr>
            <w:r w:rsidRPr="00A37ED5">
              <w:rPr>
                <w:rFonts w:ascii="Calibri" w:eastAsia="Times New Roman" w:hAnsi="Calibri" w:cs="Arial"/>
                <w:sz w:val="20"/>
                <w:szCs w:val="20"/>
                <w:lang w:eastAsia="en-AU"/>
              </w:rPr>
              <w:t>66%</w:t>
            </w:r>
          </w:p>
        </w:tc>
        <w:tc>
          <w:tcPr>
            <w:tcW w:w="1543" w:type="dxa"/>
            <w:shd w:val="clear" w:color="auto" w:fill="E5DFEC" w:themeFill="accent4" w:themeFillTint="33"/>
            <w:vAlign w:val="center"/>
          </w:tcPr>
          <w:p w:rsidR="00F512E2" w:rsidRPr="00216285" w:rsidRDefault="00F512E2" w:rsidP="0062029D">
            <w:pPr>
              <w:ind w:left="34" w:hanging="34"/>
              <w:jc w:val="center"/>
              <w:rPr>
                <w:rFonts w:ascii="Calibri" w:eastAsia="Times New Roman" w:hAnsi="Calibri" w:cs="Arial"/>
                <w:sz w:val="20"/>
                <w:szCs w:val="20"/>
                <w:highlight w:val="yellow"/>
                <w:lang w:eastAsia="en-AU"/>
              </w:rPr>
            </w:pPr>
            <w:r w:rsidRPr="00A37ED5">
              <w:rPr>
                <w:rFonts w:ascii="Calibri" w:eastAsia="Times New Roman" w:hAnsi="Calibri" w:cs="Arial"/>
                <w:sz w:val="20"/>
                <w:szCs w:val="20"/>
                <w:lang w:eastAsia="en-AU"/>
              </w:rPr>
              <w:t>70%</w:t>
            </w:r>
          </w:p>
        </w:tc>
        <w:tc>
          <w:tcPr>
            <w:tcW w:w="1543" w:type="dxa"/>
            <w:shd w:val="clear" w:color="auto" w:fill="FBD4B4" w:themeFill="accent6" w:themeFillTint="66"/>
          </w:tcPr>
          <w:p w:rsidR="00F512E2" w:rsidRPr="00A37ED5" w:rsidRDefault="00F512E2" w:rsidP="0062029D">
            <w:pPr>
              <w:tabs>
                <w:tab w:val="left" w:pos="465"/>
                <w:tab w:val="center" w:pos="663"/>
              </w:tabs>
              <w:ind w:left="34" w:hanging="34"/>
              <w:rPr>
                <w:rFonts w:ascii="Calibri" w:eastAsia="Times New Roman" w:hAnsi="Calibri" w:cs="Arial"/>
                <w:sz w:val="20"/>
                <w:szCs w:val="20"/>
                <w:lang w:eastAsia="en-AU"/>
              </w:rPr>
            </w:pPr>
            <w:r w:rsidRPr="00A37ED5">
              <w:rPr>
                <w:rFonts w:ascii="Calibri" w:eastAsia="Times New Roman" w:hAnsi="Calibri" w:cs="Arial"/>
                <w:sz w:val="20"/>
                <w:szCs w:val="20"/>
                <w:lang w:eastAsia="en-AU"/>
              </w:rPr>
              <w:tab/>
            </w:r>
            <w:r w:rsidRPr="00A37ED5">
              <w:rPr>
                <w:rFonts w:ascii="Calibri" w:eastAsia="Times New Roman" w:hAnsi="Calibri" w:cs="Arial"/>
                <w:sz w:val="20"/>
                <w:szCs w:val="20"/>
                <w:lang w:eastAsia="en-AU"/>
              </w:rPr>
              <w:tab/>
              <w:t>47%</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 Male / % Female</w:t>
            </w:r>
          </w:p>
        </w:tc>
        <w:tc>
          <w:tcPr>
            <w:tcW w:w="1553" w:type="dxa"/>
            <w:gridSpan w:val="2"/>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sz w:val="20"/>
                <w:szCs w:val="20"/>
                <w:lang w:eastAsia="en-AU"/>
              </w:rPr>
            </w:pPr>
            <w:r w:rsidRPr="00A5187A">
              <w:rPr>
                <w:rFonts w:ascii="Calibri" w:eastAsia="Times New Roman" w:hAnsi="Calibri" w:cs="Arial"/>
                <w:sz w:val="20"/>
                <w:szCs w:val="20"/>
                <w:lang w:eastAsia="en-AU"/>
              </w:rPr>
              <w:t>48% / 52%</w:t>
            </w:r>
          </w:p>
        </w:tc>
        <w:tc>
          <w:tcPr>
            <w:tcW w:w="1532" w:type="dxa"/>
            <w:shd w:val="clear" w:color="auto" w:fill="DAEEF3" w:themeFill="accent5" w:themeFillTint="33"/>
            <w:vAlign w:val="center"/>
          </w:tcPr>
          <w:p w:rsidR="00F512E2" w:rsidRPr="00216285" w:rsidRDefault="00F512E2" w:rsidP="0062029D">
            <w:pPr>
              <w:ind w:left="34" w:hanging="34"/>
              <w:jc w:val="center"/>
              <w:rPr>
                <w:rFonts w:ascii="Calibri" w:eastAsia="Times New Roman" w:hAnsi="Calibri" w:cs="Arial"/>
                <w:sz w:val="20"/>
                <w:szCs w:val="20"/>
                <w:highlight w:val="yellow"/>
                <w:lang w:eastAsia="en-AU"/>
              </w:rPr>
            </w:pPr>
            <w:r w:rsidRPr="00A37ED5">
              <w:rPr>
                <w:rFonts w:ascii="Calibri" w:eastAsia="Times New Roman" w:hAnsi="Calibri" w:cs="Arial"/>
                <w:sz w:val="20"/>
                <w:szCs w:val="20"/>
                <w:lang w:eastAsia="en-AU"/>
              </w:rPr>
              <w:t>47% / 53%</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37% / 63%</w:t>
            </w:r>
          </w:p>
        </w:tc>
        <w:tc>
          <w:tcPr>
            <w:tcW w:w="1543" w:type="dxa"/>
            <w:shd w:val="clear" w:color="auto" w:fill="FBD4B4" w:themeFill="accent6" w:themeFillTint="66"/>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44% /56%</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Congenital cases, confirmed (probable)</w:t>
            </w:r>
          </w:p>
        </w:tc>
        <w:tc>
          <w:tcPr>
            <w:tcW w:w="1553" w:type="dxa"/>
            <w:gridSpan w:val="2"/>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sz w:val="20"/>
                <w:szCs w:val="20"/>
                <w:lang w:eastAsia="en-AU"/>
              </w:rPr>
            </w:pPr>
            <w:r w:rsidRPr="00A5187A">
              <w:rPr>
                <w:rFonts w:ascii="Calibri" w:eastAsia="Times New Roman" w:hAnsi="Calibri" w:cs="Arial"/>
                <w:sz w:val="20"/>
                <w:szCs w:val="20"/>
                <w:lang w:eastAsia="en-AU"/>
              </w:rPr>
              <w:t>4 (4)</w:t>
            </w:r>
          </w:p>
        </w:tc>
        <w:tc>
          <w:tcPr>
            <w:tcW w:w="1532" w:type="dxa"/>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2 (2)</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0 (0)</w:t>
            </w:r>
          </w:p>
        </w:tc>
        <w:tc>
          <w:tcPr>
            <w:tcW w:w="1543" w:type="dxa"/>
            <w:shd w:val="clear" w:color="auto" w:fill="FBD4B4" w:themeFill="accent6" w:themeFillTint="66"/>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1 (0)</w:t>
            </w:r>
          </w:p>
        </w:tc>
      </w:tr>
      <w:tr w:rsidR="00F512E2" w:rsidRPr="00216285" w:rsidTr="0062029D">
        <w:tc>
          <w:tcPr>
            <w:tcW w:w="4117" w:type="dxa"/>
            <w:tcBorders>
              <w:bottom w:val="single" w:sz="4" w:space="0" w:color="auto"/>
            </w:tcBorders>
            <w:shd w:val="clear" w:color="auto" w:fill="auto"/>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 xml:space="preserve">   -number of deaths in congenital cases</w:t>
            </w:r>
          </w:p>
        </w:tc>
        <w:tc>
          <w:tcPr>
            <w:tcW w:w="1553" w:type="dxa"/>
            <w:gridSpan w:val="2"/>
            <w:tcBorders>
              <w:bottom w:val="single" w:sz="4" w:space="0" w:color="auto"/>
            </w:tcBorders>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sz w:val="20"/>
                <w:szCs w:val="20"/>
                <w:lang w:eastAsia="en-AU"/>
              </w:rPr>
            </w:pPr>
            <w:r w:rsidRPr="00A5187A">
              <w:rPr>
                <w:rFonts w:ascii="Calibri" w:eastAsia="Times New Roman" w:hAnsi="Calibri" w:cs="Arial"/>
                <w:sz w:val="20"/>
                <w:szCs w:val="20"/>
                <w:lang w:eastAsia="en-AU"/>
              </w:rPr>
              <w:t>6</w:t>
            </w:r>
          </w:p>
        </w:tc>
        <w:tc>
          <w:tcPr>
            <w:tcW w:w="1532" w:type="dxa"/>
            <w:tcBorders>
              <w:bottom w:val="single" w:sz="4" w:space="0" w:color="auto"/>
            </w:tcBorders>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0</w:t>
            </w:r>
          </w:p>
        </w:tc>
        <w:tc>
          <w:tcPr>
            <w:tcW w:w="1543" w:type="dxa"/>
            <w:tcBorders>
              <w:bottom w:val="single" w:sz="4" w:space="0" w:color="auto"/>
            </w:tcBorders>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0</w:t>
            </w:r>
          </w:p>
        </w:tc>
        <w:tc>
          <w:tcPr>
            <w:tcW w:w="1543" w:type="dxa"/>
            <w:tcBorders>
              <w:bottom w:val="single" w:sz="4" w:space="0" w:color="auto"/>
            </w:tcBorders>
            <w:shd w:val="clear" w:color="auto" w:fill="FBD4B4" w:themeFill="accent6" w:themeFillTint="66"/>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0</w:t>
            </w:r>
          </w:p>
        </w:tc>
      </w:tr>
      <w:tr w:rsidR="00F512E2" w:rsidRPr="00216285" w:rsidTr="0062029D">
        <w:tc>
          <w:tcPr>
            <w:tcW w:w="10288" w:type="dxa"/>
            <w:gridSpan w:val="6"/>
            <w:shd w:val="clear" w:color="auto" w:fill="B8CCE4" w:themeFill="accent1" w:themeFillTint="66"/>
            <w:vAlign w:val="center"/>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Last reporting months, 1 December 2017 – 31 January 2018</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Number of cases</w:t>
            </w:r>
            <w:r w:rsidRPr="00A5187A">
              <w:rPr>
                <w:rFonts w:ascii="Calibri" w:eastAsia="Times New Roman" w:hAnsi="Calibri" w:cs="Arial"/>
                <w:b/>
                <w:sz w:val="20"/>
                <w:szCs w:val="20"/>
                <w:vertAlign w:val="superscript"/>
                <w:lang w:eastAsia="en-AU"/>
              </w:rPr>
              <w:t xml:space="preserve"> </w:t>
            </w:r>
            <w:r w:rsidRPr="00A5187A">
              <w:rPr>
                <w:rFonts w:ascii="Calibri" w:eastAsia="Times New Roman" w:hAnsi="Calibri" w:cs="Arial"/>
                <w:sz w:val="20"/>
                <w:szCs w:val="20"/>
                <w:vertAlign w:val="superscript"/>
                <w:lang w:eastAsia="en-AU"/>
              </w:rPr>
              <w:t>α</w:t>
            </w:r>
          </w:p>
        </w:tc>
        <w:tc>
          <w:tcPr>
            <w:tcW w:w="1542" w:type="dxa"/>
            <w:tcBorders>
              <w:bottom w:val="single" w:sz="4" w:space="0" w:color="auto"/>
            </w:tcBorders>
            <w:shd w:val="clear" w:color="auto" w:fill="C6D9F1" w:themeFill="text2" w:themeFillTint="33"/>
            <w:vAlign w:val="center"/>
          </w:tcPr>
          <w:p w:rsidR="00F512E2" w:rsidRPr="00A5187A" w:rsidRDefault="00F512E2" w:rsidP="0062029D">
            <w:pPr>
              <w:ind w:left="34" w:hanging="34"/>
              <w:jc w:val="center"/>
              <w:rPr>
                <w:rFonts w:ascii="Calibri" w:eastAsia="Times New Roman" w:hAnsi="Calibri" w:cs="Arial"/>
                <w:b/>
                <w:sz w:val="20"/>
                <w:szCs w:val="20"/>
                <w:lang w:eastAsia="en-AU"/>
              </w:rPr>
            </w:pPr>
            <w:r w:rsidRPr="00A5187A">
              <w:rPr>
                <w:rFonts w:ascii="Calibri" w:eastAsia="Times New Roman" w:hAnsi="Calibri" w:cs="Arial"/>
                <w:b/>
                <w:sz w:val="20"/>
                <w:szCs w:val="20"/>
                <w:lang w:eastAsia="en-AU"/>
              </w:rPr>
              <w:t>43</w:t>
            </w:r>
          </w:p>
        </w:tc>
        <w:tc>
          <w:tcPr>
            <w:tcW w:w="1543" w:type="dxa"/>
            <w:gridSpan w:val="2"/>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b/>
                <w:sz w:val="20"/>
                <w:szCs w:val="20"/>
                <w:lang w:eastAsia="en-AU"/>
              </w:rPr>
            </w:pPr>
            <w:r w:rsidRPr="00A37ED5">
              <w:rPr>
                <w:rFonts w:ascii="Calibri" w:eastAsia="Times New Roman" w:hAnsi="Calibri" w:cs="Arial"/>
                <w:b/>
                <w:sz w:val="20"/>
                <w:szCs w:val="20"/>
                <w:lang w:eastAsia="en-AU"/>
              </w:rPr>
              <w:t>46</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b/>
                <w:sz w:val="20"/>
                <w:szCs w:val="20"/>
                <w:lang w:eastAsia="en-AU"/>
              </w:rPr>
            </w:pPr>
            <w:r w:rsidRPr="00A37ED5">
              <w:rPr>
                <w:rFonts w:ascii="Calibri" w:eastAsia="Times New Roman" w:hAnsi="Calibri" w:cs="Arial"/>
                <w:b/>
                <w:sz w:val="20"/>
                <w:szCs w:val="20"/>
                <w:lang w:eastAsia="en-AU"/>
              </w:rPr>
              <w:t>2</w:t>
            </w:r>
          </w:p>
        </w:tc>
        <w:tc>
          <w:tcPr>
            <w:tcW w:w="1543" w:type="dxa"/>
            <w:shd w:val="clear" w:color="auto" w:fill="FBD4B4" w:themeFill="accent6" w:themeFillTint="66"/>
          </w:tcPr>
          <w:p w:rsidR="00F512E2" w:rsidRPr="00216285" w:rsidRDefault="00F512E2" w:rsidP="0062029D">
            <w:pPr>
              <w:ind w:left="34" w:hanging="34"/>
              <w:jc w:val="center"/>
              <w:rPr>
                <w:rFonts w:ascii="Calibri" w:eastAsia="Times New Roman" w:hAnsi="Calibri" w:cs="Arial"/>
                <w:b/>
                <w:sz w:val="20"/>
                <w:szCs w:val="20"/>
                <w:highlight w:val="yellow"/>
                <w:lang w:eastAsia="en-AU"/>
              </w:rPr>
            </w:pPr>
            <w:r w:rsidRPr="00A37ED5">
              <w:rPr>
                <w:rFonts w:ascii="Calibri" w:eastAsia="Times New Roman" w:hAnsi="Calibri" w:cs="Arial"/>
                <w:b/>
                <w:sz w:val="20"/>
                <w:szCs w:val="20"/>
                <w:lang w:eastAsia="en-AU"/>
              </w:rPr>
              <w:t>2</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Percent cases reported in 15-29 year age group</w:t>
            </w:r>
          </w:p>
        </w:tc>
        <w:tc>
          <w:tcPr>
            <w:tcW w:w="1542" w:type="dxa"/>
            <w:shd w:val="clear" w:color="auto" w:fill="C6D9F1" w:themeFill="text2" w:themeFillTint="33"/>
            <w:vAlign w:val="center"/>
          </w:tcPr>
          <w:p w:rsidR="00F512E2" w:rsidRPr="00A5187A" w:rsidRDefault="00F512E2" w:rsidP="0062029D">
            <w:pPr>
              <w:jc w:val="center"/>
              <w:rPr>
                <w:rFonts w:ascii="Calibri" w:eastAsia="Times New Roman" w:hAnsi="Calibri" w:cs="Arial"/>
                <w:sz w:val="20"/>
                <w:szCs w:val="20"/>
                <w:lang w:eastAsia="en-AU"/>
              </w:rPr>
            </w:pPr>
            <w:r w:rsidRPr="00A5187A">
              <w:rPr>
                <w:rFonts w:ascii="Calibri" w:eastAsia="Times New Roman" w:hAnsi="Calibri" w:cs="Arial"/>
                <w:sz w:val="20"/>
                <w:szCs w:val="20"/>
                <w:lang w:eastAsia="en-AU"/>
              </w:rPr>
              <w:t>58%</w:t>
            </w:r>
          </w:p>
        </w:tc>
        <w:tc>
          <w:tcPr>
            <w:tcW w:w="1543" w:type="dxa"/>
            <w:gridSpan w:val="2"/>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46%</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100%</w:t>
            </w:r>
          </w:p>
        </w:tc>
        <w:tc>
          <w:tcPr>
            <w:tcW w:w="1543" w:type="dxa"/>
            <w:shd w:val="clear" w:color="auto" w:fill="FBD4B4" w:themeFill="accent6" w:themeFillTint="66"/>
          </w:tcPr>
          <w:p w:rsidR="00F512E2" w:rsidRPr="00216285" w:rsidRDefault="00F512E2" w:rsidP="0062029D">
            <w:pPr>
              <w:ind w:left="34" w:hanging="34"/>
              <w:jc w:val="center"/>
              <w:rPr>
                <w:rFonts w:ascii="Calibri" w:eastAsia="Times New Roman" w:hAnsi="Calibri" w:cs="Arial"/>
                <w:sz w:val="20"/>
                <w:szCs w:val="20"/>
                <w:highlight w:val="yellow"/>
                <w:lang w:eastAsia="en-AU"/>
              </w:rPr>
            </w:pPr>
            <w:r w:rsidRPr="00A37ED5">
              <w:rPr>
                <w:rFonts w:ascii="Calibri" w:eastAsia="Times New Roman" w:hAnsi="Calibri" w:cs="Arial"/>
                <w:sz w:val="20"/>
                <w:szCs w:val="20"/>
                <w:lang w:eastAsia="en-AU"/>
              </w:rPr>
              <w:t>50%</w:t>
            </w:r>
          </w:p>
        </w:tc>
      </w:tr>
      <w:tr w:rsidR="00F512E2" w:rsidRPr="00216285" w:rsidTr="0062029D">
        <w:tc>
          <w:tcPr>
            <w:tcW w:w="4117" w:type="dxa"/>
          </w:tcPr>
          <w:p w:rsidR="00F512E2" w:rsidRPr="00A5187A" w:rsidRDefault="00F512E2" w:rsidP="0062029D">
            <w:pPr>
              <w:ind w:left="34" w:hanging="34"/>
              <w:rPr>
                <w:rFonts w:ascii="Calibri" w:eastAsia="Times New Roman" w:hAnsi="Calibri" w:cs="Arial"/>
                <w:sz w:val="20"/>
                <w:szCs w:val="20"/>
                <w:lang w:eastAsia="en-AU"/>
              </w:rPr>
            </w:pPr>
            <w:r w:rsidRPr="00A5187A">
              <w:rPr>
                <w:rFonts w:ascii="Calibri" w:eastAsia="Times New Roman" w:hAnsi="Calibri" w:cs="Arial"/>
                <w:sz w:val="20"/>
                <w:szCs w:val="20"/>
                <w:lang w:eastAsia="en-AU"/>
              </w:rPr>
              <w:t>% Male / % Female</w:t>
            </w:r>
          </w:p>
        </w:tc>
        <w:tc>
          <w:tcPr>
            <w:tcW w:w="1542" w:type="dxa"/>
            <w:shd w:val="clear" w:color="auto" w:fill="C6D9F1" w:themeFill="text2"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37% / 63%</w:t>
            </w:r>
          </w:p>
        </w:tc>
        <w:tc>
          <w:tcPr>
            <w:tcW w:w="1543" w:type="dxa"/>
            <w:gridSpan w:val="2"/>
            <w:shd w:val="clear" w:color="auto" w:fill="DAEEF3" w:themeFill="accent5"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41% / 59%</w:t>
            </w:r>
          </w:p>
        </w:tc>
        <w:tc>
          <w:tcPr>
            <w:tcW w:w="1543" w:type="dxa"/>
            <w:shd w:val="clear" w:color="auto" w:fill="E5DFEC" w:themeFill="accent4" w:themeFillTint="33"/>
            <w:vAlign w:val="center"/>
          </w:tcPr>
          <w:p w:rsidR="00F512E2" w:rsidRPr="00A37ED5" w:rsidRDefault="00F512E2" w:rsidP="0062029D">
            <w:pPr>
              <w:ind w:left="34" w:hanging="34"/>
              <w:jc w:val="center"/>
              <w:rPr>
                <w:rFonts w:ascii="Calibri" w:eastAsia="Times New Roman" w:hAnsi="Calibri" w:cs="Arial"/>
                <w:sz w:val="20"/>
                <w:szCs w:val="20"/>
                <w:lang w:eastAsia="en-AU"/>
              </w:rPr>
            </w:pPr>
            <w:r w:rsidRPr="00A37ED5">
              <w:rPr>
                <w:rFonts w:ascii="Calibri" w:eastAsia="Times New Roman" w:hAnsi="Calibri" w:cs="Arial"/>
                <w:sz w:val="20"/>
                <w:szCs w:val="20"/>
                <w:lang w:eastAsia="en-AU"/>
              </w:rPr>
              <w:t>50% / 50%</w:t>
            </w:r>
          </w:p>
        </w:tc>
        <w:tc>
          <w:tcPr>
            <w:tcW w:w="1543" w:type="dxa"/>
            <w:shd w:val="clear" w:color="auto" w:fill="FBD4B4" w:themeFill="accent6" w:themeFillTint="66"/>
          </w:tcPr>
          <w:p w:rsidR="00F512E2" w:rsidRPr="00216285" w:rsidRDefault="00F512E2" w:rsidP="0062029D">
            <w:pPr>
              <w:ind w:left="34" w:hanging="34"/>
              <w:jc w:val="center"/>
              <w:rPr>
                <w:rFonts w:ascii="Calibri" w:eastAsia="Times New Roman" w:hAnsi="Calibri" w:cs="Arial"/>
                <w:sz w:val="20"/>
                <w:szCs w:val="20"/>
                <w:highlight w:val="yellow"/>
                <w:lang w:eastAsia="en-AU"/>
              </w:rPr>
            </w:pPr>
            <w:r w:rsidRPr="00A37ED5">
              <w:rPr>
                <w:rFonts w:ascii="Calibri" w:eastAsia="Times New Roman" w:hAnsi="Calibri" w:cs="Arial"/>
                <w:sz w:val="20"/>
                <w:szCs w:val="20"/>
                <w:lang w:eastAsia="en-AU"/>
              </w:rPr>
              <w:t>0%</w:t>
            </w:r>
            <w:r>
              <w:rPr>
                <w:rFonts w:ascii="Calibri" w:eastAsia="Times New Roman" w:hAnsi="Calibri" w:cs="Arial"/>
                <w:sz w:val="20"/>
                <w:szCs w:val="20"/>
                <w:lang w:eastAsia="en-AU"/>
              </w:rPr>
              <w:t xml:space="preserve"> </w:t>
            </w:r>
            <w:r w:rsidRPr="00A37ED5">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Pr="00A37ED5">
              <w:rPr>
                <w:rFonts w:ascii="Calibri" w:eastAsia="Times New Roman" w:hAnsi="Calibri" w:cs="Arial"/>
                <w:sz w:val="20"/>
                <w:szCs w:val="20"/>
                <w:lang w:eastAsia="en-AU"/>
              </w:rPr>
              <w:t>100%</w:t>
            </w:r>
          </w:p>
        </w:tc>
      </w:tr>
    </w:tbl>
    <w:p w:rsidR="00F512E2" w:rsidRPr="00216285" w:rsidRDefault="00F512E2" w:rsidP="00F512E2">
      <w:pPr>
        <w:pStyle w:val="ListParagraph"/>
        <w:spacing w:before="60" w:after="0" w:line="240" w:lineRule="auto"/>
        <w:ind w:left="-567"/>
        <w:contextualSpacing w:val="0"/>
        <w:rPr>
          <w:sz w:val="16"/>
          <w:szCs w:val="16"/>
        </w:rPr>
      </w:pPr>
      <w:proofErr w:type="gramStart"/>
      <w:r w:rsidRPr="00216285">
        <w:rPr>
          <w:b/>
          <w:sz w:val="16"/>
          <w:szCs w:val="16"/>
          <w:vertAlign w:val="superscript"/>
        </w:rPr>
        <w:t>α</w:t>
      </w:r>
      <w:proofErr w:type="gramEnd"/>
      <w:r w:rsidRPr="00216285">
        <w:rPr>
          <w:sz w:val="16"/>
          <w:szCs w:val="16"/>
        </w:rPr>
        <w:t xml:space="preserve"> Cases defined as per the MJSO syphilis outbreak case definition: </w:t>
      </w:r>
    </w:p>
    <w:p w:rsidR="00F512E2" w:rsidRPr="00216285" w:rsidRDefault="00F512E2" w:rsidP="00F512E2">
      <w:pPr>
        <w:pStyle w:val="ListParagraph"/>
        <w:spacing w:after="0" w:line="240" w:lineRule="auto"/>
        <w:ind w:left="-426" w:right="-308"/>
        <w:contextualSpacing w:val="0"/>
      </w:pPr>
      <w:r w:rsidRPr="00216285">
        <w:rPr>
          <w:sz w:val="16"/>
          <w:szCs w:val="16"/>
        </w:rPr>
        <w:t xml:space="preserve">Nationally, an infectious syphilis outbreak case is defined as: any person who is newly diagnosed with confirmed or probable infectious syphilis according to the CDNA national surveillance case definition for infectious syphilis, </w:t>
      </w:r>
      <w:r w:rsidRPr="00216285">
        <w:rPr>
          <w:b/>
          <w:sz w:val="16"/>
          <w:szCs w:val="16"/>
        </w:rPr>
        <w:t>AND</w:t>
      </w:r>
      <w:r w:rsidRPr="00216285">
        <w:rPr>
          <w:sz w:val="16"/>
          <w:szCs w:val="16"/>
        </w:rPr>
        <w:t>, is an Aboriginal or Torres Strait Islander person who resides in any of the following outbreak declared regions</w:t>
      </w:r>
      <w:r w:rsidRPr="00216285">
        <w:rPr>
          <w:rFonts w:cs="Arial"/>
          <w:sz w:val="16"/>
          <w:szCs w:val="16"/>
        </w:rPr>
        <w:t xml:space="preserve"> as defined and documented by that jurisdiction</w:t>
      </w:r>
      <w:r w:rsidRPr="00216285">
        <w:rPr>
          <w:rFonts w:ascii="Arial" w:hAnsi="Arial" w:cs="Arial"/>
          <w:sz w:val="16"/>
          <w:szCs w:val="16"/>
        </w:rPr>
        <w:t>,</w:t>
      </w:r>
      <w:r w:rsidRPr="00216285">
        <w:rPr>
          <w:sz w:val="16"/>
          <w:szCs w:val="16"/>
        </w:rPr>
        <w:t xml:space="preserve"> at or after the dates indicated: </w:t>
      </w:r>
      <w:r w:rsidRPr="00216285">
        <w:rPr>
          <w:b/>
          <w:i/>
          <w:sz w:val="16"/>
          <w:szCs w:val="16"/>
        </w:rPr>
        <w:t>Qld</w:t>
      </w:r>
      <w:r w:rsidRPr="00216285">
        <w:rPr>
          <w:sz w:val="16"/>
          <w:szCs w:val="16"/>
        </w:rPr>
        <w:t xml:space="preserve"> - </w:t>
      </w:r>
      <w:r w:rsidRPr="00216285">
        <w:rPr>
          <w:color w:val="000000" w:themeColor="text1"/>
          <w:sz w:val="16"/>
          <w:szCs w:val="16"/>
        </w:rPr>
        <w:t xml:space="preserve">Torres and Cape </w:t>
      </w:r>
      <w:r w:rsidRPr="00216285">
        <w:rPr>
          <w:sz w:val="16"/>
          <w:szCs w:val="16"/>
        </w:rPr>
        <w:t xml:space="preserve">Hospital and Health Service area (from 1 December 2012); Cairns and Hinterland Hospital and Health Service area (from 1 August 2013); North West Hospital and Health Service area (from 1 January 2011); Townsville Hospital and Health Service area (from 1 January 2014); </w:t>
      </w:r>
      <w:r w:rsidRPr="00216285">
        <w:rPr>
          <w:b/>
          <w:i/>
          <w:sz w:val="16"/>
          <w:szCs w:val="16"/>
        </w:rPr>
        <w:t>NT</w:t>
      </w:r>
      <w:r w:rsidRPr="00216285">
        <w:rPr>
          <w:sz w:val="16"/>
          <w:szCs w:val="16"/>
        </w:rPr>
        <w:t xml:space="preserve"> - Alice Springs or Barkly district (from 1 July 2013); Katherine district (from 1 May 2014); East Arnhem district (from 1 November 2015); Darwin Rural and Urban (from 1 January 2017); </w:t>
      </w:r>
      <w:r w:rsidRPr="00216285">
        <w:rPr>
          <w:b/>
          <w:i/>
          <w:sz w:val="16"/>
          <w:szCs w:val="16"/>
        </w:rPr>
        <w:t>WA</w:t>
      </w:r>
      <w:r w:rsidRPr="00216285">
        <w:rPr>
          <w:sz w:val="16"/>
          <w:szCs w:val="16"/>
        </w:rPr>
        <w:t xml:space="preserve"> - Kimberley region, Western Australia (from </w:t>
      </w:r>
      <w:r w:rsidRPr="00216285">
        <w:rPr>
          <w:sz w:val="16"/>
          <w:szCs w:val="16"/>
        </w:rPr>
        <w:br/>
        <w:t xml:space="preserve">1 June 2014), </w:t>
      </w:r>
      <w:r w:rsidRPr="00216285">
        <w:rPr>
          <w:b/>
          <w:i/>
          <w:sz w:val="16"/>
          <w:szCs w:val="16"/>
        </w:rPr>
        <w:t>SA</w:t>
      </w:r>
      <w:r w:rsidRPr="00216285">
        <w:rPr>
          <w:b/>
          <w:sz w:val="16"/>
          <w:szCs w:val="16"/>
        </w:rPr>
        <w:t xml:space="preserve"> </w:t>
      </w:r>
      <w:r w:rsidRPr="00216285">
        <w:rPr>
          <w:sz w:val="16"/>
          <w:szCs w:val="16"/>
        </w:rPr>
        <w:t xml:space="preserve"> - Far North and Western and Eyre and regions (from 15 November 2016) </w:t>
      </w:r>
      <w:r w:rsidRPr="00216285">
        <w:rPr>
          <w:b/>
          <w:sz w:val="16"/>
          <w:szCs w:val="16"/>
        </w:rPr>
        <w:t>OR</w:t>
      </w:r>
      <w:r w:rsidRPr="00216285">
        <w:rPr>
          <w:sz w:val="16"/>
          <w:szCs w:val="16"/>
        </w:rPr>
        <w:t xml:space="preserve">,  is a sexual contact of a confirmed outbreak case. </w:t>
      </w:r>
    </w:p>
    <w:p w:rsidR="00F512E2" w:rsidRPr="00216285" w:rsidRDefault="00F512E2" w:rsidP="00F512E2">
      <w:pPr>
        <w:spacing w:after="0" w:line="240" w:lineRule="auto"/>
        <w:ind w:left="-426" w:right="-449" w:hanging="141"/>
        <w:rPr>
          <w:sz w:val="16"/>
          <w:szCs w:val="16"/>
        </w:rPr>
      </w:pPr>
      <w:r w:rsidRPr="00216285">
        <w:rPr>
          <w:b/>
          <w:sz w:val="16"/>
          <w:szCs w:val="16"/>
          <w:vertAlign w:val="superscript"/>
        </w:rPr>
        <w:t>β</w:t>
      </w:r>
      <w:r w:rsidRPr="00216285">
        <w:rPr>
          <w:sz w:val="16"/>
          <w:szCs w:val="16"/>
          <w:vertAlign w:val="superscript"/>
        </w:rPr>
        <w:t xml:space="preserve"> </w:t>
      </w:r>
      <w:r w:rsidRPr="00216285">
        <w:rPr>
          <w:sz w:val="16"/>
          <w:szCs w:val="16"/>
        </w:rPr>
        <w:t xml:space="preserve">Affected regions include Torres and Cape, Cairns and Hinterland, North West, and Townsville Hospital and Health Services in Queensland; Alice Springs, Barkly, </w:t>
      </w:r>
      <w:r w:rsidRPr="00216285">
        <w:rPr>
          <w:sz w:val="16"/>
          <w:szCs w:val="16"/>
        </w:rPr>
        <w:br/>
        <w:t>East Arnhem and Katherine regions in the Northern Territory;  the Kimberley health region in Western Australia, and; Western, Eyre and Far North regions in</w:t>
      </w:r>
      <w:r w:rsidRPr="00216285">
        <w:rPr>
          <w:sz w:val="16"/>
          <w:szCs w:val="16"/>
        </w:rPr>
        <w:br/>
        <w:t xml:space="preserve"> South Australia.</w:t>
      </w:r>
    </w:p>
    <w:p w:rsidR="00F512E2" w:rsidRPr="00216285" w:rsidRDefault="00F512E2" w:rsidP="00F512E2">
      <w:pPr>
        <w:pStyle w:val="ListParagraph"/>
        <w:spacing w:after="0" w:line="240" w:lineRule="auto"/>
        <w:ind w:left="-567"/>
        <w:contextualSpacing w:val="0"/>
        <w:rPr>
          <w:rFonts w:ascii="Arial" w:hAnsi="Arial" w:cs="Arial"/>
          <w:b/>
        </w:rPr>
      </w:pPr>
      <w:r w:rsidRPr="00216285">
        <w:rPr>
          <w:b/>
          <w:sz w:val="16"/>
          <w:szCs w:val="16"/>
        </w:rPr>
        <w:t>ᵞ</w:t>
      </w:r>
      <w:r w:rsidRPr="00216285">
        <w:rPr>
          <w:sz w:val="16"/>
          <w:szCs w:val="16"/>
        </w:rPr>
        <w:t xml:space="preserve"> </w:t>
      </w:r>
      <w:proofErr w:type="gramStart"/>
      <w:r w:rsidRPr="00216285">
        <w:rPr>
          <w:sz w:val="16"/>
          <w:szCs w:val="16"/>
          <w:u w:val="single"/>
        </w:rPr>
        <w:t>Please</w:t>
      </w:r>
      <w:proofErr w:type="gramEnd"/>
      <w:r w:rsidRPr="00216285">
        <w:rPr>
          <w:sz w:val="16"/>
          <w:szCs w:val="16"/>
          <w:u w:val="single"/>
        </w:rPr>
        <w:t xml:space="preserve"> note that </w:t>
      </w:r>
      <w:r w:rsidRPr="00216285">
        <w:rPr>
          <w:b/>
          <w:sz w:val="16"/>
          <w:szCs w:val="16"/>
          <w:u w:val="single"/>
        </w:rPr>
        <w:t>all data are provisional</w:t>
      </w:r>
      <w:r w:rsidRPr="00216285">
        <w:rPr>
          <w:sz w:val="16"/>
          <w:szCs w:val="16"/>
          <w:u w:val="single"/>
        </w:rPr>
        <w:t xml:space="preserve"> and subject to change due to ongoing case investigation</w:t>
      </w:r>
      <w:r w:rsidRPr="00216285">
        <w:rPr>
          <w:sz w:val="16"/>
          <w:szCs w:val="16"/>
        </w:rPr>
        <w:t>.</w:t>
      </w:r>
    </w:p>
    <w:p w:rsidR="008B7A61" w:rsidRDefault="008B7A61" w:rsidP="00165ADE">
      <w:pPr>
        <w:pStyle w:val="ListParagraph"/>
        <w:spacing w:after="0" w:line="240" w:lineRule="auto"/>
        <w:ind w:left="-567"/>
        <w:contextualSpacing w:val="0"/>
        <w:rPr>
          <w:rFonts w:ascii="Arial" w:hAnsi="Arial" w:cs="Arial"/>
          <w:b/>
          <w:highlight w:val="yellow"/>
        </w:rPr>
      </w:pPr>
    </w:p>
    <w:sectPr w:rsidR="008B7A61" w:rsidSect="00C019C3">
      <w:pgSz w:w="11906" w:h="16838"/>
      <w:pgMar w:top="284" w:right="709" w:bottom="249" w:left="1440" w:header="284"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48B" w:rsidRDefault="002B248B" w:rsidP="000E0F9D">
      <w:pPr>
        <w:spacing w:after="0" w:line="240" w:lineRule="auto"/>
      </w:pPr>
      <w:r>
        <w:separator/>
      </w:r>
    </w:p>
  </w:endnote>
  <w:endnote w:type="continuationSeparator" w:id="0">
    <w:p w:rsidR="002B248B" w:rsidRDefault="002B248B" w:rsidP="000E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48B" w:rsidRDefault="002B248B" w:rsidP="000E0F9D">
      <w:pPr>
        <w:spacing w:after="0" w:line="240" w:lineRule="auto"/>
      </w:pPr>
      <w:r>
        <w:separator/>
      </w:r>
    </w:p>
  </w:footnote>
  <w:footnote w:type="continuationSeparator" w:id="0">
    <w:p w:rsidR="002B248B" w:rsidRDefault="002B248B" w:rsidP="000E0F9D">
      <w:pPr>
        <w:spacing w:after="0" w:line="240" w:lineRule="auto"/>
      </w:pPr>
      <w:r>
        <w:continuationSeparator/>
      </w:r>
    </w:p>
  </w:footnote>
  <w:footnote w:id="1">
    <w:p w:rsidR="002B248B" w:rsidRDefault="002B248B" w:rsidP="00CC0F5A">
      <w:pPr>
        <w:pStyle w:val="FootnoteText"/>
      </w:pPr>
      <w:r>
        <w:rPr>
          <w:rStyle w:val="FootnoteReference"/>
        </w:rPr>
        <w:footnoteRef/>
      </w:r>
      <w:r>
        <w:t xml:space="preserve"> </w:t>
      </w:r>
      <w:r w:rsidRPr="00C8765B">
        <w:t>Cases defined as per the MJSO syphili</w:t>
      </w:r>
      <w:r>
        <w:t xml:space="preserve">s outbreak case definition: </w:t>
      </w:r>
      <w:r w:rsidRPr="00C8765B">
        <w:t>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C8765B">
        <w:rPr>
          <w:rFonts w:ascii="Cambria Math" w:hAnsi="Cambria Math" w:cs="Cambria Math"/>
        </w:rPr>
        <w:t>‐</w:t>
      </w:r>
      <w:r w:rsidRPr="00C8765B">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C8765B">
        <w:rPr>
          <w:rFonts w:ascii="Cambria Math" w:hAnsi="Cambria Math" w:cs="Cambria Math"/>
        </w:rPr>
        <w:t>‐</w:t>
      </w:r>
      <w:r w:rsidRPr="00C8765B">
        <w:t xml:space="preserve"> Alice Springs or Barkly district (from 1 July   2013); Katherine district (from 1 May 2014); East Arnhem district (from 1 November 2015); WA -­</w:t>
      </w:r>
      <w:r w:rsidRPr="00C8765B">
        <w:rPr>
          <w:rFonts w:ascii="Cambria Math" w:hAnsi="Cambria Math" w:cs="Cambria Math"/>
        </w:rPr>
        <w:t>‐</w:t>
      </w:r>
      <w:r w:rsidRPr="00C8765B">
        <w:t xml:space="preserve"> Kimberley region, Western Australia (from 1 June 2014),  OR, is a sexual contact of a confirmed outbreak case.</w:t>
      </w:r>
    </w:p>
  </w:footnote>
  <w:footnote w:id="2">
    <w:p w:rsidR="002B248B" w:rsidRDefault="002B248B" w:rsidP="00CC0F5A">
      <w:pPr>
        <w:pStyle w:val="FootnoteText"/>
      </w:pPr>
      <w:r>
        <w:rPr>
          <w:rStyle w:val="FootnoteReference"/>
        </w:rPr>
        <w:footnoteRef/>
      </w:r>
      <w:r>
        <w:t xml:space="preserve"> </w:t>
      </w:r>
      <w:r w:rsidRPr="00C8765B">
        <w:t>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3">
    <w:p w:rsidR="002B248B" w:rsidRDefault="002B248B" w:rsidP="00CC0F5A">
      <w:pPr>
        <w:pStyle w:val="FootnoteText"/>
      </w:pPr>
      <w:r>
        <w:rPr>
          <w:rStyle w:val="FootnoteReference"/>
        </w:rPr>
        <w:footnoteRef/>
      </w:r>
      <w:r>
        <w:t xml:space="preserve"> </w:t>
      </w:r>
      <w:r w:rsidRPr="002A2FF7">
        <w:rPr>
          <w:b/>
          <w:u w:val="single"/>
        </w:rPr>
        <w:t>Please note that all data are provisional and subject to change due to ongoing case investigation.</w:t>
      </w:r>
    </w:p>
  </w:footnote>
  <w:footnote w:id="4">
    <w:p w:rsidR="002B248B" w:rsidRDefault="002B248B" w:rsidP="006E3C8C">
      <w:pPr>
        <w:pStyle w:val="FootnoteText"/>
        <w:ind w:left="-567"/>
      </w:pPr>
      <w:r>
        <w:rPr>
          <w:rStyle w:val="FootnoteReference"/>
        </w:rPr>
        <w:footnoteRef/>
      </w:r>
      <w:r>
        <w:t xml:space="preserve"> </w:t>
      </w:r>
      <w:r w:rsidRPr="002A2FF7">
        <w:t>Cases defined as per the MJSO syph</w:t>
      </w:r>
      <w:r>
        <w:t xml:space="preserve">ilis outbreak case definition: </w:t>
      </w:r>
      <w:r w:rsidRPr="002A2FF7">
        <w:t>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2A2FF7">
        <w:rPr>
          <w:rFonts w:ascii="Cambria Math" w:hAnsi="Cambria Math" w:cs="Cambria Math"/>
        </w:rPr>
        <w:t>‐</w:t>
      </w:r>
      <w:r w:rsidRPr="002A2FF7">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2A2FF7">
        <w:rPr>
          <w:rFonts w:ascii="Cambria Math" w:hAnsi="Cambria Math" w:cs="Cambria Math"/>
        </w:rPr>
        <w:t>‐</w:t>
      </w:r>
      <w:r w:rsidRPr="002A2FF7">
        <w:t xml:space="preserve"> Alice Springs or Barkly district (from 1 July   2013); Katherine district (from 1 May 2014); East Arnhem district (from 1 November 2015); WA -­</w:t>
      </w:r>
      <w:r w:rsidRPr="002A2FF7">
        <w:rPr>
          <w:rFonts w:ascii="Cambria Math" w:hAnsi="Cambria Math" w:cs="Cambria Math"/>
        </w:rPr>
        <w:t>‐</w:t>
      </w:r>
      <w:r w:rsidRPr="002A2FF7">
        <w:t xml:space="preserve"> Kimberley region, Western Australia (from 1 June 2014),  OR, is a sexual contact of a confirmed outbreak case.</w:t>
      </w:r>
    </w:p>
  </w:footnote>
  <w:footnote w:id="5">
    <w:p w:rsidR="002B248B" w:rsidRDefault="002B248B" w:rsidP="006E3C8C">
      <w:pPr>
        <w:pStyle w:val="FootnoteText"/>
        <w:ind w:left="-567"/>
      </w:pPr>
      <w:r>
        <w:rPr>
          <w:rStyle w:val="FootnoteReference"/>
        </w:rPr>
        <w:footnoteRef/>
      </w:r>
      <w:r>
        <w:t xml:space="preserve"> </w:t>
      </w:r>
      <w:r w:rsidRPr="002A2FF7">
        <w:t>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6">
    <w:p w:rsidR="002B248B" w:rsidRDefault="002B248B" w:rsidP="00CC0F5A">
      <w:pPr>
        <w:pStyle w:val="FootnoteText"/>
      </w:pPr>
      <w:r>
        <w:rPr>
          <w:rStyle w:val="FootnoteReference"/>
        </w:rPr>
        <w:footnoteRef/>
      </w:r>
      <w:r>
        <w:t xml:space="preserve"> </w:t>
      </w:r>
      <w:r w:rsidRPr="002A2FF7">
        <w:rPr>
          <w:b/>
          <w:u w:val="single"/>
        </w:rPr>
        <w:t>Please note that all data are provisional and subject to change due to ongoing case investigation</w:t>
      </w:r>
      <w:r w:rsidRPr="002A2FF7">
        <w:t>.</w:t>
      </w:r>
    </w:p>
  </w:footnote>
  <w:footnote w:id="7">
    <w:p w:rsidR="002B248B" w:rsidRDefault="002B248B" w:rsidP="006E3C8C">
      <w:pPr>
        <w:pStyle w:val="FootnoteText"/>
        <w:ind w:left="-567"/>
      </w:pPr>
      <w:r>
        <w:rPr>
          <w:rStyle w:val="FootnoteReference"/>
        </w:rPr>
        <w:footnoteRef/>
      </w:r>
      <w:r w:rsidRPr="002A2FF7">
        <w:t xml:space="preserve">  Cases defined as per the MJSO syphilis outbreak case definition: 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2A2FF7">
        <w:rPr>
          <w:rFonts w:ascii="Cambria Math" w:hAnsi="Cambria Math" w:cs="Cambria Math"/>
        </w:rPr>
        <w:t>‐</w:t>
      </w:r>
      <w:r w:rsidRPr="002A2FF7">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2A2FF7">
        <w:rPr>
          <w:rFonts w:ascii="Cambria Math" w:hAnsi="Cambria Math" w:cs="Cambria Math"/>
        </w:rPr>
        <w:t>‐</w:t>
      </w:r>
      <w:r w:rsidRPr="002A2FF7">
        <w:t xml:space="preserve"> Alice Springs or Barkly district (from 1 July   2013); Katherine district (from 1 May 2014); East Arnhem district (from 1 November 2015); WA -­</w:t>
      </w:r>
      <w:r w:rsidRPr="002A2FF7">
        <w:rPr>
          <w:rFonts w:ascii="Cambria Math" w:hAnsi="Cambria Math" w:cs="Cambria Math"/>
        </w:rPr>
        <w:t>‐</w:t>
      </w:r>
      <w:r w:rsidRPr="002A2FF7">
        <w:t xml:space="preserve"> Kimberley region, Western Australia (from 1 June 2014),  OR, is a sexual contact of a confirmed outbreak case.</w:t>
      </w:r>
    </w:p>
  </w:footnote>
  <w:footnote w:id="8">
    <w:p w:rsidR="002B248B" w:rsidRDefault="002B248B" w:rsidP="006E3C8C">
      <w:pPr>
        <w:pStyle w:val="FootnoteText"/>
        <w:ind w:left="-567"/>
      </w:pPr>
      <w:r>
        <w:rPr>
          <w:rStyle w:val="FootnoteReference"/>
        </w:rPr>
        <w:footnoteRef/>
      </w:r>
      <w:r>
        <w:t xml:space="preserve"> </w:t>
      </w:r>
      <w:r w:rsidRPr="002A2FF7">
        <w:t>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9">
    <w:p w:rsidR="002B248B" w:rsidRDefault="002B248B" w:rsidP="006E3C8C">
      <w:pPr>
        <w:pStyle w:val="FootnoteText"/>
        <w:ind w:left="-567"/>
      </w:pPr>
      <w:r>
        <w:rPr>
          <w:rStyle w:val="FootnoteReference"/>
        </w:rPr>
        <w:footnoteRef/>
      </w:r>
      <w:r>
        <w:t xml:space="preserve"> </w:t>
      </w:r>
      <w:r w:rsidRPr="002A2FF7">
        <w:rPr>
          <w:b/>
          <w:u w:val="single"/>
        </w:rPr>
        <w:t>Please note that all data are provisional and subject to change due to ongoing case investigation.</w:t>
      </w:r>
    </w:p>
  </w:footnote>
  <w:footnote w:id="10">
    <w:p w:rsidR="002B248B" w:rsidRDefault="002B248B" w:rsidP="006E3C8C">
      <w:pPr>
        <w:pStyle w:val="FootnoteText"/>
        <w:ind w:left="-567"/>
      </w:pPr>
      <w:r>
        <w:rPr>
          <w:rStyle w:val="FootnoteReference"/>
        </w:rPr>
        <w:footnoteRef/>
      </w:r>
      <w:r w:rsidRPr="002A2FF7">
        <w:t xml:space="preserve">  Cases defined as per the MJSO syphilis outbreak case definition: 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2A2FF7">
        <w:rPr>
          <w:rFonts w:ascii="Cambria Math" w:hAnsi="Cambria Math" w:cs="Cambria Math"/>
        </w:rPr>
        <w:t>‐</w:t>
      </w:r>
      <w:r w:rsidRPr="002A2FF7">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2A2FF7">
        <w:rPr>
          <w:rFonts w:ascii="Cambria Math" w:hAnsi="Cambria Math" w:cs="Cambria Math"/>
        </w:rPr>
        <w:t>‐</w:t>
      </w:r>
      <w:r w:rsidRPr="002A2FF7">
        <w:t xml:space="preserve"> Alice Springs or Barkly district (from 1 July   2013); Katherine district (from 1 May 2014); East Arnhem district (from 1 November 2015); WA -­</w:t>
      </w:r>
      <w:r w:rsidRPr="002A2FF7">
        <w:rPr>
          <w:rFonts w:ascii="Cambria Math" w:hAnsi="Cambria Math" w:cs="Cambria Math"/>
        </w:rPr>
        <w:t>‐</w:t>
      </w:r>
      <w:r w:rsidRPr="002A2FF7">
        <w:t xml:space="preserve"> Kimberley region, Western Australia (from 1 June 2014),  OR, is a sexual contact of a confirmed outbreak case.</w:t>
      </w:r>
    </w:p>
  </w:footnote>
  <w:footnote w:id="11">
    <w:p w:rsidR="002B248B" w:rsidRDefault="002B248B" w:rsidP="006E3C8C">
      <w:pPr>
        <w:pStyle w:val="FootnoteText"/>
        <w:ind w:left="-567"/>
      </w:pPr>
      <w:r>
        <w:rPr>
          <w:rStyle w:val="FootnoteReference"/>
        </w:rPr>
        <w:footnoteRef/>
      </w:r>
      <w:r w:rsidRPr="002A2FF7">
        <w:t xml:space="preserve">  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12">
    <w:p w:rsidR="002B248B" w:rsidRDefault="002B248B" w:rsidP="006E3C8C">
      <w:pPr>
        <w:pStyle w:val="FootnoteText"/>
        <w:ind w:left="-567"/>
      </w:pPr>
      <w:r>
        <w:rPr>
          <w:rStyle w:val="FootnoteReference"/>
        </w:rPr>
        <w:footnoteRef/>
      </w:r>
      <w:r>
        <w:t xml:space="preserve"> </w:t>
      </w:r>
      <w:r w:rsidRPr="002A2FF7">
        <w:rPr>
          <w:b/>
          <w:u w:val="single"/>
        </w:rPr>
        <w:t>Please note that all data are provisional and subject to change due to ongoing case investigation.</w:t>
      </w:r>
    </w:p>
  </w:footnote>
  <w:footnote w:id="13">
    <w:p w:rsidR="002B248B" w:rsidRDefault="002B248B" w:rsidP="002051A3">
      <w:pPr>
        <w:pStyle w:val="FootnoteText"/>
        <w:ind w:left="-567"/>
      </w:pPr>
      <w:r>
        <w:rPr>
          <w:rStyle w:val="FootnoteReference"/>
        </w:rPr>
        <w:footnoteRef/>
      </w:r>
      <w:r>
        <w:t xml:space="preserve"> </w:t>
      </w:r>
      <w:r w:rsidRPr="002A2FF7">
        <w:t>Cases defined as per the MJSO syphilis outbreak case definition: 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2A2FF7">
        <w:rPr>
          <w:rFonts w:ascii="Cambria Math" w:hAnsi="Cambria Math" w:cs="Cambria Math"/>
        </w:rPr>
        <w:t>‐</w:t>
      </w:r>
      <w:r w:rsidRPr="002A2FF7">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2A2FF7">
        <w:rPr>
          <w:rFonts w:ascii="Cambria Math" w:hAnsi="Cambria Math" w:cs="Cambria Math"/>
        </w:rPr>
        <w:t>‐</w:t>
      </w:r>
      <w:r w:rsidRPr="002A2FF7">
        <w:t xml:space="preserve"> Alice Springs or Barkly district (from 1 July   2013); Katherine district (from 1 May 2014); East Arnhem district (from 1 November 2015); WA -­</w:t>
      </w:r>
      <w:r w:rsidRPr="002A2FF7">
        <w:rPr>
          <w:rFonts w:ascii="Cambria Math" w:hAnsi="Cambria Math" w:cs="Cambria Math"/>
        </w:rPr>
        <w:t>‐</w:t>
      </w:r>
      <w:r w:rsidRPr="002A2FF7">
        <w:t xml:space="preserve"> Kimberley region, Western Australia (from 1 June 2014),  OR, is a sexual contact of a confirmed outbreak case.</w:t>
      </w:r>
    </w:p>
  </w:footnote>
  <w:footnote w:id="14">
    <w:p w:rsidR="002B248B" w:rsidRDefault="002B248B" w:rsidP="002051A3">
      <w:pPr>
        <w:pStyle w:val="FootnoteText"/>
        <w:ind w:left="-567"/>
      </w:pPr>
      <w:r>
        <w:rPr>
          <w:rStyle w:val="FootnoteReference"/>
        </w:rPr>
        <w:footnoteRef/>
      </w:r>
      <w:r w:rsidRPr="002A2FF7">
        <w:t xml:space="preserve">  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15">
    <w:p w:rsidR="002B248B" w:rsidRPr="002F3AE3" w:rsidRDefault="002B248B" w:rsidP="00CC0F5A">
      <w:r>
        <w:rPr>
          <w:rStyle w:val="FootnoteReference"/>
        </w:rPr>
        <w:footnoteRef/>
      </w:r>
      <w:r>
        <w:t xml:space="preserve"> </w:t>
      </w:r>
      <w:r w:rsidRPr="002A2FF7">
        <w:rPr>
          <w:b/>
          <w:sz w:val="20"/>
          <w:szCs w:val="20"/>
          <w:u w:val="single"/>
        </w:rPr>
        <w:t>Please note that all data are provisional and subject to change due to ongoing case investigation.</w:t>
      </w:r>
    </w:p>
    <w:p w:rsidR="002B248B" w:rsidRDefault="002B248B" w:rsidP="00CC0F5A">
      <w:pPr>
        <w:pStyle w:val="FootnoteText"/>
      </w:pPr>
    </w:p>
  </w:footnote>
  <w:footnote w:id="16">
    <w:p w:rsidR="002B248B" w:rsidRDefault="002B248B" w:rsidP="002051A3">
      <w:pPr>
        <w:pStyle w:val="FootnoteText"/>
        <w:ind w:left="-567"/>
      </w:pPr>
      <w:r>
        <w:rPr>
          <w:rStyle w:val="FootnoteReference"/>
        </w:rPr>
        <w:footnoteRef/>
      </w:r>
      <w:r>
        <w:t xml:space="preserve"> </w:t>
      </w:r>
      <w:r w:rsidRPr="002A2FF7">
        <w:t>Cases defined as per the MJSO syphilis outbreak case definition: 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2A2FF7">
        <w:rPr>
          <w:rFonts w:ascii="Cambria Math" w:hAnsi="Cambria Math" w:cs="Cambria Math"/>
        </w:rPr>
        <w:t>‐</w:t>
      </w:r>
      <w:r w:rsidRPr="002A2FF7">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2A2FF7">
        <w:rPr>
          <w:rFonts w:ascii="Cambria Math" w:hAnsi="Cambria Math" w:cs="Cambria Math"/>
        </w:rPr>
        <w:t>‐</w:t>
      </w:r>
      <w:r w:rsidRPr="002A2FF7">
        <w:t xml:space="preserve"> Alice Springs or Barkly district (from 1 July   2013); Katherine district (from 1 May 2014); East Arnhem district (from 1 November 2015); WA -­</w:t>
      </w:r>
      <w:r w:rsidRPr="002A2FF7">
        <w:rPr>
          <w:rFonts w:ascii="Cambria Math" w:hAnsi="Cambria Math" w:cs="Cambria Math"/>
        </w:rPr>
        <w:t>‐</w:t>
      </w:r>
      <w:r w:rsidRPr="002A2FF7">
        <w:t xml:space="preserve"> Kimberley region, Western Australia (from 1 June 2014),  OR, is a sexual contact of a confirmed outbreak case.</w:t>
      </w:r>
    </w:p>
  </w:footnote>
  <w:footnote w:id="17">
    <w:p w:rsidR="002B248B" w:rsidRDefault="002B248B" w:rsidP="002051A3">
      <w:pPr>
        <w:pStyle w:val="FootnoteText"/>
        <w:ind w:left="-567"/>
      </w:pPr>
      <w:r>
        <w:rPr>
          <w:rStyle w:val="FootnoteReference"/>
        </w:rPr>
        <w:footnoteRef/>
      </w:r>
      <w:r w:rsidRPr="002A2FF7">
        <w:t xml:space="preserve">  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18">
    <w:p w:rsidR="002B248B" w:rsidRPr="00734ED9" w:rsidRDefault="002B248B" w:rsidP="002051A3">
      <w:pPr>
        <w:ind w:left="-567"/>
        <w:rPr>
          <w:sz w:val="20"/>
          <w:szCs w:val="20"/>
        </w:rPr>
      </w:pPr>
      <w:r>
        <w:rPr>
          <w:rStyle w:val="FootnoteReference"/>
        </w:rPr>
        <w:footnoteRef/>
      </w:r>
      <w:r>
        <w:t xml:space="preserve"> </w:t>
      </w:r>
      <w:r w:rsidRPr="00734ED9">
        <w:rPr>
          <w:b/>
          <w:sz w:val="20"/>
          <w:szCs w:val="20"/>
          <w:u w:val="single"/>
        </w:rPr>
        <w:t>Please note that all data are provisional and subject to change due to ongoing case investigation.</w:t>
      </w:r>
    </w:p>
    <w:p w:rsidR="002B248B" w:rsidRDefault="002B248B" w:rsidP="00CC0F5A">
      <w:pPr>
        <w:pStyle w:val="FootnoteText"/>
      </w:pPr>
    </w:p>
  </w:footnote>
  <w:footnote w:id="19">
    <w:p w:rsidR="002B248B" w:rsidRDefault="002B248B" w:rsidP="002051A3">
      <w:pPr>
        <w:pStyle w:val="FootnoteText"/>
        <w:ind w:left="-567"/>
      </w:pPr>
      <w:r>
        <w:rPr>
          <w:rStyle w:val="FootnoteReference"/>
        </w:rPr>
        <w:footnoteRef/>
      </w:r>
      <w:r>
        <w:t xml:space="preserve"> </w:t>
      </w:r>
      <w:r w:rsidRPr="002A2FF7">
        <w:t>Cases defined as per the MJSO syphilis outbreak case definition: 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2A2FF7">
        <w:rPr>
          <w:rFonts w:ascii="Cambria Math" w:hAnsi="Cambria Math" w:cs="Cambria Math"/>
        </w:rPr>
        <w:t>‐</w:t>
      </w:r>
      <w:r w:rsidRPr="002A2FF7">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2A2FF7">
        <w:rPr>
          <w:rFonts w:ascii="Cambria Math" w:hAnsi="Cambria Math" w:cs="Cambria Math"/>
        </w:rPr>
        <w:t>‐</w:t>
      </w:r>
      <w:r w:rsidRPr="002A2FF7">
        <w:t xml:space="preserve"> Alice Springs or Barkly district (from 1 July   2013); Katherine district (from 1 May 2014); East Arnhem district (from 1 November 2015); WA -­</w:t>
      </w:r>
      <w:r w:rsidRPr="002A2FF7">
        <w:rPr>
          <w:rFonts w:ascii="Cambria Math" w:hAnsi="Cambria Math" w:cs="Cambria Math"/>
        </w:rPr>
        <w:t>‐</w:t>
      </w:r>
      <w:r w:rsidRPr="002A2FF7">
        <w:t xml:space="preserve"> Kimberley region, Western Australia (from 1 June 2014),  OR, is a sexual contact of a confirmed outbreak case.</w:t>
      </w:r>
    </w:p>
  </w:footnote>
  <w:footnote w:id="20">
    <w:p w:rsidR="002B248B" w:rsidRDefault="002B248B" w:rsidP="002051A3">
      <w:pPr>
        <w:pStyle w:val="FootnoteText"/>
        <w:ind w:left="-567"/>
      </w:pPr>
      <w:r>
        <w:rPr>
          <w:rStyle w:val="FootnoteReference"/>
        </w:rPr>
        <w:footnoteRef/>
      </w:r>
      <w:r w:rsidRPr="002A2FF7">
        <w:t xml:space="preserve">  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21">
    <w:p w:rsidR="002B248B" w:rsidRPr="00734ED9" w:rsidRDefault="002B248B" w:rsidP="002051A3">
      <w:pPr>
        <w:ind w:left="-567"/>
        <w:rPr>
          <w:sz w:val="20"/>
          <w:szCs w:val="20"/>
        </w:rPr>
      </w:pPr>
      <w:r>
        <w:rPr>
          <w:rStyle w:val="FootnoteReference"/>
        </w:rPr>
        <w:footnoteRef/>
      </w:r>
      <w:r>
        <w:t xml:space="preserve"> </w:t>
      </w:r>
      <w:r w:rsidRPr="00734ED9">
        <w:rPr>
          <w:b/>
          <w:sz w:val="20"/>
          <w:szCs w:val="20"/>
          <w:u w:val="single"/>
        </w:rPr>
        <w:t>Please note that all data are provisional and subject to change due to ongoing case investigation.</w:t>
      </w:r>
    </w:p>
    <w:p w:rsidR="002B248B" w:rsidRDefault="002B248B" w:rsidP="00CC0F5A">
      <w:pPr>
        <w:pStyle w:val="FootnoteText"/>
      </w:pPr>
    </w:p>
  </w:footnote>
  <w:footnote w:id="22">
    <w:p w:rsidR="002B248B" w:rsidRDefault="002B248B" w:rsidP="002051A3">
      <w:pPr>
        <w:pStyle w:val="FootnoteText"/>
        <w:ind w:left="-567"/>
      </w:pPr>
      <w:r>
        <w:rPr>
          <w:rStyle w:val="FootnoteReference"/>
        </w:rPr>
        <w:footnoteRef/>
      </w:r>
      <w:r w:rsidRPr="00016C22">
        <w:t xml:space="preserve">  Cases defined as per the MJSO syphilis outbreak case definition: 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w:t>
      </w:r>
      <w:r w:rsidRPr="00016C22">
        <w:rPr>
          <w:rFonts w:ascii="Cambria Math" w:hAnsi="Cambria Math" w:cs="Cambria Math"/>
        </w:rPr>
        <w:t>‐</w:t>
      </w:r>
      <w:r w:rsidRPr="00016C22">
        <w:t xml:space="preserve"> Torres and Cape Hospital and Health Service area (from 1 December 2012); Cairns and Hinterland Hospital and Health Service area (from 1 August 2013); North West Hospital and Health Service area (from 1 January 2011); Townsville Hospital and Health Service area (from 1 January 2014); NT -­</w:t>
      </w:r>
      <w:r w:rsidRPr="00016C22">
        <w:rPr>
          <w:rFonts w:ascii="Cambria Math" w:hAnsi="Cambria Math" w:cs="Cambria Math"/>
        </w:rPr>
        <w:t>‐</w:t>
      </w:r>
      <w:r w:rsidRPr="00016C22">
        <w:t xml:space="preserve"> Alice Springs or Barkly district (from 1 July   2013); Katherine district (from 1 May 2014); East Arnhem district (from 1 November 2015); WA -­</w:t>
      </w:r>
      <w:r w:rsidRPr="00016C22">
        <w:rPr>
          <w:rFonts w:ascii="Cambria Math" w:hAnsi="Cambria Math" w:cs="Cambria Math"/>
        </w:rPr>
        <w:t>‐</w:t>
      </w:r>
      <w:r w:rsidRPr="00016C22">
        <w:t xml:space="preserve"> Kimberley region, Western Australia (from 1 June 2014),  OR, is a sexual contact of a confirmed outbreak case.</w:t>
      </w:r>
    </w:p>
  </w:footnote>
  <w:footnote w:id="23">
    <w:p w:rsidR="002B248B" w:rsidRDefault="002B248B" w:rsidP="002051A3">
      <w:pPr>
        <w:pStyle w:val="FootnoteText"/>
        <w:ind w:left="-567"/>
      </w:pPr>
      <w:r>
        <w:rPr>
          <w:rStyle w:val="FootnoteReference"/>
        </w:rPr>
        <w:footnoteRef/>
      </w:r>
      <w:r w:rsidRPr="00016C22">
        <w:t xml:space="preserve">  Affected regions include Torres and Cape, Cairns and Hinterland, North West, and Townsville Hospital and Health Services in Queensland; Alice Springs, Barkly, East Arnhem and Katherine regions in the Northern Territory, and: the Kimberley health region in Western Australia.</w:t>
      </w:r>
    </w:p>
  </w:footnote>
  <w:footnote w:id="24">
    <w:p w:rsidR="002B248B" w:rsidRPr="00734ED9" w:rsidRDefault="002B248B" w:rsidP="00566AB2">
      <w:pPr>
        <w:ind w:left="-567"/>
        <w:rPr>
          <w:sz w:val="20"/>
          <w:szCs w:val="20"/>
        </w:rPr>
      </w:pPr>
      <w:r>
        <w:rPr>
          <w:rStyle w:val="FootnoteReference"/>
        </w:rPr>
        <w:footnoteRef/>
      </w:r>
      <w:r>
        <w:t xml:space="preserve"> </w:t>
      </w:r>
      <w:r w:rsidRPr="00734ED9">
        <w:rPr>
          <w:b/>
          <w:sz w:val="20"/>
          <w:szCs w:val="20"/>
          <w:u w:val="single"/>
        </w:rPr>
        <w:t>Please note that all data are provisional and subject to change due to ongoing case investigation.</w:t>
      </w:r>
    </w:p>
    <w:p w:rsidR="002B248B" w:rsidRDefault="002B248B" w:rsidP="00CC0F5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360B"/>
    <w:multiLevelType w:val="hybridMultilevel"/>
    <w:tmpl w:val="FD2878F4"/>
    <w:lvl w:ilvl="0" w:tplc="0C090001">
      <w:start w:val="1"/>
      <w:numFmt w:val="bullet"/>
      <w:lvlText w:val=""/>
      <w:lvlJc w:val="left"/>
      <w:pPr>
        <w:ind w:left="2550" w:hanging="360"/>
      </w:pPr>
      <w:rPr>
        <w:rFonts w:ascii="Symbol" w:hAnsi="Symbol" w:hint="default"/>
      </w:rPr>
    </w:lvl>
    <w:lvl w:ilvl="1" w:tplc="0C090003">
      <w:start w:val="1"/>
      <w:numFmt w:val="bullet"/>
      <w:lvlText w:val="o"/>
      <w:lvlJc w:val="left"/>
      <w:pPr>
        <w:ind w:left="3270" w:hanging="360"/>
      </w:pPr>
      <w:rPr>
        <w:rFonts w:ascii="Courier New" w:hAnsi="Courier New" w:cs="Courier New" w:hint="default"/>
      </w:rPr>
    </w:lvl>
    <w:lvl w:ilvl="2" w:tplc="0C090005">
      <w:start w:val="1"/>
      <w:numFmt w:val="bullet"/>
      <w:lvlText w:val=""/>
      <w:lvlJc w:val="left"/>
      <w:pPr>
        <w:ind w:left="3990" w:hanging="360"/>
      </w:pPr>
      <w:rPr>
        <w:rFonts w:ascii="Wingdings" w:hAnsi="Wingdings" w:hint="default"/>
      </w:rPr>
    </w:lvl>
    <w:lvl w:ilvl="3" w:tplc="0C090001">
      <w:start w:val="1"/>
      <w:numFmt w:val="bullet"/>
      <w:lvlText w:val=""/>
      <w:lvlJc w:val="left"/>
      <w:pPr>
        <w:ind w:left="4710" w:hanging="360"/>
      </w:pPr>
      <w:rPr>
        <w:rFonts w:ascii="Symbol" w:hAnsi="Symbol" w:hint="default"/>
      </w:rPr>
    </w:lvl>
    <w:lvl w:ilvl="4" w:tplc="0C090003">
      <w:start w:val="1"/>
      <w:numFmt w:val="bullet"/>
      <w:lvlText w:val="o"/>
      <w:lvlJc w:val="left"/>
      <w:pPr>
        <w:ind w:left="5430" w:hanging="360"/>
      </w:pPr>
      <w:rPr>
        <w:rFonts w:ascii="Courier New" w:hAnsi="Courier New" w:cs="Courier New" w:hint="default"/>
      </w:rPr>
    </w:lvl>
    <w:lvl w:ilvl="5" w:tplc="0C090005">
      <w:start w:val="1"/>
      <w:numFmt w:val="bullet"/>
      <w:lvlText w:val=""/>
      <w:lvlJc w:val="left"/>
      <w:pPr>
        <w:ind w:left="6150" w:hanging="360"/>
      </w:pPr>
      <w:rPr>
        <w:rFonts w:ascii="Wingdings" w:hAnsi="Wingdings" w:hint="default"/>
      </w:rPr>
    </w:lvl>
    <w:lvl w:ilvl="6" w:tplc="0C090001">
      <w:start w:val="1"/>
      <w:numFmt w:val="bullet"/>
      <w:lvlText w:val=""/>
      <w:lvlJc w:val="left"/>
      <w:pPr>
        <w:ind w:left="6870" w:hanging="360"/>
      </w:pPr>
      <w:rPr>
        <w:rFonts w:ascii="Symbol" w:hAnsi="Symbol" w:hint="default"/>
      </w:rPr>
    </w:lvl>
    <w:lvl w:ilvl="7" w:tplc="0C090003">
      <w:start w:val="1"/>
      <w:numFmt w:val="bullet"/>
      <w:lvlText w:val="o"/>
      <w:lvlJc w:val="left"/>
      <w:pPr>
        <w:ind w:left="7590" w:hanging="360"/>
      </w:pPr>
      <w:rPr>
        <w:rFonts w:ascii="Courier New" w:hAnsi="Courier New" w:cs="Courier New" w:hint="default"/>
      </w:rPr>
    </w:lvl>
    <w:lvl w:ilvl="8" w:tplc="0C090005">
      <w:start w:val="1"/>
      <w:numFmt w:val="bullet"/>
      <w:lvlText w:val=""/>
      <w:lvlJc w:val="left"/>
      <w:pPr>
        <w:ind w:left="8310" w:hanging="360"/>
      </w:pPr>
      <w:rPr>
        <w:rFonts w:ascii="Wingdings" w:hAnsi="Wingdings" w:hint="default"/>
      </w:rPr>
    </w:lvl>
  </w:abstractNum>
  <w:abstractNum w:abstractNumId="1">
    <w:nsid w:val="09A77009"/>
    <w:multiLevelType w:val="hybridMultilevel"/>
    <w:tmpl w:val="A1944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A52601"/>
    <w:multiLevelType w:val="hybridMultilevel"/>
    <w:tmpl w:val="54A497D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D4A6766"/>
    <w:multiLevelType w:val="multilevel"/>
    <w:tmpl w:val="1A9E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0B3EF6"/>
    <w:multiLevelType w:val="multilevel"/>
    <w:tmpl w:val="5B66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6E016F"/>
    <w:multiLevelType w:val="hybridMultilevel"/>
    <w:tmpl w:val="55D2B46C"/>
    <w:lvl w:ilvl="0" w:tplc="0C090001">
      <w:start w:val="1"/>
      <w:numFmt w:val="bullet"/>
      <w:lvlText w:val=""/>
      <w:lvlJc w:val="left"/>
      <w:pPr>
        <w:ind w:left="1269" w:hanging="360"/>
      </w:pPr>
      <w:rPr>
        <w:rFonts w:ascii="Symbol" w:hAnsi="Symbol" w:hint="default"/>
      </w:rPr>
    </w:lvl>
    <w:lvl w:ilvl="1" w:tplc="0C090003" w:tentative="1">
      <w:start w:val="1"/>
      <w:numFmt w:val="bullet"/>
      <w:lvlText w:val="o"/>
      <w:lvlJc w:val="left"/>
      <w:pPr>
        <w:ind w:left="1989" w:hanging="360"/>
      </w:pPr>
      <w:rPr>
        <w:rFonts w:ascii="Courier New" w:hAnsi="Courier New" w:cs="Courier New" w:hint="default"/>
      </w:rPr>
    </w:lvl>
    <w:lvl w:ilvl="2" w:tplc="0C090005" w:tentative="1">
      <w:start w:val="1"/>
      <w:numFmt w:val="bullet"/>
      <w:lvlText w:val=""/>
      <w:lvlJc w:val="left"/>
      <w:pPr>
        <w:ind w:left="2709" w:hanging="360"/>
      </w:pPr>
      <w:rPr>
        <w:rFonts w:ascii="Wingdings" w:hAnsi="Wingdings" w:hint="default"/>
      </w:rPr>
    </w:lvl>
    <w:lvl w:ilvl="3" w:tplc="0C090001" w:tentative="1">
      <w:start w:val="1"/>
      <w:numFmt w:val="bullet"/>
      <w:lvlText w:val=""/>
      <w:lvlJc w:val="left"/>
      <w:pPr>
        <w:ind w:left="3429" w:hanging="360"/>
      </w:pPr>
      <w:rPr>
        <w:rFonts w:ascii="Symbol" w:hAnsi="Symbol" w:hint="default"/>
      </w:rPr>
    </w:lvl>
    <w:lvl w:ilvl="4" w:tplc="0C090003" w:tentative="1">
      <w:start w:val="1"/>
      <w:numFmt w:val="bullet"/>
      <w:lvlText w:val="o"/>
      <w:lvlJc w:val="left"/>
      <w:pPr>
        <w:ind w:left="4149" w:hanging="360"/>
      </w:pPr>
      <w:rPr>
        <w:rFonts w:ascii="Courier New" w:hAnsi="Courier New" w:cs="Courier New" w:hint="default"/>
      </w:rPr>
    </w:lvl>
    <w:lvl w:ilvl="5" w:tplc="0C090005" w:tentative="1">
      <w:start w:val="1"/>
      <w:numFmt w:val="bullet"/>
      <w:lvlText w:val=""/>
      <w:lvlJc w:val="left"/>
      <w:pPr>
        <w:ind w:left="4869" w:hanging="360"/>
      </w:pPr>
      <w:rPr>
        <w:rFonts w:ascii="Wingdings" w:hAnsi="Wingdings" w:hint="default"/>
      </w:rPr>
    </w:lvl>
    <w:lvl w:ilvl="6" w:tplc="0C090001" w:tentative="1">
      <w:start w:val="1"/>
      <w:numFmt w:val="bullet"/>
      <w:lvlText w:val=""/>
      <w:lvlJc w:val="left"/>
      <w:pPr>
        <w:ind w:left="5589" w:hanging="360"/>
      </w:pPr>
      <w:rPr>
        <w:rFonts w:ascii="Symbol" w:hAnsi="Symbol" w:hint="default"/>
      </w:rPr>
    </w:lvl>
    <w:lvl w:ilvl="7" w:tplc="0C090003" w:tentative="1">
      <w:start w:val="1"/>
      <w:numFmt w:val="bullet"/>
      <w:lvlText w:val="o"/>
      <w:lvlJc w:val="left"/>
      <w:pPr>
        <w:ind w:left="6309" w:hanging="360"/>
      </w:pPr>
      <w:rPr>
        <w:rFonts w:ascii="Courier New" w:hAnsi="Courier New" w:cs="Courier New" w:hint="default"/>
      </w:rPr>
    </w:lvl>
    <w:lvl w:ilvl="8" w:tplc="0C090005" w:tentative="1">
      <w:start w:val="1"/>
      <w:numFmt w:val="bullet"/>
      <w:lvlText w:val=""/>
      <w:lvlJc w:val="left"/>
      <w:pPr>
        <w:ind w:left="7029" w:hanging="360"/>
      </w:pPr>
      <w:rPr>
        <w:rFonts w:ascii="Wingdings" w:hAnsi="Wingdings" w:hint="default"/>
      </w:rPr>
    </w:lvl>
  </w:abstractNum>
  <w:abstractNum w:abstractNumId="6">
    <w:nsid w:val="55E04A10"/>
    <w:multiLevelType w:val="hybridMultilevel"/>
    <w:tmpl w:val="30626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64EC714D"/>
    <w:multiLevelType w:val="hybridMultilevel"/>
    <w:tmpl w:val="DE32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61327CF"/>
    <w:multiLevelType w:val="hybridMultilevel"/>
    <w:tmpl w:val="71506F92"/>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9">
    <w:nsid w:val="67613A80"/>
    <w:multiLevelType w:val="hybridMultilevel"/>
    <w:tmpl w:val="938282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F136965"/>
    <w:multiLevelType w:val="hybridMultilevel"/>
    <w:tmpl w:val="B984B184"/>
    <w:lvl w:ilvl="0" w:tplc="BB6245EA">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C75E6D"/>
    <w:multiLevelType w:val="hybridMultilevel"/>
    <w:tmpl w:val="8708D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1"/>
  </w:num>
  <w:num w:numId="5">
    <w:abstractNumId w:val="7"/>
  </w:num>
  <w:num w:numId="6">
    <w:abstractNumId w:val="9"/>
  </w:num>
  <w:num w:numId="7">
    <w:abstractNumId w:val="10"/>
  </w:num>
  <w:num w:numId="8">
    <w:abstractNumId w:val="2"/>
  </w:num>
  <w:num w:numId="9">
    <w:abstractNumId w:val="9"/>
  </w:num>
  <w:num w:numId="10">
    <w:abstractNumId w:val="6"/>
  </w:num>
  <w:num w:numId="11">
    <w:abstractNumId w:val="3"/>
  </w:num>
  <w:num w:numId="12">
    <w:abstractNumId w:val="4"/>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900"/>
    <w:rsid w:val="00007E3A"/>
    <w:rsid w:val="000177ED"/>
    <w:rsid w:val="000205D1"/>
    <w:rsid w:val="00032905"/>
    <w:rsid w:val="00035C8C"/>
    <w:rsid w:val="000428F5"/>
    <w:rsid w:val="00063663"/>
    <w:rsid w:val="000701CF"/>
    <w:rsid w:val="00090D76"/>
    <w:rsid w:val="00093BA1"/>
    <w:rsid w:val="00094607"/>
    <w:rsid w:val="000B0E56"/>
    <w:rsid w:val="000B3967"/>
    <w:rsid w:val="000E032B"/>
    <w:rsid w:val="000E0F9D"/>
    <w:rsid w:val="000E159A"/>
    <w:rsid w:val="000E3EA4"/>
    <w:rsid w:val="000E6F4E"/>
    <w:rsid w:val="000E6F86"/>
    <w:rsid w:val="000F4306"/>
    <w:rsid w:val="001022FA"/>
    <w:rsid w:val="00110E59"/>
    <w:rsid w:val="00117FB5"/>
    <w:rsid w:val="001314AA"/>
    <w:rsid w:val="00137987"/>
    <w:rsid w:val="0014247E"/>
    <w:rsid w:val="001435E8"/>
    <w:rsid w:val="001541C8"/>
    <w:rsid w:val="00165ADE"/>
    <w:rsid w:val="00194A6C"/>
    <w:rsid w:val="00195866"/>
    <w:rsid w:val="00195A95"/>
    <w:rsid w:val="001A0B3E"/>
    <w:rsid w:val="001B04F8"/>
    <w:rsid w:val="001B06D2"/>
    <w:rsid w:val="001B36AE"/>
    <w:rsid w:val="001B6125"/>
    <w:rsid w:val="001C6D89"/>
    <w:rsid w:val="001D35DF"/>
    <w:rsid w:val="001E6624"/>
    <w:rsid w:val="001E68E8"/>
    <w:rsid w:val="001F22FF"/>
    <w:rsid w:val="001F5532"/>
    <w:rsid w:val="001F7C39"/>
    <w:rsid w:val="00200CF7"/>
    <w:rsid w:val="00200DE9"/>
    <w:rsid w:val="00202507"/>
    <w:rsid w:val="0020431B"/>
    <w:rsid w:val="002051A3"/>
    <w:rsid w:val="00210DF9"/>
    <w:rsid w:val="002275C1"/>
    <w:rsid w:val="00231126"/>
    <w:rsid w:val="00233A22"/>
    <w:rsid w:val="002442C1"/>
    <w:rsid w:val="00246280"/>
    <w:rsid w:val="00246597"/>
    <w:rsid w:val="0026178B"/>
    <w:rsid w:val="00264198"/>
    <w:rsid w:val="00264CC6"/>
    <w:rsid w:val="00280EDD"/>
    <w:rsid w:val="00284720"/>
    <w:rsid w:val="0028791D"/>
    <w:rsid w:val="0029498C"/>
    <w:rsid w:val="00294EE1"/>
    <w:rsid w:val="002977A4"/>
    <w:rsid w:val="002A0F87"/>
    <w:rsid w:val="002A67B6"/>
    <w:rsid w:val="002A6AA0"/>
    <w:rsid w:val="002B1066"/>
    <w:rsid w:val="002B248B"/>
    <w:rsid w:val="002B58C0"/>
    <w:rsid w:val="002B6AFC"/>
    <w:rsid w:val="002B7899"/>
    <w:rsid w:val="002C5F6F"/>
    <w:rsid w:val="002D2069"/>
    <w:rsid w:val="002D63D0"/>
    <w:rsid w:val="002E5B78"/>
    <w:rsid w:val="002E727C"/>
    <w:rsid w:val="002F7525"/>
    <w:rsid w:val="003006AB"/>
    <w:rsid w:val="00301173"/>
    <w:rsid w:val="00303B67"/>
    <w:rsid w:val="003078CF"/>
    <w:rsid w:val="0031566C"/>
    <w:rsid w:val="00315F9C"/>
    <w:rsid w:val="00335ED6"/>
    <w:rsid w:val="00340B98"/>
    <w:rsid w:val="003410FD"/>
    <w:rsid w:val="00350C8C"/>
    <w:rsid w:val="00353031"/>
    <w:rsid w:val="00355CED"/>
    <w:rsid w:val="00355F25"/>
    <w:rsid w:val="003612F6"/>
    <w:rsid w:val="0036364B"/>
    <w:rsid w:val="00367354"/>
    <w:rsid w:val="00372815"/>
    <w:rsid w:val="00372E85"/>
    <w:rsid w:val="0037506D"/>
    <w:rsid w:val="00384BA7"/>
    <w:rsid w:val="00385678"/>
    <w:rsid w:val="00387F41"/>
    <w:rsid w:val="00390AED"/>
    <w:rsid w:val="0039185A"/>
    <w:rsid w:val="003A4B9A"/>
    <w:rsid w:val="003A5D28"/>
    <w:rsid w:val="003B1FF8"/>
    <w:rsid w:val="003D0CC3"/>
    <w:rsid w:val="003D1684"/>
    <w:rsid w:val="003D507E"/>
    <w:rsid w:val="003E5666"/>
    <w:rsid w:val="003E7C01"/>
    <w:rsid w:val="003F010C"/>
    <w:rsid w:val="003F4A86"/>
    <w:rsid w:val="00417787"/>
    <w:rsid w:val="00417EA4"/>
    <w:rsid w:val="00421F15"/>
    <w:rsid w:val="0042214C"/>
    <w:rsid w:val="004246D5"/>
    <w:rsid w:val="0042771C"/>
    <w:rsid w:val="00427A81"/>
    <w:rsid w:val="004362F8"/>
    <w:rsid w:val="00445B9D"/>
    <w:rsid w:val="00460319"/>
    <w:rsid w:val="00470A53"/>
    <w:rsid w:val="00485D36"/>
    <w:rsid w:val="004916D3"/>
    <w:rsid w:val="004A0277"/>
    <w:rsid w:val="004A3E3B"/>
    <w:rsid w:val="004A667D"/>
    <w:rsid w:val="004B04E0"/>
    <w:rsid w:val="004B20AE"/>
    <w:rsid w:val="004B4FE0"/>
    <w:rsid w:val="004B60D9"/>
    <w:rsid w:val="004D0EAB"/>
    <w:rsid w:val="004E0587"/>
    <w:rsid w:val="004E075B"/>
    <w:rsid w:val="004E38D7"/>
    <w:rsid w:val="00511F84"/>
    <w:rsid w:val="00517440"/>
    <w:rsid w:val="00527DCF"/>
    <w:rsid w:val="0053372D"/>
    <w:rsid w:val="00537659"/>
    <w:rsid w:val="005464F4"/>
    <w:rsid w:val="00546872"/>
    <w:rsid w:val="0055094C"/>
    <w:rsid w:val="00560C03"/>
    <w:rsid w:val="00566AB2"/>
    <w:rsid w:val="005678C0"/>
    <w:rsid w:val="00573ABB"/>
    <w:rsid w:val="005752EC"/>
    <w:rsid w:val="00582CFF"/>
    <w:rsid w:val="005852E5"/>
    <w:rsid w:val="00586082"/>
    <w:rsid w:val="0059053F"/>
    <w:rsid w:val="00590C97"/>
    <w:rsid w:val="005A51A9"/>
    <w:rsid w:val="005B2C33"/>
    <w:rsid w:val="005B33B7"/>
    <w:rsid w:val="005C166D"/>
    <w:rsid w:val="005C4C71"/>
    <w:rsid w:val="005D3162"/>
    <w:rsid w:val="005D3A2D"/>
    <w:rsid w:val="005E4E9D"/>
    <w:rsid w:val="005F1175"/>
    <w:rsid w:val="005F77AB"/>
    <w:rsid w:val="00606E2D"/>
    <w:rsid w:val="00610350"/>
    <w:rsid w:val="0061736D"/>
    <w:rsid w:val="00621406"/>
    <w:rsid w:val="00630D11"/>
    <w:rsid w:val="00641A4D"/>
    <w:rsid w:val="006441E0"/>
    <w:rsid w:val="00646927"/>
    <w:rsid w:val="00647A04"/>
    <w:rsid w:val="00651D16"/>
    <w:rsid w:val="006521BD"/>
    <w:rsid w:val="00654FB9"/>
    <w:rsid w:val="006567A8"/>
    <w:rsid w:val="0066567E"/>
    <w:rsid w:val="006721AA"/>
    <w:rsid w:val="00674C45"/>
    <w:rsid w:val="00675F74"/>
    <w:rsid w:val="006810B8"/>
    <w:rsid w:val="006829B0"/>
    <w:rsid w:val="006923C8"/>
    <w:rsid w:val="006A1E4E"/>
    <w:rsid w:val="006B4D7B"/>
    <w:rsid w:val="006C7223"/>
    <w:rsid w:val="006C7A6D"/>
    <w:rsid w:val="006D5820"/>
    <w:rsid w:val="006D7EDC"/>
    <w:rsid w:val="006E3C8C"/>
    <w:rsid w:val="006E50EB"/>
    <w:rsid w:val="006F2B7D"/>
    <w:rsid w:val="006F390D"/>
    <w:rsid w:val="00707254"/>
    <w:rsid w:val="00717463"/>
    <w:rsid w:val="00722005"/>
    <w:rsid w:val="00722EA8"/>
    <w:rsid w:val="007238C5"/>
    <w:rsid w:val="00727900"/>
    <w:rsid w:val="00727B57"/>
    <w:rsid w:val="00737360"/>
    <w:rsid w:val="007468C2"/>
    <w:rsid w:val="00747270"/>
    <w:rsid w:val="00750C9F"/>
    <w:rsid w:val="00755343"/>
    <w:rsid w:val="00763E38"/>
    <w:rsid w:val="007718BB"/>
    <w:rsid w:val="00775E7E"/>
    <w:rsid w:val="00786D69"/>
    <w:rsid w:val="00790BDD"/>
    <w:rsid w:val="00795D1C"/>
    <w:rsid w:val="007A06CD"/>
    <w:rsid w:val="007B2992"/>
    <w:rsid w:val="007B5B07"/>
    <w:rsid w:val="007B5C23"/>
    <w:rsid w:val="007B6C2A"/>
    <w:rsid w:val="007E6D7B"/>
    <w:rsid w:val="007E6F1D"/>
    <w:rsid w:val="007F509F"/>
    <w:rsid w:val="00802606"/>
    <w:rsid w:val="00806C94"/>
    <w:rsid w:val="008270F8"/>
    <w:rsid w:val="00832B8F"/>
    <w:rsid w:val="00833AB7"/>
    <w:rsid w:val="00834F18"/>
    <w:rsid w:val="00843191"/>
    <w:rsid w:val="00856385"/>
    <w:rsid w:val="008614D4"/>
    <w:rsid w:val="008628E3"/>
    <w:rsid w:val="00873960"/>
    <w:rsid w:val="00875F0F"/>
    <w:rsid w:val="00881195"/>
    <w:rsid w:val="008947E7"/>
    <w:rsid w:val="008B2666"/>
    <w:rsid w:val="008B3C9B"/>
    <w:rsid w:val="008B3ED5"/>
    <w:rsid w:val="008B527A"/>
    <w:rsid w:val="008B7A61"/>
    <w:rsid w:val="008C7921"/>
    <w:rsid w:val="008D1136"/>
    <w:rsid w:val="008D31F3"/>
    <w:rsid w:val="00904AAB"/>
    <w:rsid w:val="00907C81"/>
    <w:rsid w:val="00913817"/>
    <w:rsid w:val="0091718D"/>
    <w:rsid w:val="00922B1B"/>
    <w:rsid w:val="00922EE1"/>
    <w:rsid w:val="00933602"/>
    <w:rsid w:val="009364C4"/>
    <w:rsid w:val="009402B6"/>
    <w:rsid w:val="00944E66"/>
    <w:rsid w:val="009562F0"/>
    <w:rsid w:val="00957270"/>
    <w:rsid w:val="0097185C"/>
    <w:rsid w:val="00973296"/>
    <w:rsid w:val="0097348B"/>
    <w:rsid w:val="00977AD3"/>
    <w:rsid w:val="009868D5"/>
    <w:rsid w:val="00994DDA"/>
    <w:rsid w:val="009A52AF"/>
    <w:rsid w:val="009C2CAA"/>
    <w:rsid w:val="009C3C6F"/>
    <w:rsid w:val="009C78D5"/>
    <w:rsid w:val="009D4BAF"/>
    <w:rsid w:val="009F1C6C"/>
    <w:rsid w:val="00A0477F"/>
    <w:rsid w:val="00A04E9A"/>
    <w:rsid w:val="00A1112A"/>
    <w:rsid w:val="00A265CD"/>
    <w:rsid w:val="00A33A77"/>
    <w:rsid w:val="00A34CE9"/>
    <w:rsid w:val="00A37CD4"/>
    <w:rsid w:val="00A43572"/>
    <w:rsid w:val="00A43AA9"/>
    <w:rsid w:val="00A44D4A"/>
    <w:rsid w:val="00A5030D"/>
    <w:rsid w:val="00A51D7D"/>
    <w:rsid w:val="00A60142"/>
    <w:rsid w:val="00A8082D"/>
    <w:rsid w:val="00A919B9"/>
    <w:rsid w:val="00AB5C26"/>
    <w:rsid w:val="00AD45DF"/>
    <w:rsid w:val="00AD6E2C"/>
    <w:rsid w:val="00AE0177"/>
    <w:rsid w:val="00AE0885"/>
    <w:rsid w:val="00AE3F53"/>
    <w:rsid w:val="00AE78F2"/>
    <w:rsid w:val="00AF6C69"/>
    <w:rsid w:val="00B042CA"/>
    <w:rsid w:val="00B0465E"/>
    <w:rsid w:val="00B0594E"/>
    <w:rsid w:val="00B204E5"/>
    <w:rsid w:val="00B22EC4"/>
    <w:rsid w:val="00B3597C"/>
    <w:rsid w:val="00B35B4A"/>
    <w:rsid w:val="00B36F9B"/>
    <w:rsid w:val="00B37FEF"/>
    <w:rsid w:val="00B57142"/>
    <w:rsid w:val="00B64D47"/>
    <w:rsid w:val="00B6574A"/>
    <w:rsid w:val="00B72432"/>
    <w:rsid w:val="00B8094B"/>
    <w:rsid w:val="00B909E6"/>
    <w:rsid w:val="00B9220B"/>
    <w:rsid w:val="00B925F2"/>
    <w:rsid w:val="00BA190A"/>
    <w:rsid w:val="00BB1356"/>
    <w:rsid w:val="00BB17DE"/>
    <w:rsid w:val="00BB484A"/>
    <w:rsid w:val="00BB559B"/>
    <w:rsid w:val="00BB55F0"/>
    <w:rsid w:val="00BB61BE"/>
    <w:rsid w:val="00BB76E8"/>
    <w:rsid w:val="00BE1627"/>
    <w:rsid w:val="00BE480C"/>
    <w:rsid w:val="00BE5FAF"/>
    <w:rsid w:val="00BF5475"/>
    <w:rsid w:val="00C019C3"/>
    <w:rsid w:val="00C12577"/>
    <w:rsid w:val="00C2607E"/>
    <w:rsid w:val="00C30661"/>
    <w:rsid w:val="00C321FF"/>
    <w:rsid w:val="00C55AC7"/>
    <w:rsid w:val="00C615BA"/>
    <w:rsid w:val="00C61994"/>
    <w:rsid w:val="00C65263"/>
    <w:rsid w:val="00C700B4"/>
    <w:rsid w:val="00C7221F"/>
    <w:rsid w:val="00C76B4C"/>
    <w:rsid w:val="00C818A1"/>
    <w:rsid w:val="00C84382"/>
    <w:rsid w:val="00C84B61"/>
    <w:rsid w:val="00CA0114"/>
    <w:rsid w:val="00CA182E"/>
    <w:rsid w:val="00CA38ED"/>
    <w:rsid w:val="00CA4AB4"/>
    <w:rsid w:val="00CA78DC"/>
    <w:rsid w:val="00CB22C2"/>
    <w:rsid w:val="00CC0F5A"/>
    <w:rsid w:val="00CC111F"/>
    <w:rsid w:val="00CC1278"/>
    <w:rsid w:val="00CD31AE"/>
    <w:rsid w:val="00CD696F"/>
    <w:rsid w:val="00CF5790"/>
    <w:rsid w:val="00D03B19"/>
    <w:rsid w:val="00D06E02"/>
    <w:rsid w:val="00D20E68"/>
    <w:rsid w:val="00D30938"/>
    <w:rsid w:val="00D3186A"/>
    <w:rsid w:val="00D4180A"/>
    <w:rsid w:val="00D6189B"/>
    <w:rsid w:val="00D61AFB"/>
    <w:rsid w:val="00D64D84"/>
    <w:rsid w:val="00D70A76"/>
    <w:rsid w:val="00D813C4"/>
    <w:rsid w:val="00D85DFB"/>
    <w:rsid w:val="00D870F7"/>
    <w:rsid w:val="00D87986"/>
    <w:rsid w:val="00D91837"/>
    <w:rsid w:val="00DA11A4"/>
    <w:rsid w:val="00DB43C5"/>
    <w:rsid w:val="00DB4CBD"/>
    <w:rsid w:val="00DB6B54"/>
    <w:rsid w:val="00DB7285"/>
    <w:rsid w:val="00DC3F9B"/>
    <w:rsid w:val="00DC456E"/>
    <w:rsid w:val="00DC57E5"/>
    <w:rsid w:val="00DC67BC"/>
    <w:rsid w:val="00DC6A72"/>
    <w:rsid w:val="00DC7606"/>
    <w:rsid w:val="00DD1889"/>
    <w:rsid w:val="00DD4BB9"/>
    <w:rsid w:val="00DE5EA2"/>
    <w:rsid w:val="00DF6428"/>
    <w:rsid w:val="00E050FE"/>
    <w:rsid w:val="00E11095"/>
    <w:rsid w:val="00E27768"/>
    <w:rsid w:val="00E27FA1"/>
    <w:rsid w:val="00E45A46"/>
    <w:rsid w:val="00E47145"/>
    <w:rsid w:val="00E477CC"/>
    <w:rsid w:val="00E572C9"/>
    <w:rsid w:val="00E62A19"/>
    <w:rsid w:val="00E6630A"/>
    <w:rsid w:val="00E7631A"/>
    <w:rsid w:val="00E84DFC"/>
    <w:rsid w:val="00E9131E"/>
    <w:rsid w:val="00E9272A"/>
    <w:rsid w:val="00E93956"/>
    <w:rsid w:val="00E955F8"/>
    <w:rsid w:val="00EA21D4"/>
    <w:rsid w:val="00EA443C"/>
    <w:rsid w:val="00EC732E"/>
    <w:rsid w:val="00ED4B23"/>
    <w:rsid w:val="00EE6B6C"/>
    <w:rsid w:val="00F05FAD"/>
    <w:rsid w:val="00F12A54"/>
    <w:rsid w:val="00F133F7"/>
    <w:rsid w:val="00F14A92"/>
    <w:rsid w:val="00F14EF4"/>
    <w:rsid w:val="00F167A6"/>
    <w:rsid w:val="00F21B4C"/>
    <w:rsid w:val="00F364F4"/>
    <w:rsid w:val="00F47535"/>
    <w:rsid w:val="00F512E2"/>
    <w:rsid w:val="00F5370A"/>
    <w:rsid w:val="00F631C4"/>
    <w:rsid w:val="00F855C6"/>
    <w:rsid w:val="00F8608E"/>
    <w:rsid w:val="00F9027F"/>
    <w:rsid w:val="00F94849"/>
    <w:rsid w:val="00FA2F48"/>
    <w:rsid w:val="00FA4889"/>
    <w:rsid w:val="00FA4E86"/>
    <w:rsid w:val="00FC4048"/>
    <w:rsid w:val="00FC4868"/>
    <w:rsid w:val="00FC7B1B"/>
    <w:rsid w:val="00FD1ADB"/>
    <w:rsid w:val="00FD48B7"/>
    <w:rsid w:val="00FD71F0"/>
    <w:rsid w:val="00FE26AD"/>
    <w:rsid w:val="00FE7825"/>
    <w:rsid w:val="00FF344A"/>
    <w:rsid w:val="00FF5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B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CC0F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F5A"/>
    <w:pPr>
      <w:keepNext/>
      <w:widowControl w:val="0"/>
      <w:autoSpaceDE w:val="0"/>
      <w:autoSpaceDN w:val="0"/>
      <w:adjustRightInd w:val="0"/>
      <w:spacing w:before="240" w:after="60" w:line="240" w:lineRule="auto"/>
      <w:outlineLvl w:val="2"/>
    </w:pPr>
    <w:rPr>
      <w:rFonts w:ascii="Arial" w:eastAsiaTheme="minorEastAsia" w:hAnsi="Arial" w:cs="Arial"/>
      <w:bCs/>
      <w:sz w:val="24"/>
      <w:szCs w:val="26"/>
      <w:lang w:eastAsia="en-AU"/>
    </w:rPr>
  </w:style>
  <w:style w:type="paragraph" w:styleId="Heading4">
    <w:name w:val="heading 4"/>
    <w:basedOn w:val="Normal"/>
    <w:next w:val="Normal"/>
    <w:link w:val="Heading4Char"/>
    <w:qFormat/>
    <w:rsid w:val="00CC0F5A"/>
    <w:pPr>
      <w:keepNext/>
      <w:widowControl w:val="0"/>
      <w:autoSpaceDE w:val="0"/>
      <w:autoSpaceDN w:val="0"/>
      <w:adjustRightInd w:val="0"/>
      <w:spacing w:before="240" w:after="60" w:line="240" w:lineRule="auto"/>
      <w:outlineLvl w:val="3"/>
    </w:pPr>
    <w:rPr>
      <w:rFonts w:ascii="Arial" w:eastAsiaTheme="minorEastAsia" w:hAnsi="Arial" w:cs="Times New Roman"/>
      <w:bCs/>
      <w:sz w:val="28"/>
      <w:szCs w:val="28"/>
      <w:lang w:eastAsia="en-AU"/>
    </w:rPr>
  </w:style>
  <w:style w:type="paragraph" w:styleId="Heading5">
    <w:name w:val="heading 5"/>
    <w:basedOn w:val="Normal"/>
    <w:next w:val="Normal"/>
    <w:link w:val="Heading5Char"/>
    <w:qFormat/>
    <w:rsid w:val="00CC0F5A"/>
    <w:pPr>
      <w:keepNext/>
      <w:widowControl w:val="0"/>
      <w:autoSpaceDE w:val="0"/>
      <w:autoSpaceDN w:val="0"/>
      <w:adjustRightInd w:val="0"/>
      <w:spacing w:before="240" w:after="60" w:line="240" w:lineRule="auto"/>
      <w:outlineLvl w:val="4"/>
    </w:pPr>
    <w:rPr>
      <w:rFonts w:ascii="Times New Roman" w:eastAsiaTheme="minorEastAsia" w:hAnsi="Times New Roman" w:cs="Times New Roman"/>
      <w:b/>
      <w:bCs/>
      <w:iCs/>
      <w:sz w:val="24"/>
      <w:szCs w:val="26"/>
      <w:lang w:eastAsia="en-AU"/>
    </w:rPr>
  </w:style>
  <w:style w:type="paragraph" w:styleId="Heading6">
    <w:name w:val="heading 6"/>
    <w:basedOn w:val="Normal"/>
    <w:next w:val="Normal"/>
    <w:link w:val="Heading6Char"/>
    <w:qFormat/>
    <w:rsid w:val="00CC0F5A"/>
    <w:pPr>
      <w:keepNext/>
      <w:widowControl w:val="0"/>
      <w:autoSpaceDE w:val="0"/>
      <w:autoSpaceDN w:val="0"/>
      <w:adjustRightInd w:val="0"/>
      <w:spacing w:before="240" w:after="60" w:line="240" w:lineRule="auto"/>
      <w:outlineLvl w:val="5"/>
    </w:pPr>
    <w:rPr>
      <w:rFonts w:ascii="Times New Roman" w:eastAsiaTheme="minorEastAsia" w:hAnsi="Times New Roman" w:cs="Times New Roman"/>
      <w:b/>
      <w:bCs/>
      <w:i/>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7C"/>
    <w:pPr>
      <w:ind w:left="720"/>
      <w:contextualSpacing/>
    </w:pPr>
  </w:style>
  <w:style w:type="paragraph" w:customStyle="1" w:styleId="Default">
    <w:name w:val="Default"/>
    <w:rsid w:val="002E72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C5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33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3602"/>
    <w:rPr>
      <w:rFonts w:ascii="Tahoma" w:hAnsi="Tahoma" w:cs="Tahoma"/>
      <w:sz w:val="16"/>
      <w:szCs w:val="16"/>
    </w:rPr>
  </w:style>
  <w:style w:type="character" w:styleId="CommentReference">
    <w:name w:val="annotation reference"/>
    <w:basedOn w:val="DefaultParagraphFont"/>
    <w:uiPriority w:val="99"/>
    <w:semiHidden/>
    <w:unhideWhenUsed/>
    <w:rsid w:val="003078CF"/>
    <w:rPr>
      <w:sz w:val="16"/>
      <w:szCs w:val="16"/>
    </w:rPr>
  </w:style>
  <w:style w:type="paragraph" w:styleId="CommentText">
    <w:name w:val="annotation text"/>
    <w:basedOn w:val="Normal"/>
    <w:link w:val="CommentTextChar"/>
    <w:uiPriority w:val="99"/>
    <w:semiHidden/>
    <w:unhideWhenUsed/>
    <w:rsid w:val="003078CF"/>
    <w:pPr>
      <w:spacing w:line="240" w:lineRule="auto"/>
    </w:pPr>
    <w:rPr>
      <w:sz w:val="20"/>
      <w:szCs w:val="20"/>
    </w:rPr>
  </w:style>
  <w:style w:type="character" w:customStyle="1" w:styleId="CommentTextChar">
    <w:name w:val="Comment Text Char"/>
    <w:basedOn w:val="DefaultParagraphFont"/>
    <w:link w:val="CommentText"/>
    <w:uiPriority w:val="99"/>
    <w:semiHidden/>
    <w:rsid w:val="003078CF"/>
    <w:rPr>
      <w:sz w:val="20"/>
      <w:szCs w:val="20"/>
    </w:rPr>
  </w:style>
  <w:style w:type="paragraph" w:styleId="CommentSubject">
    <w:name w:val="annotation subject"/>
    <w:basedOn w:val="CommentText"/>
    <w:next w:val="CommentText"/>
    <w:link w:val="CommentSubjectChar"/>
    <w:uiPriority w:val="99"/>
    <w:semiHidden/>
    <w:unhideWhenUsed/>
    <w:rsid w:val="003078CF"/>
    <w:rPr>
      <w:b/>
      <w:bCs/>
    </w:rPr>
  </w:style>
  <w:style w:type="character" w:customStyle="1" w:styleId="CommentSubjectChar">
    <w:name w:val="Comment Subject Char"/>
    <w:basedOn w:val="CommentTextChar"/>
    <w:link w:val="CommentSubject"/>
    <w:uiPriority w:val="99"/>
    <w:semiHidden/>
    <w:rsid w:val="003078CF"/>
    <w:rPr>
      <w:b/>
      <w:bCs/>
      <w:sz w:val="20"/>
      <w:szCs w:val="20"/>
    </w:rPr>
  </w:style>
  <w:style w:type="paragraph" w:styleId="Header">
    <w:name w:val="header"/>
    <w:basedOn w:val="Normal"/>
    <w:link w:val="HeaderChar"/>
    <w:uiPriority w:val="99"/>
    <w:unhideWhenUsed/>
    <w:rsid w:val="000E0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9D"/>
  </w:style>
  <w:style w:type="paragraph" w:styleId="Footer">
    <w:name w:val="footer"/>
    <w:basedOn w:val="Normal"/>
    <w:link w:val="FooterChar"/>
    <w:uiPriority w:val="99"/>
    <w:unhideWhenUsed/>
    <w:rsid w:val="000E0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9D"/>
  </w:style>
  <w:style w:type="paragraph" w:styleId="FootnoteText">
    <w:name w:val="footnote text"/>
    <w:basedOn w:val="Normal"/>
    <w:link w:val="FootnoteTextChar"/>
    <w:uiPriority w:val="99"/>
    <w:rsid w:val="00944E6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944E66"/>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944E66"/>
    <w:rPr>
      <w:vertAlign w:val="superscript"/>
    </w:rPr>
  </w:style>
  <w:style w:type="table" w:customStyle="1" w:styleId="TableGrid1">
    <w:name w:val="Table Grid1"/>
    <w:basedOn w:val="TableNormal"/>
    <w:next w:val="TableGrid"/>
    <w:uiPriority w:val="59"/>
    <w:rsid w:val="00957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55AC7"/>
    <w:pPr>
      <w:spacing w:after="0" w:line="240" w:lineRule="auto"/>
    </w:pPr>
    <w:rPr>
      <w:rFonts w:ascii="Arial" w:hAnsi="Arial"/>
      <w:sz w:val="20"/>
      <w:szCs w:val="21"/>
    </w:rPr>
  </w:style>
  <w:style w:type="character" w:customStyle="1" w:styleId="PlainTextChar">
    <w:name w:val="Plain Text Char"/>
    <w:basedOn w:val="DefaultParagraphFont"/>
    <w:link w:val="PlainText"/>
    <w:uiPriority w:val="99"/>
    <w:rsid w:val="00C55AC7"/>
    <w:rPr>
      <w:rFonts w:ascii="Arial" w:hAnsi="Arial"/>
      <w:sz w:val="20"/>
      <w:szCs w:val="21"/>
    </w:rPr>
  </w:style>
  <w:style w:type="table" w:customStyle="1" w:styleId="TableGrid12">
    <w:name w:val="Table Grid12"/>
    <w:basedOn w:val="TableNormal"/>
    <w:next w:val="TableGrid"/>
    <w:uiPriority w:val="59"/>
    <w:rsid w:val="008B7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5B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CC0F5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CC0F5A"/>
    <w:rPr>
      <w:rFonts w:ascii="Arial" w:eastAsiaTheme="minorEastAsia" w:hAnsi="Arial" w:cs="Arial"/>
      <w:bCs/>
      <w:sz w:val="24"/>
      <w:szCs w:val="26"/>
      <w:lang w:eastAsia="en-AU"/>
    </w:rPr>
  </w:style>
  <w:style w:type="character" w:customStyle="1" w:styleId="Heading4Char">
    <w:name w:val="Heading 4 Char"/>
    <w:basedOn w:val="DefaultParagraphFont"/>
    <w:link w:val="Heading4"/>
    <w:rsid w:val="00CC0F5A"/>
    <w:rPr>
      <w:rFonts w:ascii="Arial" w:eastAsiaTheme="minorEastAsia" w:hAnsi="Arial" w:cs="Times New Roman"/>
      <w:bCs/>
      <w:sz w:val="28"/>
      <w:szCs w:val="28"/>
      <w:lang w:eastAsia="en-AU"/>
    </w:rPr>
  </w:style>
  <w:style w:type="character" w:customStyle="1" w:styleId="Heading5Char">
    <w:name w:val="Heading 5 Char"/>
    <w:basedOn w:val="DefaultParagraphFont"/>
    <w:link w:val="Heading5"/>
    <w:rsid w:val="00CC0F5A"/>
    <w:rPr>
      <w:rFonts w:ascii="Times New Roman" w:eastAsiaTheme="minorEastAsia" w:hAnsi="Times New Roman" w:cs="Times New Roman"/>
      <w:b/>
      <w:bCs/>
      <w:iCs/>
      <w:sz w:val="24"/>
      <w:szCs w:val="26"/>
      <w:lang w:eastAsia="en-AU"/>
    </w:rPr>
  </w:style>
  <w:style w:type="character" w:customStyle="1" w:styleId="Heading6Char">
    <w:name w:val="Heading 6 Char"/>
    <w:basedOn w:val="DefaultParagraphFont"/>
    <w:link w:val="Heading6"/>
    <w:rsid w:val="00CC0F5A"/>
    <w:rPr>
      <w:rFonts w:ascii="Times New Roman" w:eastAsiaTheme="minorEastAsia" w:hAnsi="Times New Roman" w:cs="Times New Roman"/>
      <w:b/>
      <w:bCs/>
      <w:i/>
      <w:sz w:val="24"/>
      <w:lang w:eastAsia="en-AU"/>
    </w:rPr>
  </w:style>
  <w:style w:type="character" w:styleId="Emphasis">
    <w:name w:val="Emphasis"/>
    <w:basedOn w:val="DefaultParagraphFont"/>
    <w:qFormat/>
    <w:rsid w:val="00CC0F5A"/>
    <w:rPr>
      <w:i/>
      <w:iCs/>
    </w:rPr>
  </w:style>
  <w:style w:type="character" w:styleId="Strong">
    <w:name w:val="Strong"/>
    <w:basedOn w:val="DefaultParagraphFont"/>
    <w:uiPriority w:val="22"/>
    <w:qFormat/>
    <w:rsid w:val="00CC0F5A"/>
    <w:rPr>
      <w:b/>
      <w:bCs/>
    </w:rPr>
  </w:style>
  <w:style w:type="paragraph" w:styleId="Subtitle">
    <w:name w:val="Subtitle"/>
    <w:basedOn w:val="Normal"/>
    <w:next w:val="Normal"/>
    <w:link w:val="SubtitleChar"/>
    <w:qFormat/>
    <w:rsid w:val="00CC0F5A"/>
    <w:pPr>
      <w:widowControl w:val="0"/>
      <w:numPr>
        <w:ilvl w:val="1"/>
      </w:numPr>
      <w:autoSpaceDE w:val="0"/>
      <w:autoSpaceDN w:val="0"/>
      <w:adjustRightInd w:val="0"/>
      <w:spacing w:after="0" w:line="240" w:lineRule="auto"/>
    </w:pPr>
    <w:rPr>
      <w:rFonts w:asciiTheme="majorHAnsi" w:eastAsiaTheme="majorEastAsia" w:hAnsiTheme="majorHAnsi" w:cstheme="majorBidi"/>
      <w:iCs/>
      <w:spacing w:val="15"/>
      <w:sz w:val="24"/>
      <w:szCs w:val="24"/>
      <w:lang w:eastAsia="en-AU"/>
    </w:rPr>
  </w:style>
  <w:style w:type="character" w:customStyle="1" w:styleId="SubtitleChar">
    <w:name w:val="Subtitle Char"/>
    <w:basedOn w:val="DefaultParagraphFont"/>
    <w:link w:val="Subtitle"/>
    <w:rsid w:val="00CC0F5A"/>
    <w:rPr>
      <w:rFonts w:asciiTheme="majorHAnsi" w:eastAsiaTheme="majorEastAsia" w:hAnsiTheme="majorHAnsi" w:cstheme="majorBidi"/>
      <w:iCs/>
      <w:spacing w:val="15"/>
      <w:sz w:val="24"/>
      <w:szCs w:val="24"/>
      <w:lang w:eastAsia="en-AU"/>
    </w:rPr>
  </w:style>
  <w:style w:type="paragraph" w:styleId="Title">
    <w:name w:val="Title"/>
    <w:basedOn w:val="Normal"/>
    <w:next w:val="Normal"/>
    <w:link w:val="TitleChar"/>
    <w:qFormat/>
    <w:rsid w:val="00CC0F5A"/>
    <w:pPr>
      <w:widowControl w:val="0"/>
      <w:pBdr>
        <w:bottom w:val="single" w:sz="8" w:space="4" w:color="4F81BD" w:themeColor="accent1"/>
      </w:pBdr>
      <w:autoSpaceDE w:val="0"/>
      <w:autoSpaceDN w:val="0"/>
      <w:adjustRightInd w:val="0"/>
      <w:spacing w:after="300" w:line="240" w:lineRule="auto"/>
      <w:contextualSpacing/>
      <w:jc w:val="center"/>
    </w:pPr>
    <w:rPr>
      <w:rFonts w:ascii="Arial" w:eastAsiaTheme="majorEastAsia" w:hAnsi="Arial" w:cstheme="majorBidi"/>
      <w:b/>
      <w:kern w:val="28"/>
      <w:sz w:val="32"/>
      <w:szCs w:val="52"/>
      <w:lang w:eastAsia="en-AU"/>
    </w:rPr>
  </w:style>
  <w:style w:type="character" w:customStyle="1" w:styleId="TitleChar">
    <w:name w:val="Title Char"/>
    <w:basedOn w:val="DefaultParagraphFont"/>
    <w:link w:val="Title"/>
    <w:rsid w:val="00CC0F5A"/>
    <w:rPr>
      <w:rFonts w:ascii="Arial" w:eastAsiaTheme="majorEastAsia" w:hAnsi="Arial" w:cstheme="majorBidi"/>
      <w:b/>
      <w:kern w:val="28"/>
      <w:sz w:val="32"/>
      <w:szCs w:val="52"/>
      <w:lang w:eastAsia="en-AU"/>
    </w:rPr>
  </w:style>
  <w:style w:type="paragraph" w:styleId="NoSpacing">
    <w:name w:val="No Spacing"/>
    <w:uiPriority w:val="1"/>
    <w:qFormat/>
    <w:rsid w:val="00CC0F5A"/>
    <w:pPr>
      <w:spacing w:after="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C0F5A"/>
    <w:rPr>
      <w:i/>
      <w:iCs/>
      <w:color w:val="808080" w:themeColor="text1" w:themeTint="7F"/>
    </w:rPr>
  </w:style>
  <w:style w:type="character" w:styleId="IntenseEmphasis">
    <w:name w:val="Intense Emphasis"/>
    <w:basedOn w:val="DefaultParagraphFont"/>
    <w:uiPriority w:val="21"/>
    <w:qFormat/>
    <w:rsid w:val="00CC0F5A"/>
    <w:rPr>
      <w:b/>
      <w:bCs/>
      <w:i/>
      <w:iCs/>
      <w:color w:val="4F81BD" w:themeColor="accent1"/>
    </w:rPr>
  </w:style>
  <w:style w:type="paragraph" w:styleId="Quote">
    <w:name w:val="Quote"/>
    <w:basedOn w:val="Normal"/>
    <w:next w:val="Normal"/>
    <w:link w:val="QuoteChar"/>
    <w:uiPriority w:val="29"/>
    <w:qFormat/>
    <w:rsid w:val="00CC0F5A"/>
    <w:pPr>
      <w:widowControl w:val="0"/>
      <w:autoSpaceDE w:val="0"/>
      <w:autoSpaceDN w:val="0"/>
      <w:adjustRightInd w:val="0"/>
      <w:spacing w:after="0" w:line="240" w:lineRule="auto"/>
    </w:pPr>
    <w:rPr>
      <w:rFonts w:ascii="Times New Roman" w:eastAsiaTheme="minorEastAsia" w:hAnsi="Times New Roman" w:cs="Times New Roman"/>
      <w:i/>
      <w:iCs/>
      <w:color w:val="000000" w:themeColor="text1"/>
      <w:sz w:val="24"/>
      <w:szCs w:val="24"/>
      <w:lang w:eastAsia="en-AU"/>
    </w:rPr>
  </w:style>
  <w:style w:type="character" w:customStyle="1" w:styleId="QuoteChar">
    <w:name w:val="Quote Char"/>
    <w:basedOn w:val="DefaultParagraphFont"/>
    <w:link w:val="Quote"/>
    <w:uiPriority w:val="29"/>
    <w:rsid w:val="00CC0F5A"/>
    <w:rPr>
      <w:rFonts w:ascii="Times New Roman" w:eastAsiaTheme="minorEastAsia" w:hAnsi="Times New Roman" w:cs="Times New Roman"/>
      <w:i/>
      <w:iCs/>
      <w:color w:val="000000" w:themeColor="text1"/>
      <w:sz w:val="24"/>
      <w:szCs w:val="24"/>
      <w:lang w:eastAsia="en-AU"/>
    </w:rPr>
  </w:style>
  <w:style w:type="paragraph" w:styleId="IntenseQuote">
    <w:name w:val="Intense Quote"/>
    <w:basedOn w:val="Normal"/>
    <w:next w:val="Normal"/>
    <w:link w:val="IntenseQuoteChar"/>
    <w:uiPriority w:val="30"/>
    <w:qFormat/>
    <w:rsid w:val="00CC0F5A"/>
    <w:pPr>
      <w:widowControl w:val="0"/>
      <w:pBdr>
        <w:bottom w:val="single" w:sz="4" w:space="4" w:color="4F81BD" w:themeColor="accent1"/>
      </w:pBdr>
      <w:autoSpaceDE w:val="0"/>
      <w:autoSpaceDN w:val="0"/>
      <w:adjustRightInd w:val="0"/>
      <w:spacing w:before="200" w:after="280" w:line="240" w:lineRule="auto"/>
      <w:ind w:left="936" w:right="936"/>
    </w:pPr>
    <w:rPr>
      <w:rFonts w:ascii="Times New Roman" w:eastAsiaTheme="minorEastAsia" w:hAnsi="Times New Roman" w:cs="Times New Roman"/>
      <w:b/>
      <w:bCs/>
      <w:i/>
      <w:iCs/>
      <w:color w:val="4F81BD" w:themeColor="accent1"/>
      <w:sz w:val="24"/>
      <w:szCs w:val="24"/>
      <w:lang w:eastAsia="en-AU"/>
    </w:rPr>
  </w:style>
  <w:style w:type="character" w:customStyle="1" w:styleId="IntenseQuoteChar">
    <w:name w:val="Intense Quote Char"/>
    <w:basedOn w:val="DefaultParagraphFont"/>
    <w:link w:val="IntenseQuote"/>
    <w:uiPriority w:val="30"/>
    <w:rsid w:val="00CC0F5A"/>
    <w:rPr>
      <w:rFonts w:ascii="Times New Roman" w:eastAsiaTheme="minorEastAsia" w:hAnsi="Times New Roman" w:cs="Times New Roman"/>
      <w:b/>
      <w:bCs/>
      <w:i/>
      <w:iCs/>
      <w:color w:val="4F81BD" w:themeColor="accent1"/>
      <w:sz w:val="24"/>
      <w:szCs w:val="24"/>
      <w:lang w:eastAsia="en-AU"/>
    </w:rPr>
  </w:style>
  <w:style w:type="character" w:styleId="SubtleReference">
    <w:name w:val="Subtle Reference"/>
    <w:basedOn w:val="DefaultParagraphFont"/>
    <w:uiPriority w:val="31"/>
    <w:qFormat/>
    <w:rsid w:val="00CC0F5A"/>
    <w:rPr>
      <w:smallCaps/>
      <w:color w:val="C0504D" w:themeColor="accent2"/>
      <w:u w:val="single"/>
    </w:rPr>
  </w:style>
  <w:style w:type="character" w:styleId="IntenseReference">
    <w:name w:val="Intense Reference"/>
    <w:basedOn w:val="DefaultParagraphFont"/>
    <w:uiPriority w:val="32"/>
    <w:qFormat/>
    <w:rsid w:val="00CC0F5A"/>
    <w:rPr>
      <w:b/>
      <w:bCs/>
      <w:i/>
      <w:smallCaps/>
      <w:color w:val="C0504D" w:themeColor="accent2"/>
      <w:spacing w:val="5"/>
      <w:u w:val="none"/>
    </w:rPr>
  </w:style>
  <w:style w:type="character" w:styleId="BookTitle">
    <w:name w:val="Book Title"/>
    <w:basedOn w:val="DefaultParagraphFont"/>
    <w:uiPriority w:val="33"/>
    <w:qFormat/>
    <w:rsid w:val="00CC0F5A"/>
    <w:rPr>
      <w:b/>
      <w:bCs/>
      <w:smallCaps/>
      <w:spacing w:val="5"/>
    </w:rPr>
  </w:style>
  <w:style w:type="character" w:styleId="Hyperlink">
    <w:name w:val="Hyperlink"/>
    <w:basedOn w:val="DefaultParagraphFont"/>
    <w:uiPriority w:val="99"/>
    <w:unhideWhenUsed/>
    <w:rsid w:val="00CC0F5A"/>
    <w:rPr>
      <w:color w:val="0000FF"/>
      <w:u w:val="single"/>
    </w:rPr>
  </w:style>
  <w:style w:type="character" w:customStyle="1" w:styleId="apple-converted-space">
    <w:name w:val="apple-converted-space"/>
    <w:basedOn w:val="DefaultParagraphFont"/>
    <w:rsid w:val="00CC0F5A"/>
  </w:style>
  <w:style w:type="paragraph" w:styleId="BodyText">
    <w:name w:val="Body Text"/>
    <w:basedOn w:val="Normal"/>
    <w:link w:val="BodyTextChar"/>
    <w:uiPriority w:val="1"/>
    <w:qFormat/>
    <w:rsid w:val="00CC0F5A"/>
    <w:pPr>
      <w:widowControl w:val="0"/>
      <w:autoSpaceDE w:val="0"/>
      <w:autoSpaceDN w:val="0"/>
      <w:adjustRightInd w:val="0"/>
      <w:spacing w:after="0" w:line="240" w:lineRule="auto"/>
      <w:ind w:left="384" w:hanging="284"/>
    </w:pPr>
    <w:rPr>
      <w:rFonts w:ascii="Arial" w:eastAsiaTheme="minorEastAsia" w:hAnsi="Arial" w:cs="Arial"/>
      <w:sz w:val="19"/>
      <w:szCs w:val="19"/>
      <w:lang w:eastAsia="en-AU"/>
    </w:rPr>
  </w:style>
  <w:style w:type="character" w:customStyle="1" w:styleId="BodyTextChar">
    <w:name w:val="Body Text Char"/>
    <w:basedOn w:val="DefaultParagraphFont"/>
    <w:link w:val="BodyText"/>
    <w:uiPriority w:val="1"/>
    <w:rsid w:val="00CC0F5A"/>
    <w:rPr>
      <w:rFonts w:ascii="Arial" w:eastAsiaTheme="minorEastAsia" w:hAnsi="Arial" w:cs="Arial"/>
      <w:sz w:val="19"/>
      <w:szCs w:val="19"/>
      <w:lang w:eastAsia="en-AU"/>
    </w:rPr>
  </w:style>
  <w:style w:type="paragraph" w:customStyle="1" w:styleId="TableParagraph">
    <w:name w:val="Table Paragraph"/>
    <w:basedOn w:val="Normal"/>
    <w:uiPriority w:val="1"/>
    <w:qFormat/>
    <w:rsid w:val="00CC0F5A"/>
    <w:pPr>
      <w:widowControl w:val="0"/>
      <w:autoSpaceDE w:val="0"/>
      <w:autoSpaceDN w:val="0"/>
      <w:adjustRightInd w:val="0"/>
      <w:spacing w:after="0" w:line="240" w:lineRule="auto"/>
    </w:pPr>
    <w:rPr>
      <w:rFonts w:ascii="Times New Roman" w:eastAsiaTheme="minorEastAsia" w:hAnsi="Times New Roman" w:cs="Times New Roman"/>
      <w:sz w:val="24"/>
      <w:szCs w:val="24"/>
      <w:lang w:eastAsia="en-AU"/>
    </w:rPr>
  </w:style>
  <w:style w:type="table" w:customStyle="1" w:styleId="TableGrid11">
    <w:name w:val="Table Grid11"/>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B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CC0F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F5A"/>
    <w:pPr>
      <w:keepNext/>
      <w:widowControl w:val="0"/>
      <w:autoSpaceDE w:val="0"/>
      <w:autoSpaceDN w:val="0"/>
      <w:adjustRightInd w:val="0"/>
      <w:spacing w:before="240" w:after="60" w:line="240" w:lineRule="auto"/>
      <w:outlineLvl w:val="2"/>
    </w:pPr>
    <w:rPr>
      <w:rFonts w:ascii="Arial" w:eastAsiaTheme="minorEastAsia" w:hAnsi="Arial" w:cs="Arial"/>
      <w:bCs/>
      <w:sz w:val="24"/>
      <w:szCs w:val="26"/>
      <w:lang w:eastAsia="en-AU"/>
    </w:rPr>
  </w:style>
  <w:style w:type="paragraph" w:styleId="Heading4">
    <w:name w:val="heading 4"/>
    <w:basedOn w:val="Normal"/>
    <w:next w:val="Normal"/>
    <w:link w:val="Heading4Char"/>
    <w:qFormat/>
    <w:rsid w:val="00CC0F5A"/>
    <w:pPr>
      <w:keepNext/>
      <w:widowControl w:val="0"/>
      <w:autoSpaceDE w:val="0"/>
      <w:autoSpaceDN w:val="0"/>
      <w:adjustRightInd w:val="0"/>
      <w:spacing w:before="240" w:after="60" w:line="240" w:lineRule="auto"/>
      <w:outlineLvl w:val="3"/>
    </w:pPr>
    <w:rPr>
      <w:rFonts w:ascii="Arial" w:eastAsiaTheme="minorEastAsia" w:hAnsi="Arial" w:cs="Times New Roman"/>
      <w:bCs/>
      <w:sz w:val="28"/>
      <w:szCs w:val="28"/>
      <w:lang w:eastAsia="en-AU"/>
    </w:rPr>
  </w:style>
  <w:style w:type="paragraph" w:styleId="Heading5">
    <w:name w:val="heading 5"/>
    <w:basedOn w:val="Normal"/>
    <w:next w:val="Normal"/>
    <w:link w:val="Heading5Char"/>
    <w:qFormat/>
    <w:rsid w:val="00CC0F5A"/>
    <w:pPr>
      <w:keepNext/>
      <w:widowControl w:val="0"/>
      <w:autoSpaceDE w:val="0"/>
      <w:autoSpaceDN w:val="0"/>
      <w:adjustRightInd w:val="0"/>
      <w:spacing w:before="240" w:after="60" w:line="240" w:lineRule="auto"/>
      <w:outlineLvl w:val="4"/>
    </w:pPr>
    <w:rPr>
      <w:rFonts w:ascii="Times New Roman" w:eastAsiaTheme="minorEastAsia" w:hAnsi="Times New Roman" w:cs="Times New Roman"/>
      <w:b/>
      <w:bCs/>
      <w:iCs/>
      <w:sz w:val="24"/>
      <w:szCs w:val="26"/>
      <w:lang w:eastAsia="en-AU"/>
    </w:rPr>
  </w:style>
  <w:style w:type="paragraph" w:styleId="Heading6">
    <w:name w:val="heading 6"/>
    <w:basedOn w:val="Normal"/>
    <w:next w:val="Normal"/>
    <w:link w:val="Heading6Char"/>
    <w:qFormat/>
    <w:rsid w:val="00CC0F5A"/>
    <w:pPr>
      <w:keepNext/>
      <w:widowControl w:val="0"/>
      <w:autoSpaceDE w:val="0"/>
      <w:autoSpaceDN w:val="0"/>
      <w:adjustRightInd w:val="0"/>
      <w:spacing w:before="240" w:after="60" w:line="240" w:lineRule="auto"/>
      <w:outlineLvl w:val="5"/>
    </w:pPr>
    <w:rPr>
      <w:rFonts w:ascii="Times New Roman" w:eastAsiaTheme="minorEastAsia" w:hAnsi="Times New Roman" w:cs="Times New Roman"/>
      <w:b/>
      <w:bCs/>
      <w:i/>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7C"/>
    <w:pPr>
      <w:ind w:left="720"/>
      <w:contextualSpacing/>
    </w:pPr>
  </w:style>
  <w:style w:type="paragraph" w:customStyle="1" w:styleId="Default">
    <w:name w:val="Default"/>
    <w:rsid w:val="002E72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C5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33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3602"/>
    <w:rPr>
      <w:rFonts w:ascii="Tahoma" w:hAnsi="Tahoma" w:cs="Tahoma"/>
      <w:sz w:val="16"/>
      <w:szCs w:val="16"/>
    </w:rPr>
  </w:style>
  <w:style w:type="character" w:styleId="CommentReference">
    <w:name w:val="annotation reference"/>
    <w:basedOn w:val="DefaultParagraphFont"/>
    <w:uiPriority w:val="99"/>
    <w:semiHidden/>
    <w:unhideWhenUsed/>
    <w:rsid w:val="003078CF"/>
    <w:rPr>
      <w:sz w:val="16"/>
      <w:szCs w:val="16"/>
    </w:rPr>
  </w:style>
  <w:style w:type="paragraph" w:styleId="CommentText">
    <w:name w:val="annotation text"/>
    <w:basedOn w:val="Normal"/>
    <w:link w:val="CommentTextChar"/>
    <w:uiPriority w:val="99"/>
    <w:semiHidden/>
    <w:unhideWhenUsed/>
    <w:rsid w:val="003078CF"/>
    <w:pPr>
      <w:spacing w:line="240" w:lineRule="auto"/>
    </w:pPr>
    <w:rPr>
      <w:sz w:val="20"/>
      <w:szCs w:val="20"/>
    </w:rPr>
  </w:style>
  <w:style w:type="character" w:customStyle="1" w:styleId="CommentTextChar">
    <w:name w:val="Comment Text Char"/>
    <w:basedOn w:val="DefaultParagraphFont"/>
    <w:link w:val="CommentText"/>
    <w:uiPriority w:val="99"/>
    <w:semiHidden/>
    <w:rsid w:val="003078CF"/>
    <w:rPr>
      <w:sz w:val="20"/>
      <w:szCs w:val="20"/>
    </w:rPr>
  </w:style>
  <w:style w:type="paragraph" w:styleId="CommentSubject">
    <w:name w:val="annotation subject"/>
    <w:basedOn w:val="CommentText"/>
    <w:next w:val="CommentText"/>
    <w:link w:val="CommentSubjectChar"/>
    <w:uiPriority w:val="99"/>
    <w:semiHidden/>
    <w:unhideWhenUsed/>
    <w:rsid w:val="003078CF"/>
    <w:rPr>
      <w:b/>
      <w:bCs/>
    </w:rPr>
  </w:style>
  <w:style w:type="character" w:customStyle="1" w:styleId="CommentSubjectChar">
    <w:name w:val="Comment Subject Char"/>
    <w:basedOn w:val="CommentTextChar"/>
    <w:link w:val="CommentSubject"/>
    <w:uiPriority w:val="99"/>
    <w:semiHidden/>
    <w:rsid w:val="003078CF"/>
    <w:rPr>
      <w:b/>
      <w:bCs/>
      <w:sz w:val="20"/>
      <w:szCs w:val="20"/>
    </w:rPr>
  </w:style>
  <w:style w:type="paragraph" w:styleId="Header">
    <w:name w:val="header"/>
    <w:basedOn w:val="Normal"/>
    <w:link w:val="HeaderChar"/>
    <w:uiPriority w:val="99"/>
    <w:unhideWhenUsed/>
    <w:rsid w:val="000E0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9D"/>
  </w:style>
  <w:style w:type="paragraph" w:styleId="Footer">
    <w:name w:val="footer"/>
    <w:basedOn w:val="Normal"/>
    <w:link w:val="FooterChar"/>
    <w:uiPriority w:val="99"/>
    <w:unhideWhenUsed/>
    <w:rsid w:val="000E0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9D"/>
  </w:style>
  <w:style w:type="paragraph" w:styleId="FootnoteText">
    <w:name w:val="footnote text"/>
    <w:basedOn w:val="Normal"/>
    <w:link w:val="FootnoteTextChar"/>
    <w:uiPriority w:val="99"/>
    <w:rsid w:val="00944E6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944E66"/>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944E66"/>
    <w:rPr>
      <w:vertAlign w:val="superscript"/>
    </w:rPr>
  </w:style>
  <w:style w:type="table" w:customStyle="1" w:styleId="TableGrid1">
    <w:name w:val="Table Grid1"/>
    <w:basedOn w:val="TableNormal"/>
    <w:next w:val="TableGrid"/>
    <w:uiPriority w:val="59"/>
    <w:rsid w:val="00957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55AC7"/>
    <w:pPr>
      <w:spacing w:after="0" w:line="240" w:lineRule="auto"/>
    </w:pPr>
    <w:rPr>
      <w:rFonts w:ascii="Arial" w:hAnsi="Arial"/>
      <w:sz w:val="20"/>
      <w:szCs w:val="21"/>
    </w:rPr>
  </w:style>
  <w:style w:type="character" w:customStyle="1" w:styleId="PlainTextChar">
    <w:name w:val="Plain Text Char"/>
    <w:basedOn w:val="DefaultParagraphFont"/>
    <w:link w:val="PlainText"/>
    <w:uiPriority w:val="99"/>
    <w:rsid w:val="00C55AC7"/>
    <w:rPr>
      <w:rFonts w:ascii="Arial" w:hAnsi="Arial"/>
      <w:sz w:val="20"/>
      <w:szCs w:val="21"/>
    </w:rPr>
  </w:style>
  <w:style w:type="table" w:customStyle="1" w:styleId="TableGrid12">
    <w:name w:val="Table Grid12"/>
    <w:basedOn w:val="TableNormal"/>
    <w:next w:val="TableGrid"/>
    <w:uiPriority w:val="59"/>
    <w:rsid w:val="008B7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5B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CC0F5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CC0F5A"/>
    <w:rPr>
      <w:rFonts w:ascii="Arial" w:eastAsiaTheme="minorEastAsia" w:hAnsi="Arial" w:cs="Arial"/>
      <w:bCs/>
      <w:sz w:val="24"/>
      <w:szCs w:val="26"/>
      <w:lang w:eastAsia="en-AU"/>
    </w:rPr>
  </w:style>
  <w:style w:type="character" w:customStyle="1" w:styleId="Heading4Char">
    <w:name w:val="Heading 4 Char"/>
    <w:basedOn w:val="DefaultParagraphFont"/>
    <w:link w:val="Heading4"/>
    <w:rsid w:val="00CC0F5A"/>
    <w:rPr>
      <w:rFonts w:ascii="Arial" w:eastAsiaTheme="minorEastAsia" w:hAnsi="Arial" w:cs="Times New Roman"/>
      <w:bCs/>
      <w:sz w:val="28"/>
      <w:szCs w:val="28"/>
      <w:lang w:eastAsia="en-AU"/>
    </w:rPr>
  </w:style>
  <w:style w:type="character" w:customStyle="1" w:styleId="Heading5Char">
    <w:name w:val="Heading 5 Char"/>
    <w:basedOn w:val="DefaultParagraphFont"/>
    <w:link w:val="Heading5"/>
    <w:rsid w:val="00CC0F5A"/>
    <w:rPr>
      <w:rFonts w:ascii="Times New Roman" w:eastAsiaTheme="minorEastAsia" w:hAnsi="Times New Roman" w:cs="Times New Roman"/>
      <w:b/>
      <w:bCs/>
      <w:iCs/>
      <w:sz w:val="24"/>
      <w:szCs w:val="26"/>
      <w:lang w:eastAsia="en-AU"/>
    </w:rPr>
  </w:style>
  <w:style w:type="character" w:customStyle="1" w:styleId="Heading6Char">
    <w:name w:val="Heading 6 Char"/>
    <w:basedOn w:val="DefaultParagraphFont"/>
    <w:link w:val="Heading6"/>
    <w:rsid w:val="00CC0F5A"/>
    <w:rPr>
      <w:rFonts w:ascii="Times New Roman" w:eastAsiaTheme="minorEastAsia" w:hAnsi="Times New Roman" w:cs="Times New Roman"/>
      <w:b/>
      <w:bCs/>
      <w:i/>
      <w:sz w:val="24"/>
      <w:lang w:eastAsia="en-AU"/>
    </w:rPr>
  </w:style>
  <w:style w:type="character" w:styleId="Emphasis">
    <w:name w:val="Emphasis"/>
    <w:basedOn w:val="DefaultParagraphFont"/>
    <w:qFormat/>
    <w:rsid w:val="00CC0F5A"/>
    <w:rPr>
      <w:i/>
      <w:iCs/>
    </w:rPr>
  </w:style>
  <w:style w:type="character" w:styleId="Strong">
    <w:name w:val="Strong"/>
    <w:basedOn w:val="DefaultParagraphFont"/>
    <w:uiPriority w:val="22"/>
    <w:qFormat/>
    <w:rsid w:val="00CC0F5A"/>
    <w:rPr>
      <w:b/>
      <w:bCs/>
    </w:rPr>
  </w:style>
  <w:style w:type="paragraph" w:styleId="Subtitle">
    <w:name w:val="Subtitle"/>
    <w:basedOn w:val="Normal"/>
    <w:next w:val="Normal"/>
    <w:link w:val="SubtitleChar"/>
    <w:qFormat/>
    <w:rsid w:val="00CC0F5A"/>
    <w:pPr>
      <w:widowControl w:val="0"/>
      <w:numPr>
        <w:ilvl w:val="1"/>
      </w:numPr>
      <w:autoSpaceDE w:val="0"/>
      <w:autoSpaceDN w:val="0"/>
      <w:adjustRightInd w:val="0"/>
      <w:spacing w:after="0" w:line="240" w:lineRule="auto"/>
    </w:pPr>
    <w:rPr>
      <w:rFonts w:asciiTheme="majorHAnsi" w:eastAsiaTheme="majorEastAsia" w:hAnsiTheme="majorHAnsi" w:cstheme="majorBidi"/>
      <w:iCs/>
      <w:spacing w:val="15"/>
      <w:sz w:val="24"/>
      <w:szCs w:val="24"/>
      <w:lang w:eastAsia="en-AU"/>
    </w:rPr>
  </w:style>
  <w:style w:type="character" w:customStyle="1" w:styleId="SubtitleChar">
    <w:name w:val="Subtitle Char"/>
    <w:basedOn w:val="DefaultParagraphFont"/>
    <w:link w:val="Subtitle"/>
    <w:rsid w:val="00CC0F5A"/>
    <w:rPr>
      <w:rFonts w:asciiTheme="majorHAnsi" w:eastAsiaTheme="majorEastAsia" w:hAnsiTheme="majorHAnsi" w:cstheme="majorBidi"/>
      <w:iCs/>
      <w:spacing w:val="15"/>
      <w:sz w:val="24"/>
      <w:szCs w:val="24"/>
      <w:lang w:eastAsia="en-AU"/>
    </w:rPr>
  </w:style>
  <w:style w:type="paragraph" w:styleId="Title">
    <w:name w:val="Title"/>
    <w:basedOn w:val="Normal"/>
    <w:next w:val="Normal"/>
    <w:link w:val="TitleChar"/>
    <w:qFormat/>
    <w:rsid w:val="00CC0F5A"/>
    <w:pPr>
      <w:widowControl w:val="0"/>
      <w:pBdr>
        <w:bottom w:val="single" w:sz="8" w:space="4" w:color="4F81BD" w:themeColor="accent1"/>
      </w:pBdr>
      <w:autoSpaceDE w:val="0"/>
      <w:autoSpaceDN w:val="0"/>
      <w:adjustRightInd w:val="0"/>
      <w:spacing w:after="300" w:line="240" w:lineRule="auto"/>
      <w:contextualSpacing/>
      <w:jc w:val="center"/>
    </w:pPr>
    <w:rPr>
      <w:rFonts w:ascii="Arial" w:eastAsiaTheme="majorEastAsia" w:hAnsi="Arial" w:cstheme="majorBidi"/>
      <w:b/>
      <w:kern w:val="28"/>
      <w:sz w:val="32"/>
      <w:szCs w:val="52"/>
      <w:lang w:eastAsia="en-AU"/>
    </w:rPr>
  </w:style>
  <w:style w:type="character" w:customStyle="1" w:styleId="TitleChar">
    <w:name w:val="Title Char"/>
    <w:basedOn w:val="DefaultParagraphFont"/>
    <w:link w:val="Title"/>
    <w:rsid w:val="00CC0F5A"/>
    <w:rPr>
      <w:rFonts w:ascii="Arial" w:eastAsiaTheme="majorEastAsia" w:hAnsi="Arial" w:cstheme="majorBidi"/>
      <w:b/>
      <w:kern w:val="28"/>
      <w:sz w:val="32"/>
      <w:szCs w:val="52"/>
      <w:lang w:eastAsia="en-AU"/>
    </w:rPr>
  </w:style>
  <w:style w:type="paragraph" w:styleId="NoSpacing">
    <w:name w:val="No Spacing"/>
    <w:uiPriority w:val="1"/>
    <w:qFormat/>
    <w:rsid w:val="00CC0F5A"/>
    <w:pPr>
      <w:spacing w:after="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C0F5A"/>
    <w:rPr>
      <w:i/>
      <w:iCs/>
      <w:color w:val="808080" w:themeColor="text1" w:themeTint="7F"/>
    </w:rPr>
  </w:style>
  <w:style w:type="character" w:styleId="IntenseEmphasis">
    <w:name w:val="Intense Emphasis"/>
    <w:basedOn w:val="DefaultParagraphFont"/>
    <w:uiPriority w:val="21"/>
    <w:qFormat/>
    <w:rsid w:val="00CC0F5A"/>
    <w:rPr>
      <w:b/>
      <w:bCs/>
      <w:i/>
      <w:iCs/>
      <w:color w:val="4F81BD" w:themeColor="accent1"/>
    </w:rPr>
  </w:style>
  <w:style w:type="paragraph" w:styleId="Quote">
    <w:name w:val="Quote"/>
    <w:basedOn w:val="Normal"/>
    <w:next w:val="Normal"/>
    <w:link w:val="QuoteChar"/>
    <w:uiPriority w:val="29"/>
    <w:qFormat/>
    <w:rsid w:val="00CC0F5A"/>
    <w:pPr>
      <w:widowControl w:val="0"/>
      <w:autoSpaceDE w:val="0"/>
      <w:autoSpaceDN w:val="0"/>
      <w:adjustRightInd w:val="0"/>
      <w:spacing w:after="0" w:line="240" w:lineRule="auto"/>
    </w:pPr>
    <w:rPr>
      <w:rFonts w:ascii="Times New Roman" w:eastAsiaTheme="minorEastAsia" w:hAnsi="Times New Roman" w:cs="Times New Roman"/>
      <w:i/>
      <w:iCs/>
      <w:color w:val="000000" w:themeColor="text1"/>
      <w:sz w:val="24"/>
      <w:szCs w:val="24"/>
      <w:lang w:eastAsia="en-AU"/>
    </w:rPr>
  </w:style>
  <w:style w:type="character" w:customStyle="1" w:styleId="QuoteChar">
    <w:name w:val="Quote Char"/>
    <w:basedOn w:val="DefaultParagraphFont"/>
    <w:link w:val="Quote"/>
    <w:uiPriority w:val="29"/>
    <w:rsid w:val="00CC0F5A"/>
    <w:rPr>
      <w:rFonts w:ascii="Times New Roman" w:eastAsiaTheme="minorEastAsia" w:hAnsi="Times New Roman" w:cs="Times New Roman"/>
      <w:i/>
      <w:iCs/>
      <w:color w:val="000000" w:themeColor="text1"/>
      <w:sz w:val="24"/>
      <w:szCs w:val="24"/>
      <w:lang w:eastAsia="en-AU"/>
    </w:rPr>
  </w:style>
  <w:style w:type="paragraph" w:styleId="IntenseQuote">
    <w:name w:val="Intense Quote"/>
    <w:basedOn w:val="Normal"/>
    <w:next w:val="Normal"/>
    <w:link w:val="IntenseQuoteChar"/>
    <w:uiPriority w:val="30"/>
    <w:qFormat/>
    <w:rsid w:val="00CC0F5A"/>
    <w:pPr>
      <w:widowControl w:val="0"/>
      <w:pBdr>
        <w:bottom w:val="single" w:sz="4" w:space="4" w:color="4F81BD" w:themeColor="accent1"/>
      </w:pBdr>
      <w:autoSpaceDE w:val="0"/>
      <w:autoSpaceDN w:val="0"/>
      <w:adjustRightInd w:val="0"/>
      <w:spacing w:before="200" w:after="280" w:line="240" w:lineRule="auto"/>
      <w:ind w:left="936" w:right="936"/>
    </w:pPr>
    <w:rPr>
      <w:rFonts w:ascii="Times New Roman" w:eastAsiaTheme="minorEastAsia" w:hAnsi="Times New Roman" w:cs="Times New Roman"/>
      <w:b/>
      <w:bCs/>
      <w:i/>
      <w:iCs/>
      <w:color w:val="4F81BD" w:themeColor="accent1"/>
      <w:sz w:val="24"/>
      <w:szCs w:val="24"/>
      <w:lang w:eastAsia="en-AU"/>
    </w:rPr>
  </w:style>
  <w:style w:type="character" w:customStyle="1" w:styleId="IntenseQuoteChar">
    <w:name w:val="Intense Quote Char"/>
    <w:basedOn w:val="DefaultParagraphFont"/>
    <w:link w:val="IntenseQuote"/>
    <w:uiPriority w:val="30"/>
    <w:rsid w:val="00CC0F5A"/>
    <w:rPr>
      <w:rFonts w:ascii="Times New Roman" w:eastAsiaTheme="minorEastAsia" w:hAnsi="Times New Roman" w:cs="Times New Roman"/>
      <w:b/>
      <w:bCs/>
      <w:i/>
      <w:iCs/>
      <w:color w:val="4F81BD" w:themeColor="accent1"/>
      <w:sz w:val="24"/>
      <w:szCs w:val="24"/>
      <w:lang w:eastAsia="en-AU"/>
    </w:rPr>
  </w:style>
  <w:style w:type="character" w:styleId="SubtleReference">
    <w:name w:val="Subtle Reference"/>
    <w:basedOn w:val="DefaultParagraphFont"/>
    <w:uiPriority w:val="31"/>
    <w:qFormat/>
    <w:rsid w:val="00CC0F5A"/>
    <w:rPr>
      <w:smallCaps/>
      <w:color w:val="C0504D" w:themeColor="accent2"/>
      <w:u w:val="single"/>
    </w:rPr>
  </w:style>
  <w:style w:type="character" w:styleId="IntenseReference">
    <w:name w:val="Intense Reference"/>
    <w:basedOn w:val="DefaultParagraphFont"/>
    <w:uiPriority w:val="32"/>
    <w:qFormat/>
    <w:rsid w:val="00CC0F5A"/>
    <w:rPr>
      <w:b/>
      <w:bCs/>
      <w:i/>
      <w:smallCaps/>
      <w:color w:val="C0504D" w:themeColor="accent2"/>
      <w:spacing w:val="5"/>
      <w:u w:val="none"/>
    </w:rPr>
  </w:style>
  <w:style w:type="character" w:styleId="BookTitle">
    <w:name w:val="Book Title"/>
    <w:basedOn w:val="DefaultParagraphFont"/>
    <w:uiPriority w:val="33"/>
    <w:qFormat/>
    <w:rsid w:val="00CC0F5A"/>
    <w:rPr>
      <w:b/>
      <w:bCs/>
      <w:smallCaps/>
      <w:spacing w:val="5"/>
    </w:rPr>
  </w:style>
  <w:style w:type="character" w:styleId="Hyperlink">
    <w:name w:val="Hyperlink"/>
    <w:basedOn w:val="DefaultParagraphFont"/>
    <w:uiPriority w:val="99"/>
    <w:unhideWhenUsed/>
    <w:rsid w:val="00CC0F5A"/>
    <w:rPr>
      <w:color w:val="0000FF"/>
      <w:u w:val="single"/>
    </w:rPr>
  </w:style>
  <w:style w:type="character" w:customStyle="1" w:styleId="apple-converted-space">
    <w:name w:val="apple-converted-space"/>
    <w:basedOn w:val="DefaultParagraphFont"/>
    <w:rsid w:val="00CC0F5A"/>
  </w:style>
  <w:style w:type="paragraph" w:styleId="BodyText">
    <w:name w:val="Body Text"/>
    <w:basedOn w:val="Normal"/>
    <w:link w:val="BodyTextChar"/>
    <w:uiPriority w:val="1"/>
    <w:qFormat/>
    <w:rsid w:val="00CC0F5A"/>
    <w:pPr>
      <w:widowControl w:val="0"/>
      <w:autoSpaceDE w:val="0"/>
      <w:autoSpaceDN w:val="0"/>
      <w:adjustRightInd w:val="0"/>
      <w:spacing w:after="0" w:line="240" w:lineRule="auto"/>
      <w:ind w:left="384" w:hanging="284"/>
    </w:pPr>
    <w:rPr>
      <w:rFonts w:ascii="Arial" w:eastAsiaTheme="minorEastAsia" w:hAnsi="Arial" w:cs="Arial"/>
      <w:sz w:val="19"/>
      <w:szCs w:val="19"/>
      <w:lang w:eastAsia="en-AU"/>
    </w:rPr>
  </w:style>
  <w:style w:type="character" w:customStyle="1" w:styleId="BodyTextChar">
    <w:name w:val="Body Text Char"/>
    <w:basedOn w:val="DefaultParagraphFont"/>
    <w:link w:val="BodyText"/>
    <w:uiPriority w:val="1"/>
    <w:rsid w:val="00CC0F5A"/>
    <w:rPr>
      <w:rFonts w:ascii="Arial" w:eastAsiaTheme="minorEastAsia" w:hAnsi="Arial" w:cs="Arial"/>
      <w:sz w:val="19"/>
      <w:szCs w:val="19"/>
      <w:lang w:eastAsia="en-AU"/>
    </w:rPr>
  </w:style>
  <w:style w:type="paragraph" w:customStyle="1" w:styleId="TableParagraph">
    <w:name w:val="Table Paragraph"/>
    <w:basedOn w:val="Normal"/>
    <w:uiPriority w:val="1"/>
    <w:qFormat/>
    <w:rsid w:val="00CC0F5A"/>
    <w:pPr>
      <w:widowControl w:val="0"/>
      <w:autoSpaceDE w:val="0"/>
      <w:autoSpaceDN w:val="0"/>
      <w:adjustRightInd w:val="0"/>
      <w:spacing w:after="0" w:line="240" w:lineRule="auto"/>
    </w:pPr>
    <w:rPr>
      <w:rFonts w:ascii="Times New Roman" w:eastAsiaTheme="minorEastAsia" w:hAnsi="Times New Roman" w:cs="Times New Roman"/>
      <w:sz w:val="24"/>
      <w:szCs w:val="24"/>
      <w:lang w:eastAsia="en-AU"/>
    </w:rPr>
  </w:style>
  <w:style w:type="table" w:customStyle="1" w:styleId="TableGrid11">
    <w:name w:val="Table Grid11"/>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44189">
      <w:bodyDiv w:val="1"/>
      <w:marLeft w:val="0"/>
      <w:marRight w:val="0"/>
      <w:marTop w:val="0"/>
      <w:marBottom w:val="0"/>
      <w:divBdr>
        <w:top w:val="none" w:sz="0" w:space="0" w:color="auto"/>
        <w:left w:val="none" w:sz="0" w:space="0" w:color="auto"/>
        <w:bottom w:val="none" w:sz="0" w:space="0" w:color="auto"/>
        <w:right w:val="none" w:sz="0" w:space="0" w:color="auto"/>
      </w:divBdr>
    </w:div>
    <w:div w:id="241716409">
      <w:bodyDiv w:val="1"/>
      <w:marLeft w:val="0"/>
      <w:marRight w:val="0"/>
      <w:marTop w:val="0"/>
      <w:marBottom w:val="0"/>
      <w:divBdr>
        <w:top w:val="none" w:sz="0" w:space="0" w:color="auto"/>
        <w:left w:val="none" w:sz="0" w:space="0" w:color="auto"/>
        <w:bottom w:val="none" w:sz="0" w:space="0" w:color="auto"/>
        <w:right w:val="none" w:sz="0" w:space="0" w:color="auto"/>
      </w:divBdr>
    </w:div>
    <w:div w:id="1311904717">
      <w:bodyDiv w:val="1"/>
      <w:marLeft w:val="0"/>
      <w:marRight w:val="0"/>
      <w:marTop w:val="0"/>
      <w:marBottom w:val="0"/>
      <w:divBdr>
        <w:top w:val="none" w:sz="0" w:space="0" w:color="auto"/>
        <w:left w:val="none" w:sz="0" w:space="0" w:color="auto"/>
        <w:bottom w:val="none" w:sz="0" w:space="0" w:color="auto"/>
        <w:right w:val="none" w:sz="0" w:space="0" w:color="auto"/>
      </w:divBdr>
    </w:div>
    <w:div w:id="206779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ABA34-7E07-47FD-AB3C-649EF462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10496</Words>
  <Characters>59831</Characters>
  <Application>Microsoft Office Word</Application>
  <DocSecurity>4</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WA Health</Company>
  <LinksUpToDate>false</LinksUpToDate>
  <CharactersWithSpaces>70187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Dups, Johanna</dc:creator>
  <cp:lastModifiedBy>Keane Laurie</cp:lastModifiedBy>
  <cp:revision>2</cp:revision>
  <cp:lastPrinted>2017-09-21T06:58:00Z</cp:lastPrinted>
  <dcterms:created xsi:type="dcterms:W3CDTF">2019-03-18T00:45:00Z</dcterms:created>
  <dcterms:modified xsi:type="dcterms:W3CDTF">2019-03-18T00:45:00Z</dcterms:modified>
</cp:coreProperties>
</file>