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3"/>
      </w:tblGrid>
      <w:tr w:rsidR="00800DEB" w14:paraId="2503AA3C" w14:textId="77777777" w:rsidTr="00800DEB">
        <w:tc>
          <w:tcPr>
            <w:tcW w:w="2547" w:type="dxa"/>
          </w:tcPr>
          <w:p w14:paraId="71B36116" w14:textId="77777777" w:rsidR="00800DEB" w:rsidRDefault="00800DEB" w:rsidP="00800DEB">
            <w:r>
              <w:rPr>
                <w:noProof/>
              </w:rPr>
              <w:drawing>
                <wp:inline distT="0" distB="0" distL="0" distR="0" wp14:anchorId="61B6527B" wp14:editId="2A8723D5">
                  <wp:extent cx="1171575" cy="1714500"/>
                  <wp:effectExtent l="0" t="0" r="9525" b="0"/>
                  <wp:docPr id="2" name="Picture 2" descr="Communicable Diseases Net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unicable Diseases Network Australia logo"/>
                          <pic:cNvPicPr/>
                        </pic:nvPicPr>
                        <pic:blipFill>
                          <a:blip r:embed="rId11">
                            <a:extLst>
                              <a:ext uri="{28A0092B-C50C-407E-A947-70E740481C1C}">
                                <a14:useLocalDpi xmlns:a14="http://schemas.microsoft.com/office/drawing/2010/main" val="0"/>
                              </a:ext>
                            </a:extLst>
                          </a:blip>
                          <a:stretch>
                            <a:fillRect/>
                          </a:stretch>
                        </pic:blipFill>
                        <pic:spPr>
                          <a:xfrm>
                            <a:off x="0" y="0"/>
                            <a:ext cx="1171575" cy="1714500"/>
                          </a:xfrm>
                          <a:prstGeom prst="rect">
                            <a:avLst/>
                          </a:prstGeom>
                        </pic:spPr>
                      </pic:pic>
                    </a:graphicData>
                  </a:graphic>
                </wp:inline>
              </w:drawing>
            </w:r>
          </w:p>
        </w:tc>
        <w:tc>
          <w:tcPr>
            <w:tcW w:w="6513" w:type="dxa"/>
          </w:tcPr>
          <w:p w14:paraId="09A08587" w14:textId="4EBEF8E6" w:rsidR="00800DEB" w:rsidRDefault="00C20D36" w:rsidP="00800DEB">
            <w:pPr>
              <w:pStyle w:val="Title"/>
            </w:pPr>
            <w:r w:rsidRPr="00C20D36">
              <w:t>Measles</w:t>
            </w:r>
          </w:p>
          <w:p w14:paraId="6E2F3B52" w14:textId="77777777" w:rsidR="00800DEB" w:rsidRDefault="00800DEB" w:rsidP="00800DEB">
            <w:pPr>
              <w:pStyle w:val="Subtitle"/>
            </w:pPr>
            <w:r w:rsidRPr="00800DEB">
              <w:t>Australian national notifiable diseases case definition</w:t>
            </w:r>
          </w:p>
        </w:tc>
      </w:tr>
    </w:tbl>
    <w:p w14:paraId="18A67393" w14:textId="0176D35B" w:rsidR="004516E8" w:rsidRDefault="00800DEB" w:rsidP="009E0B84">
      <w:pPr>
        <w:pStyle w:val="IntroPara"/>
      </w:pPr>
      <w:r w:rsidRPr="00872414">
        <w:t xml:space="preserve">This document contains the </w:t>
      </w:r>
      <w:r>
        <w:t xml:space="preserve">surveillance </w:t>
      </w:r>
      <w:r w:rsidRPr="00872414">
        <w:t xml:space="preserve">case definition for </w:t>
      </w:r>
      <w:r w:rsidR="00C20D36">
        <w:t>m</w:t>
      </w:r>
      <w:r w:rsidR="00C20D36" w:rsidRPr="00C20D36">
        <w:t>easles</w:t>
      </w:r>
      <w:r w:rsidR="00C20D36">
        <w:t>,</w:t>
      </w:r>
      <w:r w:rsidR="00C20D36" w:rsidRPr="00C20D36">
        <w:t xml:space="preserve"> </w:t>
      </w:r>
      <w:r w:rsidRPr="00872414">
        <w:t xml:space="preserve">which is nationally notifiable within Australia. </w:t>
      </w:r>
      <w:r w:rsidR="004516E8">
        <w:t>State and territory health departments use this definition to decide whether to notify the Australian Government Department of Health</w:t>
      </w:r>
      <w:r w:rsidR="00B14926">
        <w:t xml:space="preserve"> and Aged Care</w:t>
      </w:r>
      <w:r w:rsidR="004516E8">
        <w:t xml:space="preserve"> of a case.</w:t>
      </w:r>
    </w:p>
    <w:tbl>
      <w:tblPr>
        <w:tblStyle w:val="DepartmentofHealthtable"/>
        <w:tblW w:w="5000" w:type="pct"/>
        <w:tblLook w:val="04A0" w:firstRow="1" w:lastRow="0" w:firstColumn="1" w:lastColumn="0" w:noHBand="0" w:noVBand="1"/>
        <w:tblDescription w:val="version control table for the cholera case definition"/>
      </w:tblPr>
      <w:tblGrid>
        <w:gridCol w:w="1023"/>
        <w:gridCol w:w="4871"/>
        <w:gridCol w:w="1246"/>
        <w:gridCol w:w="1930"/>
      </w:tblGrid>
      <w:tr w:rsidR="00800DEB" w:rsidRPr="00872414" w14:paraId="2D492070" w14:textId="77777777" w:rsidTr="006505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4AC9596" w14:textId="77777777" w:rsidR="00800DEB" w:rsidRPr="00872414" w:rsidRDefault="00800DEB" w:rsidP="00650561">
            <w:pPr>
              <w:pStyle w:val="TableHeader"/>
              <w:rPr>
                <w:color w:val="FFFFFF" w:themeColor="background1"/>
                <w:lang w:eastAsia="en-AU"/>
              </w:rPr>
            </w:pPr>
            <w:r w:rsidRPr="00872414">
              <w:rPr>
                <w:color w:val="FFFFFF" w:themeColor="background1"/>
                <w:lang w:eastAsia="en-AU"/>
              </w:rPr>
              <w:t>Version</w:t>
            </w:r>
          </w:p>
        </w:tc>
        <w:tc>
          <w:tcPr>
            <w:tcW w:w="0" w:type="auto"/>
            <w:hideMark/>
          </w:tcPr>
          <w:p w14:paraId="2BF36466" w14:textId="77777777" w:rsidR="00800DEB" w:rsidRPr="00872414" w:rsidRDefault="00800DEB" w:rsidP="00650561">
            <w:pPr>
              <w:pStyle w:val="TableHeader"/>
              <w:cnfStyle w:val="100000000000" w:firstRow="1" w:lastRow="0" w:firstColumn="0" w:lastColumn="0" w:oddVBand="0" w:evenVBand="0" w:oddHBand="0" w:evenHBand="0" w:firstRowFirstColumn="0" w:firstRowLastColumn="0" w:lastRowFirstColumn="0" w:lastRowLastColumn="0"/>
              <w:rPr>
                <w:color w:val="FFFFFF" w:themeColor="background1"/>
                <w:lang w:eastAsia="en-AU"/>
              </w:rPr>
            </w:pPr>
            <w:r w:rsidRPr="00872414">
              <w:rPr>
                <w:color w:val="FFFFFF" w:themeColor="background1"/>
                <w:lang w:eastAsia="en-AU"/>
              </w:rPr>
              <w:t>Status</w:t>
            </w:r>
          </w:p>
        </w:tc>
        <w:tc>
          <w:tcPr>
            <w:tcW w:w="0" w:type="auto"/>
            <w:hideMark/>
          </w:tcPr>
          <w:p w14:paraId="335F6CC8" w14:textId="77777777" w:rsidR="00800DEB" w:rsidRPr="00872414" w:rsidRDefault="00800DEB" w:rsidP="00650561">
            <w:pPr>
              <w:pStyle w:val="TableHeader"/>
              <w:cnfStyle w:val="100000000000" w:firstRow="1" w:lastRow="0" w:firstColumn="0" w:lastColumn="0" w:oddVBand="0" w:evenVBand="0" w:oddHBand="0" w:evenHBand="0" w:firstRowFirstColumn="0" w:firstRowLastColumn="0" w:lastRowFirstColumn="0" w:lastRowLastColumn="0"/>
              <w:rPr>
                <w:color w:val="FFFFFF" w:themeColor="background1"/>
                <w:lang w:eastAsia="en-AU"/>
              </w:rPr>
            </w:pPr>
            <w:r w:rsidRPr="00872414">
              <w:rPr>
                <w:color w:val="FFFFFF" w:themeColor="background1"/>
                <w:lang w:eastAsia="en-AU"/>
              </w:rPr>
              <w:t>Last reviewed</w:t>
            </w:r>
          </w:p>
        </w:tc>
        <w:tc>
          <w:tcPr>
            <w:tcW w:w="0" w:type="auto"/>
            <w:hideMark/>
          </w:tcPr>
          <w:p w14:paraId="6EDCF252" w14:textId="77777777" w:rsidR="00800DEB" w:rsidRPr="00872414" w:rsidRDefault="00800DEB" w:rsidP="00650561">
            <w:pPr>
              <w:pStyle w:val="TableHeader"/>
              <w:cnfStyle w:val="100000000000" w:firstRow="1" w:lastRow="0" w:firstColumn="0" w:lastColumn="0" w:oddVBand="0" w:evenVBand="0" w:oddHBand="0" w:evenHBand="0" w:firstRowFirstColumn="0" w:firstRowLastColumn="0" w:lastRowFirstColumn="0" w:lastRowLastColumn="0"/>
              <w:rPr>
                <w:color w:val="FFFFFF" w:themeColor="background1"/>
                <w:lang w:eastAsia="en-AU"/>
              </w:rPr>
            </w:pPr>
            <w:r w:rsidRPr="00872414">
              <w:rPr>
                <w:color w:val="FFFFFF" w:themeColor="background1"/>
                <w:lang w:eastAsia="en-AU"/>
              </w:rPr>
              <w:t>Implementation date</w:t>
            </w:r>
          </w:p>
        </w:tc>
      </w:tr>
      <w:tr w:rsidR="00800DEB" w:rsidRPr="00872414" w14:paraId="1DF31750" w14:textId="77777777" w:rsidTr="0080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96E2AD9" w14:textId="79F8F794" w:rsidR="00800DEB" w:rsidRPr="00872414" w:rsidRDefault="00C20D36" w:rsidP="00650561">
            <w:pPr>
              <w:pStyle w:val="TableText"/>
              <w:rPr>
                <w:lang w:eastAsia="en-AU"/>
              </w:rPr>
            </w:pPr>
            <w:r>
              <w:rPr>
                <w:lang w:eastAsia="en-AU"/>
              </w:rPr>
              <w:t>1.1</w:t>
            </w:r>
          </w:p>
        </w:tc>
        <w:tc>
          <w:tcPr>
            <w:tcW w:w="0" w:type="auto"/>
          </w:tcPr>
          <w:p w14:paraId="4E0484E9" w14:textId="7B8C60C5" w:rsidR="00C20D36" w:rsidRDefault="00C20D36" w:rsidP="00C20D36">
            <w:pPr>
              <w:pStyle w:val="TableText"/>
              <w:cnfStyle w:val="000000100000" w:firstRow="0" w:lastRow="0" w:firstColumn="0" w:lastColumn="0" w:oddVBand="0" w:evenVBand="0" w:oddHBand="1" w:evenHBand="0" w:firstRowFirstColumn="0" w:firstRowLastColumn="0" w:lastRowFirstColumn="0" w:lastRowLastColumn="0"/>
              <w:rPr>
                <w:lang w:eastAsia="en-AU"/>
              </w:rPr>
            </w:pPr>
            <w:r>
              <w:rPr>
                <w:lang w:eastAsia="en-AU"/>
              </w:rPr>
              <w:t xml:space="preserve">Additional detail to laboratory definitive evidence </w:t>
            </w:r>
            <w:proofErr w:type="gramStart"/>
            <w:r>
              <w:rPr>
                <w:lang w:eastAsia="en-AU"/>
              </w:rPr>
              <w:t>point</w:t>
            </w:r>
            <w:proofErr w:type="gramEnd"/>
            <w:r>
              <w:rPr>
                <w:lang w:eastAsia="en-AU"/>
              </w:rPr>
              <w:t xml:space="preserve"> 4 criterion and inclusion of a footnote to allow recently vaccinated cases to potentially be considered as confirmed cases</w:t>
            </w:r>
            <w:r>
              <w:rPr>
                <w:lang w:eastAsia="en-AU"/>
              </w:rPr>
              <w:t>.</w:t>
            </w:r>
          </w:p>
          <w:p w14:paraId="53696877" w14:textId="77777777" w:rsidR="00C20D36" w:rsidRDefault="00C20D36" w:rsidP="00C20D36">
            <w:pPr>
              <w:pStyle w:val="TableText"/>
              <w:cnfStyle w:val="000000100000" w:firstRow="0" w:lastRow="0" w:firstColumn="0" w:lastColumn="0" w:oddVBand="0" w:evenVBand="0" w:oddHBand="1" w:evenHBand="0" w:firstRowFirstColumn="0" w:firstRowLastColumn="0" w:lastRowFirstColumn="0" w:lastRowLastColumn="0"/>
              <w:rPr>
                <w:lang w:eastAsia="en-AU"/>
              </w:rPr>
            </w:pPr>
          </w:p>
          <w:p w14:paraId="1E6BC61F" w14:textId="6C9CA97B" w:rsidR="00C20D36" w:rsidRDefault="00C20D36" w:rsidP="00C20D36">
            <w:pPr>
              <w:pStyle w:val="TableText"/>
              <w:cnfStyle w:val="000000100000" w:firstRow="0" w:lastRow="0" w:firstColumn="0" w:lastColumn="0" w:oddVBand="0" w:evenVBand="0" w:oddHBand="1" w:evenHBand="0" w:firstRowFirstColumn="0" w:firstRowLastColumn="0" w:lastRowFirstColumn="0" w:lastRowLastColumn="0"/>
              <w:rPr>
                <w:lang w:eastAsia="en-AU"/>
              </w:rPr>
            </w:pPr>
            <w:r>
              <w:rPr>
                <w:lang w:eastAsia="en-AU"/>
              </w:rPr>
              <w:t>IgM antibody detection adjusted and moved from laboratory definitive evidence to laboratory suggestive evidence</w:t>
            </w:r>
            <w:r>
              <w:rPr>
                <w:lang w:eastAsia="en-AU"/>
              </w:rPr>
              <w:t>.</w:t>
            </w:r>
          </w:p>
          <w:p w14:paraId="511ED1A3" w14:textId="77777777" w:rsidR="00C20D36" w:rsidRDefault="00C20D36" w:rsidP="00C20D36">
            <w:pPr>
              <w:pStyle w:val="TableText"/>
              <w:cnfStyle w:val="000000100000" w:firstRow="0" w:lastRow="0" w:firstColumn="0" w:lastColumn="0" w:oddVBand="0" w:evenVBand="0" w:oddHBand="1" w:evenHBand="0" w:firstRowFirstColumn="0" w:firstRowLastColumn="0" w:lastRowFirstColumn="0" w:lastRowLastColumn="0"/>
              <w:rPr>
                <w:lang w:eastAsia="en-AU"/>
              </w:rPr>
            </w:pPr>
          </w:p>
          <w:p w14:paraId="426EAF95" w14:textId="279C672F" w:rsidR="00800DEB" w:rsidRPr="00872414" w:rsidRDefault="00C20D36" w:rsidP="00C20D36">
            <w:pPr>
              <w:pStyle w:val="TableText"/>
              <w:cnfStyle w:val="000000100000" w:firstRow="0" w:lastRow="0" w:firstColumn="0" w:lastColumn="0" w:oddVBand="0" w:evenVBand="0" w:oddHBand="1" w:evenHBand="0" w:firstRowFirstColumn="0" w:firstRowLastColumn="0" w:lastRowFirstColumn="0" w:lastRowLastColumn="0"/>
              <w:rPr>
                <w:lang w:eastAsia="en-AU"/>
              </w:rPr>
            </w:pPr>
            <w:r>
              <w:rPr>
                <w:lang w:eastAsia="en-AU"/>
              </w:rPr>
              <w:t>Additional detail to epidemiological evidence including contact for infectious period changed from five days before rash onset to 24 hours before onset of prodromal symptoms or four days before rash onset</w:t>
            </w:r>
          </w:p>
        </w:tc>
        <w:tc>
          <w:tcPr>
            <w:tcW w:w="0" w:type="auto"/>
          </w:tcPr>
          <w:p w14:paraId="2B52BE6C" w14:textId="0C9961ED" w:rsidR="00800DEB" w:rsidRPr="00872414" w:rsidRDefault="00C20D36" w:rsidP="00650561">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C20D36">
              <w:rPr>
                <w:lang w:eastAsia="en-AU"/>
              </w:rPr>
              <w:t>15 May 2019</w:t>
            </w:r>
          </w:p>
        </w:tc>
        <w:tc>
          <w:tcPr>
            <w:tcW w:w="0" w:type="auto"/>
          </w:tcPr>
          <w:p w14:paraId="2060002A" w14:textId="5BB159FC" w:rsidR="00800DEB" w:rsidRPr="00872414" w:rsidRDefault="00C20D36" w:rsidP="00650561">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C20D36">
              <w:rPr>
                <w:lang w:eastAsia="en-AU"/>
              </w:rPr>
              <w:t>1 July 2019</w:t>
            </w:r>
          </w:p>
        </w:tc>
      </w:tr>
      <w:tr w:rsidR="00800DEB" w:rsidRPr="00872414" w14:paraId="2D31925E" w14:textId="77777777" w:rsidTr="00800D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1D2198E" w14:textId="22FBE6E4" w:rsidR="00800DEB" w:rsidRPr="00872414" w:rsidRDefault="00C20D36" w:rsidP="00650561">
            <w:pPr>
              <w:pStyle w:val="TableText"/>
              <w:rPr>
                <w:lang w:eastAsia="en-AU"/>
              </w:rPr>
            </w:pPr>
            <w:r>
              <w:rPr>
                <w:lang w:eastAsia="en-AU"/>
              </w:rPr>
              <w:t>1.0</w:t>
            </w:r>
          </w:p>
        </w:tc>
        <w:tc>
          <w:tcPr>
            <w:tcW w:w="0" w:type="auto"/>
          </w:tcPr>
          <w:p w14:paraId="442B069F" w14:textId="63B89382" w:rsidR="00800DEB" w:rsidRPr="00872414" w:rsidRDefault="00C20D36" w:rsidP="00C20D36">
            <w:pPr>
              <w:cnfStyle w:val="000000010000" w:firstRow="0" w:lastRow="0" w:firstColumn="0" w:lastColumn="0" w:oddVBand="0" w:evenVBand="0" w:oddHBand="0" w:evenHBand="1" w:firstRowFirstColumn="0" w:firstRowLastColumn="0" w:lastRowFirstColumn="0" w:lastRowLastColumn="0"/>
              <w:rPr>
                <w:lang w:eastAsia="en-AU"/>
              </w:rPr>
            </w:pPr>
            <w:r w:rsidRPr="00C20D36">
              <w:rPr>
                <w:lang w:eastAsia="en-AU"/>
              </w:rPr>
              <w:t>Initial case definition</w:t>
            </w:r>
          </w:p>
        </w:tc>
        <w:tc>
          <w:tcPr>
            <w:tcW w:w="0" w:type="auto"/>
          </w:tcPr>
          <w:p w14:paraId="41A9D7C8" w14:textId="7C2EAD8E" w:rsidR="00800DEB" w:rsidRPr="00872414" w:rsidRDefault="00C20D36" w:rsidP="00650561">
            <w:pPr>
              <w:pStyle w:val="TableText"/>
              <w:cnfStyle w:val="000000010000" w:firstRow="0" w:lastRow="0" w:firstColumn="0" w:lastColumn="0" w:oddVBand="0" w:evenVBand="0" w:oddHBand="0" w:evenHBand="1" w:firstRowFirstColumn="0" w:firstRowLastColumn="0" w:lastRowFirstColumn="0" w:lastRowLastColumn="0"/>
              <w:rPr>
                <w:lang w:eastAsia="en-AU"/>
              </w:rPr>
            </w:pPr>
            <w:r>
              <w:rPr>
                <w:lang w:eastAsia="en-AU"/>
              </w:rPr>
              <w:t>2004</w:t>
            </w:r>
          </w:p>
        </w:tc>
        <w:tc>
          <w:tcPr>
            <w:tcW w:w="0" w:type="auto"/>
          </w:tcPr>
          <w:p w14:paraId="2BC7DB37" w14:textId="3F417BE8" w:rsidR="00800DEB" w:rsidRPr="00872414" w:rsidRDefault="00C20D36" w:rsidP="00650561">
            <w:pPr>
              <w:pStyle w:val="TableText"/>
              <w:cnfStyle w:val="000000010000" w:firstRow="0" w:lastRow="0" w:firstColumn="0" w:lastColumn="0" w:oddVBand="0" w:evenVBand="0" w:oddHBand="0" w:evenHBand="1" w:firstRowFirstColumn="0" w:firstRowLastColumn="0" w:lastRowFirstColumn="0" w:lastRowLastColumn="0"/>
              <w:rPr>
                <w:lang w:eastAsia="en-AU"/>
              </w:rPr>
            </w:pPr>
            <w:r>
              <w:rPr>
                <w:lang w:eastAsia="en-AU"/>
              </w:rPr>
              <w:t>2004</w:t>
            </w:r>
          </w:p>
        </w:tc>
      </w:tr>
    </w:tbl>
    <w:p w14:paraId="4DD1CB4A" w14:textId="77777777" w:rsidR="00C20D36" w:rsidRPr="00C20D36" w:rsidRDefault="00C20D36" w:rsidP="00C20D36">
      <w:pPr>
        <w:shd w:val="clear" w:color="auto" w:fill="FFFFFF"/>
        <w:spacing w:before="240" w:after="120"/>
        <w:outlineLvl w:val="1"/>
        <w:rPr>
          <w:rFonts w:ascii="Open Sans" w:hAnsi="Open Sans" w:cs="Open Sans"/>
          <w:color w:val="000000"/>
          <w:sz w:val="36"/>
          <w:szCs w:val="36"/>
          <w:lang w:eastAsia="en-AU"/>
        </w:rPr>
      </w:pPr>
      <w:r w:rsidRPr="00C20D36">
        <w:rPr>
          <w:rFonts w:ascii="Open Sans" w:hAnsi="Open Sans" w:cs="Open Sans"/>
          <w:color w:val="000000"/>
          <w:sz w:val="36"/>
          <w:szCs w:val="36"/>
          <w:lang w:eastAsia="en-AU"/>
        </w:rPr>
        <w:t>Reporting</w:t>
      </w:r>
    </w:p>
    <w:p w14:paraId="0470B665" w14:textId="77777777" w:rsidR="00C20D36" w:rsidRPr="00C20D36" w:rsidRDefault="00C20D36" w:rsidP="00C20D36">
      <w:pPr>
        <w:shd w:val="clear" w:color="auto" w:fill="FFFFFF"/>
        <w:spacing w:after="240" w:line="300" w:lineRule="atLeast"/>
        <w:rPr>
          <w:rFonts w:ascii="Helvetica" w:hAnsi="Helvetica" w:cs="Helvetica"/>
          <w:color w:val="222222"/>
          <w:sz w:val="20"/>
          <w:szCs w:val="20"/>
          <w:lang w:eastAsia="en-AU"/>
        </w:rPr>
      </w:pPr>
      <w:r w:rsidRPr="00C20D36">
        <w:rPr>
          <w:rFonts w:ascii="Helvetica" w:hAnsi="Helvetica" w:cs="Helvetica"/>
          <w:color w:val="222222"/>
          <w:sz w:val="20"/>
          <w:szCs w:val="20"/>
          <w:lang w:eastAsia="en-AU"/>
        </w:rPr>
        <w:t>Both </w:t>
      </w:r>
      <w:r w:rsidRPr="00C20D36">
        <w:rPr>
          <w:rFonts w:ascii="Helvetica" w:hAnsi="Helvetica" w:cs="Helvetica"/>
          <w:b/>
          <w:bCs/>
          <w:color w:val="222222"/>
          <w:sz w:val="20"/>
          <w:szCs w:val="20"/>
          <w:lang w:eastAsia="en-AU"/>
        </w:rPr>
        <w:t>confirmed cases</w:t>
      </w:r>
      <w:r w:rsidRPr="00C20D36">
        <w:rPr>
          <w:rFonts w:ascii="Helvetica" w:hAnsi="Helvetica" w:cs="Helvetica"/>
          <w:color w:val="222222"/>
          <w:sz w:val="20"/>
          <w:szCs w:val="20"/>
          <w:lang w:eastAsia="en-AU"/>
        </w:rPr>
        <w:t> and </w:t>
      </w:r>
      <w:r w:rsidRPr="00C20D36">
        <w:rPr>
          <w:rFonts w:ascii="Helvetica" w:hAnsi="Helvetica" w:cs="Helvetica"/>
          <w:b/>
          <w:bCs/>
          <w:color w:val="222222"/>
          <w:sz w:val="20"/>
          <w:szCs w:val="20"/>
          <w:lang w:eastAsia="en-AU"/>
        </w:rPr>
        <w:t>probable cases</w:t>
      </w:r>
      <w:r w:rsidRPr="00C20D36">
        <w:rPr>
          <w:rFonts w:ascii="Helvetica" w:hAnsi="Helvetica" w:cs="Helvetica"/>
          <w:color w:val="222222"/>
          <w:sz w:val="20"/>
          <w:szCs w:val="20"/>
          <w:lang w:eastAsia="en-AU"/>
        </w:rPr>
        <w:t> should be notified.</w:t>
      </w:r>
    </w:p>
    <w:p w14:paraId="7311F25E" w14:textId="77777777" w:rsidR="00C20D36" w:rsidRPr="00C20D36" w:rsidRDefault="00C20D36" w:rsidP="00C20D36">
      <w:pPr>
        <w:keepNext/>
        <w:shd w:val="clear" w:color="auto" w:fill="FFFFFF"/>
        <w:spacing w:after="120"/>
        <w:outlineLvl w:val="1"/>
        <w:rPr>
          <w:rFonts w:ascii="Open Sans" w:hAnsi="Open Sans" w:cs="Open Sans"/>
          <w:color w:val="000000"/>
          <w:sz w:val="36"/>
          <w:szCs w:val="36"/>
          <w:lang w:eastAsia="en-AU"/>
        </w:rPr>
      </w:pPr>
      <w:r w:rsidRPr="00C20D36">
        <w:rPr>
          <w:rFonts w:ascii="Open Sans" w:hAnsi="Open Sans" w:cs="Open Sans"/>
          <w:color w:val="000000"/>
          <w:sz w:val="36"/>
          <w:szCs w:val="36"/>
          <w:lang w:eastAsia="en-AU"/>
        </w:rPr>
        <w:lastRenderedPageBreak/>
        <w:t>Confirmed case</w:t>
      </w:r>
    </w:p>
    <w:p w14:paraId="128BEA66" w14:textId="77777777" w:rsidR="00C20D36" w:rsidRPr="00C20D36" w:rsidRDefault="00C20D36" w:rsidP="00C20D36">
      <w:pPr>
        <w:keepNext/>
        <w:shd w:val="clear" w:color="auto" w:fill="FFFFFF"/>
        <w:spacing w:after="240" w:line="300" w:lineRule="atLeast"/>
        <w:rPr>
          <w:rFonts w:ascii="Helvetica" w:hAnsi="Helvetica" w:cs="Helvetica"/>
          <w:color w:val="222222"/>
          <w:sz w:val="20"/>
          <w:szCs w:val="20"/>
          <w:lang w:eastAsia="en-AU"/>
        </w:rPr>
      </w:pPr>
      <w:r w:rsidRPr="00C20D36">
        <w:rPr>
          <w:rFonts w:ascii="Helvetica" w:hAnsi="Helvetica" w:cs="Helvetica"/>
          <w:color w:val="222222"/>
          <w:sz w:val="20"/>
          <w:szCs w:val="20"/>
          <w:lang w:eastAsia="en-AU"/>
        </w:rPr>
        <w:t>A confirmed case requires either:</w:t>
      </w:r>
    </w:p>
    <w:p w14:paraId="1CAC1469" w14:textId="77777777" w:rsidR="00C20D36" w:rsidRPr="00C20D36" w:rsidRDefault="00C20D36" w:rsidP="00C20D36">
      <w:pPr>
        <w:keepNext/>
        <w:numPr>
          <w:ilvl w:val="0"/>
          <w:numId w:val="20"/>
        </w:numPr>
        <w:shd w:val="clear" w:color="auto" w:fill="FFFFFF"/>
        <w:spacing w:after="90" w:line="300" w:lineRule="atLeast"/>
        <w:rPr>
          <w:rFonts w:ascii="Helvetica" w:hAnsi="Helvetica" w:cs="Helvetica"/>
          <w:color w:val="222222"/>
          <w:sz w:val="20"/>
          <w:szCs w:val="20"/>
          <w:lang w:eastAsia="en-AU"/>
        </w:rPr>
      </w:pPr>
      <w:r w:rsidRPr="00C20D36">
        <w:rPr>
          <w:rFonts w:ascii="Helvetica" w:hAnsi="Helvetica" w:cs="Helvetica"/>
          <w:b/>
          <w:bCs/>
          <w:color w:val="222222"/>
          <w:sz w:val="20"/>
          <w:szCs w:val="20"/>
          <w:lang w:eastAsia="en-AU"/>
        </w:rPr>
        <w:t>laboratory definitive evidence</w:t>
      </w:r>
    </w:p>
    <w:p w14:paraId="1097D351" w14:textId="77777777" w:rsidR="00C20D36" w:rsidRPr="00C20D36" w:rsidRDefault="00C20D36" w:rsidP="00C20D36">
      <w:pPr>
        <w:keepNext/>
        <w:shd w:val="clear" w:color="auto" w:fill="FFFFFF"/>
        <w:spacing w:before="240" w:after="240" w:line="300" w:lineRule="atLeast"/>
        <w:rPr>
          <w:rFonts w:ascii="Helvetica" w:hAnsi="Helvetica" w:cs="Helvetica"/>
          <w:color w:val="222222"/>
          <w:sz w:val="20"/>
          <w:szCs w:val="20"/>
          <w:lang w:eastAsia="en-AU"/>
        </w:rPr>
      </w:pPr>
      <w:r w:rsidRPr="00C20D36">
        <w:rPr>
          <w:rFonts w:ascii="Helvetica" w:hAnsi="Helvetica" w:cs="Helvetica"/>
          <w:color w:val="222222"/>
          <w:sz w:val="20"/>
          <w:szCs w:val="20"/>
          <w:lang w:eastAsia="en-AU"/>
        </w:rPr>
        <w:t>OR</w:t>
      </w:r>
    </w:p>
    <w:p w14:paraId="2B9295BB" w14:textId="77777777" w:rsidR="00C20D36" w:rsidRPr="00C20D36" w:rsidRDefault="00C20D36" w:rsidP="00C20D36">
      <w:pPr>
        <w:numPr>
          <w:ilvl w:val="0"/>
          <w:numId w:val="21"/>
        </w:numPr>
        <w:shd w:val="clear" w:color="auto" w:fill="FFFFFF"/>
        <w:spacing w:after="90" w:line="300" w:lineRule="atLeast"/>
        <w:rPr>
          <w:rFonts w:ascii="Helvetica" w:hAnsi="Helvetica" w:cs="Helvetica"/>
          <w:color w:val="222222"/>
          <w:sz w:val="20"/>
          <w:szCs w:val="20"/>
          <w:lang w:eastAsia="en-AU"/>
        </w:rPr>
      </w:pPr>
      <w:r w:rsidRPr="00C20D36">
        <w:rPr>
          <w:rFonts w:ascii="Helvetica" w:hAnsi="Helvetica" w:cs="Helvetica"/>
          <w:b/>
          <w:bCs/>
          <w:color w:val="222222"/>
          <w:sz w:val="20"/>
          <w:szCs w:val="20"/>
          <w:lang w:eastAsia="en-AU"/>
        </w:rPr>
        <w:t>clinical evidence</w:t>
      </w:r>
      <w:r w:rsidRPr="00C20D36">
        <w:rPr>
          <w:rFonts w:ascii="Helvetica" w:hAnsi="Helvetica" w:cs="Helvetica"/>
          <w:color w:val="222222"/>
          <w:sz w:val="20"/>
          <w:szCs w:val="20"/>
          <w:lang w:eastAsia="en-AU"/>
        </w:rPr>
        <w:t> AND </w:t>
      </w:r>
      <w:r w:rsidRPr="00C20D36">
        <w:rPr>
          <w:rFonts w:ascii="Helvetica" w:hAnsi="Helvetica" w:cs="Helvetica"/>
          <w:b/>
          <w:bCs/>
          <w:color w:val="222222"/>
          <w:sz w:val="20"/>
          <w:szCs w:val="20"/>
          <w:lang w:eastAsia="en-AU"/>
        </w:rPr>
        <w:t xml:space="preserve">epidemiological </w:t>
      </w:r>
      <w:proofErr w:type="gramStart"/>
      <w:r w:rsidRPr="00C20D36">
        <w:rPr>
          <w:rFonts w:ascii="Helvetica" w:hAnsi="Helvetica" w:cs="Helvetica"/>
          <w:b/>
          <w:bCs/>
          <w:color w:val="222222"/>
          <w:sz w:val="20"/>
          <w:szCs w:val="20"/>
          <w:lang w:eastAsia="en-AU"/>
        </w:rPr>
        <w:t>evidence.*</w:t>
      </w:r>
      <w:proofErr w:type="gramEnd"/>
    </w:p>
    <w:p w14:paraId="3186EF77" w14:textId="77777777" w:rsidR="00C20D36" w:rsidRPr="00C20D36" w:rsidRDefault="00C20D36" w:rsidP="00C20D36">
      <w:pPr>
        <w:shd w:val="clear" w:color="auto" w:fill="FFFFFF"/>
        <w:spacing w:after="120"/>
        <w:outlineLvl w:val="2"/>
        <w:rPr>
          <w:rFonts w:ascii="Open Sans" w:hAnsi="Open Sans" w:cs="Open Sans"/>
          <w:color w:val="000000"/>
          <w:sz w:val="27"/>
          <w:szCs w:val="27"/>
          <w:lang w:eastAsia="en-AU"/>
        </w:rPr>
      </w:pPr>
      <w:r w:rsidRPr="00C20D36">
        <w:rPr>
          <w:rFonts w:ascii="Open Sans" w:hAnsi="Open Sans" w:cs="Open Sans"/>
          <w:color w:val="000000"/>
          <w:sz w:val="27"/>
          <w:szCs w:val="27"/>
          <w:lang w:eastAsia="en-AU"/>
        </w:rPr>
        <w:t>Laboratory definitive evidence</w:t>
      </w:r>
    </w:p>
    <w:p w14:paraId="209D7B7A" w14:textId="77777777" w:rsidR="00C20D36" w:rsidRPr="00C20D36" w:rsidRDefault="00C20D36" w:rsidP="00C20D36">
      <w:pPr>
        <w:shd w:val="clear" w:color="auto" w:fill="FFFFFF"/>
        <w:spacing w:after="240" w:line="300" w:lineRule="atLeast"/>
        <w:rPr>
          <w:rFonts w:ascii="Helvetica" w:hAnsi="Helvetica" w:cs="Helvetica"/>
          <w:color w:val="222222"/>
          <w:sz w:val="20"/>
          <w:szCs w:val="20"/>
          <w:lang w:eastAsia="en-AU"/>
        </w:rPr>
      </w:pPr>
      <w:r w:rsidRPr="00C20D36">
        <w:rPr>
          <w:rFonts w:ascii="Helvetica" w:hAnsi="Helvetica" w:cs="Helvetica"/>
          <w:color w:val="222222"/>
          <w:sz w:val="20"/>
          <w:szCs w:val="20"/>
          <w:lang w:eastAsia="en-AU"/>
        </w:rPr>
        <w:t>At least one of the following:</w:t>
      </w:r>
    </w:p>
    <w:p w14:paraId="5496C997" w14:textId="77777777" w:rsidR="00C20D36" w:rsidRPr="00C20D36" w:rsidRDefault="00C20D36" w:rsidP="00C20D36">
      <w:pPr>
        <w:numPr>
          <w:ilvl w:val="0"/>
          <w:numId w:val="22"/>
        </w:numPr>
        <w:shd w:val="clear" w:color="auto" w:fill="FFFFFF"/>
        <w:spacing w:after="90" w:line="300" w:lineRule="atLeast"/>
        <w:rPr>
          <w:rFonts w:ascii="Helvetica" w:hAnsi="Helvetica" w:cs="Helvetica"/>
          <w:color w:val="222222"/>
          <w:sz w:val="20"/>
          <w:szCs w:val="20"/>
          <w:lang w:eastAsia="en-AU"/>
        </w:rPr>
      </w:pPr>
      <w:r w:rsidRPr="00C20D36">
        <w:rPr>
          <w:rFonts w:ascii="Helvetica" w:hAnsi="Helvetica" w:cs="Helvetica"/>
          <w:color w:val="222222"/>
          <w:sz w:val="20"/>
          <w:szCs w:val="20"/>
          <w:lang w:eastAsia="en-AU"/>
        </w:rPr>
        <w:t>Isolation of measles virus*</w:t>
      </w:r>
    </w:p>
    <w:p w14:paraId="37C090A1" w14:textId="77777777" w:rsidR="00C20D36" w:rsidRPr="00C20D36" w:rsidRDefault="00C20D36" w:rsidP="00C20D36">
      <w:pPr>
        <w:shd w:val="clear" w:color="auto" w:fill="FFFFFF"/>
        <w:spacing w:before="240" w:after="240" w:line="300" w:lineRule="atLeast"/>
        <w:rPr>
          <w:rFonts w:ascii="Helvetica" w:hAnsi="Helvetica" w:cs="Helvetica"/>
          <w:color w:val="222222"/>
          <w:sz w:val="20"/>
          <w:szCs w:val="20"/>
          <w:lang w:eastAsia="en-AU"/>
        </w:rPr>
      </w:pPr>
      <w:r w:rsidRPr="00C20D36">
        <w:rPr>
          <w:rFonts w:ascii="Helvetica" w:hAnsi="Helvetica" w:cs="Helvetica"/>
          <w:color w:val="222222"/>
          <w:sz w:val="20"/>
          <w:szCs w:val="20"/>
          <w:lang w:eastAsia="en-AU"/>
        </w:rPr>
        <w:t>OR</w:t>
      </w:r>
    </w:p>
    <w:p w14:paraId="7179441B" w14:textId="77777777" w:rsidR="00C20D36" w:rsidRPr="00C20D36" w:rsidRDefault="00C20D36" w:rsidP="00C20D36">
      <w:pPr>
        <w:numPr>
          <w:ilvl w:val="0"/>
          <w:numId w:val="23"/>
        </w:numPr>
        <w:shd w:val="clear" w:color="auto" w:fill="FFFFFF"/>
        <w:spacing w:after="90" w:line="300" w:lineRule="atLeast"/>
        <w:rPr>
          <w:rFonts w:ascii="Helvetica" w:hAnsi="Helvetica" w:cs="Helvetica"/>
          <w:color w:val="222222"/>
          <w:sz w:val="20"/>
          <w:szCs w:val="20"/>
          <w:lang w:eastAsia="en-AU"/>
        </w:rPr>
      </w:pPr>
      <w:r w:rsidRPr="00C20D36">
        <w:rPr>
          <w:rFonts w:ascii="Helvetica" w:hAnsi="Helvetica" w:cs="Helvetica"/>
          <w:color w:val="222222"/>
          <w:sz w:val="20"/>
          <w:szCs w:val="20"/>
          <w:lang w:eastAsia="en-AU"/>
        </w:rPr>
        <w:t>Detection of measles virus by nucleic acid testing*</w:t>
      </w:r>
    </w:p>
    <w:p w14:paraId="5436B4EC" w14:textId="77777777" w:rsidR="00C20D36" w:rsidRPr="00C20D36" w:rsidRDefault="00C20D36" w:rsidP="00C20D36">
      <w:pPr>
        <w:shd w:val="clear" w:color="auto" w:fill="FFFFFF"/>
        <w:spacing w:before="240" w:after="240" w:line="300" w:lineRule="atLeast"/>
        <w:rPr>
          <w:rFonts w:ascii="Helvetica" w:hAnsi="Helvetica" w:cs="Helvetica"/>
          <w:color w:val="222222"/>
          <w:sz w:val="20"/>
          <w:szCs w:val="20"/>
          <w:lang w:eastAsia="en-AU"/>
        </w:rPr>
      </w:pPr>
      <w:r w:rsidRPr="00C20D36">
        <w:rPr>
          <w:rFonts w:ascii="Helvetica" w:hAnsi="Helvetica" w:cs="Helvetica"/>
          <w:color w:val="222222"/>
          <w:sz w:val="20"/>
          <w:szCs w:val="20"/>
          <w:lang w:eastAsia="en-AU"/>
        </w:rPr>
        <w:t>OR</w:t>
      </w:r>
    </w:p>
    <w:p w14:paraId="51C797FA" w14:textId="77777777" w:rsidR="00C20D36" w:rsidRPr="00C20D36" w:rsidRDefault="00C20D36" w:rsidP="00C20D36">
      <w:pPr>
        <w:numPr>
          <w:ilvl w:val="0"/>
          <w:numId w:val="24"/>
        </w:numPr>
        <w:shd w:val="clear" w:color="auto" w:fill="FFFFFF"/>
        <w:spacing w:after="90" w:line="300" w:lineRule="atLeast"/>
        <w:rPr>
          <w:rFonts w:ascii="Helvetica" w:hAnsi="Helvetica" w:cs="Helvetica"/>
          <w:color w:val="222222"/>
          <w:sz w:val="20"/>
          <w:szCs w:val="20"/>
          <w:lang w:eastAsia="en-AU"/>
        </w:rPr>
      </w:pPr>
      <w:r w:rsidRPr="00C20D36">
        <w:rPr>
          <w:rFonts w:ascii="Helvetica" w:hAnsi="Helvetica" w:cs="Helvetica"/>
          <w:color w:val="222222"/>
          <w:sz w:val="20"/>
          <w:szCs w:val="20"/>
          <w:lang w:eastAsia="en-AU"/>
        </w:rPr>
        <w:t>Detection of measles virus antigen*</w:t>
      </w:r>
    </w:p>
    <w:p w14:paraId="711E2E47" w14:textId="77777777" w:rsidR="00C20D36" w:rsidRPr="00C20D36" w:rsidRDefault="00C20D36" w:rsidP="00C20D36">
      <w:pPr>
        <w:shd w:val="clear" w:color="auto" w:fill="FFFFFF"/>
        <w:spacing w:before="240" w:after="240" w:line="300" w:lineRule="atLeast"/>
        <w:rPr>
          <w:rFonts w:ascii="Helvetica" w:hAnsi="Helvetica" w:cs="Helvetica"/>
          <w:color w:val="222222"/>
          <w:sz w:val="20"/>
          <w:szCs w:val="20"/>
          <w:lang w:eastAsia="en-AU"/>
        </w:rPr>
      </w:pPr>
      <w:r w:rsidRPr="00C20D36">
        <w:rPr>
          <w:rFonts w:ascii="Helvetica" w:hAnsi="Helvetica" w:cs="Helvetica"/>
          <w:color w:val="222222"/>
          <w:sz w:val="20"/>
          <w:szCs w:val="20"/>
          <w:lang w:eastAsia="en-AU"/>
        </w:rPr>
        <w:t>OR</w:t>
      </w:r>
    </w:p>
    <w:p w14:paraId="2DE25F8B" w14:textId="77777777" w:rsidR="00C20D36" w:rsidRPr="00C20D36" w:rsidRDefault="00C20D36" w:rsidP="00C20D36">
      <w:pPr>
        <w:numPr>
          <w:ilvl w:val="0"/>
          <w:numId w:val="25"/>
        </w:numPr>
        <w:shd w:val="clear" w:color="auto" w:fill="FFFFFF"/>
        <w:spacing w:after="90" w:line="300" w:lineRule="atLeast"/>
        <w:rPr>
          <w:rFonts w:ascii="Helvetica" w:hAnsi="Helvetica" w:cs="Helvetica"/>
          <w:color w:val="222222"/>
          <w:sz w:val="20"/>
          <w:szCs w:val="20"/>
          <w:lang w:eastAsia="en-AU"/>
        </w:rPr>
      </w:pPr>
      <w:r w:rsidRPr="00C20D36">
        <w:rPr>
          <w:rFonts w:ascii="Helvetica" w:hAnsi="Helvetica" w:cs="Helvetica"/>
          <w:color w:val="222222"/>
          <w:sz w:val="20"/>
          <w:szCs w:val="20"/>
          <w:lang w:eastAsia="en-AU"/>
        </w:rPr>
        <w:t>IgG seroconversion or a significant increase in antibody level, such as a fourfold or greater rise in titre to measles virus EXCEPT if the case has received a measles-containing vaccine eight days to eight weeks prior to convalescent specimen collection. (NOTE: paired sera must be tested in parallel).</w:t>
      </w:r>
    </w:p>
    <w:p w14:paraId="607813D0" w14:textId="77777777" w:rsidR="00C20D36" w:rsidRPr="00C20D36" w:rsidRDefault="00C20D36" w:rsidP="00C20D36">
      <w:pPr>
        <w:shd w:val="clear" w:color="auto" w:fill="FFFFFF"/>
        <w:spacing w:before="240" w:after="240" w:line="300" w:lineRule="atLeast"/>
        <w:rPr>
          <w:rFonts w:ascii="Helvetica" w:hAnsi="Helvetica" w:cs="Helvetica"/>
          <w:color w:val="222222"/>
          <w:sz w:val="20"/>
          <w:szCs w:val="20"/>
          <w:lang w:eastAsia="en-AU"/>
        </w:rPr>
      </w:pPr>
      <w:r w:rsidRPr="00C20D36">
        <w:rPr>
          <w:rFonts w:ascii="Helvetica" w:hAnsi="Helvetica" w:cs="Helvetica"/>
          <w:i/>
          <w:iCs/>
          <w:color w:val="222222"/>
          <w:sz w:val="20"/>
          <w:szCs w:val="20"/>
          <w:lang w:eastAsia="en-AU"/>
        </w:rPr>
        <w:t>*Where measles vaccine has been given in the three weeks prior to illness onset and wild-type virus is not detected, or unable to be detected, a case may be considered “confirmed” only if the criteria for </w:t>
      </w:r>
      <w:r w:rsidRPr="00C20D36">
        <w:rPr>
          <w:rFonts w:ascii="Helvetica" w:hAnsi="Helvetica" w:cs="Helvetica"/>
          <w:b/>
          <w:bCs/>
          <w:i/>
          <w:iCs/>
          <w:color w:val="222222"/>
          <w:sz w:val="20"/>
          <w:szCs w:val="20"/>
          <w:lang w:eastAsia="en-AU"/>
        </w:rPr>
        <w:t>clinical and epidemiological</w:t>
      </w:r>
      <w:r w:rsidRPr="00C20D36">
        <w:rPr>
          <w:rFonts w:ascii="Helvetica" w:hAnsi="Helvetica" w:cs="Helvetica"/>
          <w:i/>
          <w:iCs/>
          <w:color w:val="222222"/>
          <w:sz w:val="20"/>
          <w:szCs w:val="20"/>
          <w:lang w:eastAsia="en-AU"/>
        </w:rPr>
        <w:t> evidence can also be met, suggesting wild-type infection. Vaccine-associated measles illness (genotype A) is not notifiable, but rather should be reported as an adverse event following immunisation.</w:t>
      </w:r>
    </w:p>
    <w:p w14:paraId="799CF4DD" w14:textId="77777777" w:rsidR="00C20D36" w:rsidRPr="00C20D36" w:rsidRDefault="00C20D36" w:rsidP="00C20D36">
      <w:pPr>
        <w:shd w:val="clear" w:color="auto" w:fill="FFFFFF"/>
        <w:spacing w:after="120"/>
        <w:outlineLvl w:val="2"/>
        <w:rPr>
          <w:rFonts w:ascii="Open Sans" w:hAnsi="Open Sans" w:cs="Open Sans"/>
          <w:color w:val="000000"/>
          <w:sz w:val="27"/>
          <w:szCs w:val="27"/>
          <w:lang w:eastAsia="en-AU"/>
        </w:rPr>
      </w:pPr>
      <w:r w:rsidRPr="00C20D36">
        <w:rPr>
          <w:rFonts w:ascii="Open Sans" w:hAnsi="Open Sans" w:cs="Open Sans"/>
          <w:color w:val="000000"/>
          <w:sz w:val="27"/>
          <w:szCs w:val="27"/>
          <w:lang w:eastAsia="en-AU"/>
        </w:rPr>
        <w:t>Clinical evidence</w:t>
      </w:r>
    </w:p>
    <w:p w14:paraId="156ACE7B" w14:textId="77777777" w:rsidR="00C20D36" w:rsidRPr="00C20D36" w:rsidRDefault="00C20D36" w:rsidP="00C20D36">
      <w:pPr>
        <w:shd w:val="clear" w:color="auto" w:fill="FFFFFF"/>
        <w:spacing w:after="240" w:line="300" w:lineRule="atLeast"/>
        <w:rPr>
          <w:rFonts w:ascii="Helvetica" w:hAnsi="Helvetica" w:cs="Helvetica"/>
          <w:color w:val="222222"/>
          <w:sz w:val="20"/>
          <w:szCs w:val="20"/>
          <w:lang w:eastAsia="en-AU"/>
        </w:rPr>
      </w:pPr>
      <w:r w:rsidRPr="00C20D36">
        <w:rPr>
          <w:rFonts w:ascii="Helvetica" w:hAnsi="Helvetica" w:cs="Helvetica"/>
          <w:color w:val="222222"/>
          <w:sz w:val="20"/>
          <w:szCs w:val="20"/>
          <w:lang w:eastAsia="en-AU"/>
        </w:rPr>
        <w:t xml:space="preserve">An illness characterised by </w:t>
      </w:r>
      <w:proofErr w:type="gramStart"/>
      <w:r w:rsidRPr="00C20D36">
        <w:rPr>
          <w:rFonts w:ascii="Helvetica" w:hAnsi="Helvetica" w:cs="Helvetica"/>
          <w:color w:val="222222"/>
          <w:sz w:val="20"/>
          <w:szCs w:val="20"/>
          <w:lang w:eastAsia="en-AU"/>
        </w:rPr>
        <w:t>all of</w:t>
      </w:r>
      <w:proofErr w:type="gramEnd"/>
      <w:r w:rsidRPr="00C20D36">
        <w:rPr>
          <w:rFonts w:ascii="Helvetica" w:hAnsi="Helvetica" w:cs="Helvetica"/>
          <w:color w:val="222222"/>
          <w:sz w:val="20"/>
          <w:szCs w:val="20"/>
          <w:lang w:eastAsia="en-AU"/>
        </w:rPr>
        <w:t xml:space="preserve"> the following:</w:t>
      </w:r>
    </w:p>
    <w:p w14:paraId="3D7FF277" w14:textId="77777777" w:rsidR="00C20D36" w:rsidRPr="00C20D36" w:rsidRDefault="00C20D36" w:rsidP="00C20D36">
      <w:pPr>
        <w:numPr>
          <w:ilvl w:val="0"/>
          <w:numId w:val="26"/>
        </w:numPr>
        <w:shd w:val="clear" w:color="auto" w:fill="FFFFFF"/>
        <w:spacing w:after="90" w:line="300" w:lineRule="atLeast"/>
        <w:rPr>
          <w:rFonts w:ascii="Helvetica" w:hAnsi="Helvetica" w:cs="Helvetica"/>
          <w:color w:val="222222"/>
          <w:sz w:val="20"/>
          <w:szCs w:val="20"/>
          <w:lang w:eastAsia="en-AU"/>
        </w:rPr>
      </w:pPr>
      <w:r w:rsidRPr="00C20D36">
        <w:rPr>
          <w:rFonts w:ascii="Helvetica" w:hAnsi="Helvetica" w:cs="Helvetica"/>
          <w:color w:val="222222"/>
          <w:sz w:val="20"/>
          <w:szCs w:val="20"/>
          <w:lang w:eastAsia="en-AU"/>
        </w:rPr>
        <w:t>A generalised maculopapular rash lasting three or more days</w:t>
      </w:r>
    </w:p>
    <w:p w14:paraId="70859864" w14:textId="77777777" w:rsidR="00C20D36" w:rsidRPr="00C20D36" w:rsidRDefault="00C20D36" w:rsidP="00C20D36">
      <w:pPr>
        <w:shd w:val="clear" w:color="auto" w:fill="FFFFFF"/>
        <w:spacing w:before="240" w:after="240" w:line="300" w:lineRule="atLeast"/>
        <w:rPr>
          <w:rFonts w:ascii="Helvetica" w:hAnsi="Helvetica" w:cs="Helvetica"/>
          <w:color w:val="222222"/>
          <w:sz w:val="20"/>
          <w:szCs w:val="20"/>
          <w:lang w:eastAsia="en-AU"/>
        </w:rPr>
      </w:pPr>
      <w:r w:rsidRPr="00C20D36">
        <w:rPr>
          <w:rFonts w:ascii="Helvetica" w:hAnsi="Helvetica" w:cs="Helvetica"/>
          <w:color w:val="222222"/>
          <w:sz w:val="20"/>
          <w:szCs w:val="20"/>
          <w:lang w:eastAsia="en-AU"/>
        </w:rPr>
        <w:t>AND</w:t>
      </w:r>
    </w:p>
    <w:p w14:paraId="50343A60" w14:textId="77777777" w:rsidR="00C20D36" w:rsidRPr="00C20D36" w:rsidRDefault="00C20D36" w:rsidP="00C20D36">
      <w:pPr>
        <w:numPr>
          <w:ilvl w:val="0"/>
          <w:numId w:val="27"/>
        </w:numPr>
        <w:shd w:val="clear" w:color="auto" w:fill="FFFFFF"/>
        <w:spacing w:after="90" w:line="300" w:lineRule="atLeast"/>
        <w:rPr>
          <w:rFonts w:ascii="Helvetica" w:hAnsi="Helvetica" w:cs="Helvetica"/>
          <w:color w:val="222222"/>
          <w:sz w:val="20"/>
          <w:szCs w:val="20"/>
          <w:lang w:eastAsia="en-AU"/>
        </w:rPr>
      </w:pPr>
      <w:r w:rsidRPr="00C20D36">
        <w:rPr>
          <w:rFonts w:ascii="Helvetica" w:hAnsi="Helvetica" w:cs="Helvetica"/>
          <w:color w:val="222222"/>
          <w:sz w:val="20"/>
          <w:szCs w:val="20"/>
          <w:lang w:eastAsia="en-AU"/>
        </w:rPr>
        <w:t>Fever (at least 38° C if measured) at the time of rash onset</w:t>
      </w:r>
    </w:p>
    <w:p w14:paraId="7EB04D10" w14:textId="77777777" w:rsidR="00C20D36" w:rsidRPr="00C20D36" w:rsidRDefault="00C20D36" w:rsidP="00C20D36">
      <w:pPr>
        <w:shd w:val="clear" w:color="auto" w:fill="FFFFFF"/>
        <w:spacing w:before="240" w:after="240" w:line="300" w:lineRule="atLeast"/>
        <w:rPr>
          <w:rFonts w:ascii="Helvetica" w:hAnsi="Helvetica" w:cs="Helvetica"/>
          <w:color w:val="222222"/>
          <w:sz w:val="20"/>
          <w:szCs w:val="20"/>
          <w:lang w:eastAsia="en-AU"/>
        </w:rPr>
      </w:pPr>
      <w:r w:rsidRPr="00C20D36">
        <w:rPr>
          <w:rFonts w:ascii="Helvetica" w:hAnsi="Helvetica" w:cs="Helvetica"/>
          <w:color w:val="222222"/>
          <w:sz w:val="20"/>
          <w:szCs w:val="20"/>
          <w:lang w:eastAsia="en-AU"/>
        </w:rPr>
        <w:t>AND</w:t>
      </w:r>
    </w:p>
    <w:p w14:paraId="4C8956FF" w14:textId="77777777" w:rsidR="00C20D36" w:rsidRPr="00C20D36" w:rsidRDefault="00C20D36" w:rsidP="00C20D36">
      <w:pPr>
        <w:numPr>
          <w:ilvl w:val="0"/>
          <w:numId w:val="28"/>
        </w:numPr>
        <w:shd w:val="clear" w:color="auto" w:fill="FFFFFF"/>
        <w:spacing w:after="90" w:line="300" w:lineRule="atLeast"/>
        <w:rPr>
          <w:rFonts w:ascii="Helvetica" w:hAnsi="Helvetica" w:cs="Helvetica"/>
          <w:color w:val="222222"/>
          <w:sz w:val="20"/>
          <w:szCs w:val="20"/>
          <w:lang w:eastAsia="en-AU"/>
        </w:rPr>
      </w:pPr>
      <w:r w:rsidRPr="00C20D36">
        <w:rPr>
          <w:rFonts w:ascii="Helvetica" w:hAnsi="Helvetica" w:cs="Helvetica"/>
          <w:color w:val="222222"/>
          <w:sz w:val="20"/>
          <w:szCs w:val="20"/>
          <w:lang w:eastAsia="en-AU"/>
        </w:rPr>
        <w:t xml:space="preserve">Cough OR coryza OR conjunctivitis OR </w:t>
      </w:r>
      <w:proofErr w:type="spellStart"/>
      <w:r w:rsidRPr="00C20D36">
        <w:rPr>
          <w:rFonts w:ascii="Helvetica" w:hAnsi="Helvetica" w:cs="Helvetica"/>
          <w:color w:val="222222"/>
          <w:sz w:val="20"/>
          <w:szCs w:val="20"/>
          <w:lang w:eastAsia="en-AU"/>
        </w:rPr>
        <w:t>Koplik</w:t>
      </w:r>
      <w:proofErr w:type="spellEnd"/>
      <w:r w:rsidRPr="00C20D36">
        <w:rPr>
          <w:rFonts w:ascii="Helvetica" w:hAnsi="Helvetica" w:cs="Helvetica"/>
          <w:color w:val="222222"/>
          <w:sz w:val="20"/>
          <w:szCs w:val="20"/>
          <w:lang w:eastAsia="en-AU"/>
        </w:rPr>
        <w:t xml:space="preserve"> spots.</w:t>
      </w:r>
    </w:p>
    <w:p w14:paraId="4BDB5BF6" w14:textId="77777777" w:rsidR="00C20D36" w:rsidRPr="00C20D36" w:rsidRDefault="00C20D36" w:rsidP="00C20D36">
      <w:pPr>
        <w:shd w:val="clear" w:color="auto" w:fill="FFFFFF"/>
        <w:spacing w:after="120"/>
        <w:outlineLvl w:val="2"/>
        <w:rPr>
          <w:rFonts w:ascii="Open Sans" w:hAnsi="Open Sans" w:cs="Open Sans"/>
          <w:color w:val="000000"/>
          <w:sz w:val="27"/>
          <w:szCs w:val="27"/>
          <w:lang w:eastAsia="en-AU"/>
        </w:rPr>
      </w:pPr>
      <w:r w:rsidRPr="00C20D36">
        <w:rPr>
          <w:rFonts w:ascii="Open Sans" w:hAnsi="Open Sans" w:cs="Open Sans"/>
          <w:color w:val="000000"/>
          <w:sz w:val="27"/>
          <w:szCs w:val="27"/>
          <w:lang w:eastAsia="en-AU"/>
        </w:rPr>
        <w:lastRenderedPageBreak/>
        <w:t>Epidemiological evidence</w:t>
      </w:r>
    </w:p>
    <w:p w14:paraId="3963D8B7" w14:textId="77777777" w:rsidR="00C20D36" w:rsidRPr="00C20D36" w:rsidRDefault="00C20D36" w:rsidP="00C20D36">
      <w:pPr>
        <w:shd w:val="clear" w:color="auto" w:fill="FFFFFF"/>
        <w:spacing w:after="240" w:line="300" w:lineRule="atLeast"/>
        <w:rPr>
          <w:rFonts w:ascii="Helvetica" w:hAnsi="Helvetica" w:cs="Helvetica"/>
          <w:color w:val="222222"/>
          <w:sz w:val="20"/>
          <w:szCs w:val="20"/>
          <w:lang w:eastAsia="en-AU"/>
        </w:rPr>
      </w:pPr>
      <w:r w:rsidRPr="00C20D36">
        <w:rPr>
          <w:rFonts w:ascii="Helvetica" w:hAnsi="Helvetica" w:cs="Helvetica"/>
          <w:color w:val="222222"/>
          <w:sz w:val="20"/>
          <w:szCs w:val="20"/>
          <w:lang w:eastAsia="en-AU"/>
        </w:rPr>
        <w:t>An epidemiological link is established when there is:</w:t>
      </w:r>
    </w:p>
    <w:p w14:paraId="467DB0FB" w14:textId="77777777" w:rsidR="00C20D36" w:rsidRPr="00C20D36" w:rsidRDefault="00C20D36" w:rsidP="00C20D36">
      <w:pPr>
        <w:numPr>
          <w:ilvl w:val="0"/>
          <w:numId w:val="29"/>
        </w:numPr>
        <w:shd w:val="clear" w:color="auto" w:fill="FFFFFF"/>
        <w:spacing w:after="90" w:line="300" w:lineRule="atLeast"/>
        <w:rPr>
          <w:rFonts w:ascii="Helvetica" w:hAnsi="Helvetica" w:cs="Helvetica"/>
          <w:color w:val="222222"/>
          <w:sz w:val="20"/>
          <w:szCs w:val="20"/>
          <w:lang w:eastAsia="en-AU"/>
        </w:rPr>
      </w:pPr>
      <w:r w:rsidRPr="00C20D36">
        <w:rPr>
          <w:rFonts w:ascii="Helvetica" w:hAnsi="Helvetica" w:cs="Helvetica"/>
          <w:color w:val="222222"/>
          <w:sz w:val="20"/>
          <w:szCs w:val="20"/>
          <w:lang w:eastAsia="en-AU"/>
        </w:rPr>
        <w:t>Contact between two people involving a plausible mode of transmission at a time when:</w:t>
      </w:r>
    </w:p>
    <w:p w14:paraId="5EFB787B" w14:textId="77777777" w:rsidR="00C20D36" w:rsidRPr="00C20D36" w:rsidRDefault="00C20D36" w:rsidP="00C20D36">
      <w:pPr>
        <w:numPr>
          <w:ilvl w:val="1"/>
          <w:numId w:val="29"/>
        </w:numPr>
        <w:shd w:val="clear" w:color="auto" w:fill="FFFFFF"/>
        <w:spacing w:after="90" w:line="300" w:lineRule="atLeast"/>
        <w:rPr>
          <w:rFonts w:ascii="Helvetica" w:hAnsi="Helvetica" w:cs="Helvetica"/>
          <w:color w:val="222222"/>
          <w:sz w:val="20"/>
          <w:szCs w:val="20"/>
          <w:lang w:eastAsia="en-AU"/>
        </w:rPr>
      </w:pPr>
      <w:r w:rsidRPr="00C20D36">
        <w:rPr>
          <w:rFonts w:ascii="Helvetica" w:hAnsi="Helvetica" w:cs="Helvetica"/>
          <w:color w:val="222222"/>
          <w:sz w:val="20"/>
          <w:szCs w:val="20"/>
          <w:lang w:eastAsia="en-AU"/>
        </w:rPr>
        <w:t>one of them is likely to be infectious (from 24 hours before onset of prodromal symptoms or four days before rash onset to four days after rash onset)</w:t>
      </w:r>
    </w:p>
    <w:p w14:paraId="7049E4B7" w14:textId="77777777" w:rsidR="00C20D36" w:rsidRPr="00C20D36" w:rsidRDefault="00C20D36" w:rsidP="00C20D36">
      <w:pPr>
        <w:shd w:val="clear" w:color="auto" w:fill="FFFFFF"/>
        <w:spacing w:before="240" w:after="240" w:line="300" w:lineRule="atLeast"/>
        <w:rPr>
          <w:rFonts w:ascii="Helvetica" w:hAnsi="Helvetica" w:cs="Helvetica"/>
          <w:color w:val="222222"/>
          <w:sz w:val="20"/>
          <w:szCs w:val="20"/>
          <w:lang w:eastAsia="en-AU"/>
        </w:rPr>
      </w:pPr>
      <w:r w:rsidRPr="00C20D36">
        <w:rPr>
          <w:rFonts w:ascii="Helvetica" w:hAnsi="Helvetica" w:cs="Helvetica"/>
          <w:color w:val="222222"/>
          <w:sz w:val="20"/>
          <w:szCs w:val="20"/>
          <w:lang w:eastAsia="en-AU"/>
        </w:rPr>
        <w:t>AND</w:t>
      </w:r>
    </w:p>
    <w:p w14:paraId="5DD83F1C" w14:textId="77777777" w:rsidR="00C20D36" w:rsidRPr="00C20D36" w:rsidRDefault="00C20D36" w:rsidP="00C20D36">
      <w:pPr>
        <w:numPr>
          <w:ilvl w:val="0"/>
          <w:numId w:val="30"/>
        </w:numPr>
        <w:shd w:val="clear" w:color="auto" w:fill="FFFFFF"/>
        <w:spacing w:line="300" w:lineRule="atLeast"/>
        <w:rPr>
          <w:rFonts w:ascii="Helvetica" w:hAnsi="Helvetica" w:cs="Helvetica"/>
          <w:color w:val="222222"/>
          <w:sz w:val="20"/>
          <w:szCs w:val="20"/>
          <w:lang w:eastAsia="en-AU"/>
        </w:rPr>
      </w:pPr>
      <w:r w:rsidRPr="00C20D36">
        <w:rPr>
          <w:rFonts w:ascii="Helvetica" w:hAnsi="Helvetica" w:cs="Helvetica"/>
          <w:color w:val="222222"/>
          <w:sz w:val="20"/>
          <w:szCs w:val="20"/>
          <w:lang w:eastAsia="en-AU"/>
        </w:rPr>
        <w:t>the other has an illness that starts within seven to 18 days after this contact</w:t>
      </w:r>
    </w:p>
    <w:p w14:paraId="4BF9EE1D" w14:textId="77777777" w:rsidR="00C20D36" w:rsidRPr="00C20D36" w:rsidRDefault="00C20D36" w:rsidP="00C20D36">
      <w:pPr>
        <w:shd w:val="clear" w:color="auto" w:fill="FFFFFF"/>
        <w:spacing w:before="240" w:after="240" w:line="300" w:lineRule="atLeast"/>
        <w:rPr>
          <w:rFonts w:ascii="Helvetica" w:hAnsi="Helvetica" w:cs="Helvetica"/>
          <w:color w:val="222222"/>
          <w:sz w:val="20"/>
          <w:szCs w:val="20"/>
          <w:lang w:eastAsia="en-AU"/>
        </w:rPr>
      </w:pPr>
      <w:r w:rsidRPr="00C20D36">
        <w:rPr>
          <w:rFonts w:ascii="Helvetica" w:hAnsi="Helvetica" w:cs="Helvetica"/>
          <w:color w:val="222222"/>
          <w:sz w:val="20"/>
          <w:szCs w:val="20"/>
          <w:lang w:eastAsia="en-AU"/>
        </w:rPr>
        <w:t>AND</w:t>
      </w:r>
    </w:p>
    <w:p w14:paraId="4E309950" w14:textId="77777777" w:rsidR="00C20D36" w:rsidRPr="00C20D36" w:rsidRDefault="00C20D36" w:rsidP="00C20D36">
      <w:pPr>
        <w:numPr>
          <w:ilvl w:val="0"/>
          <w:numId w:val="31"/>
        </w:numPr>
        <w:shd w:val="clear" w:color="auto" w:fill="FFFFFF"/>
        <w:spacing w:after="90" w:line="300" w:lineRule="atLeast"/>
        <w:rPr>
          <w:rFonts w:ascii="Helvetica" w:hAnsi="Helvetica" w:cs="Helvetica"/>
          <w:color w:val="222222"/>
          <w:sz w:val="20"/>
          <w:szCs w:val="20"/>
          <w:lang w:eastAsia="en-AU"/>
        </w:rPr>
      </w:pPr>
      <w:r w:rsidRPr="00C20D36">
        <w:rPr>
          <w:rFonts w:ascii="Helvetica" w:hAnsi="Helvetica" w:cs="Helvetica"/>
          <w:color w:val="222222"/>
          <w:sz w:val="20"/>
          <w:szCs w:val="20"/>
          <w:lang w:eastAsia="en-AU"/>
        </w:rPr>
        <w:t>At least one case in the chain of epidemiologically linked cases (which may involve many cases) has laboratory confirmed measles.</w:t>
      </w:r>
    </w:p>
    <w:p w14:paraId="3976768B" w14:textId="77777777" w:rsidR="00C20D36" w:rsidRPr="00C20D36" w:rsidRDefault="00C20D36" w:rsidP="00C20D36">
      <w:pPr>
        <w:shd w:val="clear" w:color="auto" w:fill="FFFFFF"/>
        <w:spacing w:after="120"/>
        <w:outlineLvl w:val="1"/>
        <w:rPr>
          <w:rFonts w:ascii="Open Sans" w:hAnsi="Open Sans" w:cs="Open Sans"/>
          <w:color w:val="000000"/>
          <w:sz w:val="36"/>
          <w:szCs w:val="36"/>
          <w:lang w:eastAsia="en-AU"/>
        </w:rPr>
      </w:pPr>
      <w:r w:rsidRPr="00C20D36">
        <w:rPr>
          <w:rFonts w:ascii="Open Sans" w:hAnsi="Open Sans" w:cs="Open Sans"/>
          <w:color w:val="000000"/>
          <w:sz w:val="36"/>
          <w:szCs w:val="36"/>
          <w:lang w:eastAsia="en-AU"/>
        </w:rPr>
        <w:t>Probable case</w:t>
      </w:r>
    </w:p>
    <w:p w14:paraId="10AE7C3B" w14:textId="77777777" w:rsidR="00C20D36" w:rsidRPr="00C20D36" w:rsidRDefault="00C20D36" w:rsidP="00C20D36">
      <w:pPr>
        <w:shd w:val="clear" w:color="auto" w:fill="FFFFFF"/>
        <w:spacing w:after="240" w:line="300" w:lineRule="atLeast"/>
        <w:rPr>
          <w:rFonts w:ascii="Helvetica" w:hAnsi="Helvetica" w:cs="Helvetica"/>
          <w:color w:val="222222"/>
          <w:sz w:val="20"/>
          <w:szCs w:val="20"/>
          <w:lang w:eastAsia="en-AU"/>
        </w:rPr>
      </w:pPr>
      <w:r w:rsidRPr="00C20D36">
        <w:rPr>
          <w:rFonts w:ascii="Helvetica" w:hAnsi="Helvetica" w:cs="Helvetica"/>
          <w:color w:val="222222"/>
          <w:sz w:val="20"/>
          <w:szCs w:val="20"/>
          <w:lang w:eastAsia="en-AU"/>
        </w:rPr>
        <w:t>A probable case requires </w:t>
      </w:r>
      <w:r w:rsidRPr="00C20D36">
        <w:rPr>
          <w:rFonts w:ascii="Helvetica" w:hAnsi="Helvetica" w:cs="Helvetica"/>
          <w:b/>
          <w:bCs/>
          <w:color w:val="222222"/>
          <w:sz w:val="20"/>
          <w:szCs w:val="20"/>
          <w:lang w:eastAsia="en-AU"/>
        </w:rPr>
        <w:t>laboratory suggestive evidence</w:t>
      </w:r>
      <w:r w:rsidRPr="00C20D36">
        <w:rPr>
          <w:rFonts w:ascii="Helvetica" w:hAnsi="Helvetica" w:cs="Helvetica"/>
          <w:color w:val="222222"/>
          <w:sz w:val="20"/>
          <w:szCs w:val="20"/>
          <w:lang w:eastAsia="en-AU"/>
        </w:rPr>
        <w:t> AND </w:t>
      </w:r>
      <w:r w:rsidRPr="00C20D36">
        <w:rPr>
          <w:rFonts w:ascii="Helvetica" w:hAnsi="Helvetica" w:cs="Helvetica"/>
          <w:b/>
          <w:bCs/>
          <w:color w:val="222222"/>
          <w:sz w:val="20"/>
          <w:szCs w:val="20"/>
          <w:lang w:eastAsia="en-AU"/>
        </w:rPr>
        <w:t>clinical evidence</w:t>
      </w:r>
      <w:r w:rsidRPr="00C20D36">
        <w:rPr>
          <w:rFonts w:ascii="Helvetica" w:hAnsi="Helvetica" w:cs="Helvetica"/>
          <w:color w:val="222222"/>
          <w:sz w:val="20"/>
          <w:szCs w:val="20"/>
          <w:lang w:eastAsia="en-AU"/>
        </w:rPr>
        <w:t>.</w:t>
      </w:r>
    </w:p>
    <w:p w14:paraId="10E08CB9" w14:textId="77777777" w:rsidR="00C20D36" w:rsidRPr="00C20D36" w:rsidRDefault="00C20D36" w:rsidP="00C20D36">
      <w:pPr>
        <w:shd w:val="clear" w:color="auto" w:fill="FFFFFF"/>
        <w:spacing w:after="120"/>
        <w:outlineLvl w:val="2"/>
        <w:rPr>
          <w:rFonts w:ascii="Open Sans" w:hAnsi="Open Sans" w:cs="Open Sans"/>
          <w:color w:val="000000"/>
          <w:sz w:val="27"/>
          <w:szCs w:val="27"/>
          <w:lang w:eastAsia="en-AU"/>
        </w:rPr>
      </w:pPr>
      <w:r w:rsidRPr="00C20D36">
        <w:rPr>
          <w:rFonts w:ascii="Open Sans" w:hAnsi="Open Sans" w:cs="Open Sans"/>
          <w:color w:val="000000"/>
          <w:sz w:val="27"/>
          <w:szCs w:val="27"/>
          <w:lang w:eastAsia="en-AU"/>
        </w:rPr>
        <w:t>Laboratory suggestive evidence</w:t>
      </w:r>
    </w:p>
    <w:p w14:paraId="11834BE8" w14:textId="77777777" w:rsidR="00C20D36" w:rsidRPr="00C20D36" w:rsidRDefault="00C20D36" w:rsidP="00C20D36">
      <w:pPr>
        <w:shd w:val="clear" w:color="auto" w:fill="FFFFFF"/>
        <w:spacing w:after="240" w:line="300" w:lineRule="atLeast"/>
        <w:rPr>
          <w:rFonts w:ascii="Helvetica" w:hAnsi="Helvetica" w:cs="Helvetica"/>
          <w:color w:val="222222"/>
          <w:sz w:val="20"/>
          <w:szCs w:val="20"/>
          <w:lang w:eastAsia="en-AU"/>
        </w:rPr>
      </w:pPr>
      <w:r w:rsidRPr="00C20D36">
        <w:rPr>
          <w:rFonts w:ascii="Helvetica" w:hAnsi="Helvetica" w:cs="Helvetica"/>
          <w:color w:val="222222"/>
          <w:sz w:val="20"/>
          <w:szCs w:val="20"/>
          <w:lang w:eastAsia="en-AU"/>
        </w:rPr>
        <w:t>Detection of measles specific IgM antibody; EXCEPT</w:t>
      </w:r>
    </w:p>
    <w:p w14:paraId="7503CDAF" w14:textId="77777777" w:rsidR="00C20D36" w:rsidRPr="00C20D36" w:rsidRDefault="00C20D36" w:rsidP="00C20D36">
      <w:pPr>
        <w:numPr>
          <w:ilvl w:val="0"/>
          <w:numId w:val="32"/>
        </w:numPr>
        <w:shd w:val="clear" w:color="auto" w:fill="FFFFFF"/>
        <w:spacing w:after="90" w:line="300" w:lineRule="atLeast"/>
        <w:rPr>
          <w:rFonts w:ascii="Helvetica" w:hAnsi="Helvetica" w:cs="Helvetica"/>
          <w:color w:val="222222"/>
          <w:sz w:val="20"/>
          <w:szCs w:val="20"/>
          <w:lang w:eastAsia="en-AU"/>
        </w:rPr>
      </w:pPr>
      <w:r w:rsidRPr="00C20D36">
        <w:rPr>
          <w:rFonts w:ascii="Helvetica" w:hAnsi="Helvetica" w:cs="Helvetica"/>
          <w:color w:val="222222"/>
          <w:sz w:val="20"/>
          <w:szCs w:val="20"/>
          <w:lang w:eastAsia="en-AU"/>
        </w:rPr>
        <w:t>If ruled out by more specific measles IgM serology testing at a jurisdictional public health laboratory, OR</w:t>
      </w:r>
    </w:p>
    <w:p w14:paraId="2DF69A93" w14:textId="77777777" w:rsidR="00C20D36" w:rsidRPr="00C20D36" w:rsidRDefault="00C20D36" w:rsidP="00C20D36">
      <w:pPr>
        <w:numPr>
          <w:ilvl w:val="0"/>
          <w:numId w:val="32"/>
        </w:numPr>
        <w:shd w:val="clear" w:color="auto" w:fill="FFFFFF"/>
        <w:spacing w:after="90" w:line="300" w:lineRule="atLeast"/>
        <w:rPr>
          <w:rFonts w:ascii="Helvetica" w:hAnsi="Helvetica" w:cs="Helvetica"/>
          <w:color w:val="222222"/>
          <w:sz w:val="20"/>
          <w:szCs w:val="20"/>
          <w:lang w:eastAsia="en-AU"/>
        </w:rPr>
      </w:pPr>
      <w:r w:rsidRPr="00C20D36">
        <w:rPr>
          <w:rFonts w:ascii="Helvetica" w:hAnsi="Helvetica" w:cs="Helvetica"/>
          <w:color w:val="222222"/>
          <w:sz w:val="20"/>
          <w:szCs w:val="20"/>
          <w:lang w:eastAsia="en-AU"/>
        </w:rPr>
        <w:t>If the case has received a measles-containing vaccine eight days to eight weeks before testing.</w:t>
      </w:r>
    </w:p>
    <w:p w14:paraId="6894D7BC" w14:textId="77777777" w:rsidR="00C20D36" w:rsidRPr="00C20D36" w:rsidRDefault="00C20D36" w:rsidP="00C20D36">
      <w:pPr>
        <w:shd w:val="clear" w:color="auto" w:fill="FFFFFF"/>
        <w:spacing w:after="120"/>
        <w:outlineLvl w:val="2"/>
        <w:rPr>
          <w:rFonts w:ascii="Open Sans" w:hAnsi="Open Sans" w:cs="Open Sans"/>
          <w:color w:val="000000"/>
          <w:sz w:val="27"/>
          <w:szCs w:val="27"/>
          <w:lang w:eastAsia="en-AU"/>
        </w:rPr>
      </w:pPr>
      <w:r w:rsidRPr="00C20D36">
        <w:rPr>
          <w:rFonts w:ascii="Open Sans" w:hAnsi="Open Sans" w:cs="Open Sans"/>
          <w:color w:val="000000"/>
          <w:sz w:val="27"/>
          <w:szCs w:val="27"/>
          <w:lang w:eastAsia="en-AU"/>
        </w:rPr>
        <w:t>Clinical evidence</w:t>
      </w:r>
    </w:p>
    <w:p w14:paraId="31253B70" w14:textId="77777777" w:rsidR="00C20D36" w:rsidRPr="00C20D36" w:rsidRDefault="00C20D36" w:rsidP="00C20D36">
      <w:pPr>
        <w:shd w:val="clear" w:color="auto" w:fill="FFFFFF"/>
        <w:spacing w:after="240" w:line="300" w:lineRule="atLeast"/>
        <w:rPr>
          <w:rFonts w:ascii="Helvetica" w:hAnsi="Helvetica" w:cs="Helvetica"/>
          <w:color w:val="222222"/>
          <w:sz w:val="20"/>
          <w:szCs w:val="20"/>
          <w:lang w:eastAsia="en-AU"/>
        </w:rPr>
      </w:pPr>
      <w:r w:rsidRPr="00C20D36">
        <w:rPr>
          <w:rFonts w:ascii="Helvetica" w:hAnsi="Helvetica" w:cs="Helvetica"/>
          <w:color w:val="222222"/>
          <w:sz w:val="20"/>
          <w:szCs w:val="20"/>
          <w:lang w:eastAsia="en-AU"/>
        </w:rPr>
        <w:t>As with confirmed case.</w:t>
      </w:r>
    </w:p>
    <w:p w14:paraId="552E0658" w14:textId="4C6EB2E5" w:rsidR="009E0B84" w:rsidRDefault="009E0B84" w:rsidP="00C20D36">
      <w:pPr>
        <w:pStyle w:val="Paragraphtext"/>
      </w:pPr>
    </w:p>
    <w:sectPr w:rsidR="009E0B84" w:rsidSect="00022629">
      <w:footerReference w:type="default" r:id="rId12"/>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97214" w14:textId="77777777" w:rsidR="00C20D36" w:rsidRDefault="00C20D36" w:rsidP="006B56BB">
      <w:r>
        <w:separator/>
      </w:r>
    </w:p>
    <w:p w14:paraId="2D8A25F6" w14:textId="77777777" w:rsidR="00C20D36" w:rsidRDefault="00C20D36"/>
  </w:endnote>
  <w:endnote w:type="continuationSeparator" w:id="0">
    <w:p w14:paraId="3214449B" w14:textId="77777777" w:rsidR="00C20D36" w:rsidRDefault="00C20D36" w:rsidP="006B56BB">
      <w:r>
        <w:continuationSeparator/>
      </w:r>
    </w:p>
    <w:p w14:paraId="4E98C440" w14:textId="77777777" w:rsidR="00C20D36" w:rsidRDefault="00C20D36"/>
  </w:endnote>
  <w:endnote w:type="continuationNotice" w:id="1">
    <w:p w14:paraId="039A3E66" w14:textId="77777777" w:rsidR="00C20D36" w:rsidRDefault="00C20D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14:paraId="12AB4089" w14:textId="680A537E" w:rsidR="00CD407A" w:rsidRDefault="00C20D36">
            <w:pPr>
              <w:pStyle w:val="Footer"/>
              <w:jc w:val="right"/>
            </w:pPr>
            <w:r w:rsidRPr="00C20D36">
              <w:t>Measles</w:t>
            </w:r>
            <w:r w:rsidR="00076AD6">
              <w:t xml:space="preserve"> – </w:t>
            </w:r>
            <w:r w:rsidR="00800DEB">
              <w:t>Surveillance</w:t>
            </w:r>
            <w:r w:rsidR="00076AD6">
              <w:t xml:space="preserve">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p w14:paraId="4ED7910C" w14:textId="77777777" w:rsidR="00CD407A" w:rsidRDefault="00CD4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6727B" w14:textId="77777777" w:rsidR="00C20D36" w:rsidRDefault="00C20D36" w:rsidP="006B56BB">
      <w:r>
        <w:separator/>
      </w:r>
    </w:p>
    <w:p w14:paraId="641292D3" w14:textId="77777777" w:rsidR="00C20D36" w:rsidRDefault="00C20D36"/>
  </w:footnote>
  <w:footnote w:type="continuationSeparator" w:id="0">
    <w:p w14:paraId="4FF0AE55" w14:textId="77777777" w:rsidR="00C20D36" w:rsidRDefault="00C20D36" w:rsidP="006B56BB">
      <w:r>
        <w:continuationSeparator/>
      </w:r>
    </w:p>
    <w:p w14:paraId="5F5CE272" w14:textId="77777777" w:rsidR="00C20D36" w:rsidRDefault="00C20D36"/>
  </w:footnote>
  <w:footnote w:type="continuationNotice" w:id="1">
    <w:p w14:paraId="79E115A2" w14:textId="77777777" w:rsidR="00C20D36" w:rsidRDefault="00C20D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7070A5"/>
    <w:multiLevelType w:val="multilevel"/>
    <w:tmpl w:val="53206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541848"/>
    <w:multiLevelType w:val="multilevel"/>
    <w:tmpl w:val="4A82DF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3370EC1"/>
    <w:multiLevelType w:val="multilevel"/>
    <w:tmpl w:val="85822B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56114D4"/>
    <w:multiLevelType w:val="multilevel"/>
    <w:tmpl w:val="66181C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C4642B"/>
    <w:multiLevelType w:val="multilevel"/>
    <w:tmpl w:val="08EC7F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2BB3934"/>
    <w:multiLevelType w:val="multilevel"/>
    <w:tmpl w:val="6ADCF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6C22B55"/>
    <w:multiLevelType w:val="multilevel"/>
    <w:tmpl w:val="15EEBF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4D34A1"/>
    <w:multiLevelType w:val="multilevel"/>
    <w:tmpl w:val="616CE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1C38C1"/>
    <w:multiLevelType w:val="multilevel"/>
    <w:tmpl w:val="FD66E5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7A1C75"/>
    <w:multiLevelType w:val="multilevel"/>
    <w:tmpl w:val="E97E40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156988"/>
    <w:multiLevelType w:val="multilevel"/>
    <w:tmpl w:val="90B63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F1785A"/>
    <w:multiLevelType w:val="multilevel"/>
    <w:tmpl w:val="C90416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7E4611F1"/>
    <w:multiLevelType w:val="multilevel"/>
    <w:tmpl w:val="16E0D0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0"/>
  </w:num>
  <w:num w:numId="3">
    <w:abstractNumId w:val="27"/>
  </w:num>
  <w:num w:numId="4">
    <w:abstractNumId w:val="8"/>
  </w:num>
  <w:num w:numId="5">
    <w:abstractNumId w:val="8"/>
    <w:lvlOverride w:ilvl="0">
      <w:startOverride w:val="1"/>
    </w:lvlOverride>
  </w:num>
  <w:num w:numId="6">
    <w:abstractNumId w:val="9"/>
  </w:num>
  <w:num w:numId="7">
    <w:abstractNumId w:val="19"/>
  </w:num>
  <w:num w:numId="8">
    <w:abstractNumId w:val="2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9"/>
  </w:num>
  <w:num w:numId="17">
    <w:abstractNumId w:val="10"/>
  </w:num>
  <w:num w:numId="18">
    <w:abstractNumId w:val="12"/>
  </w:num>
  <w:num w:numId="19">
    <w:abstractNumId w:val="15"/>
  </w:num>
  <w:num w:numId="20">
    <w:abstractNumId w:val="18"/>
  </w:num>
  <w:num w:numId="21">
    <w:abstractNumId w:val="16"/>
  </w:num>
  <w:num w:numId="22">
    <w:abstractNumId w:val="11"/>
  </w:num>
  <w:num w:numId="23">
    <w:abstractNumId w:val="14"/>
  </w:num>
  <w:num w:numId="24">
    <w:abstractNumId w:val="23"/>
  </w:num>
  <w:num w:numId="25">
    <w:abstractNumId w:val="28"/>
  </w:num>
  <w:num w:numId="26">
    <w:abstractNumId w:val="22"/>
  </w:num>
  <w:num w:numId="27">
    <w:abstractNumId w:val="21"/>
  </w:num>
  <w:num w:numId="28">
    <w:abstractNumId w:val="25"/>
  </w:num>
  <w:num w:numId="29">
    <w:abstractNumId w:val="24"/>
  </w:num>
  <w:num w:numId="30">
    <w:abstractNumId w:val="13"/>
  </w:num>
  <w:num w:numId="31">
    <w:abstractNumId w:val="3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D36"/>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16E8"/>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75EA"/>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00DEB"/>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42AD3"/>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4926"/>
    <w:rsid w:val="00B16A51"/>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0D36"/>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D361A"/>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0B1683"/>
  <w15:docId w15:val="{ABDCBFC2-87EA-462E-BA1D-DC77705E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uiPriority="9"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link w:val="Heading2Char"/>
    <w:uiPriority w:val="9"/>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link w:val="Heading3Char"/>
    <w:uiPriority w:val="9"/>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3100AE"/>
    <w:pPr>
      <w:numPr>
        <w:ilvl w:val="1"/>
      </w:numPr>
      <w:spacing w:before="120" w:after="60"/>
    </w:pPr>
    <w:rPr>
      <w:rFonts w:ascii="Arial" w:eastAsiaTheme="majorEastAsia" w:hAnsi="Arial" w:cstheme="majorBidi"/>
      <w:iCs/>
      <w:color w:val="000000" w:themeColor="text1"/>
      <w:spacing w:val="15"/>
      <w:sz w:val="40"/>
      <w:szCs w:val="24"/>
      <w:lang w:eastAsia="en-US"/>
    </w:rPr>
  </w:style>
  <w:style w:type="character" w:customStyle="1" w:styleId="SubtitleChar">
    <w:name w:val="Subtitle Char"/>
    <w:basedOn w:val="DefaultParagraphFont"/>
    <w:link w:val="Subtitle"/>
    <w:rsid w:val="003100AE"/>
    <w:rPr>
      <w:rFonts w:ascii="Arial" w:eastAsiaTheme="majorEastAsia" w:hAnsi="Arial"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customStyle="1" w:styleId="TitleChar">
    <w:name w:val="Title Char"/>
    <w:basedOn w:val="DefaultParagraphFont"/>
    <w:link w:val="Title"/>
    <w:rsid w:val="00EC5E9A"/>
    <w:rPr>
      <w:rFonts w:ascii="Arial" w:eastAsiaTheme="majorEastAsia" w:hAnsi="Arial" w:cstheme="majorBidi"/>
      <w:b/>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C5E9A"/>
    <w:pPr>
      <w:spacing w:after="240" w:line="360" w:lineRule="auto"/>
    </w:pPr>
    <w:rPr>
      <w:b w:val="0"/>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customStyle="1" w:styleId="Heading2Char">
    <w:name w:val="Heading 2 Char"/>
    <w:basedOn w:val="DefaultParagraphFont"/>
    <w:link w:val="Heading2"/>
    <w:uiPriority w:val="9"/>
    <w:rsid w:val="00C20D36"/>
    <w:rPr>
      <w:rFonts w:ascii="Arial" w:hAnsi="Arial" w:cs="Arial"/>
      <w:bCs/>
      <w:iCs/>
      <w:color w:val="358189"/>
      <w:sz w:val="32"/>
      <w:szCs w:val="28"/>
      <w:lang w:eastAsia="en-US"/>
    </w:rPr>
  </w:style>
  <w:style w:type="character" w:customStyle="1" w:styleId="Heading3Char">
    <w:name w:val="Heading 3 Char"/>
    <w:basedOn w:val="DefaultParagraphFont"/>
    <w:link w:val="Heading3"/>
    <w:uiPriority w:val="9"/>
    <w:rsid w:val="00C20D36"/>
    <w:rPr>
      <w:rFonts w:ascii="Arial" w:hAnsi="Arial" w:cs="Arial"/>
      <w:bCs/>
      <w:color w:val="358189"/>
      <w:sz w:val="24"/>
      <w:szCs w:val="26"/>
      <w:lang w:eastAsia="en-US"/>
    </w:rPr>
  </w:style>
  <w:style w:type="paragraph" w:styleId="NormalWeb">
    <w:name w:val="Normal (Web)"/>
    <w:basedOn w:val="Normal"/>
    <w:uiPriority w:val="99"/>
    <w:semiHidden/>
    <w:unhideWhenUsed/>
    <w:rsid w:val="00C20D36"/>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303653">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882785873">
      <w:bodyDiv w:val="1"/>
      <w:marLeft w:val="0"/>
      <w:marRight w:val="0"/>
      <w:marTop w:val="0"/>
      <w:marBottom w:val="0"/>
      <w:divBdr>
        <w:top w:val="none" w:sz="0" w:space="0" w:color="auto"/>
        <w:left w:val="none" w:sz="0" w:space="0" w:color="auto"/>
        <w:bottom w:val="none" w:sz="0" w:space="0" w:color="auto"/>
        <w:right w:val="none" w:sz="0" w:space="0" w:color="auto"/>
      </w:divBdr>
      <w:divsChild>
        <w:div w:id="106508935">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Surveillance%20Case%20Definitions\CDNA%20surveillance%20case%20definition%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Props1.xml><?xml version="1.0" encoding="utf-8"?>
<ds:datastoreItem xmlns:ds="http://schemas.openxmlformats.org/officeDocument/2006/customXml" ds:itemID="{1F5E58CC-8D43-4800-A558-6F090D634000}"/>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36487dd-ec90-4f99-8970-1318e5f29791"/>
    <ds:schemaRef ds:uri="http://schemas.microsoft.com/office/2006/documentManagement/types"/>
    <ds:schemaRef ds:uri="dcf7b372-aaaa-46d8-9da6-ade9aab953d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CDNA surveillance case definition template.dotx</Template>
  <TotalTime>4</TotalTime>
  <Pages>3</Pages>
  <Words>512</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Surveillance case definition</vt:lpstr>
    </vt:vector>
  </TitlesOfParts>
  <Company>Dept Health And Ageing</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Measles – Surveillance case definition</dc:title>
  <dc:creator>Communicable Diseases Network Australia</dc:creator>
  <cp:keywords>Communicable diseases</cp:keywords>
  <cp:lastModifiedBy>ARNOLD, Max</cp:lastModifiedBy>
  <cp:revision>2</cp:revision>
  <dcterms:created xsi:type="dcterms:W3CDTF">2022-06-07T05:13:00Z</dcterms:created>
  <dcterms:modified xsi:type="dcterms:W3CDTF">2022-06-07T05:17:00Z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ies>
</file>