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0EECF2BE" w14:textId="77777777" w:rsidTr="00800DEB">
        <w:tc>
          <w:tcPr>
            <w:tcW w:w="2547" w:type="dxa"/>
          </w:tcPr>
          <w:p w14:paraId="61560EAD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6B1B66A3" wp14:editId="153D7B92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3D7DE681" w14:textId="51F56379" w:rsidR="00800DEB" w:rsidRDefault="00985AFE" w:rsidP="00800DEB">
            <w:pPr>
              <w:pStyle w:val="Title"/>
            </w:pPr>
            <w:r w:rsidRPr="00985AFE">
              <w:t>Legionellosis</w:t>
            </w:r>
          </w:p>
          <w:p w14:paraId="2200ACAB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3329159A" w14:textId="7DD798E6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985AFE">
        <w:t>l</w:t>
      </w:r>
      <w:r w:rsidR="00985AFE" w:rsidRPr="00985AFE">
        <w:t>egionellosis</w:t>
      </w:r>
      <w:r w:rsidR="00985AFE">
        <w:t>,</w:t>
      </w:r>
      <w:r w:rsidR="00985AFE" w:rsidRPr="00985AFE">
        <w:t xml:space="preserve"> </w:t>
      </w:r>
      <w:r w:rsidRPr="00872414">
        <w:t xml:space="preserve">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169"/>
        <w:gridCol w:w="3295"/>
        <w:gridCol w:w="1912"/>
        <w:gridCol w:w="2694"/>
      </w:tblGrid>
      <w:tr w:rsidR="00AD356D" w14:paraId="57E56A9C" w14:textId="77777777" w:rsidTr="00AD35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07317A" w14:textId="77777777" w:rsidR="00AD356D" w:rsidRDefault="00AD356D">
            <w:pPr>
              <w:pStyle w:val="TableHeader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D02050A" w14:textId="77777777" w:rsidR="00AD356D" w:rsidRDefault="00AD356D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8823CE" w14:textId="77777777" w:rsidR="00AD356D" w:rsidRDefault="00AD356D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D26124" w14:textId="77777777" w:rsidR="00AD356D" w:rsidRDefault="00AD356D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AD356D" w14:paraId="5443E22D" w14:textId="77777777" w:rsidTr="00AD3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7B5EC" w14:textId="77777777" w:rsidR="00AD356D" w:rsidRDefault="00AD356D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4ACAA4" w14:textId="77777777" w:rsidR="00AD356D" w:rsidRDefault="00AD356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CDNA case definition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4CE05B" w14:textId="77777777" w:rsidR="00AD356D" w:rsidRDefault="00AD356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747B051" w14:textId="77777777" w:rsidR="00AD356D" w:rsidRDefault="00AD356D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74C8961A" w14:textId="77777777" w:rsidR="009E0B84" w:rsidRDefault="009E0B84" w:rsidP="00800DEB"/>
    <w:p w14:paraId="2F6BBC53" w14:textId="77777777" w:rsidR="00985AFE" w:rsidRPr="00985AFE" w:rsidRDefault="00985AFE" w:rsidP="00985AFE">
      <w:pPr>
        <w:shd w:val="clear" w:color="auto" w:fill="FFFFFF"/>
        <w:spacing w:after="120"/>
        <w:outlineLvl w:val="1"/>
        <w:rPr>
          <w:rFonts w:ascii="Open Sans" w:hAnsi="Open Sans" w:cs="Open Sans"/>
          <w:color w:val="000000"/>
          <w:sz w:val="36"/>
          <w:szCs w:val="36"/>
          <w:lang w:eastAsia="en-AU"/>
        </w:rPr>
      </w:pPr>
      <w:r w:rsidRPr="00985AFE">
        <w:rPr>
          <w:rFonts w:ascii="Open Sans" w:hAnsi="Open Sans" w:cs="Open Sans"/>
          <w:color w:val="000000"/>
          <w:sz w:val="36"/>
          <w:szCs w:val="36"/>
          <w:lang w:eastAsia="en-AU"/>
        </w:rPr>
        <w:t>Reporting</w:t>
      </w:r>
    </w:p>
    <w:p w14:paraId="53249996" w14:textId="1BEAC665" w:rsidR="00985AFE" w:rsidRPr="00985AFE" w:rsidRDefault="00985AFE" w:rsidP="00985AFE">
      <w:pPr>
        <w:rPr>
          <w:rFonts w:ascii="Times New Roman" w:hAnsi="Times New Roman"/>
          <w:sz w:val="24"/>
          <w:lang w:eastAsia="en-AU"/>
        </w:rPr>
      </w:pP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Both </w:t>
      </w:r>
      <w:r w:rsidRPr="00985AFE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and </w:t>
      </w:r>
      <w:r w:rsidRPr="00985AFE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probable cases</w:t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</w:p>
    <w:p w14:paraId="3E24FCBD" w14:textId="77777777" w:rsidR="00985AFE" w:rsidRPr="00985AFE" w:rsidRDefault="00985AFE" w:rsidP="00985AFE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985AFE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2C00B20F" w14:textId="18C9D661" w:rsidR="00985AFE" w:rsidRPr="00985AFE" w:rsidRDefault="00985AFE" w:rsidP="00985AFE">
      <w:pPr>
        <w:rPr>
          <w:rFonts w:ascii="Times New Roman" w:hAnsi="Times New Roman"/>
          <w:sz w:val="24"/>
          <w:lang w:eastAsia="en-AU"/>
        </w:rPr>
      </w:pP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 </w:t>
      </w:r>
      <w:r w:rsidRPr="00985AFE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</w:t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requires </w:t>
      </w:r>
      <w:r w:rsidRPr="00985AFE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definitive evidence</w:t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AND </w:t>
      </w:r>
      <w:r w:rsidRPr="00985AFE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clinical evidence</w:t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.</w:t>
      </w:r>
    </w:p>
    <w:p w14:paraId="31BBA34C" w14:textId="77777777" w:rsidR="00985AFE" w:rsidRPr="00985AFE" w:rsidRDefault="00985AFE" w:rsidP="00985AFE">
      <w:pPr>
        <w:shd w:val="clear" w:color="auto" w:fill="FFFFFF"/>
        <w:spacing w:before="240"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985AFE">
        <w:rPr>
          <w:rFonts w:ascii="Open Sans" w:hAnsi="Open Sans" w:cs="Open Sans"/>
          <w:color w:val="000000"/>
          <w:sz w:val="24"/>
          <w:lang w:eastAsia="en-AU"/>
        </w:rPr>
        <w:t>Laboratory definitive evidence</w:t>
      </w:r>
    </w:p>
    <w:p w14:paraId="067456C8" w14:textId="1231F7DF" w:rsidR="00985AFE" w:rsidRPr="00985AFE" w:rsidRDefault="00985AFE" w:rsidP="00985AFE">
      <w:pPr>
        <w:rPr>
          <w:rFonts w:ascii="Times New Roman" w:hAnsi="Times New Roman"/>
          <w:sz w:val="24"/>
          <w:lang w:eastAsia="en-AU"/>
        </w:rPr>
      </w:pP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Isolation of </w:t>
      </w:r>
      <w:r w:rsidRPr="00985AFE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Legionella</w:t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OR</w:t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Detection of Legionella urinary antigen</w:t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OR</w:t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Seroconversion or a significant increase in antibody level or a fourfold or greater rise in titre to </w:t>
      </w:r>
      <w:r w:rsidRPr="00985AFE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Legionella</w:t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.</w:t>
      </w:r>
    </w:p>
    <w:p w14:paraId="769E3D31" w14:textId="77777777" w:rsidR="00985AFE" w:rsidRDefault="00985AFE">
      <w:pPr>
        <w:rPr>
          <w:rFonts w:ascii="Open Sans" w:hAnsi="Open Sans" w:cs="Open Sans"/>
          <w:color w:val="000000"/>
          <w:sz w:val="27"/>
          <w:szCs w:val="27"/>
          <w:lang w:eastAsia="en-AU"/>
        </w:rPr>
      </w:pPr>
      <w:r>
        <w:rPr>
          <w:rFonts w:ascii="Open Sans" w:hAnsi="Open Sans" w:cs="Open Sans"/>
          <w:color w:val="000000"/>
          <w:sz w:val="27"/>
          <w:szCs w:val="27"/>
          <w:lang w:eastAsia="en-AU"/>
        </w:rPr>
        <w:br w:type="page"/>
      </w:r>
    </w:p>
    <w:p w14:paraId="3831E4AA" w14:textId="5DF40CDC" w:rsidR="00985AFE" w:rsidRPr="00985AFE" w:rsidRDefault="00985AFE" w:rsidP="00985AFE">
      <w:pPr>
        <w:keepNext/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985AFE">
        <w:rPr>
          <w:rFonts w:ascii="Open Sans" w:hAnsi="Open Sans" w:cs="Open Sans"/>
          <w:color w:val="000000"/>
          <w:sz w:val="27"/>
          <w:szCs w:val="27"/>
          <w:lang w:eastAsia="en-AU"/>
        </w:rPr>
        <w:lastRenderedPageBreak/>
        <w:t>Clinical evidence for confirmed cases</w:t>
      </w:r>
    </w:p>
    <w:p w14:paraId="6D1E1576" w14:textId="28DA49D8" w:rsidR="00985AFE" w:rsidRPr="00985AFE" w:rsidRDefault="00985AFE" w:rsidP="00985AFE">
      <w:pPr>
        <w:keepNext/>
        <w:rPr>
          <w:rFonts w:ascii="Times New Roman" w:hAnsi="Times New Roman"/>
          <w:sz w:val="24"/>
          <w:lang w:eastAsia="en-AU"/>
        </w:rPr>
      </w:pP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Fever</w:t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OR</w:t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Cough</w:t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OR</w:t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Pneumonia</w:t>
      </w:r>
    </w:p>
    <w:p w14:paraId="362A498D" w14:textId="77777777" w:rsidR="00985AFE" w:rsidRPr="00985AFE" w:rsidRDefault="00985AFE" w:rsidP="00985AFE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985AFE">
        <w:rPr>
          <w:rFonts w:ascii="Open Sans" w:hAnsi="Open Sans" w:cs="Open Sans"/>
          <w:color w:val="000000"/>
          <w:sz w:val="27"/>
          <w:szCs w:val="27"/>
          <w:lang w:eastAsia="en-AU"/>
        </w:rPr>
        <w:t>Probable case</w:t>
      </w:r>
    </w:p>
    <w:p w14:paraId="0F547F77" w14:textId="594F9AD7" w:rsidR="00985AFE" w:rsidRPr="00985AFE" w:rsidRDefault="00985AFE" w:rsidP="00985AFE">
      <w:pPr>
        <w:rPr>
          <w:rFonts w:ascii="Times New Roman" w:hAnsi="Times New Roman"/>
          <w:sz w:val="24"/>
          <w:lang w:eastAsia="en-AU"/>
        </w:rPr>
      </w:pP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 </w:t>
      </w:r>
      <w:r w:rsidRPr="00985AFE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probable case</w:t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requires </w:t>
      </w:r>
      <w:r w:rsidRPr="00985AFE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suggestive evidence</w:t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AND </w:t>
      </w:r>
      <w:r w:rsidRPr="00985AFE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clinical evidence</w:t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.</w:t>
      </w:r>
    </w:p>
    <w:p w14:paraId="37AAB885" w14:textId="77777777" w:rsidR="00985AFE" w:rsidRPr="00985AFE" w:rsidRDefault="00985AFE" w:rsidP="00985AFE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985AFE">
        <w:rPr>
          <w:rFonts w:ascii="Open Sans" w:hAnsi="Open Sans" w:cs="Open Sans"/>
          <w:color w:val="000000"/>
          <w:sz w:val="27"/>
          <w:szCs w:val="27"/>
          <w:lang w:eastAsia="en-AU"/>
        </w:rPr>
        <w:t>Laboratory suggestive evidence</w:t>
      </w:r>
    </w:p>
    <w:p w14:paraId="2B759A50" w14:textId="24D284B7" w:rsidR="00985AFE" w:rsidRPr="00985AFE" w:rsidRDefault="00985AFE" w:rsidP="00985AFE">
      <w:pPr>
        <w:rPr>
          <w:rFonts w:ascii="Times New Roman" w:hAnsi="Times New Roman"/>
          <w:sz w:val="24"/>
          <w:lang w:eastAsia="en-AU"/>
        </w:rPr>
      </w:pP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Single high antibody titre to </w:t>
      </w:r>
      <w:r w:rsidRPr="00985AFE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Legionella</w:t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OR</w:t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Detection of </w:t>
      </w:r>
      <w:r w:rsidRPr="00985AFE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Legionella</w:t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by nucleic acid testing</w:t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OR</w:t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Detection of </w:t>
      </w:r>
      <w:r w:rsidRPr="00985AFE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Legionella</w:t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by direct fluorescence assay.</w:t>
      </w:r>
    </w:p>
    <w:p w14:paraId="59ADBA4A" w14:textId="77777777" w:rsidR="00985AFE" w:rsidRPr="00985AFE" w:rsidRDefault="00985AFE" w:rsidP="00985AFE">
      <w:pPr>
        <w:shd w:val="clear" w:color="auto" w:fill="FFFFFF"/>
        <w:spacing w:before="240" w:after="120"/>
        <w:outlineLvl w:val="3"/>
        <w:rPr>
          <w:rFonts w:ascii="Open Sans" w:hAnsi="Open Sans" w:cs="Open Sans"/>
          <w:color w:val="000000"/>
          <w:sz w:val="24"/>
          <w:lang w:eastAsia="en-AU"/>
        </w:rPr>
      </w:pPr>
      <w:r w:rsidRPr="00985AFE">
        <w:rPr>
          <w:rFonts w:ascii="Open Sans" w:hAnsi="Open Sans" w:cs="Open Sans"/>
          <w:color w:val="000000"/>
          <w:sz w:val="24"/>
          <w:lang w:eastAsia="en-AU"/>
        </w:rPr>
        <w:t>Clinical evidence for probable cases</w:t>
      </w:r>
    </w:p>
    <w:p w14:paraId="23D630D0" w14:textId="78D090CE" w:rsidR="009E0B84" w:rsidRDefault="00985AFE" w:rsidP="00985AFE">
      <w:pPr>
        <w:pStyle w:val="Paragraphtext"/>
      </w:pP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Fever AND Cough</w:t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OR</w:t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lang w:eastAsia="en-AU"/>
        </w:rPr>
        <w:br/>
      </w:r>
      <w:r w:rsidRPr="00985A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Pneumonia</w:t>
      </w:r>
    </w:p>
    <w:sectPr w:rsidR="009E0B84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AC0939" w14:textId="77777777" w:rsidR="00985AFE" w:rsidRDefault="00985AFE" w:rsidP="006B56BB">
      <w:r>
        <w:separator/>
      </w:r>
    </w:p>
    <w:p w14:paraId="6FEAB395" w14:textId="77777777" w:rsidR="00985AFE" w:rsidRDefault="00985AFE"/>
  </w:endnote>
  <w:endnote w:type="continuationSeparator" w:id="0">
    <w:p w14:paraId="68925517" w14:textId="77777777" w:rsidR="00985AFE" w:rsidRDefault="00985AFE" w:rsidP="006B56BB">
      <w:r>
        <w:continuationSeparator/>
      </w:r>
    </w:p>
    <w:p w14:paraId="50D73044" w14:textId="77777777" w:rsidR="00985AFE" w:rsidRDefault="00985AFE"/>
  </w:endnote>
  <w:endnote w:type="continuationNotice" w:id="1">
    <w:p w14:paraId="06B9E8A7" w14:textId="77777777" w:rsidR="00985AFE" w:rsidRDefault="00985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1D0A6" w14:textId="1A3F85D3" w:rsidR="00CD407A" w:rsidRDefault="00985AFE">
            <w:pPr>
              <w:pStyle w:val="Footer"/>
              <w:jc w:val="right"/>
            </w:pPr>
            <w:r w:rsidRPr="00985AFE">
              <w:t xml:space="preserve">Legionellosis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C1E3B75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A495B" w14:textId="77777777" w:rsidR="00985AFE" w:rsidRDefault="00985AFE" w:rsidP="006B56BB">
      <w:r>
        <w:separator/>
      </w:r>
    </w:p>
    <w:p w14:paraId="6F9D2689" w14:textId="77777777" w:rsidR="00985AFE" w:rsidRDefault="00985AFE"/>
  </w:footnote>
  <w:footnote w:type="continuationSeparator" w:id="0">
    <w:p w14:paraId="6F9C1D11" w14:textId="77777777" w:rsidR="00985AFE" w:rsidRDefault="00985AFE" w:rsidP="006B56BB">
      <w:r>
        <w:continuationSeparator/>
      </w:r>
    </w:p>
    <w:p w14:paraId="53140831" w14:textId="77777777" w:rsidR="00985AFE" w:rsidRDefault="00985AFE"/>
  </w:footnote>
  <w:footnote w:type="continuationNotice" w:id="1">
    <w:p w14:paraId="6C5B0625" w14:textId="77777777" w:rsidR="00985AFE" w:rsidRDefault="00985A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AFE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2C12"/>
    <w:rsid w:val="00945E7F"/>
    <w:rsid w:val="009557C1"/>
    <w:rsid w:val="00960D6E"/>
    <w:rsid w:val="00974B59"/>
    <w:rsid w:val="0098340B"/>
    <w:rsid w:val="00985AFE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D356D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0E1B575"/>
  <w15:docId w15:val="{2BD8FD25-7254-4D8D-B9D7-952B021C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985AFE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85AFE"/>
    <w:rPr>
      <w:rFonts w:ascii="Arial" w:hAnsi="Arial" w:cs="Arial"/>
      <w:bCs/>
      <w:color w:val="358189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985AFE"/>
    <w:rPr>
      <w:rFonts w:ascii="Arial" w:hAnsi="Arial"/>
      <w:b/>
      <w:bCs/>
      <w:i/>
      <w:color w:val="414141"/>
      <w:sz w:val="24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0739F-E72A-4AC6-8EB7-986CAB5C715F}"/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6487dd-ec90-4f99-8970-1318e5f29791"/>
    <ds:schemaRef ds:uri="http://purl.org/dc/elements/1.1/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7</TotalTime>
  <Pages>2</Pages>
  <Words>170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Legionellosis – Surveillance case definition</dc:title>
  <dc:creator>Communicable Diseases Network Australia</dc:creator>
  <cp:keywords>Communicable diseases</cp:keywords>
  <cp:lastModifiedBy>ARNOLD, Max</cp:lastModifiedBy>
  <cp:revision>3</cp:revision>
  <dcterms:created xsi:type="dcterms:W3CDTF">2022-06-07T04:20:00Z</dcterms:created>
  <dcterms:modified xsi:type="dcterms:W3CDTF">2022-06-09T05:38:00Z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