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AC24" w14:textId="17CDB792" w:rsidR="006D5FD8" w:rsidRPr="002C078F" w:rsidRDefault="006D5FD8" w:rsidP="000A7A74">
      <w:pPr>
        <w:pStyle w:val="Title"/>
      </w:pPr>
      <w:r w:rsidRPr="002C078F">
        <w:t>Health Technology Assessment (HTA)</w:t>
      </w:r>
      <w:r w:rsidR="000A7A74">
        <w:t xml:space="preserve"> </w:t>
      </w:r>
      <w:r w:rsidRPr="002C078F">
        <w:t>Consumer Consultative Committee</w:t>
      </w:r>
      <w:r>
        <w:t xml:space="preserve"> (CCC)</w:t>
      </w:r>
    </w:p>
    <w:p w14:paraId="4857C0B0" w14:textId="77777777" w:rsidR="006D5FD8" w:rsidRPr="008376E2" w:rsidRDefault="006D5FD8" w:rsidP="006D5FD8">
      <w:pPr>
        <w:sectPr w:rsidR="006D5FD8" w:rsidRPr="008376E2" w:rsidSect="0068134A">
          <w:footerReference w:type="default" r:id="rId8"/>
          <w:headerReference w:type="first" r:id="rId9"/>
          <w:footerReference w:type="first" r:id="rId10"/>
          <w:pgSz w:w="11906" w:h="16838"/>
          <w:pgMar w:top="1701" w:right="1418" w:bottom="1418" w:left="1418" w:header="851" w:footer="510" w:gutter="0"/>
          <w:cols w:space="708"/>
          <w:titlePg/>
          <w:docGrid w:linePitch="360"/>
        </w:sectPr>
      </w:pPr>
    </w:p>
    <w:p w14:paraId="1F38A7F8" w14:textId="623438F4" w:rsidR="006D5FD8" w:rsidRDefault="004F579A" w:rsidP="000A7A74">
      <w:pPr>
        <w:pStyle w:val="Heading1"/>
      </w:pPr>
      <w:r w:rsidRPr="004F579A">
        <w:t>HTA CCC Communique –</w:t>
      </w:r>
      <w:r>
        <w:t xml:space="preserve"> </w:t>
      </w:r>
      <w:r w:rsidR="004D21EB" w:rsidRPr="0078551E">
        <w:t>Thursday 1</w:t>
      </w:r>
      <w:r w:rsidR="00DE4BBE">
        <w:t>7</w:t>
      </w:r>
      <w:r w:rsidR="004D21EB" w:rsidRPr="0078551E">
        <w:t xml:space="preserve">th </w:t>
      </w:r>
      <w:r w:rsidR="00DE4BBE">
        <w:t>February 2022</w:t>
      </w:r>
      <w:r w:rsidR="000A7A74">
        <w:t xml:space="preserve"> </w:t>
      </w:r>
      <w:r w:rsidR="009E3784">
        <w:t>1</w:t>
      </w:r>
      <w:r w:rsidR="00DE4BBE">
        <w:t>9</w:t>
      </w:r>
      <w:r w:rsidR="009E3784" w:rsidRPr="000A7A74">
        <w:t>th</w:t>
      </w:r>
      <w:r w:rsidR="009E3784">
        <w:t xml:space="preserve"> </w:t>
      </w:r>
      <w:r w:rsidR="006D5FD8">
        <w:t>meeting of the HTA CCC</w:t>
      </w:r>
      <w:r w:rsidR="003B2506">
        <w:t>,</w:t>
      </w:r>
      <w:r w:rsidR="00850D7C">
        <w:t xml:space="preserve"> held via videoconference</w:t>
      </w:r>
    </w:p>
    <w:p w14:paraId="55693CF7" w14:textId="288920A6" w:rsidR="006D5FD8" w:rsidRDefault="006D5FD8" w:rsidP="000A7A74">
      <w:pPr>
        <w:pStyle w:val="Heading2"/>
      </w:pPr>
      <w:r w:rsidRPr="0025504D">
        <w:t>Attendees</w:t>
      </w:r>
    </w:p>
    <w:p w14:paraId="6EABE876" w14:textId="77777777" w:rsidR="00D5183B" w:rsidRPr="00D5183B" w:rsidRDefault="00D5183B" w:rsidP="00D5183B">
      <w:r w:rsidRPr="00D5183B">
        <w:t>Consumer representatives from the Pharmaceutical Benefits Advisory Committee (PBAC) and its subcommittee, the Drug Utilisation Sub Committee, the Medical Services Advisory Committee (MSAC) and its subcommittees, and the Prostheses List Advisory Committee (PLAC).</w:t>
      </w:r>
    </w:p>
    <w:p w14:paraId="5D83D36D" w14:textId="77777777" w:rsidR="00D5183B" w:rsidRPr="00B13E21" w:rsidRDefault="00D5183B" w:rsidP="00B13E21">
      <w:r w:rsidRPr="00B13E21">
        <w:t>Departmental representatives from the Consumer Evidence and Engagement Unit (CEEU) and the Office of Health Technology Assessment (OHTA) HTA Support Unit.</w:t>
      </w:r>
    </w:p>
    <w:p w14:paraId="0B9792E1" w14:textId="5891695C" w:rsidR="00954EC3" w:rsidRPr="0025504D" w:rsidRDefault="00954EC3" w:rsidP="00D5183B">
      <w:pPr>
        <w:pStyle w:val="Heading2"/>
      </w:pPr>
      <w:r w:rsidRPr="00551270">
        <w:t>Outcomes</w:t>
      </w:r>
      <w:r>
        <w:t xml:space="preserve"> </w:t>
      </w:r>
    </w:p>
    <w:p w14:paraId="521E8FE4" w14:textId="02E4AD43" w:rsidR="000A545F" w:rsidRPr="0054540B" w:rsidRDefault="000A545F" w:rsidP="00551270">
      <w:pPr>
        <w:ind w:right="-2"/>
      </w:pPr>
      <w:r w:rsidRPr="00595CBC">
        <w:t>The Chair</w:t>
      </w:r>
      <w:r>
        <w:t xml:space="preserve"> (Jo Watson)</w:t>
      </w:r>
      <w:r w:rsidRPr="00595CBC">
        <w:t xml:space="preserve"> provided an overview of </w:t>
      </w:r>
      <w:r>
        <w:t>her</w:t>
      </w:r>
      <w:r w:rsidRPr="00595CBC">
        <w:t xml:space="preserve"> activities since the last HTA CCC meeting on</w:t>
      </w:r>
      <w:r w:rsidR="0054540B">
        <w:t xml:space="preserve"> </w:t>
      </w:r>
      <w:r>
        <w:t>18 November</w:t>
      </w:r>
      <w:r w:rsidRPr="00595CBC">
        <w:t xml:space="preserve"> 2021.</w:t>
      </w:r>
      <w:r>
        <w:t xml:space="preserve"> These activities included </w:t>
      </w:r>
      <w:r w:rsidRPr="00040FBD">
        <w:rPr>
          <w:bCs/>
          <w:szCs w:val="22"/>
        </w:rPr>
        <w:t>meeting</w:t>
      </w:r>
      <w:r>
        <w:rPr>
          <w:bCs/>
          <w:szCs w:val="22"/>
        </w:rPr>
        <w:t>s</w:t>
      </w:r>
      <w:r w:rsidRPr="00040FBD">
        <w:rPr>
          <w:bCs/>
          <w:szCs w:val="22"/>
        </w:rPr>
        <w:t xml:space="preserve"> with </w:t>
      </w:r>
      <w:r>
        <w:rPr>
          <w:bCs/>
          <w:szCs w:val="22"/>
        </w:rPr>
        <w:t xml:space="preserve">the </w:t>
      </w:r>
      <w:r w:rsidRPr="00040FBD">
        <w:rPr>
          <w:bCs/>
          <w:szCs w:val="22"/>
        </w:rPr>
        <w:t>National Aboriginal C</w:t>
      </w:r>
      <w:r w:rsidRPr="00040FBD">
        <w:rPr>
          <w:szCs w:val="22"/>
        </w:rPr>
        <w:t>ommunity Controlled Health Organisation</w:t>
      </w:r>
      <w:r>
        <w:rPr>
          <w:bCs/>
          <w:szCs w:val="22"/>
        </w:rPr>
        <w:t xml:space="preserve">, </w:t>
      </w:r>
      <w:r w:rsidRPr="00DE29BE">
        <w:rPr>
          <w:bCs/>
          <w:szCs w:val="22"/>
        </w:rPr>
        <w:t>Cystic Fibrosis Australia</w:t>
      </w:r>
      <w:r>
        <w:rPr>
          <w:bCs/>
          <w:szCs w:val="22"/>
        </w:rPr>
        <w:t xml:space="preserve"> and </w:t>
      </w:r>
      <w:r w:rsidRPr="00040FBD">
        <w:rPr>
          <w:bCs/>
          <w:szCs w:val="22"/>
        </w:rPr>
        <w:t>Breast Cancer Network Australia</w:t>
      </w:r>
      <w:r>
        <w:rPr>
          <w:bCs/>
          <w:szCs w:val="22"/>
        </w:rPr>
        <w:t>.</w:t>
      </w:r>
    </w:p>
    <w:p w14:paraId="321BF902" w14:textId="77777777" w:rsidR="000A545F" w:rsidRDefault="000A545F" w:rsidP="00551270">
      <w:pPr>
        <w:ind w:right="-2"/>
        <w:rPr>
          <w:bCs/>
          <w:szCs w:val="22"/>
        </w:rPr>
      </w:pPr>
      <w:r w:rsidRPr="00577DA0">
        <w:rPr>
          <w:bCs/>
          <w:szCs w:val="22"/>
        </w:rPr>
        <w:t>The Chair also noted upcoming work plan activities</w:t>
      </w:r>
      <w:r>
        <w:rPr>
          <w:bCs/>
          <w:szCs w:val="22"/>
        </w:rPr>
        <w:t xml:space="preserve">, including </w:t>
      </w:r>
      <w:r w:rsidRPr="00577DA0">
        <w:rPr>
          <w:bCs/>
          <w:szCs w:val="22"/>
        </w:rPr>
        <w:t>consumer consultations relating to the 2022–2027 Strategic Agreement between the Australian</w:t>
      </w:r>
      <w:r>
        <w:rPr>
          <w:bCs/>
          <w:szCs w:val="22"/>
        </w:rPr>
        <w:t xml:space="preserve"> </w:t>
      </w:r>
      <w:r w:rsidRPr="00577DA0">
        <w:rPr>
          <w:bCs/>
          <w:szCs w:val="22"/>
        </w:rPr>
        <w:t>Government and Medicines Australia</w:t>
      </w:r>
      <w:r>
        <w:rPr>
          <w:bCs/>
          <w:szCs w:val="22"/>
        </w:rPr>
        <w:t>.</w:t>
      </w:r>
    </w:p>
    <w:p w14:paraId="25C978D6" w14:textId="77777777" w:rsidR="000A545F" w:rsidRDefault="000A545F" w:rsidP="00551270">
      <w:pPr>
        <w:ind w:right="-2"/>
        <w:rPr>
          <w:bCs/>
          <w:szCs w:val="22"/>
        </w:rPr>
      </w:pPr>
      <w:r>
        <w:rPr>
          <w:rFonts w:cs="Arial"/>
          <w:bCs/>
          <w:szCs w:val="22"/>
        </w:rPr>
        <w:t xml:space="preserve">The </w:t>
      </w:r>
      <w:r w:rsidRPr="00040FBD">
        <w:rPr>
          <w:rFonts w:cs="Arial"/>
          <w:bCs/>
          <w:szCs w:val="22"/>
        </w:rPr>
        <w:t>CEEU</w:t>
      </w:r>
      <w:r>
        <w:rPr>
          <w:rFonts w:cs="Arial"/>
          <w:bCs/>
          <w:szCs w:val="22"/>
        </w:rPr>
        <w:t xml:space="preserve"> Lead gave</w:t>
      </w:r>
      <w:r w:rsidRPr="00040FBD">
        <w:rPr>
          <w:rFonts w:cs="Arial"/>
          <w:bCs/>
          <w:szCs w:val="22"/>
        </w:rPr>
        <w:t xml:space="preserve"> an update on the </w:t>
      </w:r>
      <w:r>
        <w:rPr>
          <w:rFonts w:cs="Arial"/>
          <w:bCs/>
          <w:szCs w:val="22"/>
        </w:rPr>
        <w:t>consultation process for MSAC and its PICO Advisory Subcommittee, which is coordinated by the CEEU</w:t>
      </w:r>
      <w:r w:rsidRPr="00040FBD">
        <w:rPr>
          <w:rFonts w:cs="Arial"/>
          <w:bCs/>
          <w:szCs w:val="22"/>
        </w:rPr>
        <w:t xml:space="preserve">. </w:t>
      </w:r>
      <w:r>
        <w:rPr>
          <w:rFonts w:cs="Arial"/>
          <w:bCs/>
          <w:szCs w:val="22"/>
        </w:rPr>
        <w:t xml:space="preserve">The </w:t>
      </w:r>
      <w:r w:rsidRPr="00192171">
        <w:rPr>
          <w:rFonts w:cs="Arial"/>
          <w:bCs/>
          <w:szCs w:val="22"/>
        </w:rPr>
        <w:t>CEEU will continue work</w:t>
      </w:r>
      <w:r>
        <w:rPr>
          <w:rFonts w:cs="Arial"/>
          <w:bCs/>
          <w:szCs w:val="22"/>
        </w:rPr>
        <w:t>ing</w:t>
      </w:r>
      <w:r w:rsidRPr="00192171">
        <w:rPr>
          <w:rFonts w:cs="Arial"/>
          <w:bCs/>
          <w:szCs w:val="22"/>
        </w:rPr>
        <w:t xml:space="preserve"> </w:t>
      </w:r>
      <w:r>
        <w:rPr>
          <w:rFonts w:cs="Arial"/>
          <w:bCs/>
          <w:szCs w:val="22"/>
        </w:rPr>
        <w:t>towards</w:t>
      </w:r>
      <w:r w:rsidRPr="00192171">
        <w:rPr>
          <w:rFonts w:cs="Arial"/>
          <w:bCs/>
          <w:szCs w:val="22"/>
        </w:rPr>
        <w:t xml:space="preserve"> improving </w:t>
      </w:r>
      <w:r>
        <w:rPr>
          <w:rFonts w:cs="Arial"/>
          <w:bCs/>
          <w:szCs w:val="22"/>
        </w:rPr>
        <w:t xml:space="preserve">this </w:t>
      </w:r>
      <w:r w:rsidRPr="00192171">
        <w:rPr>
          <w:rFonts w:cs="Arial"/>
          <w:bCs/>
          <w:szCs w:val="22"/>
        </w:rPr>
        <w:t>process with stakeholders</w:t>
      </w:r>
      <w:r>
        <w:rPr>
          <w:rFonts w:cs="Arial"/>
          <w:bCs/>
          <w:szCs w:val="22"/>
        </w:rPr>
        <w:t xml:space="preserve"> </w:t>
      </w:r>
      <w:r w:rsidRPr="00192171">
        <w:rPr>
          <w:rFonts w:cs="Arial"/>
          <w:bCs/>
          <w:szCs w:val="22"/>
        </w:rPr>
        <w:t xml:space="preserve">including </w:t>
      </w:r>
      <w:r>
        <w:rPr>
          <w:rFonts w:cs="Arial"/>
          <w:bCs/>
          <w:szCs w:val="22"/>
        </w:rPr>
        <w:t xml:space="preserve">professional </w:t>
      </w:r>
      <w:r w:rsidRPr="00192171">
        <w:rPr>
          <w:rFonts w:cs="Arial"/>
          <w:bCs/>
          <w:szCs w:val="22"/>
        </w:rPr>
        <w:t>colleges, societies and consumer groups.</w:t>
      </w:r>
    </w:p>
    <w:p w14:paraId="1326DEF2" w14:textId="77777777" w:rsidR="000A545F" w:rsidRPr="00C607F6" w:rsidRDefault="000A545F" w:rsidP="00551270">
      <w:pPr>
        <w:ind w:right="-2"/>
        <w:rPr>
          <w:rFonts w:cs="Arial"/>
          <w:bCs/>
          <w:color w:val="00B050"/>
          <w:szCs w:val="22"/>
        </w:rPr>
      </w:pPr>
      <w:r>
        <w:rPr>
          <w:rFonts w:cs="Arial"/>
          <w:bCs/>
          <w:szCs w:val="22"/>
        </w:rPr>
        <w:t xml:space="preserve">The Lead also advised that </w:t>
      </w:r>
      <w:r>
        <w:rPr>
          <w:bCs/>
          <w:szCs w:val="22"/>
        </w:rPr>
        <w:t>the OHTA Consultation Hub (a web platform enabling any interested person</w:t>
      </w:r>
      <w:r w:rsidRPr="00DD3647">
        <w:rPr>
          <w:bCs/>
          <w:szCs w:val="22"/>
        </w:rPr>
        <w:t xml:space="preserve"> </w:t>
      </w:r>
      <w:r>
        <w:rPr>
          <w:bCs/>
          <w:szCs w:val="22"/>
        </w:rPr>
        <w:t xml:space="preserve">to </w:t>
      </w:r>
      <w:r w:rsidRPr="00DD3647">
        <w:rPr>
          <w:bCs/>
          <w:szCs w:val="22"/>
        </w:rPr>
        <w:t>find, share and participate in HTA consultations</w:t>
      </w:r>
      <w:r>
        <w:rPr>
          <w:bCs/>
          <w:szCs w:val="22"/>
        </w:rPr>
        <w:t xml:space="preserve">) was successfully launched </w:t>
      </w:r>
      <w:r w:rsidRPr="00DE0A8D">
        <w:rPr>
          <w:bCs/>
          <w:szCs w:val="22"/>
        </w:rPr>
        <w:t xml:space="preserve">on </w:t>
      </w:r>
      <w:r>
        <w:rPr>
          <w:bCs/>
          <w:szCs w:val="22"/>
        </w:rPr>
        <w:br/>
      </w:r>
      <w:r w:rsidRPr="00DE0A8D">
        <w:rPr>
          <w:bCs/>
          <w:szCs w:val="22"/>
        </w:rPr>
        <w:t xml:space="preserve">1 December </w:t>
      </w:r>
      <w:r w:rsidRPr="009255D6">
        <w:rPr>
          <w:bCs/>
          <w:szCs w:val="22"/>
        </w:rPr>
        <w:t>2021</w:t>
      </w:r>
      <w:r>
        <w:rPr>
          <w:bCs/>
          <w:szCs w:val="22"/>
        </w:rPr>
        <w:t xml:space="preserve"> and has been</w:t>
      </w:r>
      <w:r w:rsidRPr="009255D6">
        <w:rPr>
          <w:bCs/>
          <w:szCs w:val="22"/>
        </w:rPr>
        <w:t xml:space="preserve"> used for the March 2022 PBAC consultation</w:t>
      </w:r>
      <w:r w:rsidRPr="009255D6">
        <w:rPr>
          <w:rFonts w:cs="Arial"/>
          <w:bCs/>
          <w:szCs w:val="22"/>
        </w:rPr>
        <w:t xml:space="preserve">. </w:t>
      </w:r>
      <w:r w:rsidRPr="00EF31CE">
        <w:rPr>
          <w:rFonts w:cs="Arial"/>
          <w:bCs/>
          <w:szCs w:val="22"/>
        </w:rPr>
        <w:t xml:space="preserve">For this </w:t>
      </w:r>
      <w:r>
        <w:rPr>
          <w:rFonts w:cs="Arial"/>
          <w:bCs/>
          <w:szCs w:val="22"/>
        </w:rPr>
        <w:t xml:space="preserve">PBAC </w:t>
      </w:r>
      <w:r w:rsidRPr="00EF31CE">
        <w:rPr>
          <w:rFonts w:cs="Arial"/>
          <w:bCs/>
          <w:szCs w:val="22"/>
        </w:rPr>
        <w:t>consultation</w:t>
      </w:r>
      <w:r>
        <w:rPr>
          <w:rFonts w:cs="Arial"/>
          <w:bCs/>
          <w:szCs w:val="22"/>
        </w:rPr>
        <w:t xml:space="preserve">, a </w:t>
      </w:r>
      <w:r w:rsidRPr="00EF31CE">
        <w:rPr>
          <w:rFonts w:cs="Arial"/>
          <w:bCs/>
          <w:szCs w:val="22"/>
        </w:rPr>
        <w:t>question was added to the consultation survey</w:t>
      </w:r>
      <w:r>
        <w:rPr>
          <w:rFonts w:cs="Arial"/>
          <w:bCs/>
          <w:szCs w:val="22"/>
        </w:rPr>
        <w:t xml:space="preserve"> form</w:t>
      </w:r>
      <w:r w:rsidRPr="00EF31CE">
        <w:rPr>
          <w:rFonts w:cs="Arial"/>
          <w:bCs/>
          <w:szCs w:val="22"/>
        </w:rPr>
        <w:t>, seek</w:t>
      </w:r>
      <w:r>
        <w:rPr>
          <w:rFonts w:cs="Arial"/>
          <w:bCs/>
          <w:szCs w:val="22"/>
        </w:rPr>
        <w:t>ing</w:t>
      </w:r>
      <w:r w:rsidRPr="00EF31CE">
        <w:rPr>
          <w:rFonts w:cs="Arial"/>
          <w:bCs/>
          <w:szCs w:val="22"/>
        </w:rPr>
        <w:t xml:space="preserve"> suggestions on ways the survey can potentially be improved for future consultation rounds. Out of </w:t>
      </w:r>
      <w:r>
        <w:rPr>
          <w:rFonts w:cs="Arial"/>
          <w:bCs/>
          <w:szCs w:val="22"/>
        </w:rPr>
        <w:t>the 833 completed</w:t>
      </w:r>
      <w:r w:rsidRPr="00EF31CE">
        <w:rPr>
          <w:rFonts w:cs="Arial"/>
          <w:bCs/>
          <w:szCs w:val="22"/>
        </w:rPr>
        <w:t xml:space="preserve"> surveys </w:t>
      </w:r>
      <w:r>
        <w:rPr>
          <w:rFonts w:cs="Arial"/>
          <w:bCs/>
          <w:szCs w:val="22"/>
        </w:rPr>
        <w:t>returned</w:t>
      </w:r>
      <w:r w:rsidRPr="00EF31CE">
        <w:rPr>
          <w:rFonts w:cs="Arial"/>
          <w:bCs/>
          <w:szCs w:val="22"/>
        </w:rPr>
        <w:t xml:space="preserve">, </w:t>
      </w:r>
      <w:r>
        <w:t>258 included a response to this question:</w:t>
      </w:r>
    </w:p>
    <w:p w14:paraId="5543AABA" w14:textId="0DD961F2" w:rsidR="000A545F" w:rsidRDefault="000A545F" w:rsidP="00551270">
      <w:pPr>
        <w:pStyle w:val="ListParagraph"/>
        <w:numPr>
          <w:ilvl w:val="0"/>
          <w:numId w:val="55"/>
        </w:numPr>
      </w:pPr>
      <w:r w:rsidRPr="00FB5A2F">
        <w:t>100 responses included suggestions on ways to improve both the consultation survey and/or HTA processes.</w:t>
      </w:r>
      <w:r>
        <w:t xml:space="preserve"> </w:t>
      </w:r>
      <w:r w:rsidRPr="008347B2">
        <w:rPr>
          <w:bCs/>
          <w:szCs w:val="22"/>
        </w:rPr>
        <w:t xml:space="preserve">Suggestions on ways to improve the survey included </w:t>
      </w:r>
      <w:r>
        <w:t>enabling</w:t>
      </w:r>
      <w:r w:rsidRPr="00B2049D">
        <w:t xml:space="preserve"> respondents to download</w:t>
      </w:r>
      <w:r>
        <w:t xml:space="preserve"> a hard copy of the survey, providing </w:t>
      </w:r>
      <w:r w:rsidRPr="00B2049D">
        <w:t xml:space="preserve">access to </w:t>
      </w:r>
      <w:r>
        <w:t xml:space="preserve">the </w:t>
      </w:r>
      <w:r w:rsidRPr="00B2049D">
        <w:t>survey in different languages</w:t>
      </w:r>
      <w:r>
        <w:t xml:space="preserve"> and providing more information on the type of files that can be uploaded. The CEEU will work through these suggestions and make changes for the July</w:t>
      </w:r>
      <w:r w:rsidR="008E3659">
        <w:t> </w:t>
      </w:r>
      <w:r>
        <w:t>2022 PBAC consultation</w:t>
      </w:r>
    </w:p>
    <w:p w14:paraId="1FF97FFB" w14:textId="77777777" w:rsidR="000A545F" w:rsidRDefault="000A545F" w:rsidP="00551270">
      <w:pPr>
        <w:pStyle w:val="ListParagraph"/>
        <w:numPr>
          <w:ilvl w:val="0"/>
          <w:numId w:val="55"/>
        </w:numPr>
      </w:pPr>
      <w:r>
        <w:t>26 responses provided feedback that the survey form is good, easy to use, is a nice interface and other feedback of a similar theme</w:t>
      </w:r>
    </w:p>
    <w:p w14:paraId="41AF94ED" w14:textId="77777777" w:rsidR="000A545F" w:rsidRDefault="000A545F" w:rsidP="00551270">
      <w:pPr>
        <w:pStyle w:val="ListParagraph"/>
        <w:numPr>
          <w:ilvl w:val="0"/>
          <w:numId w:val="55"/>
        </w:numPr>
      </w:pPr>
      <w:r>
        <w:t>2 responses provided feedback that the new form is more complicated than before and needs to be simplified</w:t>
      </w:r>
    </w:p>
    <w:p w14:paraId="07F132A6" w14:textId="77777777" w:rsidR="000A545F" w:rsidRPr="008347B2" w:rsidRDefault="000A545F" w:rsidP="00551270">
      <w:pPr>
        <w:pStyle w:val="ListParagraph"/>
        <w:numPr>
          <w:ilvl w:val="0"/>
          <w:numId w:val="55"/>
        </w:numPr>
      </w:pPr>
      <w:r>
        <w:t>130 responses indicated there were no suggestions.</w:t>
      </w:r>
    </w:p>
    <w:p w14:paraId="4B30C905" w14:textId="77777777" w:rsidR="000A545F" w:rsidRPr="008347B2" w:rsidRDefault="000A545F" w:rsidP="00551270">
      <w:pPr>
        <w:rPr>
          <w:rFonts w:cs="Arial"/>
          <w:bCs/>
          <w:szCs w:val="22"/>
        </w:rPr>
      </w:pPr>
      <w:r w:rsidRPr="008347B2">
        <w:rPr>
          <w:rFonts w:cs="Arial"/>
          <w:bCs/>
          <w:szCs w:val="22"/>
        </w:rPr>
        <w:lastRenderedPageBreak/>
        <w:t xml:space="preserve">The CEEU commenced </w:t>
      </w:r>
      <w:r>
        <w:rPr>
          <w:rFonts w:cs="Arial"/>
          <w:bCs/>
          <w:szCs w:val="22"/>
        </w:rPr>
        <w:t>distributing</w:t>
      </w:r>
      <w:r w:rsidRPr="008347B2">
        <w:rPr>
          <w:rFonts w:cs="Arial"/>
          <w:bCs/>
          <w:szCs w:val="22"/>
        </w:rPr>
        <w:t xml:space="preserve"> </w:t>
      </w:r>
      <w:r>
        <w:rPr>
          <w:rFonts w:cs="Arial"/>
          <w:bCs/>
          <w:szCs w:val="22"/>
        </w:rPr>
        <w:t>‘</w:t>
      </w:r>
      <w:r w:rsidRPr="008347B2">
        <w:rPr>
          <w:rFonts w:cs="Arial"/>
          <w:bCs/>
          <w:szCs w:val="22"/>
        </w:rPr>
        <w:t>CEEU News</w:t>
      </w:r>
      <w:r>
        <w:rPr>
          <w:rFonts w:cs="Arial"/>
          <w:bCs/>
          <w:szCs w:val="22"/>
        </w:rPr>
        <w:t>’</w:t>
      </w:r>
      <w:r w:rsidRPr="008347B2">
        <w:rPr>
          <w:rFonts w:cs="Arial"/>
          <w:bCs/>
          <w:szCs w:val="22"/>
        </w:rPr>
        <w:t xml:space="preserve"> emails in December 2021 to inform stakeholders of developments in the HTA consumer engagement space, and these will continue to be distributed in 2022.</w:t>
      </w:r>
    </w:p>
    <w:p w14:paraId="299C9FEE" w14:textId="77777777" w:rsidR="000A545F" w:rsidRDefault="000A545F" w:rsidP="00551270">
      <w:pPr>
        <w:ind w:right="-142"/>
        <w:rPr>
          <w:bCs/>
          <w:szCs w:val="22"/>
        </w:rPr>
      </w:pPr>
      <w:r w:rsidRPr="00975B14">
        <w:rPr>
          <w:rFonts w:cs="Arial"/>
          <w:bCs/>
          <w:szCs w:val="22"/>
        </w:rPr>
        <w:t>The Chair advised that</w:t>
      </w:r>
      <w:r w:rsidRPr="00975B14">
        <w:rPr>
          <w:bCs/>
          <w:szCs w:val="22"/>
        </w:rPr>
        <w:t xml:space="preserve"> the </w:t>
      </w:r>
      <w:r>
        <w:rPr>
          <w:bCs/>
          <w:szCs w:val="22"/>
        </w:rPr>
        <w:t xml:space="preserve">Report and Recommendations from the </w:t>
      </w:r>
      <w:r w:rsidRPr="00975B14">
        <w:rPr>
          <w:bCs/>
          <w:szCs w:val="22"/>
        </w:rPr>
        <w:t>House of Representatives inquiry into approval processes for new drugs and novel medical technologies</w:t>
      </w:r>
      <w:r>
        <w:rPr>
          <w:bCs/>
          <w:szCs w:val="22"/>
        </w:rPr>
        <w:t xml:space="preserve"> is being reviewed by the Department</w:t>
      </w:r>
      <w:r w:rsidRPr="00975B14">
        <w:rPr>
          <w:bCs/>
          <w:szCs w:val="22"/>
        </w:rPr>
        <w:t xml:space="preserve">. Members provided comments on the report’s recommendations and noted </w:t>
      </w:r>
      <w:r>
        <w:rPr>
          <w:bCs/>
          <w:szCs w:val="22"/>
        </w:rPr>
        <w:t xml:space="preserve">the strong </w:t>
      </w:r>
      <w:r w:rsidRPr="00975B14">
        <w:rPr>
          <w:bCs/>
          <w:szCs w:val="22"/>
        </w:rPr>
        <w:t>acknowledgement of the importance of patient engagement</w:t>
      </w:r>
      <w:r>
        <w:rPr>
          <w:bCs/>
          <w:szCs w:val="22"/>
        </w:rPr>
        <w:t xml:space="preserve"> throughout the document.</w:t>
      </w:r>
    </w:p>
    <w:p w14:paraId="1CF42EED" w14:textId="77777777" w:rsidR="000A545F" w:rsidRPr="007D5340" w:rsidRDefault="000A545F" w:rsidP="00551270">
      <w:pPr>
        <w:ind w:right="-142"/>
        <w:rPr>
          <w:bCs/>
          <w:szCs w:val="22"/>
        </w:rPr>
      </w:pPr>
      <w:r>
        <w:rPr>
          <w:rFonts w:cs="Arial"/>
          <w:bCs/>
          <w:szCs w:val="22"/>
        </w:rPr>
        <w:t>The CEEU Lead</w:t>
      </w:r>
      <w:r w:rsidRPr="007D5340">
        <w:rPr>
          <w:rFonts w:cs="Arial"/>
          <w:bCs/>
          <w:szCs w:val="22"/>
        </w:rPr>
        <w:t xml:space="preserve"> not</w:t>
      </w:r>
      <w:r>
        <w:rPr>
          <w:rFonts w:cs="Arial"/>
          <w:bCs/>
          <w:szCs w:val="22"/>
        </w:rPr>
        <w:t>ed</w:t>
      </w:r>
      <w:r w:rsidRPr="007D5340">
        <w:rPr>
          <w:rFonts w:cs="Arial"/>
          <w:bCs/>
          <w:szCs w:val="22"/>
        </w:rPr>
        <w:t xml:space="preserve"> that, as part of th</w:t>
      </w:r>
      <w:r>
        <w:rPr>
          <w:rFonts w:cs="Arial"/>
          <w:bCs/>
          <w:szCs w:val="22"/>
        </w:rPr>
        <w:t>e</w:t>
      </w:r>
      <w:r w:rsidRPr="007D5340">
        <w:rPr>
          <w:rFonts w:cs="Arial"/>
          <w:bCs/>
          <w:szCs w:val="22"/>
        </w:rPr>
        <w:t xml:space="preserve"> </w:t>
      </w:r>
      <w:r>
        <w:rPr>
          <w:rFonts w:cs="Arial"/>
          <w:bCs/>
          <w:szCs w:val="22"/>
        </w:rPr>
        <w:t>Strategic Agreement,</w:t>
      </w:r>
      <w:r w:rsidRPr="007D5340">
        <w:rPr>
          <w:rFonts w:cs="Arial"/>
          <w:bCs/>
          <w:szCs w:val="22"/>
        </w:rPr>
        <w:t xml:space="preserve"> the Government ha</w:t>
      </w:r>
      <w:r>
        <w:rPr>
          <w:rFonts w:cs="Arial"/>
          <w:bCs/>
          <w:szCs w:val="22"/>
        </w:rPr>
        <w:t>s</w:t>
      </w:r>
      <w:r w:rsidRPr="007D5340">
        <w:rPr>
          <w:rFonts w:cs="Arial"/>
          <w:bCs/>
          <w:szCs w:val="22"/>
        </w:rPr>
        <w:t xml:space="preserve"> committed to working with consumers and patients to </w:t>
      </w:r>
      <w:r>
        <w:rPr>
          <w:rFonts w:cs="Arial"/>
          <w:bCs/>
          <w:szCs w:val="22"/>
        </w:rPr>
        <w:t xml:space="preserve">develop options </w:t>
      </w:r>
      <w:r w:rsidRPr="007D5340">
        <w:rPr>
          <w:rFonts w:cs="Arial"/>
          <w:bCs/>
          <w:szCs w:val="22"/>
        </w:rPr>
        <w:t>to elevate the patient and consumer voice in HTA processes supporting the PBAC</w:t>
      </w:r>
      <w:r>
        <w:rPr>
          <w:rFonts w:cs="Arial"/>
          <w:bCs/>
          <w:szCs w:val="22"/>
        </w:rPr>
        <w:t>, as well as other areas across the Office of HTA.</w:t>
      </w:r>
    </w:p>
    <w:p w14:paraId="5EB8E87A" w14:textId="77777777" w:rsidR="000A545F" w:rsidRDefault="000A545F" w:rsidP="00551270">
      <w:pPr>
        <w:rPr>
          <w:rFonts w:cs="Arial"/>
          <w:bCs/>
          <w:szCs w:val="22"/>
        </w:rPr>
      </w:pPr>
      <w:r w:rsidRPr="007D5340">
        <w:rPr>
          <w:rFonts w:cs="Arial"/>
          <w:bCs/>
          <w:szCs w:val="22"/>
        </w:rPr>
        <w:t xml:space="preserve">In the first year of the Agreement (2022–23 </w:t>
      </w:r>
      <w:r>
        <w:rPr>
          <w:rFonts w:cs="Arial"/>
          <w:bCs/>
          <w:szCs w:val="22"/>
        </w:rPr>
        <w:t>F</w:t>
      </w:r>
      <w:r w:rsidRPr="007D5340">
        <w:rPr>
          <w:rFonts w:cs="Arial"/>
          <w:bCs/>
          <w:szCs w:val="22"/>
        </w:rPr>
        <w:t xml:space="preserve">inancial </w:t>
      </w:r>
      <w:r>
        <w:rPr>
          <w:rFonts w:cs="Arial"/>
          <w:bCs/>
          <w:szCs w:val="22"/>
        </w:rPr>
        <w:t>Y</w:t>
      </w:r>
      <w:r w:rsidRPr="007D5340">
        <w:rPr>
          <w:rFonts w:cs="Arial"/>
          <w:bCs/>
          <w:szCs w:val="22"/>
        </w:rPr>
        <w:t>ear), the Government will work with consumers, medicines industry, clinicians</w:t>
      </w:r>
      <w:r>
        <w:rPr>
          <w:rFonts w:cs="Arial"/>
          <w:bCs/>
          <w:szCs w:val="22"/>
        </w:rPr>
        <w:t>,</w:t>
      </w:r>
      <w:r w:rsidRPr="007D5340">
        <w:rPr>
          <w:rFonts w:cs="Arial"/>
          <w:bCs/>
          <w:szCs w:val="22"/>
        </w:rPr>
        <w:t xml:space="preserve"> and other health professionals to </w:t>
      </w:r>
      <w:r>
        <w:rPr>
          <w:rFonts w:cs="Arial"/>
          <w:bCs/>
          <w:szCs w:val="22"/>
        </w:rPr>
        <w:t xml:space="preserve">develop </w:t>
      </w:r>
      <w:r w:rsidRPr="007D5340">
        <w:rPr>
          <w:rFonts w:cs="Arial"/>
          <w:bCs/>
          <w:szCs w:val="22"/>
        </w:rPr>
        <w:t xml:space="preserve">Enhanced Consumer Engagement </w:t>
      </w:r>
      <w:r>
        <w:rPr>
          <w:rFonts w:cs="Arial"/>
          <w:bCs/>
          <w:szCs w:val="22"/>
        </w:rPr>
        <w:t>concepts and explore strategies for improvements to the current processes.</w:t>
      </w:r>
    </w:p>
    <w:p w14:paraId="76BB7ADE" w14:textId="77777777" w:rsidR="000A545F" w:rsidRDefault="000A545F" w:rsidP="00551270">
      <w:pPr>
        <w:rPr>
          <w:rFonts w:cs="Arial"/>
          <w:bCs/>
          <w:szCs w:val="22"/>
        </w:rPr>
      </w:pPr>
      <w:r>
        <w:rPr>
          <w:rFonts w:cs="Arial"/>
          <w:bCs/>
          <w:szCs w:val="22"/>
        </w:rPr>
        <w:t>Planning is underway on this project and further communications on activities to kickstart this project are planned in the weeks ahead.</w:t>
      </w:r>
    </w:p>
    <w:p w14:paraId="11657BBB" w14:textId="77777777" w:rsidR="000A545F" w:rsidRPr="00F82F4C" w:rsidRDefault="000A545F" w:rsidP="00551270">
      <w:pPr>
        <w:rPr>
          <w:rFonts w:cs="Arial"/>
          <w:bCs/>
          <w:szCs w:val="22"/>
        </w:rPr>
      </w:pPr>
      <w:r>
        <w:rPr>
          <w:rFonts w:cs="Arial"/>
          <w:bCs/>
          <w:szCs w:val="22"/>
        </w:rPr>
        <w:t xml:space="preserve">The Final draft of the 2021 Consumer Symposium Evaluation and Report was also provided to </w:t>
      </w:r>
      <w:r w:rsidRPr="00F82F4C">
        <w:rPr>
          <w:rFonts w:cs="Arial"/>
          <w:bCs/>
          <w:szCs w:val="22"/>
        </w:rPr>
        <w:t>CCC members and will be made available to the Office of HTA in the next month</w:t>
      </w:r>
      <w:r>
        <w:rPr>
          <w:rFonts w:cs="Arial"/>
          <w:bCs/>
          <w:szCs w:val="22"/>
        </w:rPr>
        <w:t>.</w:t>
      </w:r>
      <w:r w:rsidRPr="00F82F4C">
        <w:rPr>
          <w:rFonts w:cs="Arial"/>
          <w:bCs/>
          <w:szCs w:val="22"/>
        </w:rPr>
        <w:t xml:space="preserve"> </w:t>
      </w:r>
    </w:p>
    <w:p w14:paraId="2FB658DF" w14:textId="1210E420" w:rsidR="00954EC3" w:rsidRPr="00551270" w:rsidRDefault="000A545F" w:rsidP="00551270">
      <w:pPr>
        <w:rPr>
          <w:rFonts w:cs="Arial"/>
          <w:bCs/>
          <w:szCs w:val="22"/>
        </w:rPr>
      </w:pPr>
      <w:r w:rsidRPr="00F82F4C">
        <w:rPr>
          <w:rFonts w:cs="Arial"/>
          <w:bCs/>
          <w:szCs w:val="22"/>
        </w:rPr>
        <w:t xml:space="preserve">The CCC’s Terms of Reference are being updated and will be discussed at the next CCC </w:t>
      </w:r>
      <w:r>
        <w:rPr>
          <w:rFonts w:cs="Arial"/>
          <w:bCs/>
          <w:szCs w:val="22"/>
        </w:rPr>
        <w:t>m</w:t>
      </w:r>
      <w:r w:rsidRPr="00F82F4C">
        <w:rPr>
          <w:rFonts w:cs="Arial"/>
          <w:bCs/>
          <w:szCs w:val="22"/>
        </w:rPr>
        <w:t>eeting</w:t>
      </w:r>
      <w:r>
        <w:rPr>
          <w:rFonts w:cs="Arial"/>
          <w:bCs/>
          <w:szCs w:val="22"/>
        </w:rPr>
        <w:t xml:space="preserve"> </w:t>
      </w:r>
      <w:r w:rsidRPr="00F82F4C">
        <w:rPr>
          <w:rFonts w:cs="Arial"/>
          <w:bCs/>
          <w:szCs w:val="22"/>
        </w:rPr>
        <w:t>scheduled for May 2022.</w:t>
      </w:r>
    </w:p>
    <w:sectPr w:rsidR="00954EC3" w:rsidRPr="00551270" w:rsidSect="007B43B5">
      <w:footerReference w:type="default" r:id="rId11"/>
      <w:type w:val="continuous"/>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995C" w14:textId="77777777" w:rsidR="0037177F" w:rsidRDefault="0037177F" w:rsidP="006B56BB">
      <w:r>
        <w:separator/>
      </w:r>
    </w:p>
    <w:p w14:paraId="16F9229C" w14:textId="77777777" w:rsidR="0037177F" w:rsidRDefault="0037177F"/>
  </w:endnote>
  <w:endnote w:type="continuationSeparator" w:id="0">
    <w:p w14:paraId="298AA614" w14:textId="77777777" w:rsidR="0037177F" w:rsidRDefault="0037177F" w:rsidP="006B56BB">
      <w:r>
        <w:continuationSeparator/>
      </w:r>
    </w:p>
    <w:p w14:paraId="4712224F" w14:textId="77777777" w:rsidR="0037177F" w:rsidRDefault="0037177F"/>
  </w:endnote>
  <w:endnote w:type="continuationNotice" w:id="1">
    <w:p w14:paraId="2C7EB712" w14:textId="77777777" w:rsidR="0037177F" w:rsidRDefault="0037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E3D4" w14:textId="77777777" w:rsidR="006D5FD8" w:rsidRPr="0068134A" w:rsidRDefault="006D5FD8"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067885"/>
      <w:docPartObj>
        <w:docPartGallery w:val="Page Numbers (Bottom of Page)"/>
        <w:docPartUnique/>
      </w:docPartObj>
    </w:sdtPr>
    <w:sdtEndPr>
      <w:rPr>
        <w:noProof/>
      </w:rPr>
    </w:sdtEndPr>
    <w:sdtContent>
      <w:p w14:paraId="4706951E" w14:textId="4DD9FCF1" w:rsidR="006D5FD8" w:rsidRPr="00DE3355" w:rsidRDefault="00F450A9" w:rsidP="00F450A9">
        <w:pPr>
          <w:pStyle w:val="Footer"/>
        </w:pPr>
        <w:r w:rsidRPr="00F450A9">
          <w:t>HTA CCC Communique – 1</w:t>
        </w:r>
        <w:r w:rsidR="00DE4BBE">
          <w:t>7</w:t>
        </w:r>
        <w:r w:rsidRPr="00F450A9">
          <w:t xml:space="preserve"> </w:t>
        </w:r>
        <w:r w:rsidR="00DE4BBE">
          <w:t>February 2022</w:t>
        </w:r>
        <w:r>
          <w:tab/>
        </w:r>
        <w:r>
          <w:tab/>
        </w:r>
        <w:r w:rsidR="003E7880">
          <w:fldChar w:fldCharType="begin"/>
        </w:r>
        <w:r w:rsidR="003E7880">
          <w:instrText xml:space="preserve"> PAGE   \* MERGEFORMAT </w:instrText>
        </w:r>
        <w:r w:rsidR="003E7880">
          <w:fldChar w:fldCharType="separate"/>
        </w:r>
        <w:r w:rsidR="004D4712">
          <w:rPr>
            <w:noProof/>
          </w:rPr>
          <w:t>1</w:t>
        </w:r>
        <w:r w:rsidR="003E788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DC2D" w14:textId="73A2B8A0" w:rsidR="00440411" w:rsidRPr="006D5FD8" w:rsidRDefault="00F450A9" w:rsidP="00F450A9">
    <w:pPr>
      <w:pStyle w:val="Footer"/>
      <w:jc w:val="center"/>
    </w:pPr>
    <w:r w:rsidRPr="00F450A9">
      <w:t>HTA CCC Communique – 1</w:t>
    </w:r>
    <w:r w:rsidR="00551270">
      <w:t>7</w:t>
    </w:r>
    <w:r w:rsidRPr="00F450A9">
      <w:t xml:space="preserve"> </w:t>
    </w:r>
    <w:r w:rsidR="00551270">
      <w:t>February</w:t>
    </w:r>
    <w:r w:rsidRPr="00F450A9">
      <w:t xml:space="preserve"> 202</w:t>
    </w:r>
    <w:r w:rsidR="00551270">
      <w:t>2</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11A2" w14:textId="77777777" w:rsidR="0037177F" w:rsidRDefault="0037177F" w:rsidP="006B56BB">
      <w:r>
        <w:separator/>
      </w:r>
    </w:p>
    <w:p w14:paraId="04A52B61" w14:textId="77777777" w:rsidR="0037177F" w:rsidRDefault="0037177F"/>
  </w:footnote>
  <w:footnote w:type="continuationSeparator" w:id="0">
    <w:p w14:paraId="280FC7ED" w14:textId="77777777" w:rsidR="0037177F" w:rsidRDefault="0037177F" w:rsidP="006B56BB">
      <w:r>
        <w:continuationSeparator/>
      </w:r>
    </w:p>
    <w:p w14:paraId="00758B32" w14:textId="77777777" w:rsidR="0037177F" w:rsidRDefault="0037177F"/>
  </w:footnote>
  <w:footnote w:type="continuationNotice" w:id="1">
    <w:p w14:paraId="47CD2AB8" w14:textId="77777777" w:rsidR="0037177F" w:rsidRDefault="00371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8BBB" w14:textId="77777777" w:rsidR="006D5FD8" w:rsidRDefault="006D5FD8">
    <w:pPr>
      <w:pStyle w:val="Header"/>
    </w:pPr>
    <w:r>
      <w:rPr>
        <w:noProof/>
        <w:lang w:eastAsia="en-AU"/>
      </w:rPr>
      <w:drawing>
        <wp:inline distT="0" distB="0" distL="0" distR="0" wp14:anchorId="2D033AE2" wp14:editId="6FF6B508">
          <wp:extent cx="5765470" cy="958215"/>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575429F"/>
    <w:multiLevelType w:val="hybridMultilevel"/>
    <w:tmpl w:val="FA1E1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41"/>
  </w:num>
  <w:num w:numId="4">
    <w:abstractNumId w:val="8"/>
  </w:num>
  <w:num w:numId="5">
    <w:abstractNumId w:val="8"/>
    <w:lvlOverride w:ilvl="0">
      <w:startOverride w:val="1"/>
    </w:lvlOverride>
  </w:num>
  <w:num w:numId="6">
    <w:abstractNumId w:val="11"/>
  </w:num>
  <w:num w:numId="7">
    <w:abstractNumId w:val="27"/>
  </w:num>
  <w:num w:numId="8">
    <w:abstractNumId w:val="4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5"/>
  </w:num>
  <w:num w:numId="17">
    <w:abstractNumId w:val="14"/>
  </w:num>
  <w:num w:numId="18">
    <w:abstractNumId w:val="15"/>
  </w:num>
  <w:num w:numId="19">
    <w:abstractNumId w:val="21"/>
  </w:num>
  <w:num w:numId="20">
    <w:abstractNumId w:val="23"/>
  </w:num>
  <w:num w:numId="21">
    <w:abstractNumId w:val="42"/>
  </w:num>
  <w:num w:numId="22">
    <w:abstractNumId w:val="10"/>
  </w:num>
  <w:num w:numId="23">
    <w:abstractNumId w:val="14"/>
  </w:num>
  <w:num w:numId="24">
    <w:abstractNumId w:val="21"/>
  </w:num>
  <w:num w:numId="25">
    <w:abstractNumId w:val="41"/>
  </w:num>
  <w:num w:numId="26">
    <w:abstractNumId w:val="8"/>
  </w:num>
  <w:num w:numId="27">
    <w:abstractNumId w:val="24"/>
  </w:num>
  <w:num w:numId="28">
    <w:abstractNumId w:val="38"/>
  </w:num>
  <w:num w:numId="29">
    <w:abstractNumId w:val="28"/>
  </w:num>
  <w:num w:numId="30">
    <w:abstractNumId w:val="30"/>
  </w:num>
  <w:num w:numId="31">
    <w:abstractNumId w:val="12"/>
  </w:num>
  <w:num w:numId="32">
    <w:abstractNumId w:val="9"/>
  </w:num>
  <w:num w:numId="33">
    <w:abstractNumId w:val="18"/>
  </w:num>
  <w:num w:numId="34">
    <w:abstractNumId w:val="25"/>
  </w:num>
  <w:num w:numId="35">
    <w:abstractNumId w:val="39"/>
  </w:num>
  <w:num w:numId="36">
    <w:abstractNumId w:val="35"/>
  </w:num>
  <w:num w:numId="37">
    <w:abstractNumId w:val="36"/>
  </w:num>
  <w:num w:numId="38">
    <w:abstractNumId w:val="32"/>
  </w:num>
  <w:num w:numId="39">
    <w:abstractNumId w:val="13"/>
  </w:num>
  <w:num w:numId="40">
    <w:abstractNumId w:val="34"/>
  </w:num>
  <w:num w:numId="41">
    <w:abstractNumId w:val="43"/>
  </w:num>
  <w:num w:numId="42">
    <w:abstractNumId w:val="22"/>
  </w:num>
  <w:num w:numId="43">
    <w:abstractNumId w:val="19"/>
  </w:num>
  <w:num w:numId="44">
    <w:abstractNumId w:val="20"/>
  </w:num>
  <w:num w:numId="45">
    <w:abstractNumId w:val="29"/>
  </w:num>
  <w:num w:numId="46">
    <w:abstractNumId w:val="32"/>
  </w:num>
  <w:num w:numId="47">
    <w:abstractNumId w:val="32"/>
  </w:num>
  <w:num w:numId="48">
    <w:abstractNumId w:val="32"/>
  </w:num>
  <w:num w:numId="49">
    <w:abstractNumId w:val="44"/>
  </w:num>
  <w:num w:numId="50">
    <w:abstractNumId w:val="37"/>
  </w:num>
  <w:num w:numId="51">
    <w:abstractNumId w:val="17"/>
  </w:num>
  <w:num w:numId="52">
    <w:abstractNumId w:val="26"/>
  </w:num>
  <w:num w:numId="53">
    <w:abstractNumId w:val="46"/>
  </w:num>
  <w:num w:numId="54">
    <w:abstractNumId w:val="16"/>
  </w:num>
  <w:num w:numId="5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460F"/>
    <w:rsid w:val="00022629"/>
    <w:rsid w:val="00026139"/>
    <w:rsid w:val="00027601"/>
    <w:rsid w:val="00030B3C"/>
    <w:rsid w:val="000325F3"/>
    <w:rsid w:val="00033321"/>
    <w:rsid w:val="000338E5"/>
    <w:rsid w:val="00033ECC"/>
    <w:rsid w:val="0003422F"/>
    <w:rsid w:val="0003590B"/>
    <w:rsid w:val="000363BA"/>
    <w:rsid w:val="00046FF0"/>
    <w:rsid w:val="00050176"/>
    <w:rsid w:val="000607B2"/>
    <w:rsid w:val="00067456"/>
    <w:rsid w:val="00071506"/>
    <w:rsid w:val="0007154F"/>
    <w:rsid w:val="000716CF"/>
    <w:rsid w:val="00073093"/>
    <w:rsid w:val="00081AB1"/>
    <w:rsid w:val="000871E3"/>
    <w:rsid w:val="00090316"/>
    <w:rsid w:val="00093981"/>
    <w:rsid w:val="0009506C"/>
    <w:rsid w:val="000A545F"/>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49D"/>
    <w:rsid w:val="001248F2"/>
    <w:rsid w:val="0013004A"/>
    <w:rsid w:val="00130F59"/>
    <w:rsid w:val="00131D20"/>
    <w:rsid w:val="00132744"/>
    <w:rsid w:val="00133EC0"/>
    <w:rsid w:val="00136520"/>
    <w:rsid w:val="00140691"/>
    <w:rsid w:val="00141CE5"/>
    <w:rsid w:val="00144908"/>
    <w:rsid w:val="001544B2"/>
    <w:rsid w:val="001571C7"/>
    <w:rsid w:val="00161094"/>
    <w:rsid w:val="0017665C"/>
    <w:rsid w:val="00177AD2"/>
    <w:rsid w:val="001815A8"/>
    <w:rsid w:val="001829D9"/>
    <w:rsid w:val="001840FA"/>
    <w:rsid w:val="00184E8B"/>
    <w:rsid w:val="00190079"/>
    <w:rsid w:val="0019622E"/>
    <w:rsid w:val="001966A7"/>
    <w:rsid w:val="001A4627"/>
    <w:rsid w:val="001A4979"/>
    <w:rsid w:val="001A5442"/>
    <w:rsid w:val="001A54F8"/>
    <w:rsid w:val="001B15D3"/>
    <w:rsid w:val="001B3443"/>
    <w:rsid w:val="001C0326"/>
    <w:rsid w:val="001C192F"/>
    <w:rsid w:val="001C3C42"/>
    <w:rsid w:val="001D397C"/>
    <w:rsid w:val="001D7869"/>
    <w:rsid w:val="001E5D7E"/>
    <w:rsid w:val="002026CD"/>
    <w:rsid w:val="002033FC"/>
    <w:rsid w:val="002044BB"/>
    <w:rsid w:val="0021006B"/>
    <w:rsid w:val="00210B09"/>
    <w:rsid w:val="00210C9E"/>
    <w:rsid w:val="00211840"/>
    <w:rsid w:val="00217583"/>
    <w:rsid w:val="00220E5F"/>
    <w:rsid w:val="002212B5"/>
    <w:rsid w:val="00226668"/>
    <w:rsid w:val="002274D8"/>
    <w:rsid w:val="00233809"/>
    <w:rsid w:val="00235824"/>
    <w:rsid w:val="002374FE"/>
    <w:rsid w:val="00240046"/>
    <w:rsid w:val="00245916"/>
    <w:rsid w:val="0024797F"/>
    <w:rsid w:val="0025119E"/>
    <w:rsid w:val="00251269"/>
    <w:rsid w:val="00252D76"/>
    <w:rsid w:val="002535C0"/>
    <w:rsid w:val="0025504D"/>
    <w:rsid w:val="00256596"/>
    <w:rsid w:val="002579FE"/>
    <w:rsid w:val="0026311C"/>
    <w:rsid w:val="00263C15"/>
    <w:rsid w:val="002650B4"/>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4CB6"/>
    <w:rsid w:val="00295481"/>
    <w:rsid w:val="00295AF2"/>
    <w:rsid w:val="00295C91"/>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5A82"/>
    <w:rsid w:val="003479B1"/>
    <w:rsid w:val="0035097A"/>
    <w:rsid w:val="003540A4"/>
    <w:rsid w:val="00357BCC"/>
    <w:rsid w:val="00360E4E"/>
    <w:rsid w:val="00362529"/>
    <w:rsid w:val="00370AAA"/>
    <w:rsid w:val="0037177F"/>
    <w:rsid w:val="00373CEA"/>
    <w:rsid w:val="00375F77"/>
    <w:rsid w:val="00375FD4"/>
    <w:rsid w:val="00380789"/>
    <w:rsid w:val="00381BBE"/>
    <w:rsid w:val="00382903"/>
    <w:rsid w:val="003846FF"/>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FEC"/>
    <w:rsid w:val="003C2AC8"/>
    <w:rsid w:val="003D033A"/>
    <w:rsid w:val="003D17F9"/>
    <w:rsid w:val="003D2D88"/>
    <w:rsid w:val="003D34B6"/>
    <w:rsid w:val="003D41EA"/>
    <w:rsid w:val="003D4850"/>
    <w:rsid w:val="003D535A"/>
    <w:rsid w:val="003E0B43"/>
    <w:rsid w:val="003E3718"/>
    <w:rsid w:val="003E5265"/>
    <w:rsid w:val="003E5E0C"/>
    <w:rsid w:val="003E7880"/>
    <w:rsid w:val="003F0955"/>
    <w:rsid w:val="003F5F4D"/>
    <w:rsid w:val="003F646F"/>
    <w:rsid w:val="00400F00"/>
    <w:rsid w:val="00404F8B"/>
    <w:rsid w:val="00405256"/>
    <w:rsid w:val="004057A7"/>
    <w:rsid w:val="00410031"/>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2706"/>
    <w:rsid w:val="004C55A6"/>
    <w:rsid w:val="004C6BCF"/>
    <w:rsid w:val="004D21E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4099"/>
    <w:rsid w:val="005202A1"/>
    <w:rsid w:val="0052051D"/>
    <w:rsid w:val="0053202F"/>
    <w:rsid w:val="00542046"/>
    <w:rsid w:val="005423A3"/>
    <w:rsid w:val="005443D9"/>
    <w:rsid w:val="0054540B"/>
    <w:rsid w:val="00545EE6"/>
    <w:rsid w:val="0054768D"/>
    <w:rsid w:val="00551270"/>
    <w:rsid w:val="0055474B"/>
    <w:rsid w:val="005550E7"/>
    <w:rsid w:val="005564FB"/>
    <w:rsid w:val="005572C7"/>
    <w:rsid w:val="005622C2"/>
    <w:rsid w:val="005650ED"/>
    <w:rsid w:val="00567B83"/>
    <w:rsid w:val="005744EA"/>
    <w:rsid w:val="00575754"/>
    <w:rsid w:val="00581FBA"/>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3B7D"/>
    <w:rsid w:val="005E0A3F"/>
    <w:rsid w:val="005E6883"/>
    <w:rsid w:val="005E772F"/>
    <w:rsid w:val="005F4ECA"/>
    <w:rsid w:val="005F7477"/>
    <w:rsid w:val="006036A3"/>
    <w:rsid w:val="006041BE"/>
    <w:rsid w:val="006043C7"/>
    <w:rsid w:val="00607F5F"/>
    <w:rsid w:val="00612C16"/>
    <w:rsid w:val="00624B52"/>
    <w:rsid w:val="00624C2A"/>
    <w:rsid w:val="00626CE8"/>
    <w:rsid w:val="00627E56"/>
    <w:rsid w:val="00630794"/>
    <w:rsid w:val="00631DF4"/>
    <w:rsid w:val="00634175"/>
    <w:rsid w:val="006408AC"/>
    <w:rsid w:val="00647539"/>
    <w:rsid w:val="00650D96"/>
    <w:rsid w:val="006511B6"/>
    <w:rsid w:val="006559AF"/>
    <w:rsid w:val="00657FF8"/>
    <w:rsid w:val="00661DE1"/>
    <w:rsid w:val="00662057"/>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2C64"/>
    <w:rsid w:val="006B1044"/>
    <w:rsid w:val="006B1E21"/>
    <w:rsid w:val="006B2286"/>
    <w:rsid w:val="006B56BB"/>
    <w:rsid w:val="006B7C1B"/>
    <w:rsid w:val="006C179C"/>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7F56"/>
    <w:rsid w:val="00713558"/>
    <w:rsid w:val="00720D08"/>
    <w:rsid w:val="00722450"/>
    <w:rsid w:val="007263B9"/>
    <w:rsid w:val="00730E51"/>
    <w:rsid w:val="00731DE4"/>
    <w:rsid w:val="007334F8"/>
    <w:rsid w:val="007339CD"/>
    <w:rsid w:val="007359D8"/>
    <w:rsid w:val="007362D4"/>
    <w:rsid w:val="007375FA"/>
    <w:rsid w:val="00741A57"/>
    <w:rsid w:val="007448E0"/>
    <w:rsid w:val="00746DEC"/>
    <w:rsid w:val="007536A6"/>
    <w:rsid w:val="00762699"/>
    <w:rsid w:val="00762CFF"/>
    <w:rsid w:val="0076672A"/>
    <w:rsid w:val="0077404F"/>
    <w:rsid w:val="00775E45"/>
    <w:rsid w:val="007764FE"/>
    <w:rsid w:val="00776E74"/>
    <w:rsid w:val="00785169"/>
    <w:rsid w:val="0078551E"/>
    <w:rsid w:val="007954AB"/>
    <w:rsid w:val="007A14C5"/>
    <w:rsid w:val="007A2837"/>
    <w:rsid w:val="007A4A10"/>
    <w:rsid w:val="007A6205"/>
    <w:rsid w:val="007B1760"/>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560B"/>
    <w:rsid w:val="008127AF"/>
    <w:rsid w:val="00812B46"/>
    <w:rsid w:val="00815700"/>
    <w:rsid w:val="00817F48"/>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3EFC"/>
    <w:rsid w:val="008D41D1"/>
    <w:rsid w:val="008D42CB"/>
    <w:rsid w:val="008D48C9"/>
    <w:rsid w:val="008D6381"/>
    <w:rsid w:val="008E0C77"/>
    <w:rsid w:val="008E15B0"/>
    <w:rsid w:val="008E1AC1"/>
    <w:rsid w:val="008E3659"/>
    <w:rsid w:val="008E625F"/>
    <w:rsid w:val="008F264D"/>
    <w:rsid w:val="00903346"/>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45E7F"/>
    <w:rsid w:val="00947AC5"/>
    <w:rsid w:val="00954EC3"/>
    <w:rsid w:val="009557C1"/>
    <w:rsid w:val="0095683C"/>
    <w:rsid w:val="00960D6E"/>
    <w:rsid w:val="00971D39"/>
    <w:rsid w:val="009724AB"/>
    <w:rsid w:val="00974B59"/>
    <w:rsid w:val="0098122D"/>
    <w:rsid w:val="0098340B"/>
    <w:rsid w:val="00984947"/>
    <w:rsid w:val="0098588C"/>
    <w:rsid w:val="00986830"/>
    <w:rsid w:val="009924C3"/>
    <w:rsid w:val="00993102"/>
    <w:rsid w:val="009A0E19"/>
    <w:rsid w:val="009B10B7"/>
    <w:rsid w:val="009B1570"/>
    <w:rsid w:val="009B4B4D"/>
    <w:rsid w:val="009C3DE7"/>
    <w:rsid w:val="009C6F10"/>
    <w:rsid w:val="009D148F"/>
    <w:rsid w:val="009D3D70"/>
    <w:rsid w:val="009E3784"/>
    <w:rsid w:val="009E45FF"/>
    <w:rsid w:val="009E6F7E"/>
    <w:rsid w:val="009E7A57"/>
    <w:rsid w:val="009F4803"/>
    <w:rsid w:val="009F4F6A"/>
    <w:rsid w:val="00A13EB5"/>
    <w:rsid w:val="00A16E36"/>
    <w:rsid w:val="00A24961"/>
    <w:rsid w:val="00A24B10"/>
    <w:rsid w:val="00A277EF"/>
    <w:rsid w:val="00A304BE"/>
    <w:rsid w:val="00A30E9B"/>
    <w:rsid w:val="00A331FB"/>
    <w:rsid w:val="00A343C7"/>
    <w:rsid w:val="00A42018"/>
    <w:rsid w:val="00A43763"/>
    <w:rsid w:val="00A4512D"/>
    <w:rsid w:val="00A50244"/>
    <w:rsid w:val="00A551F4"/>
    <w:rsid w:val="00A627D7"/>
    <w:rsid w:val="00A656C7"/>
    <w:rsid w:val="00A705AF"/>
    <w:rsid w:val="00A72454"/>
    <w:rsid w:val="00A77696"/>
    <w:rsid w:val="00A80557"/>
    <w:rsid w:val="00A81D33"/>
    <w:rsid w:val="00A8341C"/>
    <w:rsid w:val="00A85E24"/>
    <w:rsid w:val="00A930AE"/>
    <w:rsid w:val="00AA1A95"/>
    <w:rsid w:val="00AA260F"/>
    <w:rsid w:val="00AA6503"/>
    <w:rsid w:val="00AA6A01"/>
    <w:rsid w:val="00AB1EE7"/>
    <w:rsid w:val="00AB4B37"/>
    <w:rsid w:val="00AB5762"/>
    <w:rsid w:val="00AC24B7"/>
    <w:rsid w:val="00AC2679"/>
    <w:rsid w:val="00AC4BE4"/>
    <w:rsid w:val="00AC6B69"/>
    <w:rsid w:val="00AC6DC6"/>
    <w:rsid w:val="00AD05E6"/>
    <w:rsid w:val="00AD0D3F"/>
    <w:rsid w:val="00AD2599"/>
    <w:rsid w:val="00AE1D7D"/>
    <w:rsid w:val="00AE2A8B"/>
    <w:rsid w:val="00AE3F64"/>
    <w:rsid w:val="00AE6CB7"/>
    <w:rsid w:val="00AF4D2E"/>
    <w:rsid w:val="00AF7386"/>
    <w:rsid w:val="00AF7934"/>
    <w:rsid w:val="00B00B81"/>
    <w:rsid w:val="00B02E11"/>
    <w:rsid w:val="00B04580"/>
    <w:rsid w:val="00B04B09"/>
    <w:rsid w:val="00B07E67"/>
    <w:rsid w:val="00B10A46"/>
    <w:rsid w:val="00B13E21"/>
    <w:rsid w:val="00B16A51"/>
    <w:rsid w:val="00B22D72"/>
    <w:rsid w:val="00B25823"/>
    <w:rsid w:val="00B2602E"/>
    <w:rsid w:val="00B26D95"/>
    <w:rsid w:val="00B30386"/>
    <w:rsid w:val="00B32222"/>
    <w:rsid w:val="00B35A8D"/>
    <w:rsid w:val="00B3618D"/>
    <w:rsid w:val="00B36233"/>
    <w:rsid w:val="00B42851"/>
    <w:rsid w:val="00B45AC7"/>
    <w:rsid w:val="00B5372F"/>
    <w:rsid w:val="00B54577"/>
    <w:rsid w:val="00B61129"/>
    <w:rsid w:val="00B67E7F"/>
    <w:rsid w:val="00B71079"/>
    <w:rsid w:val="00B839B2"/>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26DB"/>
    <w:rsid w:val="00BC4A19"/>
    <w:rsid w:val="00BC4E6D"/>
    <w:rsid w:val="00BC5A62"/>
    <w:rsid w:val="00BC60A9"/>
    <w:rsid w:val="00BD0617"/>
    <w:rsid w:val="00BD2E9B"/>
    <w:rsid w:val="00BD7929"/>
    <w:rsid w:val="00BD7FB2"/>
    <w:rsid w:val="00BF2CE3"/>
    <w:rsid w:val="00C00930"/>
    <w:rsid w:val="00C02701"/>
    <w:rsid w:val="00C060AD"/>
    <w:rsid w:val="00C113BF"/>
    <w:rsid w:val="00C15CFD"/>
    <w:rsid w:val="00C2176E"/>
    <w:rsid w:val="00C23430"/>
    <w:rsid w:val="00C246D0"/>
    <w:rsid w:val="00C27D67"/>
    <w:rsid w:val="00C363E0"/>
    <w:rsid w:val="00C41A50"/>
    <w:rsid w:val="00C4631F"/>
    <w:rsid w:val="00C47CDE"/>
    <w:rsid w:val="00C47FD1"/>
    <w:rsid w:val="00C50E16"/>
    <w:rsid w:val="00C50E9A"/>
    <w:rsid w:val="00C55258"/>
    <w:rsid w:val="00C606DF"/>
    <w:rsid w:val="00C82EEB"/>
    <w:rsid w:val="00C93F4C"/>
    <w:rsid w:val="00C971DC"/>
    <w:rsid w:val="00CA16B7"/>
    <w:rsid w:val="00CA556A"/>
    <w:rsid w:val="00CA62AE"/>
    <w:rsid w:val="00CB5B1A"/>
    <w:rsid w:val="00CC220B"/>
    <w:rsid w:val="00CC5C43"/>
    <w:rsid w:val="00CD02AE"/>
    <w:rsid w:val="00CD2A4F"/>
    <w:rsid w:val="00CD7233"/>
    <w:rsid w:val="00CE03CA"/>
    <w:rsid w:val="00CE22F1"/>
    <w:rsid w:val="00CE4478"/>
    <w:rsid w:val="00CE50F2"/>
    <w:rsid w:val="00CE6502"/>
    <w:rsid w:val="00CF12A5"/>
    <w:rsid w:val="00CF2331"/>
    <w:rsid w:val="00CF7D3C"/>
    <w:rsid w:val="00D01F09"/>
    <w:rsid w:val="00D056B0"/>
    <w:rsid w:val="00D072CC"/>
    <w:rsid w:val="00D128A2"/>
    <w:rsid w:val="00D147EB"/>
    <w:rsid w:val="00D3317A"/>
    <w:rsid w:val="00D34667"/>
    <w:rsid w:val="00D401E1"/>
    <w:rsid w:val="00D408B4"/>
    <w:rsid w:val="00D450F4"/>
    <w:rsid w:val="00D5183B"/>
    <w:rsid w:val="00D524C8"/>
    <w:rsid w:val="00D5592D"/>
    <w:rsid w:val="00D6077C"/>
    <w:rsid w:val="00D70E24"/>
    <w:rsid w:val="00D72B61"/>
    <w:rsid w:val="00D72E48"/>
    <w:rsid w:val="00D73225"/>
    <w:rsid w:val="00D75D4C"/>
    <w:rsid w:val="00D7615D"/>
    <w:rsid w:val="00D82F41"/>
    <w:rsid w:val="00D83C23"/>
    <w:rsid w:val="00DA3D1D"/>
    <w:rsid w:val="00DB1906"/>
    <w:rsid w:val="00DB6286"/>
    <w:rsid w:val="00DB645F"/>
    <w:rsid w:val="00DB70BE"/>
    <w:rsid w:val="00DB76E9"/>
    <w:rsid w:val="00DC01D1"/>
    <w:rsid w:val="00DC0A67"/>
    <w:rsid w:val="00DC1D5E"/>
    <w:rsid w:val="00DC5220"/>
    <w:rsid w:val="00DD2061"/>
    <w:rsid w:val="00DD7DAB"/>
    <w:rsid w:val="00DE3275"/>
    <w:rsid w:val="00DE3355"/>
    <w:rsid w:val="00DE4BBE"/>
    <w:rsid w:val="00DE6AD6"/>
    <w:rsid w:val="00DF0C60"/>
    <w:rsid w:val="00DF1A3F"/>
    <w:rsid w:val="00DF486F"/>
    <w:rsid w:val="00DF5003"/>
    <w:rsid w:val="00DF5B5B"/>
    <w:rsid w:val="00DF7619"/>
    <w:rsid w:val="00DF7813"/>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60CF1"/>
    <w:rsid w:val="00E639B6"/>
    <w:rsid w:val="00E6434B"/>
    <w:rsid w:val="00E643B4"/>
    <w:rsid w:val="00E6463D"/>
    <w:rsid w:val="00E67C4F"/>
    <w:rsid w:val="00E71EFB"/>
    <w:rsid w:val="00E72E9B"/>
    <w:rsid w:val="00E84383"/>
    <w:rsid w:val="00E850C3"/>
    <w:rsid w:val="00E87BB5"/>
    <w:rsid w:val="00E87DF2"/>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302"/>
    <w:rsid w:val="00F219F9"/>
    <w:rsid w:val="00F24E6A"/>
    <w:rsid w:val="00F2544C"/>
    <w:rsid w:val="00F321DE"/>
    <w:rsid w:val="00F33327"/>
    <w:rsid w:val="00F33777"/>
    <w:rsid w:val="00F33F21"/>
    <w:rsid w:val="00F35D98"/>
    <w:rsid w:val="00F40648"/>
    <w:rsid w:val="00F450A9"/>
    <w:rsid w:val="00F47DA2"/>
    <w:rsid w:val="00F519FC"/>
    <w:rsid w:val="00F6193F"/>
    <w:rsid w:val="00F6239D"/>
    <w:rsid w:val="00F624C3"/>
    <w:rsid w:val="00F671E0"/>
    <w:rsid w:val="00F70FD3"/>
    <w:rsid w:val="00F715D2"/>
    <w:rsid w:val="00F71A8C"/>
    <w:rsid w:val="00F7274F"/>
    <w:rsid w:val="00F74E84"/>
    <w:rsid w:val="00F7587C"/>
    <w:rsid w:val="00F76FA8"/>
    <w:rsid w:val="00F87538"/>
    <w:rsid w:val="00F91068"/>
    <w:rsid w:val="00F93F08"/>
    <w:rsid w:val="00F94CED"/>
    <w:rsid w:val="00F97403"/>
    <w:rsid w:val="00FA02BB"/>
    <w:rsid w:val="00FA2CEE"/>
    <w:rsid w:val="00FA318C"/>
    <w:rsid w:val="00FB1F1A"/>
    <w:rsid w:val="00FB6BA0"/>
    <w:rsid w:val="00FB6F92"/>
    <w:rsid w:val="00FB7859"/>
    <w:rsid w:val="00FC026E"/>
    <w:rsid w:val="00FC512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2449D"/>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dc:title>
  <dc:subject>Health Technology</dc:subject>
  <dc:creator/>
  <cp:keywords>Health Technology; HTC; Consumer Consultative Committee (CCC)</cp:keywords>
  <dc:description/>
  <cp:lastModifiedBy/>
  <cp:revision>1</cp:revision>
  <dcterms:created xsi:type="dcterms:W3CDTF">2022-06-21T02:05:00Z</dcterms:created>
  <dcterms:modified xsi:type="dcterms:W3CDTF">2022-06-21T02:05:00Z</dcterms:modified>
</cp:coreProperties>
</file>