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57518E" w:rsidR="00A363C7" w:rsidP="6BE699EF" w:rsidRDefault="0057518E" w14:paraId="10CA1A1F" w14:textId="5FFC6067" w14:noSpellErr="1">
      <w:pPr>
        <w:pStyle w:val="Subtitle"/>
        <w:numPr>
          <w:numId w:val="0"/>
        </w:numPr>
        <w:rPr>
          <w:b w:val="1"/>
          <w:bCs w:val="1"/>
          <w:color w:val="auto"/>
          <w:spacing w:val="0"/>
          <w:kern w:val="28"/>
          <w:sz w:val="48"/>
          <w:szCs w:val="48"/>
        </w:rPr>
      </w:pPr>
      <w:r w:rsidRPr="6BE699EF" w:rsidR="0057518E">
        <w:rPr>
          <w:b w:val="1"/>
          <w:bCs w:val="1"/>
          <w:color w:val="auto"/>
          <w:spacing w:val="0"/>
          <w:kern w:val="28"/>
          <w:sz w:val="48"/>
          <w:szCs w:val="48"/>
        </w:rPr>
        <w:t xml:space="preserve">Hepatitis A (</w:t>
      </w:r>
      <w:r w:rsidRPr="6BE699EF" w:rsidR="0057518E">
        <w:rPr>
          <w:b w:val="1"/>
          <w:bCs w:val="1"/>
          <w:i w:val="1"/>
          <w:iCs w:val="1"/>
          <w:color w:val="auto"/>
          <w:spacing w:val="0"/>
          <w:kern w:val="28"/>
          <w:sz w:val="48"/>
          <w:szCs w:val="48"/>
        </w:rPr>
        <w:t xml:space="preserve">Hepatitis A virus</w:t>
      </w:r>
      <w:r w:rsidRPr="6BE699EF" w:rsidR="0057518E">
        <w:rPr>
          <w:b w:val="1"/>
          <w:bCs w:val="1"/>
          <w:color w:val="auto"/>
          <w:spacing w:val="0"/>
          <w:kern w:val="28"/>
          <w:sz w:val="48"/>
          <w:szCs w:val="48"/>
        </w:rPr>
        <w:t xml:space="preserve">) </w:t>
      </w:r>
    </w:p>
    <w:p w:rsidRPr="0057518E" w:rsidR="00177AD2" w:rsidP="009E0B84" w:rsidRDefault="009E0B84" w14:paraId="3458C51E" w14:textId="77777777">
      <w:pPr>
        <w:pStyle w:val="Subtitle"/>
        <w:rPr>
          <w:color w:val="auto"/>
        </w:rPr>
      </w:pPr>
      <w:r w:rsidRPr="0057518E">
        <w:rPr>
          <w:color w:val="auto"/>
        </w:rPr>
        <w:t>Laboratory case definition</w:t>
      </w:r>
    </w:p>
    <w:p w:rsidRPr="0057518E" w:rsidR="009E0B84" w:rsidP="009E0B84" w:rsidRDefault="009E0B84" w14:paraId="4C8EF008" w14:textId="36DE77F5">
      <w:pPr>
        <w:pStyle w:val="IntroPara"/>
        <w:rPr>
          <w:color w:val="auto"/>
        </w:rPr>
      </w:pPr>
      <w:r w:rsidRPr="6BE699EF" w:rsidR="009E0B84">
        <w:rPr>
          <w:color w:val="auto"/>
        </w:rPr>
        <w:t xml:space="preserve">The Public Health Laboratory Network </w:t>
      </w:r>
      <w:r w:rsidRPr="6BE699EF" w:rsidR="00CD407A">
        <w:rPr>
          <w:color w:val="auto"/>
        </w:rPr>
        <w:t xml:space="preserve">(PHLN) </w:t>
      </w:r>
      <w:r w:rsidRPr="6BE699EF" w:rsidR="009E0B84">
        <w:rPr>
          <w:color w:val="auto"/>
        </w:rPr>
        <w:t>ha</w:t>
      </w:r>
      <w:r w:rsidRPr="6BE699EF" w:rsidR="003100AE">
        <w:rPr>
          <w:color w:val="auto"/>
        </w:rPr>
        <w:t>s</w:t>
      </w:r>
      <w:r w:rsidRPr="6BE699EF" w:rsidR="009E0B84">
        <w:rPr>
          <w:color w:val="auto"/>
        </w:rPr>
        <w:t xml:space="preserve"> developed standard case definition</w:t>
      </w:r>
      <w:r w:rsidRPr="6BE699EF" w:rsidR="003100AE">
        <w:rPr>
          <w:color w:val="auto"/>
        </w:rPr>
        <w:t>s</w:t>
      </w:r>
      <w:r w:rsidRPr="6BE699EF" w:rsidR="009E0B84">
        <w:rPr>
          <w:color w:val="auto"/>
        </w:rPr>
        <w:t xml:space="preserve"> for the diagnosis of </w:t>
      </w:r>
      <w:r w:rsidRPr="6BE699EF" w:rsidR="00AA26D0">
        <w:rPr>
          <w:color w:val="auto"/>
        </w:rPr>
        <w:t xml:space="preserve">key </w:t>
      </w:r>
      <w:r w:rsidRPr="6BE699EF" w:rsidR="009E0B84">
        <w:rPr>
          <w:color w:val="auto"/>
        </w:rPr>
        <w:t>diseases in Australia. This document contains the laboratory case definition for</w:t>
      </w:r>
      <w:r w:rsidRPr="6BE699EF" w:rsidR="009E0B84">
        <w:rPr>
          <w:i w:val="1"/>
          <w:iCs w:val="1"/>
          <w:color w:val="auto"/>
        </w:rPr>
        <w:t xml:space="preserve"> </w:t>
      </w:r>
      <w:r w:rsidRPr="6BE699EF" w:rsidR="008B18FB">
        <w:rPr>
          <w:i w:val="1"/>
          <w:iCs w:val="1"/>
          <w:color w:val="auto"/>
        </w:rPr>
        <w:t>h</w:t>
      </w:r>
      <w:r w:rsidRPr="6BE699EF" w:rsidR="0057518E">
        <w:rPr>
          <w:i w:val="1"/>
          <w:iCs w:val="1"/>
          <w:color w:val="auto"/>
        </w:rPr>
        <w:t>epatitis A virus</w:t>
      </w:r>
      <w:r w:rsidRPr="6BE699EF" w:rsidR="0057518E">
        <w:rPr>
          <w:color w:val="auto"/>
        </w:rPr>
        <w:t>.</w:t>
      </w:r>
    </w:p>
    <w:p w:rsidRPr="0057518E" w:rsidR="009E0B84" w:rsidP="009E0B84" w:rsidRDefault="009E0B84" w14:paraId="38B85A16" w14:textId="77777777">
      <w:pPr>
        <w:spacing w:after="120"/>
      </w:pPr>
      <w:r w:rsidRPr="0057518E">
        <w:rPr>
          <w:b/>
          <w:bCs/>
        </w:rPr>
        <w:t>Authorisation:</w:t>
      </w:r>
      <w:r w:rsidRPr="0057518E">
        <w:t> </w:t>
      </w:r>
      <w:r w:rsidRPr="0057518E">
        <w:tab/>
      </w:r>
      <w:r w:rsidRPr="0057518E">
        <w:t>PHLN</w:t>
      </w:r>
    </w:p>
    <w:p w:rsidRPr="0057518E" w:rsidR="0057518E" w:rsidP="009E0B84" w:rsidRDefault="009E0B84" w14:paraId="76E88945" w14:textId="77777777">
      <w:pPr>
        <w:pBdr>
          <w:bottom w:val="single" w:color="auto" w:sz="6" w:space="1"/>
        </w:pBdr>
      </w:pPr>
      <w:r w:rsidRPr="0057518E">
        <w:rPr>
          <w:b/>
          <w:bCs/>
        </w:rPr>
        <w:t>Consensus date:</w:t>
      </w:r>
      <w:r w:rsidRPr="0057518E">
        <w:t> </w:t>
      </w:r>
      <w:r w:rsidRPr="0057518E">
        <w:tab/>
      </w:r>
      <w:r w:rsidRPr="0057518E" w:rsidR="0057518E">
        <w:t>30 May 2011</w:t>
      </w:r>
    </w:p>
    <w:p w:rsidRPr="0057518E" w:rsidR="0057518E" w:rsidP="009E0B84" w:rsidRDefault="0057518E" w14:paraId="025B396F" w14:textId="51E70903">
      <w:pPr>
        <w:pBdr>
          <w:bottom w:val="single" w:color="auto" w:sz="6" w:space="1"/>
        </w:pBdr>
      </w:pPr>
    </w:p>
    <w:p w:rsidRPr="0057518E" w:rsidR="0057518E" w:rsidP="0057518E" w:rsidRDefault="0057518E" w14:paraId="22875130" w14:textId="77777777">
      <w:pPr>
        <w:shd w:val="clear" w:color="auto" w:fill="FFFFFF"/>
        <w:spacing w:before="240" w:after="120"/>
        <w:outlineLvl w:val="1"/>
        <w:rPr>
          <w:rFonts w:ascii="Open Sans" w:hAnsi="Open Sans" w:cs="Open Sans"/>
          <w:sz w:val="36"/>
          <w:szCs w:val="36"/>
          <w:lang w:eastAsia="en-AU"/>
        </w:rPr>
      </w:pPr>
      <w:r w:rsidRPr="0057518E">
        <w:rPr>
          <w:rFonts w:ascii="Open Sans" w:hAnsi="Open Sans" w:cs="Open Sans"/>
          <w:sz w:val="36"/>
          <w:szCs w:val="36"/>
          <w:lang w:eastAsia="en-AU"/>
        </w:rPr>
        <w:t>1 PHLN Summary Laboratory Definition</w:t>
      </w:r>
    </w:p>
    <w:p w:rsidRPr="0057518E" w:rsidR="0057518E" w:rsidP="0057518E" w:rsidRDefault="0057518E" w14:paraId="00B70D94" w14:textId="77777777">
      <w:pPr>
        <w:shd w:val="clear" w:color="auto" w:fill="FFFFFF"/>
        <w:spacing w:before="240" w:after="120" w:line="276" w:lineRule="auto"/>
        <w:outlineLvl w:val="2"/>
        <w:rPr>
          <w:rFonts w:ascii="Open Sans" w:hAnsi="Open Sans" w:cs="Open Sans"/>
          <w:sz w:val="27"/>
          <w:szCs w:val="27"/>
          <w:lang w:eastAsia="en-AU"/>
        </w:rPr>
      </w:pPr>
      <w:r w:rsidRPr="0057518E">
        <w:rPr>
          <w:rFonts w:ascii="Open Sans" w:hAnsi="Open Sans" w:cs="Open Sans"/>
          <w:sz w:val="27"/>
          <w:szCs w:val="27"/>
          <w:lang w:eastAsia="en-AU"/>
        </w:rPr>
        <w:t>1.1 Condition:</w:t>
      </w:r>
    </w:p>
    <w:p w:rsidRPr="0057518E" w:rsidR="0057518E" w:rsidP="0057518E" w:rsidRDefault="0057518E" w14:paraId="08A5C5C9" w14:textId="1D44B06F">
      <w:pPr>
        <w:spacing w:line="276" w:lineRule="auto"/>
        <w:rPr>
          <w:rFonts w:ascii="Helvetica" w:hAnsi="Helvetica" w:cs="Helvetica"/>
          <w:sz w:val="20"/>
          <w:szCs w:val="20"/>
          <w:lang w:eastAsia="en-AU"/>
        </w:rPr>
      </w:pPr>
      <w:r w:rsidRPr="0057518E">
        <w:rPr>
          <w:rFonts w:ascii="Helvetica" w:hAnsi="Helvetica" w:cs="Helvetica"/>
          <w:sz w:val="20"/>
          <w:szCs w:val="20"/>
          <w:shd w:val="clear" w:color="auto" w:fill="FFFFFF"/>
          <w:lang w:eastAsia="en-AU"/>
        </w:rPr>
        <w:t>Hepatitis A</w:t>
      </w:r>
    </w:p>
    <w:p w:rsidRPr="0057518E" w:rsidR="0057518E" w:rsidP="0057518E" w:rsidRDefault="0057518E" w14:paraId="3C426BC4" w14:textId="77777777">
      <w:pPr>
        <w:shd w:val="clear" w:color="auto" w:fill="FFFFFF"/>
        <w:spacing w:before="240" w:after="120" w:line="276" w:lineRule="auto"/>
        <w:outlineLvl w:val="3"/>
        <w:rPr>
          <w:rFonts w:ascii="Open Sans" w:hAnsi="Open Sans" w:cs="Open Sans"/>
          <w:sz w:val="24"/>
          <w:lang w:eastAsia="en-AU"/>
        </w:rPr>
      </w:pPr>
      <w:r w:rsidRPr="0057518E">
        <w:rPr>
          <w:rFonts w:ascii="Open Sans" w:hAnsi="Open Sans" w:cs="Open Sans"/>
          <w:sz w:val="24"/>
          <w:lang w:eastAsia="en-AU"/>
        </w:rPr>
        <w:t>Definitive Criteria</w:t>
      </w:r>
    </w:p>
    <w:p w:rsidRPr="0057518E" w:rsidR="0057518E" w:rsidP="6BE699EF" w:rsidRDefault="0057518E" w14:paraId="5AA16FEA" w14:textId="77777777" w14:noSpellErr="1">
      <w:pPr>
        <w:numPr>
          <w:ilvl w:val="0"/>
          <w:numId w:val="20"/>
        </w:numPr>
        <w:shd w:val="clear" w:color="auto" w:fill="FFFFFF" w:themeFill="background1"/>
        <w:spacing w:after="90" w:line="276" w:lineRule="auto"/>
        <w:rPr>
          <w:rFonts w:ascii="Helvetica" w:hAnsi="Helvetica" w:cs="Helvetica"/>
          <w:sz w:val="20"/>
          <w:szCs w:val="20"/>
          <w:lang w:eastAsia="en-AU"/>
        </w:rPr>
      </w:pPr>
      <w:r w:rsidRPr="6BE699EF" w:rsidR="0057518E">
        <w:rPr>
          <w:rFonts w:ascii="Helvetica" w:hAnsi="Helvetica" w:cs="Helvetica"/>
          <w:sz w:val="20"/>
          <w:szCs w:val="20"/>
          <w:lang w:eastAsia="en-AU"/>
        </w:rPr>
        <w:t xml:space="preserve">Detection of </w:t>
      </w:r>
      <w:r w:rsidRPr="6BE699EF" w:rsidR="0057518E">
        <w:rPr>
          <w:rFonts w:ascii="Helvetica" w:hAnsi="Helvetica" w:cs="Helvetica"/>
          <w:i w:val="1"/>
          <w:iCs w:val="1"/>
          <w:sz w:val="20"/>
          <w:szCs w:val="20"/>
          <w:lang w:eastAsia="en-AU"/>
        </w:rPr>
        <w:t>hepatitis A virus</w:t>
      </w:r>
      <w:r w:rsidRPr="6BE699EF" w:rsidR="0057518E">
        <w:rPr>
          <w:rFonts w:ascii="Helvetica" w:hAnsi="Helvetica" w:cs="Helvetica"/>
          <w:sz w:val="20"/>
          <w:szCs w:val="20"/>
          <w:lang w:eastAsia="en-AU"/>
        </w:rPr>
        <w:t xml:space="preserve"> by nucleic acid testing</w:t>
      </w:r>
    </w:p>
    <w:p w:rsidRPr="0057518E" w:rsidR="0057518E" w:rsidP="6BE699EF" w:rsidRDefault="0057518E" w14:paraId="7E4F435F" w14:textId="536ED5AA">
      <w:pPr>
        <w:numPr>
          <w:ilvl w:val="0"/>
          <w:numId w:val="20"/>
        </w:numPr>
        <w:shd w:val="clear" w:color="auto" w:fill="FFFFFF" w:themeFill="background1"/>
        <w:spacing w:after="90" w:line="276" w:lineRule="auto"/>
        <w:rPr>
          <w:rFonts w:ascii="Helvetica" w:hAnsi="Helvetica" w:cs="Helvetica"/>
          <w:sz w:val="20"/>
          <w:szCs w:val="20"/>
          <w:lang w:eastAsia="en-AU"/>
        </w:rPr>
      </w:pPr>
      <w:r w:rsidRPr="6BE699EF" w:rsidR="0057518E">
        <w:rPr>
          <w:rFonts w:ascii="Helvetica" w:hAnsi="Helvetica" w:cs="Helvetica"/>
          <w:sz w:val="20"/>
          <w:szCs w:val="20"/>
          <w:lang w:eastAsia="en-AU"/>
        </w:rPr>
        <w:t>Detection of anti-</w:t>
      </w:r>
      <w:r w:rsidRPr="6BE699EF" w:rsidR="0057518E">
        <w:rPr>
          <w:rFonts w:ascii="Helvetica" w:hAnsi="Helvetica" w:cs="Helvetica"/>
          <w:i w:val="1"/>
          <w:iCs w:val="1"/>
          <w:sz w:val="20"/>
          <w:szCs w:val="20"/>
          <w:lang w:eastAsia="en-AU"/>
        </w:rPr>
        <w:t>hepatitis</w:t>
      </w:r>
      <w:r w:rsidRPr="6BE699EF" w:rsidR="0057518E">
        <w:rPr>
          <w:rFonts w:ascii="Helvetica" w:hAnsi="Helvetica" w:cs="Helvetica"/>
          <w:i w:val="0"/>
          <w:iCs w:val="0"/>
          <w:sz w:val="20"/>
          <w:szCs w:val="20"/>
          <w:lang w:eastAsia="en-AU"/>
        </w:rPr>
        <w:t xml:space="preserve"> </w:t>
      </w:r>
      <w:r w:rsidRPr="6BE699EF" w:rsidR="0057518E">
        <w:rPr>
          <w:rFonts w:ascii="Helvetica" w:hAnsi="Helvetica" w:cs="Helvetica"/>
          <w:i w:val="0"/>
          <w:iCs w:val="0"/>
          <w:sz w:val="20"/>
          <w:szCs w:val="20"/>
          <w:lang w:eastAsia="en-AU"/>
        </w:rPr>
        <w:t>A</w:t>
      </w:r>
      <w:r w:rsidRPr="6BE699EF" w:rsidR="0057518E">
        <w:rPr>
          <w:rFonts w:ascii="Helvetica" w:hAnsi="Helvetica" w:cs="Helvetica"/>
          <w:sz w:val="20"/>
          <w:szCs w:val="20"/>
          <w:lang w:eastAsia="en-AU"/>
        </w:rPr>
        <w:t xml:space="preserve"> IgM, in the absence of recent vaccination within the last 12 weeks</w:t>
      </w:r>
    </w:p>
    <w:p w:rsidRPr="0057518E" w:rsidR="0057518E" w:rsidP="6BE699EF" w:rsidRDefault="0057518E" w14:paraId="41D87DFC" w14:textId="77777777" w14:noSpellErr="1">
      <w:pPr>
        <w:numPr>
          <w:ilvl w:val="0"/>
          <w:numId w:val="20"/>
        </w:numPr>
        <w:shd w:val="clear" w:color="auto" w:fill="FFFFFF" w:themeFill="background1"/>
        <w:spacing w:after="90" w:line="276" w:lineRule="auto"/>
        <w:rPr>
          <w:rFonts w:ascii="Helvetica" w:hAnsi="Helvetica" w:cs="Helvetica"/>
          <w:sz w:val="20"/>
          <w:szCs w:val="20"/>
          <w:lang w:eastAsia="en-AU"/>
        </w:rPr>
      </w:pPr>
      <w:r w:rsidRPr="6BE699EF" w:rsidR="0057518E">
        <w:rPr>
          <w:rFonts w:ascii="Helvetica" w:hAnsi="Helvetica" w:cs="Helvetica"/>
          <w:sz w:val="20"/>
          <w:szCs w:val="20"/>
          <w:lang w:eastAsia="en-AU"/>
        </w:rPr>
        <w:t xml:space="preserve">Seroconversion from </w:t>
      </w:r>
      <w:r w:rsidRPr="6BE699EF" w:rsidR="0057518E">
        <w:rPr>
          <w:rFonts w:ascii="Helvetica" w:hAnsi="Helvetica" w:cs="Helvetica"/>
          <w:i w:val="1"/>
          <w:iCs w:val="1"/>
          <w:sz w:val="20"/>
          <w:szCs w:val="20"/>
          <w:lang w:eastAsia="en-AU"/>
        </w:rPr>
        <w:t xml:space="preserve">hepatitis </w:t>
      </w:r>
      <w:proofErr w:type="gramStart"/>
      <w:r w:rsidRPr="6BE699EF" w:rsidR="0057518E">
        <w:rPr>
          <w:rFonts w:ascii="Helvetica" w:hAnsi="Helvetica" w:cs="Helvetica"/>
          <w:i w:val="1"/>
          <w:iCs w:val="1"/>
          <w:sz w:val="20"/>
          <w:szCs w:val="20"/>
          <w:lang w:eastAsia="en-AU"/>
        </w:rPr>
        <w:t>A</w:t>
      </w:r>
      <w:proofErr w:type="gramEnd"/>
      <w:r w:rsidRPr="6BE699EF" w:rsidR="0057518E">
        <w:rPr>
          <w:rFonts w:ascii="Helvetica" w:hAnsi="Helvetica" w:cs="Helvetica"/>
          <w:i w:val="1"/>
          <w:iCs w:val="1"/>
          <w:sz w:val="20"/>
          <w:szCs w:val="20"/>
          <w:lang w:eastAsia="en-AU"/>
        </w:rPr>
        <w:t xml:space="preserve"> </w:t>
      </w:r>
      <w:r w:rsidRPr="6BE699EF" w:rsidR="0057518E">
        <w:rPr>
          <w:rFonts w:ascii="Helvetica" w:hAnsi="Helvetica" w:cs="Helvetica"/>
          <w:sz w:val="20"/>
          <w:szCs w:val="20"/>
          <w:lang w:eastAsia="en-AU"/>
        </w:rPr>
        <w:t>IgG negative to positive.</w:t>
      </w:r>
    </w:p>
    <w:p w:rsidRPr="0057518E" w:rsidR="0057518E" w:rsidP="0057518E" w:rsidRDefault="0057518E" w14:paraId="29660ABC" w14:textId="77777777">
      <w:pPr>
        <w:shd w:val="clear" w:color="auto" w:fill="FFFFFF"/>
        <w:spacing w:after="120" w:line="276" w:lineRule="auto"/>
        <w:outlineLvl w:val="1"/>
        <w:rPr>
          <w:rFonts w:ascii="Open Sans" w:hAnsi="Open Sans" w:cs="Open Sans"/>
          <w:sz w:val="36"/>
          <w:szCs w:val="36"/>
          <w:lang w:eastAsia="en-AU"/>
        </w:rPr>
      </w:pPr>
      <w:r w:rsidRPr="0057518E">
        <w:rPr>
          <w:rFonts w:ascii="Open Sans" w:hAnsi="Open Sans" w:cs="Open Sans"/>
          <w:sz w:val="36"/>
          <w:szCs w:val="36"/>
          <w:lang w:eastAsia="en-AU"/>
        </w:rPr>
        <w:t xml:space="preserve">2 </w:t>
      </w:r>
      <w:proofErr w:type="spellStart"/>
      <w:r w:rsidRPr="0057518E">
        <w:rPr>
          <w:rFonts w:ascii="Open Sans" w:hAnsi="Open Sans" w:cs="Open Sans"/>
          <w:sz w:val="36"/>
          <w:szCs w:val="36"/>
          <w:lang w:eastAsia="en-AU"/>
        </w:rPr>
        <w:t>Introcuction</w:t>
      </w:r>
      <w:proofErr w:type="spellEnd"/>
    </w:p>
    <w:p w:rsidRPr="0057518E" w:rsidR="0057518E" w:rsidP="0057518E" w:rsidRDefault="0057518E" w14:paraId="0123689D" w14:textId="286DF89F">
      <w:pPr>
        <w:spacing w:line="276" w:lineRule="auto"/>
        <w:rPr>
          <w:rFonts w:ascii="Helvetica" w:hAnsi="Helvetica" w:cs="Helvetica"/>
          <w:sz w:val="20"/>
          <w:szCs w:val="20"/>
          <w:lang w:eastAsia="en-AU"/>
        </w:rPr>
      </w:pPr>
      <w:r w:rsidRPr="6BE699EF" w:rsidR="0057518E">
        <w:rPr>
          <w:rFonts w:ascii="Helvetica" w:hAnsi="Helvetica" w:cs="Helvetica"/>
          <w:i w:val="1"/>
          <w:iCs w:val="1"/>
          <w:sz w:val="20"/>
          <w:szCs w:val="20"/>
          <w:shd w:val="clear" w:color="auto" w:fill="FFFFFF"/>
          <w:lang w:eastAsia="en-AU"/>
        </w:rPr>
        <w:t xml:space="preserve">Hepatitis A virus</w:t>
      </w:r>
      <w:r w:rsidRPr="0057518E" w:rsidR="0057518E">
        <w:rPr>
          <w:rFonts w:ascii="Helvetica" w:hAnsi="Helvetica" w:cs="Helvetica"/>
          <w:sz w:val="20"/>
          <w:szCs w:val="20"/>
          <w:shd w:val="clear" w:color="auto" w:fill="FFFFFF"/>
          <w:lang w:eastAsia="en-AU"/>
        </w:rPr>
        <w:t xml:space="preserve"> (HAV), the causative agent of hepatitis A, is a non-enveloped, single-stranded RNA virus, which is a member of the </w:t>
      </w:r>
      <w:proofErr w:type="spellStart"/>
      <w:r w:rsidRPr="6BE699EF" w:rsidR="0057518E">
        <w:rPr>
          <w:rFonts w:ascii="Helvetica" w:hAnsi="Helvetica" w:cs="Helvetica"/>
          <w:i w:val="1"/>
          <w:iCs w:val="1"/>
          <w:sz w:val="20"/>
          <w:szCs w:val="20"/>
          <w:shd w:val="clear" w:color="auto" w:fill="FFFFFF"/>
          <w:lang w:eastAsia="en-AU"/>
        </w:rPr>
        <w:t>Hepatovirus</w:t>
      </w:r>
      <w:proofErr w:type="spellEnd"/>
      <w:r w:rsidRPr="6BE699EF" w:rsidR="0057518E">
        <w:rPr>
          <w:rFonts w:ascii="Helvetica" w:hAnsi="Helvetica" w:cs="Helvetica"/>
          <w:i w:val="1"/>
          <w:iCs w:val="1"/>
          <w:sz w:val="20"/>
          <w:szCs w:val="20"/>
          <w:shd w:val="clear" w:color="auto" w:fill="FFFFFF"/>
          <w:lang w:eastAsia="en-AU"/>
        </w:rPr>
        <w:t xml:space="preserve"> </w:t>
      </w:r>
      <w:r w:rsidRPr="0057518E" w:rsidR="0057518E">
        <w:rPr>
          <w:rFonts w:ascii="Helvetica" w:hAnsi="Helvetica" w:cs="Helvetica"/>
          <w:sz w:val="20"/>
          <w:szCs w:val="20"/>
          <w:shd w:val="clear" w:color="auto" w:fill="FFFFFF"/>
          <w:lang w:eastAsia="en-AU"/>
        </w:rPr>
        <w:t xml:space="preserve">genus of the family </w:t>
      </w:r>
      <w:proofErr w:type="spellStart"/>
      <w:r w:rsidRPr="6BE699EF" w:rsidR="0057518E">
        <w:rPr>
          <w:rFonts w:ascii="Helvetica" w:hAnsi="Helvetica" w:cs="Helvetica"/>
          <w:i w:val="1"/>
          <w:iCs w:val="1"/>
          <w:sz w:val="20"/>
          <w:szCs w:val="20"/>
          <w:shd w:val="clear" w:color="auto" w:fill="FFFFFF"/>
          <w:lang w:eastAsia="en-AU"/>
        </w:rPr>
        <w:t>Picornaviridae</w:t>
      </w:r>
      <w:proofErr w:type="spellEnd"/>
      <w:r w:rsidRPr="0057518E" w:rsidR="0057518E">
        <w:rPr>
          <w:rFonts w:ascii="Helvetica" w:hAnsi="Helvetica" w:cs="Helvetica"/>
          <w:sz w:val="20"/>
          <w:szCs w:val="20"/>
          <w:shd w:val="clear" w:color="auto" w:fill="FFFFFF"/>
          <w:lang w:eastAsia="en-AU"/>
        </w:rPr>
        <w:t>. HAV displays a high degree of genetic conservation throughout its genome and there is only one serotype. There is enough genetic diversity though, to define six genotypes consisting of three that infect humans (I, II and III) and three simian strains (IV, V and VI). Former human genotype VII has now been incorporated into the genotype II clade.</w:t>
      </w:r>
      <w:r w:rsidRPr="0057518E" w:rsidR="0057518E">
        <w:rPr>
          <w:rFonts w:ascii="Helvetica" w:hAnsi="Helvetica" w:cs="Helvetica"/>
          <w:sz w:val="15"/>
          <w:szCs w:val="15"/>
          <w:shd w:val="clear" w:color="auto" w:fill="FFFFFF"/>
          <w:vertAlign w:val="superscript"/>
          <w:lang w:eastAsia="en-AU"/>
        </w:rPr>
        <w:t>1</w:t>
      </w:r>
    </w:p>
    <w:p w:rsidRPr="0057518E" w:rsidR="0057518E" w:rsidP="0057518E" w:rsidRDefault="0057518E" w14:paraId="6893E79D" w14:textId="06E9626F">
      <w:pPr>
        <w:spacing w:line="276" w:lineRule="auto"/>
        <w:rPr>
          <w:rFonts w:ascii="Helvetica" w:hAnsi="Helvetica" w:cs="Helvetica"/>
          <w:sz w:val="20"/>
          <w:szCs w:val="20"/>
          <w:lang w:eastAsia="en-AU"/>
        </w:rPr>
      </w:pPr>
    </w:p>
    <w:p w:rsidRPr="0057518E" w:rsidR="0057518E" w:rsidP="0057518E" w:rsidRDefault="0057518E" w14:paraId="5B2D0310" w14:textId="77777777">
      <w:pPr>
        <w:spacing w:line="276" w:lineRule="auto"/>
        <w:rPr>
          <w:rFonts w:ascii="Helvetica" w:hAnsi="Helvetica" w:cs="Helvetica"/>
          <w:sz w:val="20"/>
          <w:szCs w:val="20"/>
          <w:lang w:eastAsia="en-AU"/>
        </w:rPr>
      </w:pPr>
      <w:r w:rsidRPr="0057518E">
        <w:rPr>
          <w:rFonts w:ascii="Helvetica" w:hAnsi="Helvetica" w:cs="Helvetica"/>
          <w:sz w:val="20"/>
          <w:szCs w:val="20"/>
          <w:shd w:val="clear" w:color="auto" w:fill="FFFFFF"/>
          <w:lang w:eastAsia="en-AU"/>
        </w:rPr>
        <w:t>HAV is the most common cause of infectious hepatitis worldwide with more than 1.5 million cases each year. In Australia there are approximately 300 to 500 cases of HAV infection reported annually and this has been declining since the 1990s.</w:t>
      </w:r>
      <w:r w:rsidRPr="0057518E">
        <w:rPr>
          <w:rFonts w:ascii="Helvetica" w:hAnsi="Helvetica" w:cs="Helvetica"/>
          <w:sz w:val="15"/>
          <w:szCs w:val="15"/>
          <w:shd w:val="clear" w:color="auto" w:fill="FFFFFF"/>
          <w:vertAlign w:val="superscript"/>
          <w:lang w:eastAsia="en-AU"/>
        </w:rPr>
        <w:t>2</w:t>
      </w:r>
      <w:r w:rsidRPr="0057518E">
        <w:rPr>
          <w:rFonts w:ascii="Helvetica" w:hAnsi="Helvetica" w:cs="Helvetica"/>
          <w:sz w:val="20"/>
          <w:szCs w:val="20"/>
          <w:shd w:val="clear" w:color="auto" w:fill="FFFFFF"/>
          <w:lang w:eastAsia="en-AU"/>
        </w:rPr>
        <w:t xml:space="preserve"> HAV is transmitted via the faecal-oral route through direct contact of an infected person, or by ingestion of contaminated food or water. Risk factors for acquisition of HAV include low socioeconomic status, large household size, overcrowding, living in a rural </w:t>
      </w:r>
      <w:proofErr w:type="gramStart"/>
      <w:r w:rsidRPr="0057518E">
        <w:rPr>
          <w:rFonts w:ascii="Helvetica" w:hAnsi="Helvetica" w:cs="Helvetica"/>
          <w:sz w:val="20"/>
          <w:szCs w:val="20"/>
          <w:shd w:val="clear" w:color="auto" w:fill="FFFFFF"/>
          <w:lang w:eastAsia="en-AU"/>
        </w:rPr>
        <w:t>area</w:t>
      </w:r>
      <w:proofErr w:type="gramEnd"/>
      <w:r w:rsidRPr="0057518E">
        <w:rPr>
          <w:rFonts w:ascii="Helvetica" w:hAnsi="Helvetica" w:cs="Helvetica"/>
          <w:sz w:val="20"/>
          <w:szCs w:val="20"/>
          <w:shd w:val="clear" w:color="auto" w:fill="FFFFFF"/>
          <w:lang w:eastAsia="en-AU"/>
        </w:rPr>
        <w:t xml:space="preserve"> and having limited access to clean water sources or sanitation facilities. HAV is stable in the environment for up to 1 month and is inactivated by temperatures exceeding 85°C and by some disinfectants; including chlorine and formalin.</w:t>
      </w:r>
    </w:p>
    <w:p w:rsidRPr="0057518E" w:rsidR="0057518E" w:rsidP="0057518E" w:rsidRDefault="0057518E" w14:paraId="5877A543" w14:textId="00874A36">
      <w:pPr>
        <w:spacing w:line="276" w:lineRule="auto"/>
        <w:rPr>
          <w:rFonts w:ascii="Helvetica" w:hAnsi="Helvetica" w:cs="Helvetica"/>
          <w:sz w:val="20"/>
          <w:szCs w:val="20"/>
          <w:lang w:eastAsia="en-AU"/>
        </w:rPr>
      </w:pPr>
    </w:p>
    <w:p w:rsidRPr="0057518E" w:rsidR="0057518E" w:rsidP="0057518E" w:rsidRDefault="0057518E" w14:paraId="68DB53E1" w14:textId="77777777">
      <w:pPr>
        <w:spacing w:line="276" w:lineRule="auto"/>
        <w:rPr>
          <w:rFonts w:ascii="Helvetica" w:hAnsi="Helvetica" w:cs="Helvetica"/>
          <w:sz w:val="20"/>
          <w:szCs w:val="20"/>
          <w:lang w:eastAsia="en-AU"/>
        </w:rPr>
      </w:pPr>
      <w:r w:rsidRPr="0057518E">
        <w:rPr>
          <w:rFonts w:ascii="Helvetica" w:hAnsi="Helvetica" w:cs="Helvetica"/>
          <w:sz w:val="20"/>
          <w:szCs w:val="20"/>
          <w:shd w:val="clear" w:color="auto" w:fill="FFFFFF"/>
          <w:lang w:eastAsia="en-AU"/>
        </w:rPr>
        <w:lastRenderedPageBreak/>
        <w:t xml:space="preserve">True chronic hepatitis attributable to HAV has not been documented. </w:t>
      </w:r>
      <w:proofErr w:type="gramStart"/>
      <w:r w:rsidRPr="0057518E">
        <w:rPr>
          <w:rFonts w:ascii="Helvetica" w:hAnsi="Helvetica" w:cs="Helvetica"/>
          <w:sz w:val="20"/>
          <w:szCs w:val="20"/>
          <w:shd w:val="clear" w:color="auto" w:fill="FFFFFF"/>
          <w:lang w:eastAsia="en-AU"/>
        </w:rPr>
        <w:t>However</w:t>
      </w:r>
      <w:proofErr w:type="gramEnd"/>
      <w:r w:rsidRPr="0057518E">
        <w:rPr>
          <w:rFonts w:ascii="Helvetica" w:hAnsi="Helvetica" w:cs="Helvetica"/>
          <w:sz w:val="20"/>
          <w:szCs w:val="20"/>
          <w:shd w:val="clear" w:color="auto" w:fill="FFFFFF"/>
          <w:lang w:eastAsia="en-AU"/>
        </w:rPr>
        <w:t xml:space="preserve"> a small proportion of patients may have persisting HAV replication and transaminitis for up to a year or longer.</w:t>
      </w:r>
      <w:r w:rsidRPr="0057518E">
        <w:rPr>
          <w:rFonts w:ascii="Helvetica" w:hAnsi="Helvetica" w:cs="Helvetica"/>
          <w:sz w:val="15"/>
          <w:szCs w:val="15"/>
          <w:shd w:val="clear" w:color="auto" w:fill="FFFFFF"/>
          <w:vertAlign w:val="superscript"/>
          <w:lang w:eastAsia="en-AU"/>
        </w:rPr>
        <w:t>3</w:t>
      </w:r>
      <w:r w:rsidRPr="0057518E">
        <w:rPr>
          <w:rFonts w:ascii="Helvetica" w:hAnsi="Helvetica" w:cs="Helvetica"/>
          <w:sz w:val="20"/>
          <w:szCs w:val="20"/>
          <w:shd w:val="clear" w:color="auto" w:fill="FFFFFF"/>
          <w:lang w:eastAsia="en-AU"/>
        </w:rPr>
        <w:t> Relapsing illness within weeks of apparent recovery, with reappearance of HAV in the faeces has also been described.</w:t>
      </w:r>
      <w:r w:rsidRPr="0057518E">
        <w:rPr>
          <w:rFonts w:ascii="Helvetica" w:hAnsi="Helvetica" w:cs="Helvetica"/>
          <w:sz w:val="15"/>
          <w:szCs w:val="15"/>
          <w:shd w:val="clear" w:color="auto" w:fill="FFFFFF"/>
          <w:vertAlign w:val="superscript"/>
          <w:lang w:eastAsia="en-AU"/>
        </w:rPr>
        <w:t>4</w:t>
      </w:r>
    </w:p>
    <w:p w:rsidRPr="0057518E" w:rsidR="0057518E" w:rsidP="0057518E" w:rsidRDefault="0057518E" w14:paraId="412DBB20" w14:textId="77777777">
      <w:pPr>
        <w:shd w:val="clear" w:color="auto" w:fill="FFFFFF"/>
        <w:spacing w:before="240" w:after="120" w:line="276" w:lineRule="auto"/>
        <w:outlineLvl w:val="2"/>
        <w:rPr>
          <w:rFonts w:ascii="Open Sans" w:hAnsi="Open Sans" w:cs="Open Sans"/>
          <w:sz w:val="27"/>
          <w:szCs w:val="27"/>
          <w:lang w:eastAsia="en-AU"/>
        </w:rPr>
      </w:pPr>
      <w:r w:rsidRPr="0057518E">
        <w:rPr>
          <w:rFonts w:ascii="Open Sans" w:hAnsi="Open Sans" w:cs="Open Sans"/>
          <w:sz w:val="27"/>
          <w:szCs w:val="27"/>
          <w:lang w:eastAsia="en-AU"/>
        </w:rPr>
        <w:t>2.1 Clinical Presentation</w:t>
      </w:r>
    </w:p>
    <w:p w:rsidRPr="0057518E" w:rsidR="0057518E" w:rsidP="0057518E" w:rsidRDefault="0057518E" w14:paraId="010BDF4C" w14:textId="77777777">
      <w:pPr>
        <w:spacing w:line="276" w:lineRule="auto"/>
        <w:rPr>
          <w:rFonts w:ascii="Times New Roman" w:hAnsi="Times New Roman"/>
          <w:sz w:val="24"/>
          <w:lang w:eastAsia="en-AU"/>
        </w:rPr>
      </w:pPr>
      <w:r w:rsidRPr="0057518E">
        <w:rPr>
          <w:rFonts w:ascii="Helvetica" w:hAnsi="Helvetica" w:cs="Helvetica"/>
          <w:sz w:val="20"/>
          <w:szCs w:val="20"/>
          <w:shd w:val="clear" w:color="auto" w:fill="FFFFFF"/>
          <w:lang w:eastAsia="en-AU"/>
        </w:rPr>
        <w:t xml:space="preserve">The clinical presentation typically has four </w:t>
      </w:r>
      <w:proofErr w:type="gramStart"/>
      <w:r w:rsidRPr="0057518E">
        <w:rPr>
          <w:rFonts w:ascii="Helvetica" w:hAnsi="Helvetica" w:cs="Helvetica"/>
          <w:sz w:val="20"/>
          <w:szCs w:val="20"/>
          <w:shd w:val="clear" w:color="auto" w:fill="FFFFFF"/>
          <w:lang w:eastAsia="en-AU"/>
        </w:rPr>
        <w:t>phases;</w:t>
      </w:r>
      <w:proofErr w:type="gramEnd"/>
    </w:p>
    <w:p w:rsidRPr="0057518E" w:rsidR="0057518E" w:rsidP="0057518E" w:rsidRDefault="0057518E" w14:paraId="3F8225ED" w14:textId="77777777">
      <w:pPr>
        <w:numPr>
          <w:ilvl w:val="0"/>
          <w:numId w:val="21"/>
        </w:numPr>
        <w:shd w:val="clear" w:color="auto" w:fill="FFFFFF"/>
        <w:spacing w:after="90" w:line="276" w:lineRule="auto"/>
        <w:rPr>
          <w:rFonts w:ascii="Helvetica" w:hAnsi="Helvetica" w:cs="Helvetica"/>
          <w:sz w:val="20"/>
          <w:szCs w:val="20"/>
          <w:lang w:eastAsia="en-AU"/>
        </w:rPr>
      </w:pPr>
      <w:r w:rsidRPr="0057518E">
        <w:rPr>
          <w:rFonts w:ascii="Helvetica" w:hAnsi="Helvetica" w:cs="Helvetica"/>
          <w:sz w:val="20"/>
          <w:szCs w:val="20"/>
          <w:lang w:eastAsia="en-AU"/>
        </w:rPr>
        <w:t xml:space="preserve">the first phase is an incubation period of 15-50 days </w:t>
      </w:r>
      <w:proofErr w:type="gramStart"/>
      <w:r w:rsidRPr="0057518E">
        <w:rPr>
          <w:rFonts w:ascii="Helvetica" w:hAnsi="Helvetica" w:cs="Helvetica"/>
          <w:sz w:val="20"/>
          <w:szCs w:val="20"/>
          <w:lang w:eastAsia="en-AU"/>
        </w:rPr>
        <w:t>where</w:t>
      </w:r>
      <w:proofErr w:type="gramEnd"/>
      <w:r w:rsidRPr="0057518E">
        <w:rPr>
          <w:rFonts w:ascii="Helvetica" w:hAnsi="Helvetica" w:cs="Helvetica"/>
          <w:sz w:val="20"/>
          <w:szCs w:val="20"/>
          <w:lang w:eastAsia="en-AU"/>
        </w:rPr>
        <w:t>, although asymptomatic, there may be shedding of virus in the stool</w:t>
      </w:r>
    </w:p>
    <w:p w:rsidRPr="0057518E" w:rsidR="0057518E" w:rsidP="0057518E" w:rsidRDefault="0057518E" w14:paraId="7EF5BB3A" w14:textId="77777777">
      <w:pPr>
        <w:numPr>
          <w:ilvl w:val="0"/>
          <w:numId w:val="21"/>
        </w:numPr>
        <w:shd w:val="clear" w:color="auto" w:fill="FFFFFF"/>
        <w:spacing w:after="90" w:line="276" w:lineRule="auto"/>
        <w:rPr>
          <w:rFonts w:ascii="Helvetica" w:hAnsi="Helvetica" w:cs="Helvetica"/>
          <w:sz w:val="20"/>
          <w:szCs w:val="20"/>
          <w:lang w:eastAsia="en-AU"/>
        </w:rPr>
      </w:pPr>
      <w:r w:rsidRPr="0057518E">
        <w:rPr>
          <w:rFonts w:ascii="Helvetica" w:hAnsi="Helvetica" w:cs="Helvetica"/>
          <w:sz w:val="20"/>
          <w:szCs w:val="20"/>
          <w:lang w:eastAsia="en-AU"/>
        </w:rPr>
        <w:t xml:space="preserve">this is followed by the second, </w:t>
      </w:r>
      <w:proofErr w:type="spellStart"/>
      <w:r w:rsidRPr="0057518E">
        <w:rPr>
          <w:rFonts w:ascii="Helvetica" w:hAnsi="Helvetica" w:cs="Helvetica"/>
          <w:sz w:val="20"/>
          <w:szCs w:val="20"/>
          <w:lang w:eastAsia="en-AU"/>
        </w:rPr>
        <w:t>preicteric</w:t>
      </w:r>
      <w:proofErr w:type="spellEnd"/>
      <w:r w:rsidRPr="0057518E">
        <w:rPr>
          <w:rFonts w:ascii="Helvetica" w:hAnsi="Helvetica" w:cs="Helvetica"/>
          <w:sz w:val="20"/>
          <w:szCs w:val="20"/>
          <w:lang w:eastAsia="en-AU"/>
        </w:rPr>
        <w:t xml:space="preserve"> phase, which lasts for between 3-21 days and consists of nonspecific symptoms, such as nausea, vomiting, abdominal pain, anorexia, </w:t>
      </w:r>
      <w:proofErr w:type="gramStart"/>
      <w:r w:rsidRPr="0057518E">
        <w:rPr>
          <w:rFonts w:ascii="Helvetica" w:hAnsi="Helvetica" w:cs="Helvetica"/>
          <w:sz w:val="20"/>
          <w:szCs w:val="20"/>
          <w:lang w:eastAsia="en-AU"/>
        </w:rPr>
        <w:t>malaise</w:t>
      </w:r>
      <w:proofErr w:type="gramEnd"/>
      <w:r w:rsidRPr="0057518E">
        <w:rPr>
          <w:rFonts w:ascii="Helvetica" w:hAnsi="Helvetica" w:cs="Helvetica"/>
          <w:sz w:val="20"/>
          <w:szCs w:val="20"/>
          <w:lang w:eastAsia="en-AU"/>
        </w:rPr>
        <w:t xml:space="preserve"> and fever</w:t>
      </w:r>
    </w:p>
    <w:p w:rsidRPr="0057518E" w:rsidR="0057518E" w:rsidP="0057518E" w:rsidRDefault="0057518E" w14:paraId="341CAC56" w14:textId="77777777">
      <w:pPr>
        <w:numPr>
          <w:ilvl w:val="0"/>
          <w:numId w:val="21"/>
        </w:numPr>
        <w:shd w:val="clear" w:color="auto" w:fill="FFFFFF"/>
        <w:spacing w:after="90" w:line="276" w:lineRule="auto"/>
        <w:rPr>
          <w:rFonts w:ascii="Helvetica" w:hAnsi="Helvetica" w:cs="Helvetica"/>
          <w:sz w:val="20"/>
          <w:szCs w:val="20"/>
          <w:lang w:eastAsia="en-AU"/>
        </w:rPr>
      </w:pPr>
      <w:r w:rsidRPr="0057518E">
        <w:rPr>
          <w:rFonts w:ascii="Helvetica" w:hAnsi="Helvetica" w:cs="Helvetica"/>
          <w:sz w:val="20"/>
          <w:szCs w:val="20"/>
          <w:lang w:eastAsia="en-AU"/>
        </w:rPr>
        <w:t>in the third phase, dark urine and raised bilirubin are followed by the onset of jaundice, usually resolving within a few weeks</w:t>
      </w:r>
    </w:p>
    <w:p w:rsidRPr="0057518E" w:rsidR="0057518E" w:rsidP="0057518E" w:rsidRDefault="0057518E" w14:paraId="4B0C3A48" w14:textId="77777777">
      <w:pPr>
        <w:numPr>
          <w:ilvl w:val="0"/>
          <w:numId w:val="21"/>
        </w:numPr>
        <w:shd w:val="clear" w:color="auto" w:fill="FFFFFF"/>
        <w:spacing w:after="90" w:line="276" w:lineRule="auto"/>
        <w:rPr>
          <w:rFonts w:ascii="Helvetica" w:hAnsi="Helvetica" w:cs="Helvetica"/>
          <w:sz w:val="20"/>
          <w:szCs w:val="20"/>
          <w:lang w:eastAsia="en-AU"/>
        </w:rPr>
      </w:pPr>
      <w:r w:rsidRPr="0057518E">
        <w:rPr>
          <w:rFonts w:ascii="Helvetica" w:hAnsi="Helvetica" w:cs="Helvetica"/>
          <w:sz w:val="20"/>
          <w:szCs w:val="20"/>
          <w:lang w:eastAsia="en-AU"/>
        </w:rPr>
        <w:t xml:space="preserve">the final phase is convalescence, where liver function </w:t>
      </w:r>
      <w:proofErr w:type="gramStart"/>
      <w:r w:rsidRPr="0057518E">
        <w:rPr>
          <w:rFonts w:ascii="Helvetica" w:hAnsi="Helvetica" w:cs="Helvetica"/>
          <w:sz w:val="20"/>
          <w:szCs w:val="20"/>
          <w:lang w:eastAsia="en-AU"/>
        </w:rPr>
        <w:t>normalises</w:t>
      </w:r>
      <w:proofErr w:type="gramEnd"/>
      <w:r w:rsidRPr="0057518E">
        <w:rPr>
          <w:rFonts w:ascii="Helvetica" w:hAnsi="Helvetica" w:cs="Helvetica"/>
          <w:sz w:val="20"/>
          <w:szCs w:val="20"/>
          <w:lang w:eastAsia="en-AU"/>
        </w:rPr>
        <w:t xml:space="preserve"> and the patient recovers over about a 1 month period</w:t>
      </w:r>
    </w:p>
    <w:p w:rsidRPr="0057518E" w:rsidR="0057518E" w:rsidP="0057518E" w:rsidRDefault="0057518E" w14:paraId="46B842FE" w14:textId="45D1C81E">
      <w:pPr>
        <w:spacing w:line="276" w:lineRule="auto"/>
        <w:rPr>
          <w:rFonts w:ascii="Helvetica" w:hAnsi="Helvetica" w:cs="Helvetica"/>
          <w:sz w:val="20"/>
          <w:szCs w:val="20"/>
          <w:lang w:eastAsia="en-AU"/>
        </w:rPr>
      </w:pPr>
      <w:r w:rsidRPr="0057518E">
        <w:rPr>
          <w:rFonts w:ascii="Helvetica" w:hAnsi="Helvetica" w:cs="Helvetica"/>
          <w:sz w:val="20"/>
          <w:szCs w:val="20"/>
          <w:shd w:val="clear" w:color="auto" w:fill="FFFFFF"/>
          <w:lang w:eastAsia="en-AU"/>
        </w:rPr>
        <w:t>On rare occasions fulminant hepatitis may occur, otherwise complications of HAV infection are rare and the case fatality rate is low, (&lt;0.5%).</w:t>
      </w:r>
      <w:r w:rsidRPr="0057518E">
        <w:rPr>
          <w:rFonts w:ascii="Helvetica" w:hAnsi="Helvetica" w:cs="Helvetica"/>
          <w:sz w:val="15"/>
          <w:szCs w:val="15"/>
          <w:shd w:val="clear" w:color="auto" w:fill="FFFFFF"/>
          <w:vertAlign w:val="superscript"/>
          <w:lang w:eastAsia="en-AU"/>
        </w:rPr>
        <w:t>5</w:t>
      </w:r>
      <w:r w:rsidRPr="0057518E">
        <w:rPr>
          <w:rFonts w:ascii="Helvetica" w:hAnsi="Helvetica" w:cs="Helvetica"/>
          <w:sz w:val="20"/>
          <w:szCs w:val="20"/>
          <w:shd w:val="clear" w:color="auto" w:fill="FFFFFF"/>
          <w:lang w:eastAsia="en-AU"/>
        </w:rPr>
        <w:t> In children, HAV usually causes either an asymptomatic infection, or a mild illness without jaundice.</w:t>
      </w:r>
    </w:p>
    <w:p w:rsidRPr="0057518E" w:rsidR="0057518E" w:rsidP="0057518E" w:rsidRDefault="0057518E" w14:paraId="2CA37D9D" w14:textId="25EEE2B1">
      <w:pPr>
        <w:spacing w:line="276" w:lineRule="auto"/>
        <w:rPr>
          <w:rFonts w:ascii="Helvetica" w:hAnsi="Helvetica" w:cs="Helvetica"/>
          <w:sz w:val="20"/>
          <w:szCs w:val="20"/>
          <w:lang w:eastAsia="en-AU"/>
        </w:rPr>
      </w:pPr>
    </w:p>
    <w:p w:rsidRPr="0057518E" w:rsidR="0057518E" w:rsidP="0057518E" w:rsidRDefault="0057518E" w14:paraId="1270930B" w14:textId="77777777">
      <w:pPr>
        <w:shd w:val="clear" w:color="auto" w:fill="FFFFFF"/>
        <w:spacing w:before="240" w:after="120" w:line="276" w:lineRule="auto"/>
        <w:outlineLvl w:val="2"/>
        <w:rPr>
          <w:rFonts w:ascii="Open Sans" w:hAnsi="Open Sans" w:cs="Open Sans"/>
          <w:sz w:val="27"/>
          <w:szCs w:val="27"/>
          <w:lang w:eastAsia="en-AU"/>
        </w:rPr>
      </w:pPr>
      <w:r w:rsidRPr="0057518E">
        <w:rPr>
          <w:rFonts w:ascii="Open Sans" w:hAnsi="Open Sans" w:cs="Open Sans"/>
          <w:sz w:val="27"/>
          <w:szCs w:val="27"/>
          <w:lang w:eastAsia="en-AU"/>
        </w:rPr>
        <w:t>2.2 Treatment</w:t>
      </w:r>
    </w:p>
    <w:p w:rsidRPr="0057518E" w:rsidR="0057518E" w:rsidP="0057518E" w:rsidRDefault="0057518E" w14:paraId="5F73D1BF" w14:textId="31528B5C">
      <w:pPr>
        <w:spacing w:line="276" w:lineRule="auto"/>
        <w:rPr>
          <w:rFonts w:ascii="Helvetica" w:hAnsi="Helvetica" w:cs="Helvetica"/>
          <w:sz w:val="20"/>
          <w:szCs w:val="20"/>
          <w:lang w:eastAsia="en-AU"/>
        </w:rPr>
      </w:pPr>
      <w:r w:rsidRPr="0057518E">
        <w:rPr>
          <w:rFonts w:ascii="Helvetica" w:hAnsi="Helvetica" w:cs="Helvetica"/>
          <w:sz w:val="20"/>
          <w:szCs w:val="20"/>
          <w:shd w:val="clear" w:color="auto" w:fill="FFFFFF"/>
          <w:lang w:eastAsia="en-AU"/>
        </w:rPr>
        <w:t>There is no specific treatment for HAV, although symptoms can be relieved with rest, a diet avoiding hepatotoxins and adequate fluid intake.</w:t>
      </w:r>
      <w:r w:rsidRPr="0057518E">
        <w:rPr>
          <w:rFonts w:ascii="Helvetica" w:hAnsi="Helvetica" w:cs="Helvetica"/>
          <w:sz w:val="15"/>
          <w:szCs w:val="15"/>
          <w:shd w:val="clear" w:color="auto" w:fill="FFFFFF"/>
          <w:vertAlign w:val="superscript"/>
          <w:lang w:eastAsia="en-AU"/>
        </w:rPr>
        <w:t>6</w:t>
      </w:r>
    </w:p>
    <w:p w:rsidRPr="0057518E" w:rsidR="0057518E" w:rsidP="0057518E" w:rsidRDefault="0057518E" w14:paraId="03C5CD5D" w14:textId="77777777">
      <w:pPr>
        <w:shd w:val="clear" w:color="auto" w:fill="FFFFFF"/>
        <w:spacing w:before="240" w:after="120" w:line="276" w:lineRule="auto"/>
        <w:outlineLvl w:val="2"/>
        <w:rPr>
          <w:rFonts w:ascii="Open Sans" w:hAnsi="Open Sans" w:cs="Open Sans"/>
          <w:sz w:val="27"/>
          <w:szCs w:val="27"/>
          <w:lang w:eastAsia="en-AU"/>
        </w:rPr>
      </w:pPr>
      <w:r w:rsidRPr="0057518E">
        <w:rPr>
          <w:rFonts w:ascii="Open Sans" w:hAnsi="Open Sans" w:cs="Open Sans"/>
          <w:sz w:val="27"/>
          <w:szCs w:val="27"/>
          <w:lang w:eastAsia="en-AU"/>
        </w:rPr>
        <w:t>2.3 Prevention</w:t>
      </w:r>
    </w:p>
    <w:p w:rsidRPr="0057518E" w:rsidR="0057518E" w:rsidP="0057518E" w:rsidRDefault="0057518E" w14:paraId="63B2D71B" w14:textId="0F94E28A" w14:noSpellErr="1">
      <w:pPr>
        <w:spacing w:line="276" w:lineRule="auto"/>
        <w:rPr>
          <w:rFonts w:ascii="Helvetica" w:hAnsi="Helvetica" w:cs="Helvetica"/>
          <w:sz w:val="20"/>
          <w:szCs w:val="20"/>
          <w:lang w:eastAsia="en-AU"/>
        </w:rPr>
      </w:pPr>
      <w:r w:rsidRPr="0057518E" w:rsidR="0057518E">
        <w:rPr>
          <w:rFonts w:ascii="Helvetica" w:hAnsi="Helvetica" w:cs="Helvetica"/>
          <w:sz w:val="20"/>
          <w:szCs w:val="20"/>
          <w:shd w:val="clear" w:color="auto" w:fill="FFFFFF"/>
          <w:lang w:eastAsia="en-AU"/>
        </w:rPr>
        <w:t xml:space="preserve">There are currently five </w:t>
      </w:r>
      <w:r w:rsidRPr="6BE699EF" w:rsidR="0057518E">
        <w:rPr>
          <w:rFonts w:ascii="Helvetica" w:hAnsi="Helvetica" w:cs="Helvetica"/>
          <w:i w:val="1"/>
          <w:iCs w:val="1"/>
          <w:sz w:val="20"/>
          <w:szCs w:val="20"/>
          <w:shd w:val="clear" w:color="auto" w:fill="FFFFFF"/>
          <w:lang w:eastAsia="en-AU"/>
        </w:rPr>
        <w:t>hepatitis A</w:t>
      </w:r>
      <w:r w:rsidRPr="0057518E" w:rsidR="0057518E">
        <w:rPr>
          <w:rFonts w:ascii="Helvetica" w:hAnsi="Helvetica" w:cs="Helvetica"/>
          <w:sz w:val="20"/>
          <w:szCs w:val="20"/>
          <w:shd w:val="clear" w:color="auto" w:fill="FFFFFF"/>
          <w:lang w:eastAsia="en-AU"/>
        </w:rPr>
        <w:t xml:space="preserve"> vaccines, two combined </w:t>
      </w:r>
      <w:r w:rsidRPr="6BE699EF" w:rsidR="0057518E">
        <w:rPr>
          <w:rFonts w:ascii="Helvetica" w:hAnsi="Helvetica" w:cs="Helvetica"/>
          <w:i w:val="1"/>
          <w:iCs w:val="1"/>
          <w:sz w:val="20"/>
          <w:szCs w:val="20"/>
          <w:shd w:val="clear" w:color="auto" w:fill="FFFFFF"/>
          <w:lang w:eastAsia="en-AU"/>
        </w:rPr>
        <w:t xml:space="preserve">hepatitis A/hepatitis B </w:t>
      </w:r>
      <w:r w:rsidRPr="0057518E" w:rsidR="0057518E">
        <w:rPr>
          <w:rFonts w:ascii="Helvetica" w:hAnsi="Helvetica" w:cs="Helvetica"/>
          <w:sz w:val="20"/>
          <w:szCs w:val="20"/>
          <w:shd w:val="clear" w:color="auto" w:fill="FFFFFF"/>
          <w:lang w:eastAsia="en-AU"/>
        </w:rPr>
        <w:t>vaccines and one combined h</w:t>
      </w:r>
      <w:r w:rsidRPr="6BE699EF" w:rsidR="0057518E">
        <w:rPr>
          <w:rFonts w:ascii="Helvetica" w:hAnsi="Helvetica" w:cs="Helvetica"/>
          <w:i w:val="1"/>
          <w:iCs w:val="1"/>
          <w:sz w:val="20"/>
          <w:szCs w:val="20"/>
          <w:shd w:val="clear" w:color="auto" w:fill="FFFFFF"/>
          <w:lang w:eastAsia="en-AU"/>
        </w:rPr>
        <w:t>epatitis A/</w:t>
      </w:r>
      <w:r w:rsidRPr="0057518E" w:rsidR="0057518E">
        <w:rPr>
          <w:rFonts w:ascii="Helvetica" w:hAnsi="Helvetica" w:cs="Helvetica"/>
          <w:sz w:val="20"/>
          <w:szCs w:val="20"/>
          <w:shd w:val="clear" w:color="auto" w:fill="FFFFFF"/>
          <w:lang w:eastAsia="en-AU"/>
        </w:rPr>
        <w:t>typhoid vaccine, registered for use in Australia. These vaccines are made from inactive HAV and all appear to be highly immunogenic in both children and adults.</w:t>
      </w:r>
      <w:r w:rsidRPr="0057518E" w:rsidR="0057518E">
        <w:rPr>
          <w:rFonts w:ascii="Helvetica" w:hAnsi="Helvetica" w:cs="Helvetica"/>
          <w:sz w:val="15"/>
          <w:szCs w:val="15"/>
          <w:shd w:val="clear" w:color="auto" w:fill="FFFFFF"/>
          <w:vertAlign w:val="superscript"/>
          <w:lang w:eastAsia="en-AU"/>
        </w:rPr>
        <w:t>7</w:t>
      </w:r>
      <w:r w:rsidRPr="0057518E" w:rsidR="0057518E">
        <w:rPr>
          <w:rFonts w:ascii="Helvetica" w:hAnsi="Helvetica" w:cs="Helvetica"/>
          <w:sz w:val="20"/>
          <w:szCs w:val="20"/>
          <w:shd w:val="clear" w:color="auto" w:fill="FFFFFF"/>
          <w:lang w:eastAsia="en-AU"/>
        </w:rPr>
        <w:t> Universal seroconversion usually occurs by 4 weeks post first vaccination, although a second dose of vaccine is required for long term protection. The duration of immunity has not been defined, although probably persists for many years and there is no current evidence that any further booster doses are required. The vaccines have a high protective efficacy of greater than 95%.</w:t>
      </w:r>
      <w:r w:rsidRPr="0057518E" w:rsidR="0057518E">
        <w:rPr>
          <w:rFonts w:ascii="Helvetica" w:hAnsi="Helvetica" w:cs="Helvetica"/>
          <w:sz w:val="15"/>
          <w:szCs w:val="15"/>
          <w:shd w:val="clear" w:color="auto" w:fill="FFFFFF"/>
          <w:vertAlign w:val="superscript"/>
          <w:lang w:eastAsia="en-AU"/>
        </w:rPr>
        <w:t>8</w:t>
      </w:r>
    </w:p>
    <w:p w:rsidRPr="0057518E" w:rsidR="0057518E" w:rsidP="0057518E" w:rsidRDefault="0057518E" w14:paraId="794267F2" w14:textId="41D8CEC1">
      <w:pPr>
        <w:spacing w:line="276" w:lineRule="auto"/>
        <w:rPr>
          <w:rFonts w:ascii="Helvetica" w:hAnsi="Helvetica" w:cs="Helvetica"/>
          <w:sz w:val="20"/>
          <w:szCs w:val="20"/>
          <w:lang w:eastAsia="en-AU"/>
        </w:rPr>
      </w:pPr>
    </w:p>
    <w:p w:rsidRPr="0057518E" w:rsidR="0057518E" w:rsidP="6BE699EF" w:rsidRDefault="0057518E" w14:paraId="56641D62" w14:textId="77777777" w14:noSpellErr="1">
      <w:pPr>
        <w:spacing w:line="276" w:lineRule="auto"/>
        <w:rPr>
          <w:rFonts w:ascii="Times New Roman" w:hAnsi="Times New Roman"/>
          <w:sz w:val="24"/>
          <w:szCs w:val="24"/>
          <w:lang w:eastAsia="en-AU"/>
        </w:rPr>
      </w:pPr>
      <w:r w:rsidRPr="0057518E" w:rsidR="0057518E">
        <w:rPr>
          <w:rFonts w:ascii="Helvetica" w:hAnsi="Helvetica" w:cs="Helvetica"/>
          <w:sz w:val="20"/>
          <w:szCs w:val="20"/>
          <w:shd w:val="clear" w:color="auto" w:fill="FFFFFF"/>
          <w:lang w:eastAsia="en-AU"/>
        </w:rPr>
        <w:t>H</w:t>
      </w:r>
      <w:r w:rsidRPr="6BE699EF" w:rsidR="0057518E">
        <w:rPr>
          <w:rFonts w:ascii="Helvetica" w:hAnsi="Helvetica" w:cs="Helvetica"/>
          <w:i w:val="1"/>
          <w:iCs w:val="1"/>
          <w:sz w:val="20"/>
          <w:szCs w:val="20"/>
          <w:shd w:val="clear" w:color="auto" w:fill="FFFFFF"/>
          <w:lang w:eastAsia="en-AU"/>
        </w:rPr>
        <w:t>epatitis A v</w:t>
      </w:r>
      <w:r w:rsidRPr="0057518E" w:rsidR="0057518E">
        <w:rPr>
          <w:rFonts w:ascii="Helvetica" w:hAnsi="Helvetica" w:cs="Helvetica"/>
          <w:sz w:val="20"/>
          <w:szCs w:val="20"/>
          <w:shd w:val="clear" w:color="auto" w:fill="FFFFFF"/>
          <w:lang w:eastAsia="en-AU"/>
        </w:rPr>
        <w:t>accine is currently recommended for: </w:t>
      </w:r>
      <w:r w:rsidRPr="0057518E" w:rsidR="0057518E">
        <w:rPr>
          <w:rFonts w:ascii="Helvetica" w:hAnsi="Helvetica" w:cs="Helvetica"/>
          <w:sz w:val="15"/>
          <w:szCs w:val="15"/>
          <w:shd w:val="clear" w:color="auto" w:fill="FFFFFF"/>
          <w:vertAlign w:val="superscript"/>
          <w:lang w:eastAsia="en-AU"/>
        </w:rPr>
        <w:t>2</w:t>
      </w:r>
      <w:r w:rsidRPr="0057518E" w:rsidR="0057518E">
        <w:rPr>
          <w:rFonts w:ascii="Helvetica" w:hAnsi="Helvetica" w:cs="Helvetica"/>
          <w:sz w:val="20"/>
          <w:szCs w:val="20"/>
          <w:shd w:val="clear" w:color="auto" w:fill="FFFFFF"/>
          <w:lang w:eastAsia="en-AU"/>
        </w:rPr>
        <w:t>,</w:t>
      </w:r>
      <w:r w:rsidRPr="0057518E" w:rsidR="0057518E">
        <w:rPr>
          <w:rFonts w:ascii="Helvetica" w:hAnsi="Helvetica" w:cs="Helvetica"/>
          <w:sz w:val="15"/>
          <w:szCs w:val="15"/>
          <w:shd w:val="clear" w:color="auto" w:fill="FFFFFF"/>
          <w:vertAlign w:val="superscript"/>
          <w:lang w:eastAsia="en-AU"/>
        </w:rPr>
        <w:t>7</w:t>
      </w:r>
    </w:p>
    <w:p w:rsidRPr="0057518E" w:rsidR="0057518E" w:rsidP="0057518E" w:rsidRDefault="0057518E" w14:paraId="039AADC6" w14:textId="77777777">
      <w:pPr>
        <w:numPr>
          <w:ilvl w:val="0"/>
          <w:numId w:val="22"/>
        </w:numPr>
        <w:shd w:val="clear" w:color="auto" w:fill="FFFFFF"/>
        <w:spacing w:after="90" w:line="276" w:lineRule="auto"/>
        <w:rPr>
          <w:rFonts w:ascii="Helvetica" w:hAnsi="Helvetica" w:cs="Helvetica"/>
          <w:sz w:val="20"/>
          <w:szCs w:val="20"/>
          <w:lang w:eastAsia="en-AU"/>
        </w:rPr>
      </w:pPr>
      <w:r w:rsidRPr="0057518E">
        <w:rPr>
          <w:rFonts w:ascii="Helvetica" w:hAnsi="Helvetica" w:cs="Helvetica"/>
          <w:sz w:val="20"/>
          <w:szCs w:val="20"/>
          <w:lang w:eastAsia="en-AU"/>
        </w:rPr>
        <w:t>those travelling to moderately to highly endemic areas</w:t>
      </w:r>
    </w:p>
    <w:p w:rsidRPr="0057518E" w:rsidR="0057518E" w:rsidP="0057518E" w:rsidRDefault="0057518E" w14:paraId="600925F9" w14:textId="77777777">
      <w:pPr>
        <w:numPr>
          <w:ilvl w:val="0"/>
          <w:numId w:val="22"/>
        </w:numPr>
        <w:shd w:val="clear" w:color="auto" w:fill="FFFFFF"/>
        <w:spacing w:after="90" w:line="276" w:lineRule="auto"/>
        <w:rPr>
          <w:rFonts w:ascii="Helvetica" w:hAnsi="Helvetica" w:cs="Helvetica"/>
          <w:sz w:val="20"/>
          <w:szCs w:val="20"/>
          <w:lang w:eastAsia="en-AU"/>
        </w:rPr>
      </w:pPr>
      <w:r w:rsidRPr="0057518E">
        <w:rPr>
          <w:rFonts w:ascii="Helvetica" w:hAnsi="Helvetica" w:cs="Helvetica"/>
          <w:sz w:val="20"/>
          <w:szCs w:val="20"/>
          <w:lang w:eastAsia="en-AU"/>
        </w:rPr>
        <w:t xml:space="preserve">Aboriginal and Torres </w:t>
      </w:r>
      <w:proofErr w:type="spellStart"/>
      <w:r w:rsidRPr="0057518E">
        <w:rPr>
          <w:rFonts w:ascii="Helvetica" w:hAnsi="Helvetica" w:cs="Helvetica"/>
          <w:sz w:val="20"/>
          <w:szCs w:val="20"/>
          <w:lang w:eastAsia="en-AU"/>
        </w:rPr>
        <w:t>Straight</w:t>
      </w:r>
      <w:proofErr w:type="spellEnd"/>
      <w:r w:rsidRPr="0057518E">
        <w:rPr>
          <w:rFonts w:ascii="Helvetica" w:hAnsi="Helvetica" w:cs="Helvetica"/>
          <w:sz w:val="20"/>
          <w:szCs w:val="20"/>
          <w:lang w:eastAsia="en-AU"/>
        </w:rPr>
        <w:t xml:space="preserve"> Islander children residing in the Northern Territory, Queensland, South </w:t>
      </w:r>
      <w:proofErr w:type="gramStart"/>
      <w:r w:rsidRPr="0057518E">
        <w:rPr>
          <w:rFonts w:ascii="Helvetica" w:hAnsi="Helvetica" w:cs="Helvetica"/>
          <w:sz w:val="20"/>
          <w:szCs w:val="20"/>
          <w:lang w:eastAsia="en-AU"/>
        </w:rPr>
        <w:t>Australia</w:t>
      </w:r>
      <w:proofErr w:type="gramEnd"/>
      <w:r w:rsidRPr="0057518E">
        <w:rPr>
          <w:rFonts w:ascii="Helvetica" w:hAnsi="Helvetica" w:cs="Helvetica"/>
          <w:sz w:val="20"/>
          <w:szCs w:val="20"/>
          <w:lang w:eastAsia="en-AU"/>
        </w:rPr>
        <w:t xml:space="preserve"> and Western Australia</w:t>
      </w:r>
    </w:p>
    <w:p w:rsidRPr="0057518E" w:rsidR="0057518E" w:rsidP="0057518E" w:rsidRDefault="0057518E" w14:paraId="5A029F44" w14:textId="77777777">
      <w:pPr>
        <w:numPr>
          <w:ilvl w:val="0"/>
          <w:numId w:val="22"/>
        </w:numPr>
        <w:shd w:val="clear" w:color="auto" w:fill="FFFFFF"/>
        <w:spacing w:after="90" w:line="276" w:lineRule="auto"/>
        <w:rPr>
          <w:rFonts w:ascii="Helvetica" w:hAnsi="Helvetica" w:cs="Helvetica"/>
          <w:sz w:val="20"/>
          <w:szCs w:val="20"/>
          <w:lang w:eastAsia="en-AU"/>
        </w:rPr>
      </w:pPr>
      <w:r w:rsidRPr="0057518E">
        <w:rPr>
          <w:rFonts w:ascii="Helvetica" w:hAnsi="Helvetica" w:cs="Helvetica"/>
          <w:sz w:val="20"/>
          <w:szCs w:val="20"/>
          <w:lang w:eastAsia="en-AU"/>
        </w:rPr>
        <w:t>those whose lifestyle may put them at risk of acquiring HAV</w:t>
      </w:r>
    </w:p>
    <w:p w:rsidRPr="0057518E" w:rsidR="0057518E" w:rsidP="0057518E" w:rsidRDefault="0057518E" w14:paraId="31A4DD6E" w14:textId="77777777">
      <w:pPr>
        <w:numPr>
          <w:ilvl w:val="0"/>
          <w:numId w:val="22"/>
        </w:numPr>
        <w:shd w:val="clear" w:color="auto" w:fill="FFFFFF"/>
        <w:spacing w:after="90" w:line="276" w:lineRule="auto"/>
        <w:rPr>
          <w:rFonts w:ascii="Helvetica" w:hAnsi="Helvetica" w:cs="Helvetica"/>
          <w:sz w:val="20"/>
          <w:szCs w:val="20"/>
          <w:lang w:eastAsia="en-AU"/>
        </w:rPr>
      </w:pPr>
      <w:r w:rsidRPr="0057518E">
        <w:rPr>
          <w:rFonts w:ascii="Helvetica" w:hAnsi="Helvetica" w:cs="Helvetica"/>
          <w:sz w:val="20"/>
          <w:szCs w:val="20"/>
          <w:lang w:eastAsia="en-AU"/>
        </w:rPr>
        <w:t>people with intellectual disabilities</w:t>
      </w:r>
    </w:p>
    <w:p w:rsidRPr="0057518E" w:rsidR="0057518E" w:rsidP="6BE699EF" w:rsidRDefault="0057518E" w14:paraId="1CCF83C1" w14:textId="77777777" w14:noSpellErr="1">
      <w:pPr>
        <w:numPr>
          <w:ilvl w:val="0"/>
          <w:numId w:val="22"/>
        </w:numPr>
        <w:shd w:val="clear" w:color="auto" w:fill="FFFFFF" w:themeFill="background1"/>
        <w:spacing w:after="90" w:line="276" w:lineRule="auto"/>
        <w:rPr>
          <w:rFonts w:ascii="Helvetica" w:hAnsi="Helvetica" w:cs="Helvetica"/>
          <w:sz w:val="20"/>
          <w:szCs w:val="20"/>
          <w:lang w:eastAsia="en-AU"/>
        </w:rPr>
      </w:pPr>
      <w:r w:rsidRPr="6BE699EF" w:rsidR="0057518E">
        <w:rPr>
          <w:rFonts w:ascii="Helvetica" w:hAnsi="Helvetica" w:cs="Helvetica"/>
          <w:sz w:val="20"/>
          <w:szCs w:val="20"/>
          <w:lang w:eastAsia="en-AU"/>
        </w:rPr>
        <w:t>people who are chronically infected with either h</w:t>
      </w:r>
      <w:r w:rsidRPr="6BE699EF" w:rsidR="0057518E">
        <w:rPr>
          <w:rFonts w:ascii="Helvetica" w:hAnsi="Helvetica" w:cs="Helvetica"/>
          <w:i w:val="1"/>
          <w:iCs w:val="1"/>
          <w:sz w:val="20"/>
          <w:szCs w:val="20"/>
          <w:lang w:eastAsia="en-AU"/>
        </w:rPr>
        <w:t>epatitis B</w:t>
      </w:r>
      <w:r w:rsidRPr="6BE699EF" w:rsidR="0057518E">
        <w:rPr>
          <w:rFonts w:ascii="Helvetica" w:hAnsi="Helvetica" w:cs="Helvetica"/>
          <w:sz w:val="20"/>
          <w:szCs w:val="20"/>
          <w:lang w:eastAsia="en-AU"/>
        </w:rPr>
        <w:t xml:space="preserve"> or </w:t>
      </w:r>
      <w:r w:rsidRPr="6BE699EF" w:rsidR="0057518E">
        <w:rPr>
          <w:rFonts w:ascii="Helvetica" w:hAnsi="Helvetica" w:cs="Helvetica"/>
          <w:i w:val="1"/>
          <w:iCs w:val="1"/>
          <w:sz w:val="20"/>
          <w:szCs w:val="20"/>
          <w:lang w:eastAsia="en-AU"/>
        </w:rPr>
        <w:t xml:space="preserve">hepatitis C </w:t>
      </w:r>
      <w:r w:rsidRPr="6BE699EF" w:rsidR="0057518E">
        <w:rPr>
          <w:rFonts w:ascii="Helvetica" w:hAnsi="Helvetica" w:cs="Helvetica"/>
          <w:sz w:val="20"/>
          <w:szCs w:val="20"/>
          <w:lang w:eastAsia="en-AU"/>
        </w:rPr>
        <w:t>virus</w:t>
      </w:r>
    </w:p>
    <w:p w:rsidRPr="0057518E" w:rsidR="0057518E" w:rsidP="0057518E" w:rsidRDefault="0057518E" w14:paraId="5FFE3ED4" w14:textId="77777777">
      <w:pPr>
        <w:numPr>
          <w:ilvl w:val="0"/>
          <w:numId w:val="22"/>
        </w:numPr>
        <w:shd w:val="clear" w:color="auto" w:fill="FFFFFF"/>
        <w:spacing w:after="90" w:line="276" w:lineRule="auto"/>
        <w:rPr>
          <w:rFonts w:ascii="Helvetica" w:hAnsi="Helvetica" w:cs="Helvetica"/>
          <w:sz w:val="20"/>
          <w:szCs w:val="20"/>
          <w:lang w:eastAsia="en-AU"/>
        </w:rPr>
      </w:pPr>
      <w:r w:rsidRPr="0057518E">
        <w:rPr>
          <w:rFonts w:ascii="Helvetica" w:hAnsi="Helvetica" w:cs="Helvetica"/>
          <w:sz w:val="20"/>
          <w:szCs w:val="20"/>
          <w:lang w:eastAsia="en-AU"/>
        </w:rPr>
        <w:t>patients with chronic liver disease</w:t>
      </w:r>
    </w:p>
    <w:p w:rsidRPr="0057518E" w:rsidR="0057518E" w:rsidP="0057518E" w:rsidRDefault="0057518E" w14:paraId="37BD424D" w14:textId="192C81C5">
      <w:pPr>
        <w:spacing w:line="276" w:lineRule="auto"/>
        <w:rPr>
          <w:rFonts w:ascii="Times New Roman" w:hAnsi="Times New Roman"/>
          <w:sz w:val="24"/>
          <w:lang w:eastAsia="en-AU"/>
        </w:rPr>
      </w:pPr>
      <w:r w:rsidRPr="0057518E">
        <w:rPr>
          <w:rFonts w:ascii="Helvetica" w:hAnsi="Helvetica" w:cs="Helvetica"/>
          <w:sz w:val="20"/>
          <w:szCs w:val="20"/>
          <w:shd w:val="clear" w:color="auto" w:fill="FFFFFF"/>
          <w:lang w:eastAsia="en-AU"/>
        </w:rPr>
        <w:t>Normal human immunoglobulin can be used for individuals exposed to the virus; where administration should be within 2 weeks of the exposure.</w:t>
      </w:r>
      <w:r w:rsidRPr="0057518E">
        <w:rPr>
          <w:rFonts w:ascii="Helvetica" w:hAnsi="Helvetica" w:cs="Helvetica"/>
          <w:sz w:val="15"/>
          <w:szCs w:val="15"/>
          <w:shd w:val="clear" w:color="auto" w:fill="FFFFFF"/>
          <w:vertAlign w:val="superscript"/>
          <w:lang w:eastAsia="en-AU"/>
        </w:rPr>
        <w:t>6</w:t>
      </w:r>
    </w:p>
    <w:p w:rsidRPr="0057518E" w:rsidR="0057518E" w:rsidP="0057518E" w:rsidRDefault="0057518E" w14:paraId="72A56467" w14:textId="77777777">
      <w:pPr>
        <w:shd w:val="clear" w:color="auto" w:fill="FFFFFF"/>
        <w:spacing w:before="240" w:after="120" w:line="276" w:lineRule="auto"/>
        <w:outlineLvl w:val="1"/>
        <w:rPr>
          <w:rFonts w:ascii="Open Sans" w:hAnsi="Open Sans" w:cs="Open Sans"/>
          <w:sz w:val="36"/>
          <w:szCs w:val="36"/>
          <w:lang w:eastAsia="en-AU"/>
        </w:rPr>
      </w:pPr>
      <w:r w:rsidRPr="0057518E">
        <w:rPr>
          <w:rFonts w:ascii="Open Sans" w:hAnsi="Open Sans" w:cs="Open Sans"/>
          <w:sz w:val="36"/>
          <w:szCs w:val="36"/>
          <w:lang w:eastAsia="en-AU"/>
        </w:rPr>
        <w:lastRenderedPageBreak/>
        <w:t>3 Tests</w:t>
      </w:r>
    </w:p>
    <w:p w:rsidRPr="0057518E" w:rsidR="0057518E" w:rsidP="0057518E" w:rsidRDefault="0057518E" w14:paraId="4E09BADA" w14:textId="77777777">
      <w:pPr>
        <w:shd w:val="clear" w:color="auto" w:fill="FFFFFF"/>
        <w:spacing w:before="240" w:after="120" w:line="276" w:lineRule="auto"/>
        <w:outlineLvl w:val="2"/>
        <w:rPr>
          <w:rFonts w:ascii="Open Sans" w:hAnsi="Open Sans" w:cs="Open Sans"/>
          <w:sz w:val="27"/>
          <w:szCs w:val="27"/>
          <w:lang w:eastAsia="en-AU"/>
        </w:rPr>
      </w:pPr>
      <w:r w:rsidRPr="0057518E">
        <w:rPr>
          <w:rFonts w:ascii="Open Sans" w:hAnsi="Open Sans" w:cs="Open Sans"/>
          <w:sz w:val="27"/>
          <w:szCs w:val="27"/>
          <w:lang w:eastAsia="en-AU"/>
        </w:rPr>
        <w:t>3.1 Culture</w:t>
      </w:r>
    </w:p>
    <w:p w:rsidRPr="0057518E" w:rsidR="0057518E" w:rsidP="0057518E" w:rsidRDefault="0057518E" w14:paraId="7963E23F" w14:textId="155D8177">
      <w:pPr>
        <w:spacing w:line="276" w:lineRule="auto"/>
        <w:rPr>
          <w:rFonts w:ascii="Helvetica" w:hAnsi="Helvetica" w:cs="Helvetica"/>
          <w:sz w:val="20"/>
          <w:szCs w:val="20"/>
          <w:lang w:eastAsia="en-AU"/>
        </w:rPr>
      </w:pPr>
      <w:r w:rsidRPr="0057518E">
        <w:rPr>
          <w:rFonts w:ascii="Helvetica" w:hAnsi="Helvetica" w:cs="Helvetica"/>
          <w:sz w:val="20"/>
          <w:szCs w:val="20"/>
          <w:shd w:val="clear" w:color="auto" w:fill="FFFFFF"/>
          <w:lang w:eastAsia="en-AU"/>
        </w:rPr>
        <w:t xml:space="preserve">HAV grows slowly in a restricted number of cell lines and rarely produces a cytopathic effect. Due to poor sensitivity and the prolonged time to obtain a result, culture is not useful for diagnosis or epidemiological studies. Immunological assays have been used to detect HAV antigens and include </w:t>
      </w:r>
      <w:proofErr w:type="spellStart"/>
      <w:r w:rsidRPr="0057518E">
        <w:rPr>
          <w:rFonts w:ascii="Helvetica" w:hAnsi="Helvetica" w:cs="Helvetica"/>
          <w:sz w:val="20"/>
          <w:szCs w:val="20"/>
          <w:shd w:val="clear" w:color="auto" w:fill="FFFFFF"/>
          <w:lang w:eastAsia="en-AU"/>
        </w:rPr>
        <w:t>radioimmunoassays</w:t>
      </w:r>
      <w:proofErr w:type="spellEnd"/>
      <w:r w:rsidRPr="0057518E">
        <w:rPr>
          <w:rFonts w:ascii="Helvetica" w:hAnsi="Helvetica" w:cs="Helvetica"/>
          <w:sz w:val="20"/>
          <w:szCs w:val="20"/>
          <w:shd w:val="clear" w:color="auto" w:fill="FFFFFF"/>
          <w:lang w:eastAsia="en-AU"/>
        </w:rPr>
        <w:t xml:space="preserve"> and in situ hybridisation, but these are mostly used in research and reference laboratories.</w:t>
      </w:r>
    </w:p>
    <w:p w:rsidRPr="0057518E" w:rsidR="0057518E" w:rsidP="0057518E" w:rsidRDefault="0057518E" w14:paraId="59C82612" w14:textId="77777777">
      <w:pPr>
        <w:shd w:val="clear" w:color="auto" w:fill="FFFFFF"/>
        <w:spacing w:before="240" w:after="120" w:line="276" w:lineRule="auto"/>
        <w:outlineLvl w:val="2"/>
        <w:rPr>
          <w:rFonts w:ascii="Open Sans" w:hAnsi="Open Sans" w:cs="Open Sans"/>
          <w:sz w:val="27"/>
          <w:szCs w:val="27"/>
          <w:lang w:eastAsia="en-AU"/>
        </w:rPr>
      </w:pPr>
      <w:r w:rsidRPr="0057518E">
        <w:rPr>
          <w:rFonts w:ascii="Open Sans" w:hAnsi="Open Sans" w:cs="Open Sans"/>
          <w:sz w:val="27"/>
          <w:szCs w:val="27"/>
          <w:lang w:eastAsia="en-AU"/>
        </w:rPr>
        <w:t>3.2 Electron Microscopy</w:t>
      </w:r>
    </w:p>
    <w:p w:rsidRPr="0057518E" w:rsidR="0057518E" w:rsidP="0057518E" w:rsidRDefault="0057518E" w14:paraId="6E782ED0" w14:textId="3F3C615C">
      <w:pPr>
        <w:spacing w:line="276" w:lineRule="auto"/>
        <w:rPr>
          <w:rFonts w:ascii="Helvetica" w:hAnsi="Helvetica" w:cs="Helvetica"/>
          <w:sz w:val="20"/>
          <w:szCs w:val="20"/>
          <w:lang w:eastAsia="en-AU"/>
        </w:rPr>
      </w:pPr>
      <w:r w:rsidRPr="0057518E">
        <w:rPr>
          <w:rFonts w:ascii="Helvetica" w:hAnsi="Helvetica" w:cs="Helvetica"/>
          <w:sz w:val="20"/>
          <w:szCs w:val="20"/>
          <w:shd w:val="clear" w:color="auto" w:fill="FFFFFF"/>
          <w:lang w:eastAsia="en-AU"/>
        </w:rPr>
        <w:t>Although HAV can be detected by electron microscopy this is of limited diagnostic utility. HAV cannot be visually distinguished from other picornaviruses without recourse to more complex techniques such as immune electron microscopy (IEM) and relatively high numbers of viral particles are required for visualization. Peak shedding usually occurs before the onset of symptoms.</w:t>
      </w:r>
    </w:p>
    <w:p w:rsidRPr="0057518E" w:rsidR="0057518E" w:rsidP="0057518E" w:rsidRDefault="0057518E" w14:paraId="6E6968D6" w14:textId="77777777">
      <w:pPr>
        <w:shd w:val="clear" w:color="auto" w:fill="FFFFFF"/>
        <w:spacing w:before="240" w:after="120" w:line="276" w:lineRule="auto"/>
        <w:outlineLvl w:val="2"/>
        <w:rPr>
          <w:rFonts w:ascii="Open Sans" w:hAnsi="Open Sans" w:cs="Open Sans"/>
          <w:sz w:val="27"/>
          <w:szCs w:val="27"/>
          <w:lang w:eastAsia="en-AU"/>
        </w:rPr>
      </w:pPr>
      <w:r w:rsidRPr="0057518E">
        <w:rPr>
          <w:rFonts w:ascii="Open Sans" w:hAnsi="Open Sans" w:cs="Open Sans"/>
          <w:sz w:val="27"/>
          <w:szCs w:val="27"/>
          <w:lang w:eastAsia="en-AU"/>
        </w:rPr>
        <w:t>3.3 Serological Diagnosis</w:t>
      </w:r>
    </w:p>
    <w:p w:rsidRPr="0057518E" w:rsidR="0057518E" w:rsidP="0057518E" w:rsidRDefault="0057518E" w14:paraId="7E78311A" w14:textId="5535A4F0">
      <w:pPr>
        <w:spacing w:line="276" w:lineRule="auto"/>
        <w:rPr>
          <w:rFonts w:ascii="Helvetica" w:hAnsi="Helvetica" w:cs="Helvetica"/>
          <w:sz w:val="20"/>
          <w:szCs w:val="20"/>
          <w:lang w:eastAsia="en-AU"/>
        </w:rPr>
      </w:pPr>
      <w:r w:rsidRPr="0057518E">
        <w:rPr>
          <w:rFonts w:ascii="Helvetica" w:hAnsi="Helvetica" w:cs="Helvetica"/>
          <w:sz w:val="20"/>
          <w:szCs w:val="20"/>
          <w:shd w:val="clear" w:color="auto" w:fill="FFFFFF"/>
          <w:lang w:eastAsia="en-AU"/>
        </w:rPr>
        <w:t>Anti-HAV IgM antibodies are detectable within 5-10 days of symptom onset and last for between 3 to 6 months. Anti-HAV IgG antibodies appear soon after the onset of symptoms and are usually detectable for life, conferring immunity. Both anti-HAV IgM and IgG antibodies are usually present at the time of sample collection.</w:t>
      </w:r>
      <w:r w:rsidRPr="0057518E">
        <w:rPr>
          <w:rFonts w:ascii="Helvetica" w:hAnsi="Helvetica" w:cs="Helvetica"/>
          <w:sz w:val="15"/>
          <w:szCs w:val="15"/>
          <w:shd w:val="clear" w:color="auto" w:fill="FFFFFF"/>
          <w:vertAlign w:val="superscript"/>
          <w:lang w:eastAsia="en-AU"/>
        </w:rPr>
        <w:t>9</w:t>
      </w:r>
    </w:p>
    <w:p w:rsidRPr="0057518E" w:rsidR="0057518E" w:rsidP="0057518E" w:rsidRDefault="0057518E" w14:paraId="7C452ED9" w14:textId="14A42343">
      <w:pPr>
        <w:spacing w:line="276" w:lineRule="auto"/>
        <w:rPr>
          <w:rFonts w:ascii="Helvetica" w:hAnsi="Helvetica" w:cs="Helvetica"/>
          <w:sz w:val="20"/>
          <w:szCs w:val="20"/>
          <w:lang w:eastAsia="en-AU"/>
        </w:rPr>
      </w:pPr>
    </w:p>
    <w:p w:rsidRPr="0057518E" w:rsidR="0057518E" w:rsidP="0057518E" w:rsidRDefault="0057518E" w14:paraId="5CE7D3F3" w14:textId="77777777">
      <w:pPr>
        <w:spacing w:line="276" w:lineRule="auto"/>
        <w:rPr>
          <w:rFonts w:ascii="Helvetica" w:hAnsi="Helvetica" w:cs="Helvetica"/>
          <w:sz w:val="20"/>
          <w:szCs w:val="20"/>
          <w:lang w:eastAsia="en-AU"/>
        </w:rPr>
      </w:pPr>
      <w:r w:rsidRPr="0057518E">
        <w:rPr>
          <w:rFonts w:ascii="Helvetica" w:hAnsi="Helvetica" w:cs="Helvetica"/>
          <w:sz w:val="20"/>
          <w:szCs w:val="20"/>
          <w:shd w:val="clear" w:color="auto" w:fill="FFFFFF"/>
          <w:lang w:eastAsia="en-AU"/>
        </w:rPr>
        <w:t>There are commercially available IgM and total anti-HAV antibody enzyme immunoassays (EIAs). Current or recent infection can be determined by the presence of the anti-HAV IgM antibodies. The presence of anti-HAV total antibodies in the absence of anti-HAV IgM antibodies is used to differentiate past from recent infection. There has recently been the development of anti-HAV IgG avidity tests that are able to aid in the diagnosis of acute HAV in the presence of possible false positive anti-HAV IgM results, although these tests are not yet commercially available.</w:t>
      </w:r>
      <w:r w:rsidRPr="0057518E">
        <w:rPr>
          <w:rFonts w:ascii="Helvetica" w:hAnsi="Helvetica" w:cs="Helvetica"/>
          <w:sz w:val="15"/>
          <w:szCs w:val="15"/>
          <w:shd w:val="clear" w:color="auto" w:fill="FFFFFF"/>
          <w:vertAlign w:val="superscript"/>
          <w:lang w:eastAsia="en-AU"/>
        </w:rPr>
        <w:t>5</w:t>
      </w:r>
    </w:p>
    <w:p w:rsidRPr="0057518E" w:rsidR="0057518E" w:rsidP="0057518E" w:rsidRDefault="0057518E" w14:paraId="4DEA7068" w14:textId="4F332AB0">
      <w:pPr>
        <w:spacing w:line="276" w:lineRule="auto"/>
        <w:rPr>
          <w:rFonts w:ascii="Helvetica" w:hAnsi="Helvetica" w:cs="Helvetica"/>
          <w:sz w:val="20"/>
          <w:szCs w:val="20"/>
          <w:lang w:eastAsia="en-AU"/>
        </w:rPr>
      </w:pPr>
    </w:p>
    <w:p w:rsidRPr="0057518E" w:rsidR="0057518E" w:rsidP="0057518E" w:rsidRDefault="0057518E" w14:paraId="44BAF502" w14:textId="77777777">
      <w:pPr>
        <w:spacing w:line="276" w:lineRule="auto"/>
        <w:rPr>
          <w:rFonts w:ascii="Helvetica" w:hAnsi="Helvetica" w:cs="Helvetica"/>
          <w:sz w:val="20"/>
          <w:szCs w:val="20"/>
          <w:lang w:eastAsia="en-AU"/>
        </w:rPr>
      </w:pPr>
      <w:r w:rsidRPr="0057518E" w:rsidR="0057518E">
        <w:rPr>
          <w:rFonts w:ascii="Helvetica" w:hAnsi="Helvetica" w:cs="Helvetica"/>
          <w:sz w:val="20"/>
          <w:szCs w:val="20"/>
          <w:shd w:val="clear" w:color="auto" w:fill="FFFFFF"/>
          <w:lang w:eastAsia="en-AU"/>
        </w:rPr>
        <w:t xml:space="preserve">Following immunisation with </w:t>
      </w:r>
      <w:r w:rsidRPr="6BE699EF" w:rsidR="0057518E">
        <w:rPr>
          <w:rFonts w:ascii="Helvetica" w:hAnsi="Helvetica" w:cs="Helvetica"/>
          <w:i w:val="1"/>
          <w:iCs w:val="1"/>
          <w:sz w:val="20"/>
          <w:szCs w:val="20"/>
          <w:shd w:val="clear" w:color="auto" w:fill="FFFFFF"/>
          <w:lang w:eastAsia="en-AU"/>
        </w:rPr>
        <w:t xml:space="preserve">hepatitis A </w:t>
      </w:r>
      <w:r w:rsidRPr="0057518E" w:rsidR="0057518E">
        <w:rPr>
          <w:rFonts w:ascii="Helvetica" w:hAnsi="Helvetica" w:cs="Helvetica"/>
          <w:sz w:val="20"/>
          <w:szCs w:val="20"/>
          <w:shd w:val="clear" w:color="auto" w:fill="FFFFFF"/>
          <w:lang w:eastAsia="en-AU"/>
        </w:rPr>
        <w:t xml:space="preserve">vaccine, there may be </w:t>
      </w:r>
      <w:proofErr w:type="gramStart"/>
      <w:r w:rsidRPr="0057518E" w:rsidR="0057518E">
        <w:rPr>
          <w:rFonts w:ascii="Helvetica" w:hAnsi="Helvetica" w:cs="Helvetica"/>
          <w:sz w:val="20"/>
          <w:szCs w:val="20"/>
          <w:shd w:val="clear" w:color="auto" w:fill="FFFFFF"/>
          <w:lang w:eastAsia="en-AU"/>
        </w:rPr>
        <w:t>a</w:t>
      </w:r>
      <w:proofErr w:type="gramEnd"/>
      <w:r w:rsidRPr="0057518E" w:rsidR="0057518E">
        <w:rPr>
          <w:rFonts w:ascii="Helvetica" w:hAnsi="Helvetica" w:cs="Helvetica"/>
          <w:sz w:val="20"/>
          <w:szCs w:val="20"/>
          <w:shd w:val="clear" w:color="auto" w:fill="FFFFFF"/>
          <w:lang w:eastAsia="en-AU"/>
        </w:rPr>
        <w:t xml:space="preserve"> anti-HAV IgM transient response in some people. Anti-HAV IgM has been detected 2-3 weeks after vaccination in 8-20% of adults,</w:t>
      </w:r>
      <w:r w:rsidRPr="0057518E" w:rsidR="0057518E">
        <w:rPr>
          <w:rFonts w:ascii="Helvetica" w:hAnsi="Helvetica" w:cs="Helvetica"/>
          <w:sz w:val="15"/>
          <w:szCs w:val="15"/>
          <w:shd w:val="clear" w:color="auto" w:fill="FFFFFF"/>
          <w:vertAlign w:val="superscript"/>
          <w:lang w:eastAsia="en-AU"/>
        </w:rPr>
        <w:t>10</w:t>
      </w:r>
      <w:r w:rsidRPr="0057518E" w:rsidR="0057518E">
        <w:rPr>
          <w:rFonts w:ascii="Helvetica" w:hAnsi="Helvetica" w:cs="Helvetica"/>
          <w:sz w:val="20"/>
          <w:szCs w:val="20"/>
          <w:shd w:val="clear" w:color="auto" w:fill="FFFFFF"/>
          <w:lang w:eastAsia="en-AU"/>
        </w:rPr>
        <w:t> and in some studies has persisted for periods of between 1 and 6 months. </w:t>
      </w:r>
      <w:r w:rsidRPr="0057518E" w:rsidR="0057518E">
        <w:rPr>
          <w:rFonts w:ascii="Helvetica" w:hAnsi="Helvetica" w:cs="Helvetica"/>
          <w:sz w:val="15"/>
          <w:szCs w:val="15"/>
          <w:shd w:val="clear" w:color="auto" w:fill="FFFFFF"/>
          <w:vertAlign w:val="superscript"/>
          <w:lang w:eastAsia="en-AU"/>
        </w:rPr>
        <w:t>11</w:t>
      </w:r>
      <w:r w:rsidRPr="0057518E" w:rsidR="0057518E">
        <w:rPr>
          <w:rFonts w:ascii="Helvetica" w:hAnsi="Helvetica" w:cs="Helvetica"/>
          <w:sz w:val="20"/>
          <w:szCs w:val="20"/>
          <w:shd w:val="clear" w:color="auto" w:fill="FFFFFF"/>
          <w:lang w:eastAsia="en-AU"/>
        </w:rPr>
        <w:t>,</w:t>
      </w:r>
      <w:r w:rsidRPr="0057518E" w:rsidR="0057518E">
        <w:rPr>
          <w:rFonts w:ascii="Helvetica" w:hAnsi="Helvetica" w:cs="Helvetica"/>
          <w:sz w:val="15"/>
          <w:szCs w:val="15"/>
          <w:shd w:val="clear" w:color="auto" w:fill="FFFFFF"/>
          <w:vertAlign w:val="superscript"/>
          <w:lang w:eastAsia="en-AU"/>
        </w:rPr>
        <w:t>12</w:t>
      </w:r>
      <w:r w:rsidRPr="0057518E" w:rsidR="0057518E">
        <w:rPr>
          <w:rFonts w:ascii="Helvetica" w:hAnsi="Helvetica" w:cs="Helvetica"/>
          <w:sz w:val="20"/>
          <w:szCs w:val="20"/>
          <w:shd w:val="clear" w:color="auto" w:fill="FFFFFF"/>
          <w:lang w:eastAsia="en-AU"/>
        </w:rPr>
        <w:t xml:space="preserve"> Anti-HAV IgG antibodies are made by all those immunised, although the current commercially available tests are not sensitive enough to detect the total anti-HAV antibodies in </w:t>
      </w:r>
      <w:proofErr w:type="gramStart"/>
      <w:r w:rsidRPr="0057518E" w:rsidR="0057518E">
        <w:rPr>
          <w:rFonts w:ascii="Helvetica" w:hAnsi="Helvetica" w:cs="Helvetica"/>
          <w:sz w:val="20"/>
          <w:szCs w:val="20"/>
          <w:shd w:val="clear" w:color="auto" w:fill="FFFFFF"/>
          <w:lang w:eastAsia="en-AU"/>
        </w:rPr>
        <w:t>the majority of</w:t>
      </w:r>
      <w:proofErr w:type="gramEnd"/>
      <w:r w:rsidRPr="0057518E" w:rsidR="0057518E">
        <w:rPr>
          <w:rFonts w:ascii="Helvetica" w:hAnsi="Helvetica" w:cs="Helvetica"/>
          <w:sz w:val="20"/>
          <w:szCs w:val="20"/>
          <w:shd w:val="clear" w:color="auto" w:fill="FFFFFF"/>
          <w:lang w:eastAsia="en-AU"/>
        </w:rPr>
        <w:t xml:space="preserve"> patients, especially many years after immunisation.</w:t>
      </w:r>
      <w:r w:rsidRPr="0057518E" w:rsidR="0057518E">
        <w:rPr>
          <w:rFonts w:ascii="Helvetica" w:hAnsi="Helvetica" w:cs="Helvetica"/>
          <w:sz w:val="15"/>
          <w:szCs w:val="15"/>
          <w:shd w:val="clear" w:color="auto" w:fill="FFFFFF"/>
          <w:vertAlign w:val="superscript"/>
          <w:lang w:eastAsia="en-AU"/>
        </w:rPr>
        <w:t>9</w:t>
      </w:r>
    </w:p>
    <w:p w:rsidRPr="0057518E" w:rsidR="0057518E" w:rsidP="0057518E" w:rsidRDefault="0057518E" w14:paraId="53561E80" w14:textId="77777777">
      <w:pPr>
        <w:shd w:val="clear" w:color="auto" w:fill="FFFFFF"/>
        <w:spacing w:before="240" w:after="120" w:line="276" w:lineRule="auto"/>
        <w:outlineLvl w:val="3"/>
        <w:rPr>
          <w:rFonts w:ascii="Open Sans" w:hAnsi="Open Sans" w:cs="Open Sans"/>
          <w:sz w:val="24"/>
          <w:lang w:eastAsia="en-AU"/>
        </w:rPr>
      </w:pPr>
      <w:r w:rsidRPr="0057518E">
        <w:rPr>
          <w:rFonts w:ascii="Open Sans" w:hAnsi="Open Sans" w:cs="Open Sans"/>
          <w:sz w:val="24"/>
          <w:lang w:eastAsia="en-AU"/>
        </w:rPr>
        <w:t>3.3.1 Specimens</w:t>
      </w:r>
    </w:p>
    <w:p w:rsidRPr="0057518E" w:rsidR="0057518E" w:rsidP="0057518E" w:rsidRDefault="0057518E" w14:paraId="7CCF1E49" w14:textId="026E0B55">
      <w:pPr>
        <w:spacing w:line="276" w:lineRule="auto"/>
        <w:rPr>
          <w:rFonts w:ascii="Helvetica" w:hAnsi="Helvetica" w:cs="Helvetica"/>
          <w:sz w:val="20"/>
          <w:szCs w:val="20"/>
          <w:lang w:eastAsia="en-AU"/>
        </w:rPr>
      </w:pPr>
      <w:r w:rsidRPr="0057518E">
        <w:rPr>
          <w:rFonts w:ascii="Helvetica" w:hAnsi="Helvetica" w:cs="Helvetica"/>
          <w:sz w:val="20"/>
          <w:szCs w:val="20"/>
          <w:shd w:val="clear" w:color="auto" w:fill="FFFFFF"/>
          <w:lang w:eastAsia="en-AU"/>
        </w:rPr>
        <w:t xml:space="preserve">Standard methods for collection, transport and storage of serum or plasma are adequate for the detection of both anti-HAV IgM and IgG antibodies. IgM and IgG anti-HAV antibodies are also detectable in saliva, </w:t>
      </w:r>
      <w:proofErr w:type="gramStart"/>
      <w:r w:rsidRPr="0057518E">
        <w:rPr>
          <w:rFonts w:ascii="Helvetica" w:hAnsi="Helvetica" w:cs="Helvetica"/>
          <w:sz w:val="20"/>
          <w:szCs w:val="20"/>
          <w:shd w:val="clear" w:color="auto" w:fill="FFFFFF"/>
          <w:lang w:eastAsia="en-AU"/>
        </w:rPr>
        <w:t>urine</w:t>
      </w:r>
      <w:proofErr w:type="gramEnd"/>
      <w:r w:rsidRPr="0057518E">
        <w:rPr>
          <w:rFonts w:ascii="Helvetica" w:hAnsi="Helvetica" w:cs="Helvetica"/>
          <w:sz w:val="20"/>
          <w:szCs w:val="20"/>
          <w:shd w:val="clear" w:color="auto" w:fill="FFFFFF"/>
          <w:lang w:eastAsia="en-AU"/>
        </w:rPr>
        <w:t xml:space="preserve"> and faeces, but these are not recommended specimens for serology testing.</w:t>
      </w:r>
    </w:p>
    <w:p w:rsidRPr="0057518E" w:rsidR="0057518E" w:rsidP="0057518E" w:rsidRDefault="0057518E" w14:paraId="29DCE6FF" w14:textId="77777777">
      <w:pPr>
        <w:shd w:val="clear" w:color="auto" w:fill="FFFFFF"/>
        <w:spacing w:before="240" w:after="120" w:line="276" w:lineRule="auto"/>
        <w:outlineLvl w:val="3"/>
        <w:rPr>
          <w:rFonts w:ascii="Open Sans" w:hAnsi="Open Sans" w:cs="Open Sans"/>
          <w:sz w:val="24"/>
          <w:lang w:eastAsia="en-AU"/>
        </w:rPr>
      </w:pPr>
      <w:r w:rsidRPr="0057518E">
        <w:rPr>
          <w:rFonts w:ascii="Open Sans" w:hAnsi="Open Sans" w:cs="Open Sans"/>
          <w:sz w:val="24"/>
          <w:lang w:eastAsia="en-AU"/>
        </w:rPr>
        <w:t>3.3.2 Test Sensitivity</w:t>
      </w:r>
    </w:p>
    <w:p w:rsidRPr="0057518E" w:rsidR="0057518E" w:rsidP="0057518E" w:rsidRDefault="0057518E" w14:paraId="0F8528E8" w14:textId="77777777">
      <w:pPr>
        <w:spacing w:line="276" w:lineRule="auto"/>
        <w:rPr>
          <w:rFonts w:ascii="Helvetica" w:hAnsi="Helvetica" w:cs="Helvetica"/>
          <w:sz w:val="20"/>
          <w:szCs w:val="20"/>
          <w:lang w:eastAsia="en-AU"/>
        </w:rPr>
      </w:pPr>
      <w:r w:rsidRPr="0057518E">
        <w:rPr>
          <w:rFonts w:ascii="Helvetica" w:hAnsi="Helvetica" w:cs="Helvetica"/>
          <w:sz w:val="20"/>
          <w:szCs w:val="20"/>
          <w:shd w:val="clear" w:color="auto" w:fill="FFFFFF"/>
          <w:lang w:eastAsia="en-AU"/>
        </w:rPr>
        <w:t xml:space="preserve">The anti-HAV IgM and total antibody EIAs have sensitivities of greater than 95%, when tested on specimens from patients with typical symptoms. </w:t>
      </w:r>
      <w:proofErr w:type="gramStart"/>
      <w:r w:rsidRPr="0057518E">
        <w:rPr>
          <w:rFonts w:ascii="Helvetica" w:hAnsi="Helvetica" w:cs="Helvetica"/>
          <w:sz w:val="20"/>
          <w:szCs w:val="20"/>
          <w:shd w:val="clear" w:color="auto" w:fill="FFFFFF"/>
          <w:lang w:eastAsia="en-AU"/>
        </w:rPr>
        <w:t>However</w:t>
      </w:r>
      <w:proofErr w:type="gramEnd"/>
      <w:r w:rsidRPr="0057518E">
        <w:rPr>
          <w:rFonts w:ascii="Helvetica" w:hAnsi="Helvetica" w:cs="Helvetica"/>
          <w:sz w:val="20"/>
          <w:szCs w:val="20"/>
          <w:shd w:val="clear" w:color="auto" w:fill="FFFFFF"/>
          <w:lang w:eastAsia="en-AU"/>
        </w:rPr>
        <w:t xml:space="preserve"> sensitivity drops off when testing specimens from asymptomatic patients.</w:t>
      </w:r>
      <w:r w:rsidRPr="0057518E">
        <w:rPr>
          <w:rFonts w:ascii="Helvetica" w:hAnsi="Helvetica" w:cs="Helvetica"/>
          <w:sz w:val="15"/>
          <w:szCs w:val="15"/>
          <w:shd w:val="clear" w:color="auto" w:fill="FFFFFF"/>
          <w:vertAlign w:val="superscript"/>
          <w:lang w:eastAsia="en-AU"/>
        </w:rPr>
        <w:t>13</w:t>
      </w:r>
    </w:p>
    <w:p w:rsidR="0057518E" w:rsidRDefault="0057518E" w14:paraId="1A969DF4" w14:textId="77777777">
      <w:pPr>
        <w:rPr>
          <w:rFonts w:ascii="Open Sans" w:hAnsi="Open Sans" w:cs="Open Sans"/>
          <w:sz w:val="24"/>
          <w:lang w:eastAsia="en-AU"/>
        </w:rPr>
      </w:pPr>
      <w:r>
        <w:rPr>
          <w:rFonts w:ascii="Open Sans" w:hAnsi="Open Sans" w:cs="Open Sans"/>
          <w:sz w:val="24"/>
          <w:lang w:eastAsia="en-AU"/>
        </w:rPr>
        <w:br w:type="page"/>
      </w:r>
    </w:p>
    <w:p w:rsidRPr="0057518E" w:rsidR="0057518E" w:rsidP="0057518E" w:rsidRDefault="0057518E" w14:paraId="4B111F70" w14:textId="1822F106">
      <w:pPr>
        <w:shd w:val="clear" w:color="auto" w:fill="FFFFFF"/>
        <w:spacing w:before="240" w:after="120" w:line="276" w:lineRule="auto"/>
        <w:outlineLvl w:val="3"/>
        <w:rPr>
          <w:rFonts w:ascii="Open Sans" w:hAnsi="Open Sans" w:cs="Open Sans"/>
          <w:sz w:val="24"/>
          <w:lang w:eastAsia="en-AU"/>
        </w:rPr>
      </w:pPr>
      <w:r w:rsidRPr="0057518E">
        <w:rPr>
          <w:rFonts w:ascii="Open Sans" w:hAnsi="Open Sans" w:cs="Open Sans"/>
          <w:sz w:val="24"/>
          <w:lang w:eastAsia="en-AU"/>
        </w:rPr>
        <w:lastRenderedPageBreak/>
        <w:t>3.3.3 Test Specificity</w:t>
      </w:r>
    </w:p>
    <w:p w:rsidRPr="0057518E" w:rsidR="0057518E" w:rsidP="0057518E" w:rsidRDefault="0057518E" w14:paraId="111CD405" w14:textId="3AAF761C">
      <w:pPr>
        <w:spacing w:line="276" w:lineRule="auto"/>
        <w:rPr>
          <w:rFonts w:ascii="Helvetica" w:hAnsi="Helvetica" w:cs="Helvetica"/>
          <w:sz w:val="20"/>
          <w:szCs w:val="20"/>
          <w:lang w:eastAsia="en-AU"/>
        </w:rPr>
      </w:pPr>
      <w:r w:rsidRPr="0057518E">
        <w:rPr>
          <w:rFonts w:ascii="Helvetica" w:hAnsi="Helvetica" w:cs="Helvetica"/>
          <w:sz w:val="20"/>
          <w:szCs w:val="20"/>
          <w:shd w:val="clear" w:color="auto" w:fill="FFFFFF"/>
          <w:lang w:eastAsia="en-AU"/>
        </w:rPr>
        <w:t>The anti-HAV IgM and total antibody EIAs have specificities of close to 100%.</w:t>
      </w:r>
      <w:r w:rsidRPr="0057518E">
        <w:rPr>
          <w:rFonts w:ascii="Helvetica" w:hAnsi="Helvetica" w:cs="Helvetica"/>
          <w:sz w:val="15"/>
          <w:szCs w:val="15"/>
          <w:shd w:val="clear" w:color="auto" w:fill="FFFFFF"/>
          <w:vertAlign w:val="superscript"/>
          <w:lang w:eastAsia="en-AU"/>
        </w:rPr>
        <w:t>13</w:t>
      </w:r>
    </w:p>
    <w:p w:rsidRPr="0057518E" w:rsidR="0057518E" w:rsidP="0057518E" w:rsidRDefault="0057518E" w14:paraId="1F3660E6" w14:textId="77777777">
      <w:pPr>
        <w:shd w:val="clear" w:color="auto" w:fill="FFFFFF"/>
        <w:spacing w:before="240" w:after="120" w:line="276" w:lineRule="auto"/>
        <w:outlineLvl w:val="3"/>
        <w:rPr>
          <w:rFonts w:ascii="Open Sans" w:hAnsi="Open Sans" w:cs="Open Sans"/>
          <w:sz w:val="24"/>
          <w:lang w:eastAsia="en-AU"/>
        </w:rPr>
      </w:pPr>
      <w:r w:rsidRPr="0057518E">
        <w:rPr>
          <w:rFonts w:ascii="Open Sans" w:hAnsi="Open Sans" w:cs="Open Sans"/>
          <w:sz w:val="24"/>
          <w:lang w:eastAsia="en-AU"/>
        </w:rPr>
        <w:t>3.3.4 Acceptance Criteria</w:t>
      </w:r>
    </w:p>
    <w:p w:rsidRPr="0057518E" w:rsidR="0057518E" w:rsidP="0057518E" w:rsidRDefault="0057518E" w14:paraId="51D18E50" w14:textId="71D1F7FF">
      <w:pPr>
        <w:spacing w:line="276" w:lineRule="auto"/>
        <w:rPr>
          <w:rFonts w:ascii="Helvetica" w:hAnsi="Helvetica" w:cs="Helvetica"/>
          <w:sz w:val="20"/>
          <w:szCs w:val="20"/>
          <w:lang w:eastAsia="en-AU"/>
        </w:rPr>
      </w:pPr>
      <w:r w:rsidRPr="0057518E">
        <w:rPr>
          <w:rFonts w:ascii="Helvetica" w:hAnsi="Helvetica" w:cs="Helvetica"/>
          <w:sz w:val="20"/>
          <w:szCs w:val="20"/>
          <w:shd w:val="clear" w:color="auto" w:fill="FFFFFF"/>
          <w:lang w:eastAsia="en-AU"/>
        </w:rPr>
        <w:t>Negative and positive controls should be included in all runs and fall within the reference range. These controls are usually included with the test kit.</w:t>
      </w:r>
    </w:p>
    <w:p w:rsidRPr="0057518E" w:rsidR="0057518E" w:rsidP="0057518E" w:rsidRDefault="0057518E" w14:paraId="0430276F" w14:textId="77777777">
      <w:pPr>
        <w:shd w:val="clear" w:color="auto" w:fill="FFFFFF"/>
        <w:spacing w:before="240" w:after="120" w:line="276" w:lineRule="auto"/>
        <w:outlineLvl w:val="3"/>
        <w:rPr>
          <w:rFonts w:ascii="Open Sans" w:hAnsi="Open Sans" w:cs="Open Sans"/>
          <w:sz w:val="24"/>
          <w:lang w:eastAsia="en-AU"/>
        </w:rPr>
      </w:pPr>
      <w:r w:rsidRPr="0057518E">
        <w:rPr>
          <w:rFonts w:ascii="Open Sans" w:hAnsi="Open Sans" w:cs="Open Sans"/>
          <w:sz w:val="24"/>
          <w:lang w:eastAsia="en-AU"/>
        </w:rPr>
        <w:t>3.3.5 Suitable Test Validation Criteria</w:t>
      </w:r>
    </w:p>
    <w:p w:rsidRPr="0057518E" w:rsidR="0057518E" w:rsidP="0057518E" w:rsidRDefault="0057518E" w14:paraId="6F4D857A" w14:textId="77777777">
      <w:pPr>
        <w:numPr>
          <w:ilvl w:val="0"/>
          <w:numId w:val="23"/>
        </w:numPr>
        <w:shd w:val="clear" w:color="auto" w:fill="FFFFFF"/>
        <w:spacing w:after="90" w:line="276" w:lineRule="auto"/>
        <w:rPr>
          <w:rFonts w:ascii="Helvetica" w:hAnsi="Helvetica" w:cs="Helvetica"/>
          <w:sz w:val="20"/>
          <w:szCs w:val="20"/>
          <w:lang w:eastAsia="en-AU"/>
        </w:rPr>
      </w:pPr>
      <w:r w:rsidRPr="0057518E">
        <w:rPr>
          <w:rFonts w:ascii="Helvetica" w:hAnsi="Helvetica" w:cs="Helvetica"/>
          <w:sz w:val="20"/>
          <w:szCs w:val="20"/>
          <w:lang w:eastAsia="en-AU"/>
        </w:rPr>
        <w:t>Adequate recording of serum and test kit storage and processing conditions</w:t>
      </w:r>
    </w:p>
    <w:p w:rsidRPr="0057518E" w:rsidR="0057518E" w:rsidP="0057518E" w:rsidRDefault="0057518E" w14:paraId="0C06812D" w14:textId="77777777">
      <w:pPr>
        <w:numPr>
          <w:ilvl w:val="0"/>
          <w:numId w:val="23"/>
        </w:numPr>
        <w:shd w:val="clear" w:color="auto" w:fill="FFFFFF"/>
        <w:spacing w:after="90" w:line="276" w:lineRule="auto"/>
        <w:rPr>
          <w:rFonts w:ascii="Helvetica" w:hAnsi="Helvetica" w:cs="Helvetica"/>
          <w:sz w:val="20"/>
          <w:szCs w:val="20"/>
          <w:lang w:eastAsia="en-AU"/>
        </w:rPr>
      </w:pPr>
      <w:r w:rsidRPr="0057518E">
        <w:rPr>
          <w:rFonts w:ascii="Helvetica" w:hAnsi="Helvetica" w:cs="Helvetica"/>
          <w:sz w:val="20"/>
          <w:szCs w:val="20"/>
          <w:lang w:eastAsia="en-AU"/>
        </w:rPr>
        <w:t>Adequate record of QC monitoring of test kit performance</w:t>
      </w:r>
    </w:p>
    <w:p w:rsidRPr="0057518E" w:rsidR="0057518E" w:rsidP="0057518E" w:rsidRDefault="0057518E" w14:paraId="70964588" w14:textId="77777777">
      <w:pPr>
        <w:shd w:val="clear" w:color="auto" w:fill="FFFFFF"/>
        <w:spacing w:after="120" w:line="276" w:lineRule="auto"/>
        <w:outlineLvl w:val="3"/>
        <w:rPr>
          <w:rFonts w:ascii="Open Sans" w:hAnsi="Open Sans" w:cs="Open Sans"/>
          <w:sz w:val="24"/>
          <w:lang w:eastAsia="en-AU"/>
        </w:rPr>
      </w:pPr>
      <w:r w:rsidRPr="0057518E">
        <w:rPr>
          <w:rFonts w:ascii="Open Sans" w:hAnsi="Open Sans" w:cs="Open Sans"/>
          <w:sz w:val="24"/>
          <w:lang w:eastAsia="en-AU"/>
        </w:rPr>
        <w:t xml:space="preserve">3.3.6 Suitable External QC </w:t>
      </w:r>
      <w:proofErr w:type="spellStart"/>
      <w:r w:rsidRPr="0057518E">
        <w:rPr>
          <w:rFonts w:ascii="Open Sans" w:hAnsi="Open Sans" w:cs="Open Sans"/>
          <w:sz w:val="24"/>
          <w:lang w:eastAsia="en-AU"/>
        </w:rPr>
        <w:t>rogramme</w:t>
      </w:r>
      <w:proofErr w:type="spellEnd"/>
    </w:p>
    <w:p w:rsidRPr="0057518E" w:rsidR="0057518E" w:rsidP="0057518E" w:rsidRDefault="0057518E" w14:paraId="385BED40" w14:textId="1F23F643">
      <w:pPr>
        <w:spacing w:line="276" w:lineRule="auto"/>
        <w:rPr>
          <w:rFonts w:ascii="Helvetica" w:hAnsi="Helvetica" w:cs="Helvetica"/>
          <w:sz w:val="20"/>
          <w:szCs w:val="20"/>
          <w:lang w:eastAsia="en-AU"/>
        </w:rPr>
      </w:pPr>
      <w:r w:rsidRPr="0057518E">
        <w:rPr>
          <w:rFonts w:ascii="Helvetica" w:hAnsi="Helvetica" w:cs="Helvetica"/>
          <w:sz w:val="20"/>
          <w:szCs w:val="20"/>
          <w:shd w:val="clear" w:color="auto" w:fill="FFFFFF"/>
          <w:lang w:eastAsia="en-AU"/>
        </w:rPr>
        <w:t>Participation in the NATA or RCPA quality control programmes.</w:t>
      </w:r>
    </w:p>
    <w:p w:rsidRPr="0057518E" w:rsidR="0057518E" w:rsidP="0057518E" w:rsidRDefault="0057518E" w14:paraId="46657290" w14:textId="77777777">
      <w:pPr>
        <w:shd w:val="clear" w:color="auto" w:fill="FFFFFF"/>
        <w:spacing w:before="240" w:after="120" w:line="276" w:lineRule="auto"/>
        <w:outlineLvl w:val="3"/>
        <w:rPr>
          <w:rFonts w:ascii="Open Sans" w:hAnsi="Open Sans" w:cs="Open Sans"/>
          <w:sz w:val="24"/>
          <w:lang w:eastAsia="en-AU"/>
        </w:rPr>
      </w:pPr>
      <w:r w:rsidRPr="0057518E">
        <w:rPr>
          <w:rFonts w:ascii="Open Sans" w:hAnsi="Open Sans" w:cs="Open Sans"/>
          <w:sz w:val="24"/>
          <w:lang w:eastAsia="en-AU"/>
        </w:rPr>
        <w:t>3.3.7 Special Considerations</w:t>
      </w:r>
    </w:p>
    <w:p w:rsidRPr="0057518E" w:rsidR="0057518E" w:rsidP="0057518E" w:rsidRDefault="0057518E" w14:paraId="37460FFC" w14:textId="0E293C8C">
      <w:pPr>
        <w:spacing w:line="276" w:lineRule="auto"/>
        <w:rPr>
          <w:rFonts w:ascii="Helvetica" w:hAnsi="Helvetica" w:cs="Helvetica"/>
          <w:sz w:val="20"/>
          <w:szCs w:val="20"/>
          <w:lang w:eastAsia="en-AU"/>
        </w:rPr>
      </w:pPr>
      <w:r w:rsidRPr="0057518E">
        <w:rPr>
          <w:rFonts w:ascii="Helvetica" w:hAnsi="Helvetica" w:cs="Helvetica"/>
          <w:sz w:val="20"/>
          <w:szCs w:val="20"/>
          <w:shd w:val="clear" w:color="auto" w:fill="FFFFFF"/>
          <w:lang w:eastAsia="en-AU"/>
        </w:rPr>
        <w:t xml:space="preserve">False positive </w:t>
      </w:r>
      <w:proofErr w:type="spellStart"/>
      <w:r w:rsidRPr="0057518E">
        <w:rPr>
          <w:rFonts w:ascii="Helvetica" w:hAnsi="Helvetica" w:cs="Helvetica"/>
          <w:sz w:val="20"/>
          <w:szCs w:val="20"/>
          <w:shd w:val="clear" w:color="auto" w:fill="FFFFFF"/>
          <w:lang w:eastAsia="en-AU"/>
        </w:rPr>
        <w:t>IgMs</w:t>
      </w:r>
      <w:proofErr w:type="spellEnd"/>
      <w:r w:rsidRPr="0057518E">
        <w:rPr>
          <w:rFonts w:ascii="Helvetica" w:hAnsi="Helvetica" w:cs="Helvetica"/>
          <w:sz w:val="20"/>
          <w:szCs w:val="20"/>
          <w:shd w:val="clear" w:color="auto" w:fill="FFFFFF"/>
          <w:lang w:eastAsia="en-AU"/>
        </w:rPr>
        <w:t xml:space="preserve"> occur in the elderly population and in the presence of other infectious agents.5 Therefore the test should only be performed in patients with a clinical picture of hepatitis A.</w:t>
      </w:r>
      <w:r w:rsidRPr="0057518E">
        <w:rPr>
          <w:rFonts w:ascii="Helvetica" w:hAnsi="Helvetica" w:cs="Helvetica"/>
          <w:sz w:val="20"/>
          <w:szCs w:val="20"/>
          <w:lang w:eastAsia="en-AU"/>
        </w:rPr>
        <w:t xml:space="preserve"> </w:t>
      </w:r>
    </w:p>
    <w:p w:rsidRPr="0057518E" w:rsidR="0057518E" w:rsidP="0057518E" w:rsidRDefault="0057518E" w14:paraId="3CE8E2B8" w14:textId="77777777">
      <w:pPr>
        <w:shd w:val="clear" w:color="auto" w:fill="FFFFFF"/>
        <w:spacing w:before="240" w:after="120" w:line="276" w:lineRule="auto"/>
        <w:outlineLvl w:val="2"/>
        <w:rPr>
          <w:rFonts w:ascii="Open Sans" w:hAnsi="Open Sans" w:cs="Open Sans"/>
          <w:sz w:val="27"/>
          <w:szCs w:val="27"/>
          <w:lang w:eastAsia="en-AU"/>
        </w:rPr>
      </w:pPr>
      <w:r w:rsidRPr="0057518E">
        <w:rPr>
          <w:rFonts w:ascii="Open Sans" w:hAnsi="Open Sans" w:cs="Open Sans"/>
          <w:sz w:val="27"/>
          <w:szCs w:val="27"/>
          <w:lang w:eastAsia="en-AU"/>
        </w:rPr>
        <w:t>3.4 Nucleic Acid Testing</w:t>
      </w:r>
    </w:p>
    <w:p w:rsidRPr="0057518E" w:rsidR="0057518E" w:rsidP="0057518E" w:rsidRDefault="0057518E" w14:paraId="2582BE81" w14:textId="2EB9AD5C">
      <w:pPr>
        <w:spacing w:line="276" w:lineRule="auto"/>
        <w:rPr>
          <w:rFonts w:ascii="Helvetica" w:hAnsi="Helvetica" w:cs="Helvetica"/>
          <w:sz w:val="20"/>
          <w:szCs w:val="20"/>
          <w:lang w:eastAsia="en-AU"/>
        </w:rPr>
      </w:pPr>
      <w:r w:rsidRPr="0057518E">
        <w:rPr>
          <w:rFonts w:ascii="Helvetica" w:hAnsi="Helvetica" w:cs="Helvetica"/>
          <w:sz w:val="20"/>
          <w:szCs w:val="20"/>
          <w:shd w:val="clear" w:color="auto" w:fill="FFFFFF"/>
          <w:lang w:eastAsia="en-AU"/>
        </w:rPr>
        <w:t xml:space="preserve">Amplification of viral RNA by reverse transcriptase-PCR is currently the most sensitive and widely used method of detection of HAV RNA, although it is available in only a few centres and rarely used for routine diagnosis. PCR may aid in cases of </w:t>
      </w:r>
      <w:proofErr w:type="spellStart"/>
      <w:r w:rsidRPr="0057518E">
        <w:rPr>
          <w:rFonts w:ascii="Helvetica" w:hAnsi="Helvetica" w:cs="Helvetica"/>
          <w:sz w:val="20"/>
          <w:szCs w:val="20"/>
          <w:shd w:val="clear" w:color="auto" w:fill="FFFFFF"/>
          <w:lang w:eastAsia="en-AU"/>
        </w:rPr>
        <w:t>clinicobiological</w:t>
      </w:r>
      <w:proofErr w:type="spellEnd"/>
      <w:r w:rsidRPr="0057518E">
        <w:rPr>
          <w:rFonts w:ascii="Helvetica" w:hAnsi="Helvetica" w:cs="Helvetica"/>
          <w:sz w:val="20"/>
          <w:szCs w:val="20"/>
          <w:shd w:val="clear" w:color="auto" w:fill="FFFFFF"/>
          <w:lang w:eastAsia="en-AU"/>
        </w:rPr>
        <w:t xml:space="preserve"> discrepancies for example demonstrating HAV shedding in relapsing hepatitis A where the presence of HAV IgM from the initial symptoms will render serology unhelpful. PCR may also be valuable in outbreak investigations and epidemiological studies to facilitate examination of relatedness between strains by nucleic acid sequencing.</w:t>
      </w:r>
      <w:r w:rsidRPr="0057518E">
        <w:rPr>
          <w:rFonts w:ascii="Helvetica" w:hAnsi="Helvetica" w:cs="Helvetica"/>
          <w:sz w:val="15"/>
          <w:szCs w:val="15"/>
          <w:shd w:val="clear" w:color="auto" w:fill="FFFFFF"/>
          <w:vertAlign w:val="superscript"/>
          <w:lang w:eastAsia="en-AU"/>
        </w:rPr>
        <w:t>5</w:t>
      </w:r>
    </w:p>
    <w:p w:rsidRPr="0057518E" w:rsidR="0057518E" w:rsidP="0057518E" w:rsidRDefault="0057518E" w14:paraId="515FC670" w14:textId="1D73EA72">
      <w:pPr>
        <w:spacing w:line="276" w:lineRule="auto"/>
        <w:rPr>
          <w:rFonts w:ascii="Helvetica" w:hAnsi="Helvetica" w:cs="Helvetica"/>
          <w:sz w:val="20"/>
          <w:szCs w:val="20"/>
          <w:lang w:eastAsia="en-AU"/>
        </w:rPr>
      </w:pPr>
    </w:p>
    <w:p w:rsidRPr="0057518E" w:rsidR="0057518E" w:rsidP="0057518E" w:rsidRDefault="0057518E" w14:paraId="4D4E6F9B" w14:textId="77777777">
      <w:pPr>
        <w:spacing w:line="276" w:lineRule="auto"/>
        <w:rPr>
          <w:rFonts w:ascii="Helvetica" w:hAnsi="Helvetica" w:cs="Helvetica"/>
          <w:sz w:val="20"/>
          <w:szCs w:val="20"/>
          <w:lang w:eastAsia="en-AU"/>
        </w:rPr>
      </w:pPr>
      <w:r w:rsidRPr="0057518E">
        <w:rPr>
          <w:rFonts w:ascii="Helvetica" w:hAnsi="Helvetica" w:cs="Helvetica"/>
          <w:sz w:val="20"/>
          <w:szCs w:val="20"/>
          <w:shd w:val="clear" w:color="auto" w:fill="FFFFFF"/>
          <w:lang w:eastAsia="en-AU"/>
        </w:rPr>
        <w:t xml:space="preserve">HAV displays a high degree of antigenic and genetic </w:t>
      </w:r>
      <w:proofErr w:type="gramStart"/>
      <w:r w:rsidRPr="0057518E">
        <w:rPr>
          <w:rFonts w:ascii="Helvetica" w:hAnsi="Helvetica" w:cs="Helvetica"/>
          <w:sz w:val="20"/>
          <w:szCs w:val="20"/>
          <w:shd w:val="clear" w:color="auto" w:fill="FFFFFF"/>
          <w:lang w:eastAsia="en-AU"/>
        </w:rPr>
        <w:t>conservation, because</w:t>
      </w:r>
      <w:proofErr w:type="gramEnd"/>
      <w:r w:rsidRPr="0057518E">
        <w:rPr>
          <w:rFonts w:ascii="Helvetica" w:hAnsi="Helvetica" w:cs="Helvetica"/>
          <w:sz w:val="20"/>
          <w:szCs w:val="20"/>
          <w:shd w:val="clear" w:color="auto" w:fill="FFFFFF"/>
          <w:lang w:eastAsia="en-AU"/>
        </w:rPr>
        <w:t xml:space="preserve"> it does not readily accumulate mutations as in many other RNA viruses. HAV-RNA is detectable in serum by reverse transcription-PCR, 2 weeks before and 1 to 3 months after symptom onset. HAV-RNA detectability in stool lasts from a few days to up to 3 months.</w:t>
      </w:r>
      <w:r w:rsidRPr="0057518E">
        <w:rPr>
          <w:rFonts w:ascii="Helvetica" w:hAnsi="Helvetica" w:cs="Helvetica"/>
          <w:sz w:val="15"/>
          <w:szCs w:val="15"/>
          <w:shd w:val="clear" w:color="auto" w:fill="FFFFFF"/>
          <w:vertAlign w:val="superscript"/>
          <w:lang w:eastAsia="en-AU"/>
        </w:rPr>
        <w:t>1</w:t>
      </w:r>
      <w:r w:rsidRPr="0057518E">
        <w:rPr>
          <w:rFonts w:ascii="Helvetica" w:hAnsi="Helvetica" w:cs="Helvetica"/>
          <w:sz w:val="20"/>
          <w:szCs w:val="20"/>
          <w:shd w:val="clear" w:color="auto" w:fill="FFFFFF"/>
          <w:lang w:eastAsia="en-AU"/>
        </w:rPr>
        <w:t>,</w:t>
      </w:r>
      <w:r w:rsidRPr="0057518E">
        <w:rPr>
          <w:rFonts w:ascii="Helvetica" w:hAnsi="Helvetica" w:cs="Helvetica"/>
          <w:sz w:val="15"/>
          <w:szCs w:val="15"/>
          <w:shd w:val="clear" w:color="auto" w:fill="FFFFFF"/>
          <w:vertAlign w:val="superscript"/>
          <w:lang w:eastAsia="en-AU"/>
        </w:rPr>
        <w:t>3</w:t>
      </w:r>
    </w:p>
    <w:p w:rsidRPr="0057518E" w:rsidR="0057518E" w:rsidP="0057518E" w:rsidRDefault="0057518E" w14:paraId="551C6114" w14:textId="77777777">
      <w:pPr>
        <w:shd w:val="clear" w:color="auto" w:fill="FFFFFF"/>
        <w:spacing w:before="240" w:after="120" w:line="276" w:lineRule="auto"/>
        <w:outlineLvl w:val="3"/>
        <w:rPr>
          <w:rFonts w:ascii="Open Sans" w:hAnsi="Open Sans" w:cs="Open Sans"/>
          <w:sz w:val="24"/>
          <w:lang w:eastAsia="en-AU"/>
        </w:rPr>
      </w:pPr>
      <w:r w:rsidRPr="0057518E">
        <w:rPr>
          <w:rFonts w:ascii="Open Sans" w:hAnsi="Open Sans" w:cs="Open Sans"/>
          <w:sz w:val="24"/>
          <w:lang w:eastAsia="en-AU"/>
        </w:rPr>
        <w:t>3.4.1 Specimens</w:t>
      </w:r>
    </w:p>
    <w:p w:rsidRPr="0057518E" w:rsidR="0057518E" w:rsidP="0057518E" w:rsidRDefault="0057518E" w14:paraId="2C999081" w14:textId="4B31D744">
      <w:pPr>
        <w:spacing w:line="276" w:lineRule="auto"/>
        <w:rPr>
          <w:rFonts w:ascii="Helvetica" w:hAnsi="Helvetica" w:cs="Helvetica"/>
          <w:sz w:val="20"/>
          <w:szCs w:val="20"/>
          <w:lang w:eastAsia="en-AU"/>
        </w:rPr>
      </w:pPr>
      <w:r w:rsidRPr="0057518E">
        <w:rPr>
          <w:rFonts w:ascii="Helvetica" w:hAnsi="Helvetica" w:cs="Helvetica"/>
          <w:sz w:val="20"/>
          <w:szCs w:val="20"/>
          <w:shd w:val="clear" w:color="auto" w:fill="FFFFFF"/>
          <w:lang w:eastAsia="en-AU"/>
        </w:rPr>
        <w:t xml:space="preserve">Standard method for collection, transport and storage of serum or plasma are adequate for detection and genotyping of strains for epidemiological studies. In addition to serum faeces are also adequate </w:t>
      </w:r>
      <w:proofErr w:type="gramStart"/>
      <w:r w:rsidRPr="0057518E">
        <w:rPr>
          <w:rFonts w:ascii="Helvetica" w:hAnsi="Helvetica" w:cs="Helvetica"/>
          <w:sz w:val="20"/>
          <w:szCs w:val="20"/>
          <w:shd w:val="clear" w:color="auto" w:fill="FFFFFF"/>
          <w:lang w:eastAsia="en-AU"/>
        </w:rPr>
        <w:t>in particular circumstances</w:t>
      </w:r>
      <w:proofErr w:type="gramEnd"/>
      <w:r w:rsidRPr="0057518E">
        <w:rPr>
          <w:rFonts w:ascii="Helvetica" w:hAnsi="Helvetica" w:cs="Helvetica"/>
          <w:sz w:val="20"/>
          <w:szCs w:val="20"/>
          <w:shd w:val="clear" w:color="auto" w:fill="FFFFFF"/>
          <w:lang w:eastAsia="en-AU"/>
        </w:rPr>
        <w:t xml:space="preserve"> such as the investigation of severe acute disease, relapsing disease, or outbreaks. Faeces is stable in solid mass or slurry for many years at -70°C, although serum is preferred.</w:t>
      </w:r>
    </w:p>
    <w:p w:rsidRPr="0057518E" w:rsidR="0057518E" w:rsidP="0057518E" w:rsidRDefault="0057518E" w14:paraId="3CC518F4" w14:textId="77777777">
      <w:pPr>
        <w:shd w:val="clear" w:color="auto" w:fill="FFFFFF"/>
        <w:spacing w:before="240" w:after="120" w:line="276" w:lineRule="auto"/>
        <w:outlineLvl w:val="3"/>
        <w:rPr>
          <w:rFonts w:ascii="Open Sans" w:hAnsi="Open Sans" w:cs="Open Sans"/>
          <w:sz w:val="24"/>
          <w:lang w:eastAsia="en-AU"/>
        </w:rPr>
      </w:pPr>
      <w:r w:rsidRPr="0057518E">
        <w:rPr>
          <w:rFonts w:ascii="Open Sans" w:hAnsi="Open Sans" w:cs="Open Sans"/>
          <w:sz w:val="24"/>
          <w:lang w:eastAsia="en-AU"/>
        </w:rPr>
        <w:t>3.4.2 Test Sensitivity</w:t>
      </w:r>
    </w:p>
    <w:p w:rsidRPr="0057518E" w:rsidR="0057518E" w:rsidP="0057518E" w:rsidRDefault="0057518E" w14:paraId="0D3E9738" w14:textId="51EA6535">
      <w:pPr>
        <w:spacing w:line="276" w:lineRule="auto"/>
        <w:rPr>
          <w:rFonts w:ascii="Helvetica" w:hAnsi="Helvetica" w:cs="Helvetica"/>
          <w:sz w:val="20"/>
          <w:szCs w:val="20"/>
          <w:lang w:eastAsia="en-AU"/>
        </w:rPr>
      </w:pPr>
      <w:r w:rsidRPr="0057518E">
        <w:rPr>
          <w:rFonts w:ascii="Helvetica" w:hAnsi="Helvetica" w:cs="Helvetica"/>
          <w:sz w:val="20"/>
          <w:szCs w:val="20"/>
          <w:shd w:val="clear" w:color="auto" w:fill="FFFFFF"/>
          <w:lang w:eastAsia="en-AU"/>
        </w:rPr>
        <w:t>Highly sensitive; approaching 100%</w:t>
      </w:r>
      <w:r w:rsidRPr="0057518E">
        <w:rPr>
          <w:rFonts w:ascii="Helvetica" w:hAnsi="Helvetica" w:cs="Helvetica"/>
          <w:sz w:val="15"/>
          <w:szCs w:val="15"/>
          <w:shd w:val="clear" w:color="auto" w:fill="FFFFFF"/>
          <w:vertAlign w:val="superscript"/>
          <w:lang w:eastAsia="en-AU"/>
        </w:rPr>
        <w:t>13</w:t>
      </w:r>
    </w:p>
    <w:p w:rsidRPr="0057518E" w:rsidR="0057518E" w:rsidP="0057518E" w:rsidRDefault="0057518E" w14:paraId="705B1690" w14:textId="77777777">
      <w:pPr>
        <w:shd w:val="clear" w:color="auto" w:fill="FFFFFF"/>
        <w:spacing w:before="240" w:after="120" w:line="276" w:lineRule="auto"/>
        <w:outlineLvl w:val="3"/>
        <w:rPr>
          <w:rFonts w:ascii="Open Sans" w:hAnsi="Open Sans" w:cs="Open Sans"/>
          <w:sz w:val="24"/>
          <w:lang w:eastAsia="en-AU"/>
        </w:rPr>
      </w:pPr>
      <w:r w:rsidRPr="0057518E">
        <w:rPr>
          <w:rFonts w:ascii="Open Sans" w:hAnsi="Open Sans" w:cs="Open Sans"/>
          <w:sz w:val="24"/>
          <w:lang w:eastAsia="en-AU"/>
        </w:rPr>
        <w:t>3.4.3 Test Specificity</w:t>
      </w:r>
    </w:p>
    <w:p w:rsidRPr="0057518E" w:rsidR="0057518E" w:rsidP="0057518E" w:rsidRDefault="0057518E" w14:paraId="5604E94C" w14:textId="28399412">
      <w:pPr>
        <w:spacing w:line="276" w:lineRule="auto"/>
        <w:rPr>
          <w:rFonts w:ascii="Helvetica" w:hAnsi="Helvetica" w:cs="Helvetica"/>
          <w:sz w:val="20"/>
          <w:szCs w:val="20"/>
          <w:lang w:eastAsia="en-AU"/>
        </w:rPr>
      </w:pPr>
      <w:r w:rsidRPr="0057518E">
        <w:rPr>
          <w:rFonts w:ascii="Helvetica" w:hAnsi="Helvetica" w:cs="Helvetica"/>
          <w:sz w:val="20"/>
          <w:szCs w:val="20"/>
          <w:shd w:val="clear" w:color="auto" w:fill="FFFFFF"/>
          <w:lang w:eastAsia="en-AU"/>
        </w:rPr>
        <w:t>Highly specific; approaching 100%</w:t>
      </w:r>
      <w:r w:rsidRPr="0057518E">
        <w:rPr>
          <w:rFonts w:ascii="Helvetica" w:hAnsi="Helvetica" w:cs="Helvetica"/>
          <w:sz w:val="15"/>
          <w:szCs w:val="15"/>
          <w:shd w:val="clear" w:color="auto" w:fill="FFFFFF"/>
          <w:vertAlign w:val="superscript"/>
          <w:lang w:eastAsia="en-AU"/>
        </w:rPr>
        <w:t>13</w:t>
      </w:r>
    </w:p>
    <w:p w:rsidRPr="0057518E" w:rsidR="0057518E" w:rsidP="0057518E" w:rsidRDefault="0057518E" w14:paraId="717D8EEA" w14:textId="77777777">
      <w:pPr>
        <w:shd w:val="clear" w:color="auto" w:fill="FFFFFF"/>
        <w:spacing w:before="240" w:after="120" w:line="276" w:lineRule="auto"/>
        <w:outlineLvl w:val="3"/>
        <w:rPr>
          <w:rFonts w:ascii="Open Sans" w:hAnsi="Open Sans" w:cs="Open Sans"/>
          <w:sz w:val="24"/>
          <w:lang w:eastAsia="en-AU"/>
        </w:rPr>
      </w:pPr>
      <w:r w:rsidRPr="0057518E">
        <w:rPr>
          <w:rFonts w:ascii="Open Sans" w:hAnsi="Open Sans" w:cs="Open Sans"/>
          <w:sz w:val="24"/>
          <w:lang w:eastAsia="en-AU"/>
        </w:rPr>
        <w:lastRenderedPageBreak/>
        <w:t>3.4.4 Suitable External QC Programme</w:t>
      </w:r>
    </w:p>
    <w:p w:rsidRPr="0057518E" w:rsidR="0057518E" w:rsidP="0057518E" w:rsidRDefault="0057518E" w14:paraId="10F35840" w14:textId="27FA948F">
      <w:pPr>
        <w:spacing w:line="276" w:lineRule="auto"/>
        <w:rPr>
          <w:rFonts w:ascii="Helvetica" w:hAnsi="Helvetica" w:cs="Helvetica"/>
          <w:sz w:val="20"/>
          <w:szCs w:val="20"/>
          <w:lang w:eastAsia="en-AU"/>
        </w:rPr>
      </w:pPr>
      <w:proofErr w:type="gramStart"/>
      <w:r w:rsidRPr="0057518E">
        <w:rPr>
          <w:rFonts w:ascii="Helvetica" w:hAnsi="Helvetica" w:cs="Helvetica"/>
          <w:sz w:val="20"/>
          <w:szCs w:val="20"/>
          <w:shd w:val="clear" w:color="auto" w:fill="FFFFFF"/>
          <w:lang w:eastAsia="en-AU"/>
        </w:rPr>
        <w:t>None available</w:t>
      </w:r>
      <w:proofErr w:type="gramEnd"/>
      <w:r w:rsidRPr="0057518E">
        <w:rPr>
          <w:rFonts w:ascii="Helvetica" w:hAnsi="Helvetica" w:cs="Helvetica"/>
          <w:sz w:val="20"/>
          <w:szCs w:val="20"/>
          <w:shd w:val="clear" w:color="auto" w:fill="FFFFFF"/>
          <w:lang w:eastAsia="en-AU"/>
        </w:rPr>
        <w:t>.</w:t>
      </w:r>
    </w:p>
    <w:p w:rsidRPr="0057518E" w:rsidR="0057518E" w:rsidP="0057518E" w:rsidRDefault="0057518E" w14:paraId="78E0A9E8" w14:textId="77777777">
      <w:pPr>
        <w:shd w:val="clear" w:color="auto" w:fill="FFFFFF"/>
        <w:spacing w:before="240" w:after="120" w:line="276" w:lineRule="auto"/>
        <w:outlineLvl w:val="1"/>
        <w:rPr>
          <w:rFonts w:ascii="Open Sans" w:hAnsi="Open Sans" w:cs="Open Sans"/>
          <w:sz w:val="36"/>
          <w:szCs w:val="36"/>
          <w:lang w:eastAsia="en-AU"/>
        </w:rPr>
      </w:pPr>
      <w:r w:rsidRPr="0057518E">
        <w:rPr>
          <w:rFonts w:ascii="Open Sans" w:hAnsi="Open Sans" w:cs="Open Sans"/>
          <w:sz w:val="36"/>
          <w:szCs w:val="36"/>
          <w:lang w:eastAsia="en-AU"/>
        </w:rPr>
        <w:t xml:space="preserve">4 Agreed Typing </w:t>
      </w:r>
      <w:proofErr w:type="gramStart"/>
      <w:r w:rsidRPr="0057518E">
        <w:rPr>
          <w:rFonts w:ascii="Open Sans" w:hAnsi="Open Sans" w:cs="Open Sans"/>
          <w:sz w:val="36"/>
          <w:szCs w:val="36"/>
          <w:lang w:eastAsia="en-AU"/>
        </w:rPr>
        <w:t>And</w:t>
      </w:r>
      <w:proofErr w:type="gramEnd"/>
      <w:r w:rsidRPr="0057518E">
        <w:rPr>
          <w:rFonts w:ascii="Open Sans" w:hAnsi="Open Sans" w:cs="Open Sans"/>
          <w:sz w:val="36"/>
          <w:szCs w:val="36"/>
          <w:lang w:eastAsia="en-AU"/>
        </w:rPr>
        <w:t xml:space="preserve"> Subtyping Methods</w:t>
      </w:r>
    </w:p>
    <w:p w:rsidRPr="0057518E" w:rsidR="0057518E" w:rsidP="0057518E" w:rsidRDefault="0057518E" w14:paraId="4C5137F1" w14:textId="77777777">
      <w:pPr>
        <w:spacing w:line="276" w:lineRule="auto"/>
        <w:rPr>
          <w:rFonts w:ascii="Helvetica" w:hAnsi="Helvetica" w:cs="Helvetica"/>
          <w:sz w:val="20"/>
          <w:szCs w:val="20"/>
          <w:lang w:eastAsia="en-AU"/>
        </w:rPr>
      </w:pPr>
      <w:r w:rsidRPr="0057518E">
        <w:rPr>
          <w:rFonts w:ascii="Helvetica" w:hAnsi="Helvetica" w:cs="Helvetica"/>
          <w:sz w:val="20"/>
          <w:szCs w:val="20"/>
          <w:shd w:val="clear" w:color="auto" w:fill="FFFFFF"/>
          <w:lang w:eastAsia="en-AU"/>
        </w:rPr>
        <w:t xml:space="preserve">Amplification and sequencing of viral isolates using nucleic </w:t>
      </w:r>
      <w:proofErr w:type="gramStart"/>
      <w:r w:rsidRPr="0057518E">
        <w:rPr>
          <w:rFonts w:ascii="Helvetica" w:hAnsi="Helvetica" w:cs="Helvetica"/>
          <w:sz w:val="20"/>
          <w:szCs w:val="20"/>
          <w:shd w:val="clear" w:color="auto" w:fill="FFFFFF"/>
          <w:lang w:eastAsia="en-AU"/>
        </w:rPr>
        <w:t>acid based</w:t>
      </w:r>
      <w:proofErr w:type="gramEnd"/>
      <w:r w:rsidRPr="0057518E">
        <w:rPr>
          <w:rFonts w:ascii="Helvetica" w:hAnsi="Helvetica" w:cs="Helvetica"/>
          <w:sz w:val="20"/>
          <w:szCs w:val="20"/>
          <w:shd w:val="clear" w:color="auto" w:fill="FFFFFF"/>
          <w:lang w:eastAsia="en-AU"/>
        </w:rPr>
        <w:t xml:space="preserve"> technology can help to identify cases of Hepatitis A that might be part of a common source outbreak.</w:t>
      </w:r>
    </w:p>
    <w:p w:rsidRPr="0057518E" w:rsidR="0057518E" w:rsidP="0057518E" w:rsidRDefault="0057518E" w14:paraId="4095F734" w14:textId="06F96EA7">
      <w:pPr>
        <w:spacing w:line="276" w:lineRule="auto"/>
        <w:rPr>
          <w:rFonts w:ascii="Helvetica" w:hAnsi="Helvetica" w:cs="Helvetica"/>
          <w:sz w:val="20"/>
          <w:szCs w:val="20"/>
          <w:lang w:eastAsia="en-AU"/>
        </w:rPr>
      </w:pPr>
    </w:p>
    <w:p w:rsidRPr="0057518E" w:rsidR="0057518E" w:rsidP="0057518E" w:rsidRDefault="0057518E" w14:paraId="5DE30FB5" w14:textId="77777777">
      <w:pPr>
        <w:spacing w:line="276" w:lineRule="auto"/>
        <w:rPr>
          <w:rFonts w:ascii="Helvetica" w:hAnsi="Helvetica" w:cs="Helvetica"/>
          <w:sz w:val="20"/>
          <w:szCs w:val="20"/>
          <w:lang w:eastAsia="en-AU"/>
        </w:rPr>
      </w:pPr>
      <w:r w:rsidRPr="0057518E">
        <w:rPr>
          <w:rFonts w:ascii="Helvetica" w:hAnsi="Helvetica" w:cs="Helvetica"/>
          <w:sz w:val="20"/>
          <w:szCs w:val="20"/>
          <w:shd w:val="clear" w:color="auto" w:fill="FFFFFF"/>
          <w:lang w:eastAsia="en-AU"/>
        </w:rPr>
        <w:t xml:space="preserve">The different HAV strains may be grouped by comparing a </w:t>
      </w:r>
      <w:proofErr w:type="gramStart"/>
      <w:r w:rsidRPr="0057518E">
        <w:rPr>
          <w:rFonts w:ascii="Helvetica" w:hAnsi="Helvetica" w:cs="Helvetica"/>
          <w:sz w:val="20"/>
          <w:szCs w:val="20"/>
          <w:shd w:val="clear" w:color="auto" w:fill="FFFFFF"/>
          <w:lang w:eastAsia="en-AU"/>
        </w:rPr>
        <w:t>168 nucleotide</w:t>
      </w:r>
      <w:proofErr w:type="gramEnd"/>
      <w:r w:rsidRPr="0057518E">
        <w:rPr>
          <w:rFonts w:ascii="Helvetica" w:hAnsi="Helvetica" w:cs="Helvetica"/>
          <w:sz w:val="20"/>
          <w:szCs w:val="20"/>
          <w:shd w:val="clear" w:color="auto" w:fill="FFFFFF"/>
          <w:lang w:eastAsia="en-AU"/>
        </w:rPr>
        <w:t xml:space="preserve"> fragment of the VP1-P2A junction region and has been described using the method of Rico-Hesse and co-workers, for the genetic classification of poliovirus strains.</w:t>
      </w:r>
      <w:r w:rsidRPr="0057518E">
        <w:rPr>
          <w:rFonts w:ascii="Helvetica" w:hAnsi="Helvetica" w:cs="Helvetica"/>
          <w:sz w:val="15"/>
          <w:szCs w:val="15"/>
          <w:shd w:val="clear" w:color="auto" w:fill="FFFFFF"/>
          <w:vertAlign w:val="superscript"/>
          <w:lang w:eastAsia="en-AU"/>
        </w:rPr>
        <w:t>14</w:t>
      </w:r>
      <w:r w:rsidRPr="0057518E">
        <w:rPr>
          <w:rFonts w:ascii="Helvetica" w:hAnsi="Helvetica" w:cs="Helvetica"/>
          <w:sz w:val="20"/>
          <w:szCs w:val="20"/>
          <w:shd w:val="clear" w:color="auto" w:fill="FFFFFF"/>
          <w:lang w:eastAsia="en-AU"/>
        </w:rPr>
        <w:t xml:space="preserve"> This currently allows the differentiation of 6 genotypes (I, II, III, IV, V and VI), with genotypes I and III being further divided into </w:t>
      </w:r>
      <w:proofErr w:type="spellStart"/>
      <w:r w:rsidRPr="0057518E">
        <w:rPr>
          <w:rFonts w:ascii="Helvetica" w:hAnsi="Helvetica" w:cs="Helvetica"/>
          <w:sz w:val="20"/>
          <w:szCs w:val="20"/>
          <w:shd w:val="clear" w:color="auto" w:fill="FFFFFF"/>
          <w:lang w:eastAsia="en-AU"/>
        </w:rPr>
        <w:t>subgenotypes</w:t>
      </w:r>
      <w:proofErr w:type="spellEnd"/>
      <w:r w:rsidRPr="0057518E">
        <w:rPr>
          <w:rFonts w:ascii="Helvetica" w:hAnsi="Helvetica" w:cs="Helvetica"/>
          <w:sz w:val="20"/>
          <w:szCs w:val="20"/>
          <w:shd w:val="clear" w:color="auto" w:fill="FFFFFF"/>
          <w:lang w:eastAsia="en-AU"/>
        </w:rPr>
        <w:t>, (IA, IB, IIIA and IIIB).</w:t>
      </w:r>
    </w:p>
    <w:p w:rsidRPr="0057518E" w:rsidR="0057518E" w:rsidP="0057518E" w:rsidRDefault="0057518E" w14:paraId="5F00D9DB" w14:textId="1402142E">
      <w:pPr>
        <w:spacing w:line="276" w:lineRule="auto"/>
        <w:rPr>
          <w:rFonts w:ascii="Helvetica" w:hAnsi="Helvetica" w:cs="Helvetica"/>
          <w:sz w:val="20"/>
          <w:szCs w:val="20"/>
          <w:lang w:eastAsia="en-AU"/>
        </w:rPr>
      </w:pPr>
    </w:p>
    <w:p w:rsidRPr="0057518E" w:rsidR="0057518E" w:rsidP="0057518E" w:rsidRDefault="0057518E" w14:paraId="6ADE7848" w14:textId="77777777">
      <w:pPr>
        <w:spacing w:line="276" w:lineRule="auto"/>
        <w:rPr>
          <w:rFonts w:ascii="Helvetica" w:hAnsi="Helvetica" w:cs="Helvetica"/>
          <w:sz w:val="20"/>
          <w:szCs w:val="20"/>
          <w:lang w:eastAsia="en-AU"/>
        </w:rPr>
      </w:pPr>
      <w:r w:rsidRPr="0057518E">
        <w:rPr>
          <w:rFonts w:ascii="Helvetica" w:hAnsi="Helvetica" w:cs="Helvetica"/>
          <w:sz w:val="20"/>
          <w:szCs w:val="20"/>
          <w:shd w:val="clear" w:color="auto" w:fill="FFFFFF"/>
          <w:lang w:eastAsia="en-AU"/>
        </w:rPr>
        <w:t xml:space="preserve">More recently molecular epidemiological studies have utilised a </w:t>
      </w:r>
      <w:proofErr w:type="gramStart"/>
      <w:r w:rsidRPr="0057518E">
        <w:rPr>
          <w:rFonts w:ascii="Helvetica" w:hAnsi="Helvetica" w:cs="Helvetica"/>
          <w:sz w:val="20"/>
          <w:szCs w:val="20"/>
          <w:shd w:val="clear" w:color="auto" w:fill="FFFFFF"/>
          <w:lang w:eastAsia="en-AU"/>
        </w:rPr>
        <w:t>390 nucleotide</w:t>
      </w:r>
      <w:proofErr w:type="gramEnd"/>
      <w:r w:rsidRPr="0057518E">
        <w:rPr>
          <w:rFonts w:ascii="Helvetica" w:hAnsi="Helvetica" w:cs="Helvetica"/>
          <w:sz w:val="20"/>
          <w:szCs w:val="20"/>
          <w:shd w:val="clear" w:color="auto" w:fill="FFFFFF"/>
          <w:lang w:eastAsia="en-AU"/>
        </w:rPr>
        <w:t xml:space="preserve"> fragment from the VP1-P2B region, which incorporates the 2A region, one of the more variable regions of the genome. This allows the potential for greater differentiation of relatedness amongst HAV isolates.</w:t>
      </w:r>
      <w:r w:rsidRPr="0057518E">
        <w:rPr>
          <w:rFonts w:ascii="Helvetica" w:hAnsi="Helvetica" w:cs="Helvetica"/>
          <w:sz w:val="15"/>
          <w:szCs w:val="15"/>
          <w:shd w:val="clear" w:color="auto" w:fill="FFFFFF"/>
          <w:vertAlign w:val="superscript"/>
          <w:lang w:eastAsia="en-AU"/>
        </w:rPr>
        <w:t>1</w:t>
      </w:r>
      <w:r w:rsidRPr="0057518E">
        <w:rPr>
          <w:rFonts w:ascii="Helvetica" w:hAnsi="Helvetica" w:cs="Helvetica"/>
          <w:sz w:val="20"/>
          <w:szCs w:val="20"/>
          <w:shd w:val="clear" w:color="auto" w:fill="FFFFFF"/>
          <w:lang w:eastAsia="en-AU"/>
        </w:rPr>
        <w:t> The study of other genome areas may also be useful in determining the frequency of recombination in HAV and the emergence of new genetic or antigenic variants.</w:t>
      </w:r>
    </w:p>
    <w:p w:rsidRPr="0057518E" w:rsidR="0057518E" w:rsidP="0057518E" w:rsidRDefault="0057518E" w14:paraId="73B940B7" w14:textId="77777777">
      <w:pPr>
        <w:shd w:val="clear" w:color="auto" w:fill="FFFFFF"/>
        <w:spacing w:before="240" w:after="120"/>
        <w:outlineLvl w:val="2"/>
        <w:rPr>
          <w:rFonts w:ascii="Open Sans" w:hAnsi="Open Sans" w:cs="Open Sans"/>
          <w:sz w:val="27"/>
          <w:szCs w:val="27"/>
          <w:lang w:eastAsia="en-AU"/>
        </w:rPr>
      </w:pPr>
      <w:r w:rsidRPr="0057518E">
        <w:rPr>
          <w:rFonts w:ascii="Open Sans" w:hAnsi="Open Sans" w:cs="Open Sans"/>
          <w:sz w:val="27"/>
          <w:szCs w:val="27"/>
          <w:lang w:eastAsia="en-AU"/>
        </w:rPr>
        <w:t>4.1 SNOMED CT concepts</w:t>
      </w:r>
    </w:p>
    <w:tbl>
      <w:tblPr>
        <w:tblW w:w="9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Look w:val="04A0" w:firstRow="1" w:lastRow="0" w:firstColumn="1" w:lastColumn="0" w:noHBand="0" w:noVBand="1"/>
        <w:tblDescription w:val="SNOMED CT concepts information in table format"/>
      </w:tblPr>
      <w:tblGrid>
        <w:gridCol w:w="4846"/>
        <w:gridCol w:w="4342"/>
      </w:tblGrid>
      <w:tr w:rsidRPr="0057518E" w:rsidR="0057518E" w:rsidTr="008B18FB" w14:paraId="22C18DDB" w14:textId="77777777">
        <w:trPr>
          <w:trHeight w:val="503"/>
        </w:trPr>
        <w:tc>
          <w:tcPr>
            <w:tcW w:w="4846" w:type="dxa"/>
            <w:shd w:val="clear" w:color="auto" w:fill="E8F3FA"/>
            <w:tcMar>
              <w:top w:w="150" w:type="dxa"/>
              <w:left w:w="150" w:type="dxa"/>
              <w:bottom w:w="150" w:type="dxa"/>
              <w:right w:w="150" w:type="dxa"/>
            </w:tcMar>
            <w:hideMark/>
          </w:tcPr>
          <w:p w:rsidRPr="0057518E" w:rsidR="0057518E" w:rsidP="0057518E" w:rsidRDefault="0057518E" w14:paraId="3EB28545" w14:textId="77777777">
            <w:pPr>
              <w:spacing w:after="300"/>
              <w:rPr>
                <w:rFonts w:ascii="Helvetica" w:hAnsi="Helvetica" w:cs="Helvetica"/>
                <w:b/>
                <w:bCs/>
                <w:sz w:val="20"/>
                <w:szCs w:val="20"/>
                <w:lang w:eastAsia="en-AU"/>
              </w:rPr>
            </w:pPr>
            <w:r w:rsidRPr="0057518E">
              <w:rPr>
                <w:rFonts w:ascii="Helvetica" w:hAnsi="Helvetica" w:cs="Helvetica"/>
                <w:b/>
                <w:bCs/>
                <w:sz w:val="20"/>
                <w:szCs w:val="20"/>
                <w:lang w:eastAsia="en-AU"/>
              </w:rPr>
              <w:t>SNOMED CT concept</w:t>
            </w:r>
          </w:p>
        </w:tc>
        <w:tc>
          <w:tcPr>
            <w:tcW w:w="4342" w:type="dxa"/>
            <w:shd w:val="clear" w:color="auto" w:fill="E8F3FA"/>
            <w:tcMar>
              <w:top w:w="150" w:type="dxa"/>
              <w:left w:w="150" w:type="dxa"/>
              <w:bottom w:w="150" w:type="dxa"/>
              <w:right w:w="150" w:type="dxa"/>
            </w:tcMar>
            <w:hideMark/>
          </w:tcPr>
          <w:p w:rsidRPr="0057518E" w:rsidR="0057518E" w:rsidP="0057518E" w:rsidRDefault="0057518E" w14:paraId="61AF7252" w14:textId="77777777">
            <w:pPr>
              <w:spacing w:after="300"/>
              <w:rPr>
                <w:rFonts w:ascii="Helvetica" w:hAnsi="Helvetica" w:cs="Helvetica"/>
                <w:b/>
                <w:bCs/>
                <w:sz w:val="20"/>
                <w:szCs w:val="20"/>
                <w:lang w:eastAsia="en-AU"/>
              </w:rPr>
            </w:pPr>
            <w:r w:rsidRPr="0057518E">
              <w:rPr>
                <w:rFonts w:ascii="Helvetica" w:hAnsi="Helvetica" w:cs="Helvetica"/>
                <w:b/>
                <w:bCs/>
                <w:sz w:val="20"/>
                <w:szCs w:val="20"/>
                <w:lang w:eastAsia="en-AU"/>
              </w:rPr>
              <w:t>SNOMED CT Code</w:t>
            </w:r>
          </w:p>
        </w:tc>
      </w:tr>
      <w:tr w:rsidRPr="0057518E" w:rsidR="0057518E" w:rsidTr="008B18FB" w14:paraId="0C32B85B" w14:textId="77777777">
        <w:trPr>
          <w:trHeight w:val="503"/>
        </w:trPr>
        <w:tc>
          <w:tcPr>
            <w:tcW w:w="4846" w:type="dxa"/>
            <w:shd w:val="clear" w:color="auto" w:fill="FFFFFF"/>
            <w:tcMar>
              <w:top w:w="150" w:type="dxa"/>
              <w:left w:w="150" w:type="dxa"/>
              <w:bottom w:w="150" w:type="dxa"/>
              <w:right w:w="150" w:type="dxa"/>
            </w:tcMar>
            <w:hideMark/>
          </w:tcPr>
          <w:p w:rsidRPr="0057518E" w:rsidR="0057518E" w:rsidP="0057518E" w:rsidRDefault="0057518E" w14:paraId="766BCAC5" w14:textId="77777777">
            <w:pPr>
              <w:spacing w:after="300"/>
              <w:rPr>
                <w:rFonts w:ascii="Helvetica" w:hAnsi="Helvetica" w:cs="Helvetica"/>
                <w:sz w:val="20"/>
                <w:szCs w:val="20"/>
                <w:lang w:eastAsia="en-AU"/>
              </w:rPr>
            </w:pPr>
            <w:r w:rsidRPr="0057518E">
              <w:rPr>
                <w:rFonts w:ascii="Helvetica" w:hAnsi="Helvetica" w:cs="Helvetica"/>
                <w:sz w:val="20"/>
                <w:szCs w:val="20"/>
                <w:lang w:eastAsia="en-AU"/>
              </w:rPr>
              <w:t>Viral hepatitis, type A (disorder)</w:t>
            </w:r>
          </w:p>
        </w:tc>
        <w:tc>
          <w:tcPr>
            <w:tcW w:w="4342" w:type="dxa"/>
            <w:shd w:val="clear" w:color="auto" w:fill="FFFFFF"/>
            <w:tcMar>
              <w:top w:w="150" w:type="dxa"/>
              <w:left w:w="150" w:type="dxa"/>
              <w:bottom w:w="150" w:type="dxa"/>
              <w:right w:w="150" w:type="dxa"/>
            </w:tcMar>
            <w:hideMark/>
          </w:tcPr>
          <w:p w:rsidRPr="0057518E" w:rsidR="0057518E" w:rsidP="0057518E" w:rsidRDefault="0057518E" w14:paraId="204EDAF5" w14:textId="77777777">
            <w:pPr>
              <w:spacing w:after="300"/>
              <w:rPr>
                <w:rFonts w:ascii="Helvetica" w:hAnsi="Helvetica" w:cs="Helvetica"/>
                <w:sz w:val="20"/>
                <w:szCs w:val="20"/>
                <w:lang w:eastAsia="en-AU"/>
              </w:rPr>
            </w:pPr>
            <w:r w:rsidRPr="0057518E">
              <w:rPr>
                <w:rFonts w:ascii="Helvetica" w:hAnsi="Helvetica" w:cs="Helvetica"/>
                <w:sz w:val="20"/>
                <w:szCs w:val="20"/>
                <w:lang w:eastAsia="en-AU"/>
              </w:rPr>
              <w:t>40468003</w:t>
            </w:r>
          </w:p>
        </w:tc>
      </w:tr>
      <w:tr w:rsidRPr="0057518E" w:rsidR="0057518E" w:rsidTr="008B18FB" w14:paraId="25AFED6F" w14:textId="77777777">
        <w:trPr>
          <w:trHeight w:val="503"/>
        </w:trPr>
        <w:tc>
          <w:tcPr>
            <w:tcW w:w="4846" w:type="dxa"/>
            <w:shd w:val="clear" w:color="auto" w:fill="FFFFFF"/>
            <w:tcMar>
              <w:top w:w="150" w:type="dxa"/>
              <w:left w:w="150" w:type="dxa"/>
              <w:bottom w:w="150" w:type="dxa"/>
              <w:right w:w="150" w:type="dxa"/>
            </w:tcMar>
            <w:hideMark/>
          </w:tcPr>
          <w:p w:rsidRPr="0057518E" w:rsidR="0057518E" w:rsidP="0057518E" w:rsidRDefault="0057518E" w14:paraId="10D73C40" w14:textId="77777777">
            <w:pPr>
              <w:spacing w:after="300"/>
              <w:rPr>
                <w:rFonts w:ascii="Helvetica" w:hAnsi="Helvetica" w:cs="Helvetica"/>
                <w:sz w:val="20"/>
                <w:szCs w:val="20"/>
                <w:lang w:eastAsia="en-AU"/>
              </w:rPr>
            </w:pPr>
            <w:r w:rsidRPr="0057518E">
              <w:rPr>
                <w:rFonts w:ascii="Helvetica" w:hAnsi="Helvetica" w:cs="Helvetica"/>
                <w:sz w:val="20"/>
                <w:szCs w:val="20"/>
                <w:lang w:eastAsia="en-AU"/>
              </w:rPr>
              <w:t>Hepatitis A virus (organism)</w:t>
            </w:r>
          </w:p>
        </w:tc>
        <w:tc>
          <w:tcPr>
            <w:tcW w:w="4342" w:type="dxa"/>
            <w:shd w:val="clear" w:color="auto" w:fill="FFFFFF"/>
            <w:tcMar>
              <w:top w:w="150" w:type="dxa"/>
              <w:left w:w="150" w:type="dxa"/>
              <w:bottom w:w="150" w:type="dxa"/>
              <w:right w:w="150" w:type="dxa"/>
            </w:tcMar>
            <w:hideMark/>
          </w:tcPr>
          <w:p w:rsidRPr="0057518E" w:rsidR="0057518E" w:rsidP="0057518E" w:rsidRDefault="0057518E" w14:paraId="2C2F17C7" w14:textId="77777777">
            <w:pPr>
              <w:spacing w:after="300"/>
              <w:rPr>
                <w:rFonts w:ascii="Helvetica" w:hAnsi="Helvetica" w:cs="Helvetica"/>
                <w:sz w:val="20"/>
                <w:szCs w:val="20"/>
                <w:lang w:eastAsia="en-AU"/>
              </w:rPr>
            </w:pPr>
            <w:r w:rsidRPr="0057518E">
              <w:rPr>
                <w:rFonts w:ascii="Helvetica" w:hAnsi="Helvetica" w:cs="Helvetica"/>
                <w:sz w:val="20"/>
                <w:szCs w:val="20"/>
                <w:lang w:eastAsia="en-AU"/>
              </w:rPr>
              <w:t>62944002</w:t>
            </w:r>
          </w:p>
        </w:tc>
      </w:tr>
      <w:tr w:rsidRPr="0057518E" w:rsidR="0057518E" w:rsidTr="008B18FB" w14:paraId="25F679B8" w14:textId="77777777">
        <w:trPr>
          <w:trHeight w:val="503"/>
        </w:trPr>
        <w:tc>
          <w:tcPr>
            <w:tcW w:w="4846" w:type="dxa"/>
            <w:shd w:val="clear" w:color="auto" w:fill="FFFFFF"/>
            <w:tcMar>
              <w:top w:w="150" w:type="dxa"/>
              <w:left w:w="150" w:type="dxa"/>
              <w:bottom w:w="150" w:type="dxa"/>
              <w:right w:w="150" w:type="dxa"/>
            </w:tcMar>
            <w:hideMark/>
          </w:tcPr>
          <w:p w:rsidRPr="0057518E" w:rsidR="0057518E" w:rsidP="0057518E" w:rsidRDefault="0057518E" w14:paraId="69348161" w14:textId="77777777">
            <w:pPr>
              <w:spacing w:after="300"/>
              <w:rPr>
                <w:rFonts w:ascii="Helvetica" w:hAnsi="Helvetica" w:cs="Helvetica"/>
                <w:sz w:val="20"/>
                <w:szCs w:val="20"/>
                <w:lang w:eastAsia="en-AU"/>
              </w:rPr>
            </w:pPr>
            <w:r w:rsidRPr="0057518E">
              <w:rPr>
                <w:rFonts w:ascii="Helvetica" w:hAnsi="Helvetica" w:cs="Helvetica"/>
                <w:sz w:val="20"/>
                <w:szCs w:val="20"/>
                <w:lang w:eastAsia="en-AU"/>
              </w:rPr>
              <w:t>Hepatitis A antibody test (procedure)</w:t>
            </w:r>
          </w:p>
        </w:tc>
        <w:tc>
          <w:tcPr>
            <w:tcW w:w="4342" w:type="dxa"/>
            <w:shd w:val="clear" w:color="auto" w:fill="FFFFFF"/>
            <w:tcMar>
              <w:top w:w="150" w:type="dxa"/>
              <w:left w:w="150" w:type="dxa"/>
              <w:bottom w:w="150" w:type="dxa"/>
              <w:right w:w="150" w:type="dxa"/>
            </w:tcMar>
            <w:hideMark/>
          </w:tcPr>
          <w:p w:rsidRPr="0057518E" w:rsidR="0057518E" w:rsidP="0057518E" w:rsidRDefault="0057518E" w14:paraId="1E546013" w14:textId="77777777">
            <w:pPr>
              <w:spacing w:after="300"/>
              <w:rPr>
                <w:rFonts w:ascii="Helvetica" w:hAnsi="Helvetica" w:cs="Helvetica"/>
                <w:sz w:val="20"/>
                <w:szCs w:val="20"/>
                <w:lang w:eastAsia="en-AU"/>
              </w:rPr>
            </w:pPr>
            <w:r w:rsidRPr="0057518E">
              <w:rPr>
                <w:rFonts w:ascii="Helvetica" w:hAnsi="Helvetica" w:cs="Helvetica"/>
                <w:sz w:val="20"/>
                <w:szCs w:val="20"/>
                <w:lang w:eastAsia="en-AU"/>
              </w:rPr>
              <w:t>313613002</w:t>
            </w:r>
          </w:p>
        </w:tc>
      </w:tr>
      <w:tr w:rsidRPr="0057518E" w:rsidR="0057518E" w:rsidTr="008B18FB" w14:paraId="43ABE5AA" w14:textId="77777777">
        <w:trPr>
          <w:trHeight w:val="503"/>
        </w:trPr>
        <w:tc>
          <w:tcPr>
            <w:tcW w:w="4846" w:type="dxa"/>
            <w:shd w:val="clear" w:color="auto" w:fill="FFFFFF"/>
            <w:tcMar>
              <w:top w:w="150" w:type="dxa"/>
              <w:left w:w="150" w:type="dxa"/>
              <w:bottom w:w="150" w:type="dxa"/>
              <w:right w:w="150" w:type="dxa"/>
            </w:tcMar>
            <w:hideMark/>
          </w:tcPr>
          <w:p w:rsidRPr="0057518E" w:rsidR="0057518E" w:rsidP="0057518E" w:rsidRDefault="0057518E" w14:paraId="7BA83FE3" w14:textId="77777777">
            <w:pPr>
              <w:spacing w:after="300"/>
              <w:rPr>
                <w:rFonts w:ascii="Helvetica" w:hAnsi="Helvetica" w:cs="Helvetica"/>
                <w:sz w:val="20"/>
                <w:szCs w:val="20"/>
                <w:lang w:eastAsia="en-AU"/>
              </w:rPr>
            </w:pPr>
            <w:r w:rsidRPr="0057518E">
              <w:rPr>
                <w:rFonts w:ascii="Helvetica" w:hAnsi="Helvetica" w:cs="Helvetica"/>
                <w:sz w:val="20"/>
                <w:szCs w:val="20"/>
                <w:lang w:eastAsia="en-AU"/>
              </w:rPr>
              <w:t>Hepatitis A virus RNA assay (procedure)</w:t>
            </w:r>
          </w:p>
        </w:tc>
        <w:tc>
          <w:tcPr>
            <w:tcW w:w="4342" w:type="dxa"/>
            <w:shd w:val="clear" w:color="auto" w:fill="FFFFFF"/>
            <w:tcMar>
              <w:top w:w="150" w:type="dxa"/>
              <w:left w:w="150" w:type="dxa"/>
              <w:bottom w:w="150" w:type="dxa"/>
              <w:right w:w="150" w:type="dxa"/>
            </w:tcMar>
            <w:hideMark/>
          </w:tcPr>
          <w:p w:rsidRPr="0057518E" w:rsidR="0057518E" w:rsidP="0057518E" w:rsidRDefault="0057518E" w14:paraId="00A7E294" w14:textId="77777777">
            <w:pPr>
              <w:spacing w:after="300"/>
              <w:rPr>
                <w:rFonts w:ascii="Helvetica" w:hAnsi="Helvetica" w:cs="Helvetica"/>
                <w:sz w:val="20"/>
                <w:szCs w:val="20"/>
                <w:lang w:eastAsia="en-AU"/>
              </w:rPr>
            </w:pPr>
            <w:r w:rsidRPr="0057518E">
              <w:rPr>
                <w:rFonts w:ascii="Helvetica" w:hAnsi="Helvetica" w:cs="Helvetica"/>
                <w:sz w:val="20"/>
                <w:szCs w:val="20"/>
                <w:lang w:eastAsia="en-AU"/>
              </w:rPr>
              <w:t>122334007</w:t>
            </w:r>
          </w:p>
        </w:tc>
      </w:tr>
      <w:tr w:rsidRPr="0057518E" w:rsidR="0057518E" w:rsidTr="008B18FB" w14:paraId="4CC925A1" w14:textId="77777777">
        <w:trPr>
          <w:trHeight w:val="517"/>
        </w:trPr>
        <w:tc>
          <w:tcPr>
            <w:tcW w:w="4846" w:type="dxa"/>
            <w:shd w:val="clear" w:color="auto" w:fill="FFFFFF"/>
            <w:tcMar>
              <w:top w:w="150" w:type="dxa"/>
              <w:left w:w="150" w:type="dxa"/>
              <w:bottom w:w="150" w:type="dxa"/>
              <w:right w:w="150" w:type="dxa"/>
            </w:tcMar>
            <w:hideMark/>
          </w:tcPr>
          <w:p w:rsidRPr="0057518E" w:rsidR="0057518E" w:rsidP="0057518E" w:rsidRDefault="0057518E" w14:paraId="34967071" w14:textId="77777777">
            <w:pPr>
              <w:spacing w:after="300"/>
              <w:rPr>
                <w:rFonts w:ascii="Helvetica" w:hAnsi="Helvetica" w:cs="Helvetica"/>
                <w:sz w:val="20"/>
                <w:szCs w:val="20"/>
                <w:lang w:eastAsia="en-AU"/>
              </w:rPr>
            </w:pPr>
            <w:r w:rsidRPr="0057518E">
              <w:rPr>
                <w:rFonts w:ascii="Helvetica" w:hAnsi="Helvetica" w:cs="Helvetica"/>
                <w:sz w:val="20"/>
                <w:szCs w:val="20"/>
                <w:lang w:eastAsia="en-AU"/>
              </w:rPr>
              <w:t>Hepatitis A virus antibody, total measurement (procedure)</w:t>
            </w:r>
          </w:p>
        </w:tc>
        <w:tc>
          <w:tcPr>
            <w:tcW w:w="4342" w:type="dxa"/>
            <w:shd w:val="clear" w:color="auto" w:fill="FFFFFF"/>
            <w:tcMar>
              <w:top w:w="150" w:type="dxa"/>
              <w:left w:w="150" w:type="dxa"/>
              <w:bottom w:w="150" w:type="dxa"/>
              <w:right w:w="150" w:type="dxa"/>
            </w:tcMar>
            <w:hideMark/>
          </w:tcPr>
          <w:p w:rsidRPr="0057518E" w:rsidR="0057518E" w:rsidP="0057518E" w:rsidRDefault="0057518E" w14:paraId="0A648183" w14:textId="77777777">
            <w:pPr>
              <w:spacing w:after="300"/>
              <w:rPr>
                <w:rFonts w:ascii="Helvetica" w:hAnsi="Helvetica" w:cs="Helvetica"/>
                <w:sz w:val="20"/>
                <w:szCs w:val="20"/>
                <w:lang w:eastAsia="en-AU"/>
              </w:rPr>
            </w:pPr>
            <w:r w:rsidRPr="0057518E">
              <w:rPr>
                <w:rFonts w:ascii="Helvetica" w:hAnsi="Helvetica" w:cs="Helvetica"/>
                <w:sz w:val="20"/>
                <w:szCs w:val="20"/>
                <w:lang w:eastAsia="en-AU"/>
              </w:rPr>
              <w:t>104374007</w:t>
            </w:r>
          </w:p>
        </w:tc>
      </w:tr>
      <w:tr w:rsidRPr="0057518E" w:rsidR="0057518E" w:rsidTr="008B18FB" w14:paraId="71BF7C45" w14:textId="77777777">
        <w:trPr>
          <w:trHeight w:val="503"/>
        </w:trPr>
        <w:tc>
          <w:tcPr>
            <w:tcW w:w="4846" w:type="dxa"/>
            <w:shd w:val="clear" w:color="auto" w:fill="FFFFFF"/>
            <w:tcMar>
              <w:top w:w="150" w:type="dxa"/>
              <w:left w:w="150" w:type="dxa"/>
              <w:bottom w:w="150" w:type="dxa"/>
              <w:right w:w="150" w:type="dxa"/>
            </w:tcMar>
            <w:hideMark/>
          </w:tcPr>
          <w:p w:rsidRPr="0057518E" w:rsidR="0057518E" w:rsidP="0057518E" w:rsidRDefault="0057518E" w14:paraId="5BB55D50" w14:textId="77777777">
            <w:pPr>
              <w:spacing w:after="300"/>
              <w:rPr>
                <w:rFonts w:ascii="Helvetica" w:hAnsi="Helvetica" w:cs="Helvetica"/>
                <w:sz w:val="20"/>
                <w:szCs w:val="20"/>
                <w:lang w:eastAsia="en-AU"/>
              </w:rPr>
            </w:pPr>
            <w:r w:rsidRPr="0057518E">
              <w:rPr>
                <w:rFonts w:ascii="Helvetica" w:hAnsi="Helvetica" w:cs="Helvetica"/>
                <w:sz w:val="20"/>
                <w:szCs w:val="20"/>
                <w:lang w:eastAsia="en-AU"/>
              </w:rPr>
              <w:t>Hepatitis A virus antibody, IgM type (procedure)</w:t>
            </w:r>
          </w:p>
        </w:tc>
        <w:tc>
          <w:tcPr>
            <w:tcW w:w="4342" w:type="dxa"/>
            <w:shd w:val="clear" w:color="auto" w:fill="FFFFFF"/>
            <w:tcMar>
              <w:top w:w="150" w:type="dxa"/>
              <w:left w:w="150" w:type="dxa"/>
              <w:bottom w:w="150" w:type="dxa"/>
              <w:right w:w="150" w:type="dxa"/>
            </w:tcMar>
            <w:hideMark/>
          </w:tcPr>
          <w:p w:rsidRPr="0057518E" w:rsidR="0057518E" w:rsidP="0057518E" w:rsidRDefault="0057518E" w14:paraId="57C9BF5F" w14:textId="77777777">
            <w:pPr>
              <w:spacing w:after="300"/>
              <w:rPr>
                <w:rFonts w:ascii="Helvetica" w:hAnsi="Helvetica" w:cs="Helvetica"/>
                <w:sz w:val="20"/>
                <w:szCs w:val="20"/>
                <w:lang w:eastAsia="en-AU"/>
              </w:rPr>
            </w:pPr>
            <w:r w:rsidRPr="0057518E">
              <w:rPr>
                <w:rFonts w:ascii="Helvetica" w:hAnsi="Helvetica" w:cs="Helvetica"/>
                <w:sz w:val="20"/>
                <w:szCs w:val="20"/>
                <w:lang w:eastAsia="en-AU"/>
              </w:rPr>
              <w:t>88159009</w:t>
            </w:r>
          </w:p>
        </w:tc>
      </w:tr>
    </w:tbl>
    <w:p w:rsidRPr="0057518E" w:rsidR="0057518E" w:rsidP="0057518E" w:rsidRDefault="0057518E" w14:paraId="5A0F5E52" w14:textId="7FCA57F9">
      <w:pPr>
        <w:rPr>
          <w:rFonts w:ascii="Times New Roman" w:hAnsi="Times New Roman"/>
          <w:sz w:val="24"/>
          <w:lang w:eastAsia="en-AU"/>
        </w:rPr>
      </w:pPr>
      <w:bookmarkStart w:name="footnote" w:id="0"/>
      <w:bookmarkEnd w:id="0"/>
    </w:p>
    <w:p w:rsidR="0057518E" w:rsidRDefault="0057518E" w14:paraId="418110BB" w14:textId="77777777">
      <w:pPr>
        <w:rPr>
          <w:rFonts w:ascii="Open Sans" w:hAnsi="Open Sans" w:cs="Open Sans"/>
          <w:sz w:val="36"/>
          <w:szCs w:val="36"/>
          <w:lang w:eastAsia="en-AU"/>
        </w:rPr>
      </w:pPr>
      <w:r>
        <w:rPr>
          <w:rFonts w:ascii="Open Sans" w:hAnsi="Open Sans" w:cs="Open Sans"/>
          <w:sz w:val="36"/>
          <w:szCs w:val="36"/>
          <w:lang w:eastAsia="en-AU"/>
        </w:rPr>
        <w:br w:type="page"/>
      </w:r>
    </w:p>
    <w:p w:rsidRPr="0057518E" w:rsidR="0057518E" w:rsidP="0057518E" w:rsidRDefault="0057518E" w14:paraId="1AA2685A" w14:textId="43F24D02">
      <w:pPr>
        <w:shd w:val="clear" w:color="auto" w:fill="FFFFFF"/>
        <w:spacing w:before="240" w:after="120"/>
        <w:outlineLvl w:val="1"/>
        <w:rPr>
          <w:rFonts w:ascii="Open Sans" w:hAnsi="Open Sans" w:cs="Open Sans"/>
          <w:sz w:val="36"/>
          <w:szCs w:val="36"/>
          <w:lang w:eastAsia="en-AU"/>
        </w:rPr>
      </w:pPr>
      <w:r w:rsidRPr="0057518E">
        <w:rPr>
          <w:rFonts w:ascii="Open Sans" w:hAnsi="Open Sans" w:cs="Open Sans"/>
          <w:sz w:val="36"/>
          <w:szCs w:val="36"/>
          <w:lang w:eastAsia="en-AU"/>
        </w:rPr>
        <w:lastRenderedPageBreak/>
        <w:t>5 References</w:t>
      </w:r>
    </w:p>
    <w:p w:rsidRPr="0057518E" w:rsidR="0057518E" w:rsidP="0057518E" w:rsidRDefault="0057518E" w14:paraId="638A0222" w14:textId="77777777">
      <w:pPr>
        <w:numPr>
          <w:ilvl w:val="0"/>
          <w:numId w:val="24"/>
        </w:numPr>
        <w:shd w:val="clear" w:color="auto" w:fill="FFFFFF"/>
        <w:spacing w:after="90" w:line="300" w:lineRule="atLeast"/>
        <w:rPr>
          <w:rFonts w:ascii="Helvetica" w:hAnsi="Helvetica" w:cs="Helvetica"/>
          <w:sz w:val="20"/>
          <w:szCs w:val="20"/>
          <w:lang w:eastAsia="en-AU"/>
        </w:rPr>
      </w:pPr>
      <w:proofErr w:type="spellStart"/>
      <w:r w:rsidRPr="0057518E">
        <w:rPr>
          <w:rFonts w:ascii="Helvetica" w:hAnsi="Helvetica" w:cs="Helvetica"/>
          <w:sz w:val="20"/>
          <w:szCs w:val="20"/>
          <w:lang w:eastAsia="en-AU"/>
        </w:rPr>
        <w:t>Nainan</w:t>
      </w:r>
      <w:proofErr w:type="spellEnd"/>
      <w:r w:rsidRPr="0057518E">
        <w:rPr>
          <w:rFonts w:ascii="Helvetica" w:hAnsi="Helvetica" w:cs="Helvetica"/>
          <w:sz w:val="20"/>
          <w:szCs w:val="20"/>
          <w:lang w:eastAsia="en-AU"/>
        </w:rPr>
        <w:t xml:space="preserve">, O., Xia, G., Vaughan, G., Margolis, H. 2006. Diagnosis of Hepatitis A </w:t>
      </w:r>
      <w:proofErr w:type="spellStart"/>
      <w:r w:rsidRPr="0057518E">
        <w:rPr>
          <w:rFonts w:ascii="Helvetica" w:hAnsi="Helvetica" w:cs="Helvetica"/>
          <w:sz w:val="20"/>
          <w:szCs w:val="20"/>
          <w:lang w:eastAsia="en-AU"/>
        </w:rPr>
        <w:t>rirus</w:t>
      </w:r>
      <w:proofErr w:type="spellEnd"/>
      <w:r w:rsidRPr="0057518E">
        <w:rPr>
          <w:rFonts w:ascii="Helvetica" w:hAnsi="Helvetica" w:cs="Helvetica"/>
          <w:sz w:val="20"/>
          <w:szCs w:val="20"/>
          <w:lang w:eastAsia="en-AU"/>
        </w:rPr>
        <w:t xml:space="preserve"> infection: a molecular approach. Clin Microbiol Rev. 19(1):63-79</w:t>
      </w:r>
    </w:p>
    <w:p w:rsidRPr="0057518E" w:rsidR="0057518E" w:rsidP="0057518E" w:rsidRDefault="0057518E" w14:paraId="4080D075" w14:textId="77777777">
      <w:pPr>
        <w:numPr>
          <w:ilvl w:val="0"/>
          <w:numId w:val="24"/>
        </w:numPr>
        <w:shd w:val="clear" w:color="auto" w:fill="FFFFFF"/>
        <w:spacing w:after="90" w:line="300" w:lineRule="atLeast"/>
        <w:rPr>
          <w:rFonts w:ascii="Helvetica" w:hAnsi="Helvetica" w:cs="Helvetica"/>
          <w:sz w:val="20"/>
          <w:szCs w:val="20"/>
          <w:lang w:eastAsia="en-AU"/>
        </w:rPr>
      </w:pPr>
      <w:r w:rsidRPr="0057518E">
        <w:rPr>
          <w:rFonts w:ascii="Helvetica" w:hAnsi="Helvetica" w:cs="Helvetica"/>
          <w:sz w:val="20"/>
          <w:szCs w:val="20"/>
          <w:lang w:eastAsia="en-AU"/>
        </w:rPr>
        <w:t xml:space="preserve">Ward, K., McAnulty, J. 2008. Hepatitis A: who in NSW is most at risk of infection? NSW </w:t>
      </w:r>
      <w:proofErr w:type="gramStart"/>
      <w:r w:rsidRPr="0057518E">
        <w:rPr>
          <w:rFonts w:ascii="Helvetica" w:hAnsi="Helvetica" w:cs="Helvetica"/>
          <w:sz w:val="20"/>
          <w:szCs w:val="20"/>
          <w:lang w:eastAsia="en-AU"/>
        </w:rPr>
        <w:t>Pubic</w:t>
      </w:r>
      <w:proofErr w:type="gramEnd"/>
      <w:r w:rsidRPr="0057518E">
        <w:rPr>
          <w:rFonts w:ascii="Helvetica" w:hAnsi="Helvetica" w:cs="Helvetica"/>
          <w:sz w:val="20"/>
          <w:szCs w:val="20"/>
          <w:lang w:eastAsia="en-AU"/>
        </w:rPr>
        <w:t xml:space="preserve"> Health Bulletin. Vol 19(1-2): 32-5</w:t>
      </w:r>
    </w:p>
    <w:p w:rsidRPr="0057518E" w:rsidR="0057518E" w:rsidP="0057518E" w:rsidRDefault="0057518E" w14:paraId="28C9E6E1" w14:textId="77777777">
      <w:pPr>
        <w:numPr>
          <w:ilvl w:val="0"/>
          <w:numId w:val="24"/>
        </w:numPr>
        <w:shd w:val="clear" w:color="auto" w:fill="FFFFFF"/>
        <w:spacing w:after="90" w:line="300" w:lineRule="atLeast"/>
        <w:rPr>
          <w:rFonts w:ascii="Helvetica" w:hAnsi="Helvetica" w:cs="Helvetica"/>
          <w:sz w:val="20"/>
          <w:szCs w:val="20"/>
          <w:lang w:eastAsia="en-AU"/>
        </w:rPr>
      </w:pPr>
      <w:proofErr w:type="spellStart"/>
      <w:r w:rsidRPr="0057518E">
        <w:rPr>
          <w:rFonts w:ascii="Helvetica" w:hAnsi="Helvetica" w:cs="Helvetica"/>
          <w:sz w:val="20"/>
          <w:szCs w:val="20"/>
          <w:lang w:eastAsia="en-AU"/>
        </w:rPr>
        <w:t>Normann</w:t>
      </w:r>
      <w:proofErr w:type="spellEnd"/>
      <w:r w:rsidRPr="0057518E">
        <w:rPr>
          <w:rFonts w:ascii="Helvetica" w:hAnsi="Helvetica" w:cs="Helvetica"/>
          <w:sz w:val="20"/>
          <w:szCs w:val="20"/>
          <w:lang w:eastAsia="en-AU"/>
        </w:rPr>
        <w:t xml:space="preserve"> A, Jung C, </w:t>
      </w:r>
      <w:proofErr w:type="spellStart"/>
      <w:r w:rsidRPr="0057518E">
        <w:rPr>
          <w:rFonts w:ascii="Helvetica" w:hAnsi="Helvetica" w:cs="Helvetica"/>
          <w:sz w:val="20"/>
          <w:szCs w:val="20"/>
          <w:lang w:eastAsia="en-AU"/>
        </w:rPr>
        <w:t>Vallbracht</w:t>
      </w:r>
      <w:proofErr w:type="spellEnd"/>
      <w:r w:rsidRPr="0057518E">
        <w:rPr>
          <w:rFonts w:ascii="Helvetica" w:hAnsi="Helvetica" w:cs="Helvetica"/>
          <w:sz w:val="20"/>
          <w:szCs w:val="20"/>
          <w:lang w:eastAsia="en-AU"/>
        </w:rPr>
        <w:t xml:space="preserve"> A, </w:t>
      </w:r>
      <w:proofErr w:type="spellStart"/>
      <w:r w:rsidRPr="0057518E">
        <w:rPr>
          <w:rFonts w:ascii="Helvetica" w:hAnsi="Helvetica" w:cs="Helvetica"/>
          <w:sz w:val="20"/>
          <w:szCs w:val="20"/>
          <w:lang w:eastAsia="en-AU"/>
        </w:rPr>
        <w:t>Flehmig</w:t>
      </w:r>
      <w:proofErr w:type="spellEnd"/>
      <w:r w:rsidRPr="0057518E">
        <w:rPr>
          <w:rFonts w:ascii="Helvetica" w:hAnsi="Helvetica" w:cs="Helvetica"/>
          <w:sz w:val="20"/>
          <w:szCs w:val="20"/>
          <w:lang w:eastAsia="en-AU"/>
        </w:rPr>
        <w:t xml:space="preserve"> B: Time course of hepatitis A viremia and viral load in the blood of human hepatitis A patients. J Med </w:t>
      </w:r>
      <w:proofErr w:type="spellStart"/>
      <w:r w:rsidRPr="0057518E">
        <w:rPr>
          <w:rFonts w:ascii="Helvetica" w:hAnsi="Helvetica" w:cs="Helvetica"/>
          <w:sz w:val="20"/>
          <w:szCs w:val="20"/>
          <w:lang w:eastAsia="en-AU"/>
        </w:rPr>
        <w:t>Virol</w:t>
      </w:r>
      <w:proofErr w:type="spellEnd"/>
      <w:r w:rsidRPr="0057518E">
        <w:rPr>
          <w:rFonts w:ascii="Helvetica" w:hAnsi="Helvetica" w:cs="Helvetica"/>
          <w:sz w:val="20"/>
          <w:szCs w:val="20"/>
          <w:lang w:eastAsia="en-AU"/>
        </w:rPr>
        <w:t xml:space="preserve"> 2004, 72:10-16.</w:t>
      </w:r>
    </w:p>
    <w:p w:rsidRPr="0057518E" w:rsidR="0057518E" w:rsidP="0057518E" w:rsidRDefault="0057518E" w14:paraId="64AB1F6D" w14:textId="77777777">
      <w:pPr>
        <w:numPr>
          <w:ilvl w:val="0"/>
          <w:numId w:val="24"/>
        </w:numPr>
        <w:shd w:val="clear" w:color="auto" w:fill="FFFFFF"/>
        <w:spacing w:after="90" w:line="300" w:lineRule="atLeast"/>
        <w:rPr>
          <w:rFonts w:ascii="Helvetica" w:hAnsi="Helvetica" w:cs="Helvetica"/>
          <w:sz w:val="20"/>
          <w:szCs w:val="20"/>
          <w:lang w:eastAsia="en-AU"/>
        </w:rPr>
      </w:pPr>
      <w:proofErr w:type="spellStart"/>
      <w:r w:rsidRPr="0057518E">
        <w:rPr>
          <w:rFonts w:ascii="Helvetica" w:hAnsi="Helvetica" w:cs="Helvetica"/>
          <w:sz w:val="20"/>
          <w:szCs w:val="20"/>
          <w:lang w:eastAsia="en-AU"/>
        </w:rPr>
        <w:t>Glikson</w:t>
      </w:r>
      <w:proofErr w:type="spellEnd"/>
      <w:r w:rsidRPr="0057518E">
        <w:rPr>
          <w:rFonts w:ascii="Helvetica" w:hAnsi="Helvetica" w:cs="Helvetica"/>
          <w:sz w:val="20"/>
          <w:szCs w:val="20"/>
          <w:lang w:eastAsia="en-AU"/>
        </w:rPr>
        <w:t xml:space="preserve"> M, </w:t>
      </w:r>
      <w:proofErr w:type="spellStart"/>
      <w:r w:rsidRPr="0057518E">
        <w:rPr>
          <w:rFonts w:ascii="Helvetica" w:hAnsi="Helvetica" w:cs="Helvetica"/>
          <w:sz w:val="20"/>
          <w:szCs w:val="20"/>
          <w:lang w:eastAsia="en-AU"/>
        </w:rPr>
        <w:t>Galun</w:t>
      </w:r>
      <w:proofErr w:type="spellEnd"/>
      <w:r w:rsidRPr="0057518E">
        <w:rPr>
          <w:rFonts w:ascii="Helvetica" w:hAnsi="Helvetica" w:cs="Helvetica"/>
          <w:sz w:val="20"/>
          <w:szCs w:val="20"/>
          <w:lang w:eastAsia="en-AU"/>
        </w:rPr>
        <w:t xml:space="preserve"> E, Oren R, Tur-</w:t>
      </w:r>
      <w:proofErr w:type="spellStart"/>
      <w:r w:rsidRPr="0057518E">
        <w:rPr>
          <w:rFonts w:ascii="Helvetica" w:hAnsi="Helvetica" w:cs="Helvetica"/>
          <w:sz w:val="20"/>
          <w:szCs w:val="20"/>
          <w:lang w:eastAsia="en-AU"/>
        </w:rPr>
        <w:t>Kaspa</w:t>
      </w:r>
      <w:proofErr w:type="spellEnd"/>
      <w:r w:rsidRPr="0057518E">
        <w:rPr>
          <w:rFonts w:ascii="Helvetica" w:hAnsi="Helvetica" w:cs="Helvetica"/>
          <w:sz w:val="20"/>
          <w:szCs w:val="20"/>
          <w:lang w:eastAsia="en-AU"/>
        </w:rPr>
        <w:t xml:space="preserve"> R, </w:t>
      </w:r>
      <w:proofErr w:type="spellStart"/>
      <w:r w:rsidRPr="0057518E">
        <w:rPr>
          <w:rFonts w:ascii="Helvetica" w:hAnsi="Helvetica" w:cs="Helvetica"/>
          <w:sz w:val="20"/>
          <w:szCs w:val="20"/>
          <w:lang w:eastAsia="en-AU"/>
        </w:rPr>
        <w:t>Shouval</w:t>
      </w:r>
      <w:proofErr w:type="spellEnd"/>
      <w:r w:rsidRPr="0057518E">
        <w:rPr>
          <w:rFonts w:ascii="Helvetica" w:hAnsi="Helvetica" w:cs="Helvetica"/>
          <w:sz w:val="20"/>
          <w:szCs w:val="20"/>
          <w:lang w:eastAsia="en-AU"/>
        </w:rPr>
        <w:t xml:space="preserve"> D: Relapsing hepatitis A. Review of 14 cases and literature survey. Medicine (Baltimore) 1992, 71:14-23.</w:t>
      </w:r>
    </w:p>
    <w:p w:rsidRPr="0057518E" w:rsidR="0057518E" w:rsidP="0057518E" w:rsidRDefault="0057518E" w14:paraId="13E182B3" w14:textId="77777777">
      <w:pPr>
        <w:numPr>
          <w:ilvl w:val="0"/>
          <w:numId w:val="24"/>
        </w:numPr>
        <w:shd w:val="clear" w:color="auto" w:fill="FFFFFF"/>
        <w:spacing w:after="90" w:line="300" w:lineRule="atLeast"/>
        <w:rPr>
          <w:rFonts w:ascii="Helvetica" w:hAnsi="Helvetica" w:cs="Helvetica"/>
          <w:sz w:val="20"/>
          <w:szCs w:val="20"/>
          <w:lang w:eastAsia="en-AU"/>
        </w:rPr>
      </w:pPr>
      <w:r w:rsidRPr="0057518E">
        <w:rPr>
          <w:rFonts w:ascii="Helvetica" w:hAnsi="Helvetica" w:cs="Helvetica"/>
          <w:sz w:val="20"/>
          <w:szCs w:val="20"/>
          <w:lang w:eastAsia="en-AU"/>
        </w:rPr>
        <w:t xml:space="preserve">Roque-Afonso, A.M., </w:t>
      </w:r>
      <w:proofErr w:type="spellStart"/>
      <w:r w:rsidRPr="0057518E">
        <w:rPr>
          <w:rFonts w:ascii="Helvetica" w:hAnsi="Helvetica" w:cs="Helvetica"/>
          <w:sz w:val="20"/>
          <w:szCs w:val="20"/>
          <w:lang w:eastAsia="en-AU"/>
        </w:rPr>
        <w:t>Desbois</w:t>
      </w:r>
      <w:proofErr w:type="spellEnd"/>
      <w:r w:rsidRPr="0057518E">
        <w:rPr>
          <w:rFonts w:ascii="Helvetica" w:hAnsi="Helvetica" w:cs="Helvetica"/>
          <w:sz w:val="20"/>
          <w:szCs w:val="20"/>
          <w:lang w:eastAsia="en-AU"/>
        </w:rPr>
        <w:t xml:space="preserve">, D., </w:t>
      </w:r>
      <w:proofErr w:type="spellStart"/>
      <w:r w:rsidRPr="0057518E">
        <w:rPr>
          <w:rFonts w:ascii="Helvetica" w:hAnsi="Helvetica" w:cs="Helvetica"/>
          <w:sz w:val="20"/>
          <w:szCs w:val="20"/>
          <w:lang w:eastAsia="en-AU"/>
        </w:rPr>
        <w:t>Dussaix</w:t>
      </w:r>
      <w:proofErr w:type="spellEnd"/>
      <w:r w:rsidRPr="0057518E">
        <w:rPr>
          <w:rFonts w:ascii="Helvetica" w:hAnsi="Helvetica" w:cs="Helvetica"/>
          <w:sz w:val="20"/>
          <w:szCs w:val="20"/>
          <w:lang w:eastAsia="en-AU"/>
        </w:rPr>
        <w:t>, E. 2010. Hepatitis A virus: serology and molecular diagnostics. Future Virology. 5(2):233-42</w:t>
      </w:r>
    </w:p>
    <w:p w:rsidRPr="0057518E" w:rsidR="0057518E" w:rsidP="0057518E" w:rsidRDefault="0057518E" w14:paraId="4D5FC84C" w14:textId="77777777">
      <w:pPr>
        <w:numPr>
          <w:ilvl w:val="0"/>
          <w:numId w:val="24"/>
        </w:numPr>
        <w:shd w:val="clear" w:color="auto" w:fill="FFFFFF"/>
        <w:spacing w:after="90" w:line="300" w:lineRule="atLeast"/>
        <w:rPr>
          <w:rFonts w:ascii="Helvetica" w:hAnsi="Helvetica" w:cs="Helvetica"/>
          <w:sz w:val="20"/>
          <w:szCs w:val="20"/>
          <w:lang w:eastAsia="en-AU"/>
        </w:rPr>
      </w:pPr>
      <w:r w:rsidRPr="0057518E">
        <w:rPr>
          <w:rFonts w:ascii="Helvetica" w:hAnsi="Helvetica" w:cs="Helvetica"/>
          <w:sz w:val="20"/>
          <w:szCs w:val="20"/>
          <w:lang w:eastAsia="en-AU"/>
        </w:rPr>
        <w:t xml:space="preserve">Brundage, S., </w:t>
      </w:r>
      <w:proofErr w:type="spellStart"/>
      <w:r w:rsidRPr="0057518E">
        <w:rPr>
          <w:rFonts w:ascii="Helvetica" w:hAnsi="Helvetica" w:cs="Helvetica"/>
          <w:sz w:val="20"/>
          <w:szCs w:val="20"/>
          <w:lang w:eastAsia="en-AU"/>
        </w:rPr>
        <w:t>Fitzpatick</w:t>
      </w:r>
      <w:proofErr w:type="spellEnd"/>
      <w:r w:rsidRPr="0057518E">
        <w:rPr>
          <w:rFonts w:ascii="Helvetica" w:hAnsi="Helvetica" w:cs="Helvetica"/>
          <w:sz w:val="20"/>
          <w:szCs w:val="20"/>
          <w:lang w:eastAsia="en-AU"/>
        </w:rPr>
        <w:t>, N. 2006. Hepatitis A. Am Fam Phys. 73(12):2162-8</w:t>
      </w:r>
    </w:p>
    <w:p w:rsidRPr="0057518E" w:rsidR="0057518E" w:rsidP="0057518E" w:rsidRDefault="0057518E" w14:paraId="6E93D915" w14:textId="77777777">
      <w:pPr>
        <w:numPr>
          <w:ilvl w:val="0"/>
          <w:numId w:val="24"/>
        </w:numPr>
        <w:shd w:val="clear" w:color="auto" w:fill="FFFFFF"/>
        <w:spacing w:after="90" w:line="300" w:lineRule="atLeast"/>
        <w:rPr>
          <w:rFonts w:ascii="Helvetica" w:hAnsi="Helvetica" w:cs="Helvetica"/>
          <w:sz w:val="20"/>
          <w:szCs w:val="20"/>
          <w:lang w:eastAsia="en-AU"/>
        </w:rPr>
      </w:pPr>
      <w:r w:rsidRPr="0057518E">
        <w:rPr>
          <w:rFonts w:ascii="Helvetica" w:hAnsi="Helvetica" w:cs="Helvetica"/>
          <w:sz w:val="20"/>
          <w:szCs w:val="20"/>
          <w:lang w:eastAsia="en-AU"/>
        </w:rPr>
        <w:t>The Australian Immunisation Handbook, 9th Ed. 2008. Chapter 3.5; Hepatitis A.</w:t>
      </w:r>
    </w:p>
    <w:p w:rsidRPr="0057518E" w:rsidR="0057518E" w:rsidP="0057518E" w:rsidRDefault="0057518E" w14:paraId="38FBF3CA" w14:textId="77777777">
      <w:pPr>
        <w:numPr>
          <w:ilvl w:val="0"/>
          <w:numId w:val="24"/>
        </w:numPr>
        <w:shd w:val="clear" w:color="auto" w:fill="FFFFFF"/>
        <w:spacing w:after="90" w:line="300" w:lineRule="atLeast"/>
        <w:rPr>
          <w:rFonts w:ascii="Helvetica" w:hAnsi="Helvetica" w:cs="Helvetica"/>
          <w:sz w:val="20"/>
          <w:szCs w:val="20"/>
          <w:lang w:eastAsia="en-AU"/>
        </w:rPr>
      </w:pPr>
      <w:r w:rsidRPr="0057518E">
        <w:rPr>
          <w:rFonts w:ascii="Helvetica" w:hAnsi="Helvetica" w:cs="Helvetica"/>
          <w:sz w:val="20"/>
          <w:szCs w:val="20"/>
          <w:lang w:eastAsia="en-AU"/>
        </w:rPr>
        <w:t xml:space="preserve">Craig, A., Schaffner, W. 2004. Prevention of Hepatitis A with the Hepatitis A vaccine. N </w:t>
      </w:r>
      <w:proofErr w:type="spellStart"/>
      <w:r w:rsidRPr="0057518E">
        <w:rPr>
          <w:rFonts w:ascii="Helvetica" w:hAnsi="Helvetica" w:cs="Helvetica"/>
          <w:sz w:val="20"/>
          <w:szCs w:val="20"/>
          <w:lang w:eastAsia="en-AU"/>
        </w:rPr>
        <w:t>Engl</w:t>
      </w:r>
      <w:proofErr w:type="spellEnd"/>
      <w:r w:rsidRPr="0057518E">
        <w:rPr>
          <w:rFonts w:ascii="Helvetica" w:hAnsi="Helvetica" w:cs="Helvetica"/>
          <w:sz w:val="20"/>
          <w:szCs w:val="20"/>
          <w:lang w:eastAsia="en-AU"/>
        </w:rPr>
        <w:t xml:space="preserve"> J Med 350(5):476-81</w:t>
      </w:r>
    </w:p>
    <w:p w:rsidRPr="0057518E" w:rsidR="0057518E" w:rsidP="0057518E" w:rsidRDefault="0057518E" w14:paraId="34C45B49" w14:textId="77777777">
      <w:pPr>
        <w:numPr>
          <w:ilvl w:val="0"/>
          <w:numId w:val="24"/>
        </w:numPr>
        <w:shd w:val="clear" w:color="auto" w:fill="FFFFFF"/>
        <w:spacing w:after="90" w:line="300" w:lineRule="atLeast"/>
        <w:rPr>
          <w:rFonts w:ascii="Helvetica" w:hAnsi="Helvetica" w:cs="Helvetica"/>
          <w:sz w:val="20"/>
          <w:szCs w:val="20"/>
          <w:lang w:eastAsia="en-AU"/>
        </w:rPr>
      </w:pPr>
      <w:r w:rsidRPr="0057518E">
        <w:rPr>
          <w:rFonts w:ascii="Helvetica" w:hAnsi="Helvetica" w:cs="Helvetica"/>
          <w:sz w:val="20"/>
          <w:szCs w:val="20"/>
          <w:lang w:eastAsia="en-AU"/>
        </w:rPr>
        <w:t>Cuthbert, J. 2001. Hepatitis A: old and new. Clin Microbiol Rev. 14(1):38-58</w:t>
      </w:r>
    </w:p>
    <w:p w:rsidRPr="0057518E" w:rsidR="0057518E" w:rsidP="0057518E" w:rsidRDefault="0057518E" w14:paraId="6BEEBD42" w14:textId="77777777">
      <w:pPr>
        <w:numPr>
          <w:ilvl w:val="0"/>
          <w:numId w:val="24"/>
        </w:numPr>
        <w:shd w:val="clear" w:color="auto" w:fill="FFFFFF"/>
        <w:spacing w:after="90" w:line="300" w:lineRule="atLeast"/>
        <w:rPr>
          <w:rFonts w:ascii="Helvetica" w:hAnsi="Helvetica" w:cs="Helvetica"/>
          <w:sz w:val="20"/>
          <w:szCs w:val="20"/>
          <w:lang w:eastAsia="en-AU"/>
        </w:rPr>
      </w:pPr>
      <w:r w:rsidRPr="0057518E">
        <w:rPr>
          <w:rFonts w:ascii="Helvetica" w:hAnsi="Helvetica" w:cs="Helvetica"/>
          <w:sz w:val="20"/>
          <w:szCs w:val="20"/>
          <w:lang w:eastAsia="en-AU"/>
        </w:rPr>
        <w:t>Recommendations of the Advisory Committee on Immunization Practices (ACIP). 2006. Prevention of hepatitis A through active or passive immunization: MMWR, 55 (RR7):1-23.</w:t>
      </w:r>
    </w:p>
    <w:p w:rsidRPr="0057518E" w:rsidR="0057518E" w:rsidP="0057518E" w:rsidRDefault="0057518E" w14:paraId="40DF8097" w14:textId="77777777">
      <w:pPr>
        <w:numPr>
          <w:ilvl w:val="0"/>
          <w:numId w:val="24"/>
        </w:numPr>
        <w:shd w:val="clear" w:color="auto" w:fill="FFFFFF"/>
        <w:spacing w:after="90" w:line="300" w:lineRule="atLeast"/>
        <w:rPr>
          <w:rFonts w:ascii="Helvetica" w:hAnsi="Helvetica" w:cs="Helvetica"/>
          <w:sz w:val="20"/>
          <w:szCs w:val="20"/>
          <w:lang w:eastAsia="en-AU"/>
        </w:rPr>
      </w:pPr>
      <w:proofErr w:type="spellStart"/>
      <w:r w:rsidRPr="0057518E">
        <w:rPr>
          <w:rFonts w:ascii="Helvetica" w:hAnsi="Helvetica" w:cs="Helvetica"/>
          <w:sz w:val="20"/>
          <w:szCs w:val="20"/>
          <w:lang w:eastAsia="en-AU"/>
        </w:rPr>
        <w:t>Wiedmann</w:t>
      </w:r>
      <w:proofErr w:type="spellEnd"/>
      <w:r w:rsidRPr="0057518E">
        <w:rPr>
          <w:rFonts w:ascii="Helvetica" w:hAnsi="Helvetica" w:cs="Helvetica"/>
          <w:sz w:val="20"/>
          <w:szCs w:val="20"/>
          <w:lang w:eastAsia="en-AU"/>
        </w:rPr>
        <w:t xml:space="preserve"> M, Boehm S, Schumacher W, </w:t>
      </w:r>
      <w:proofErr w:type="spellStart"/>
      <w:r w:rsidRPr="0057518E">
        <w:rPr>
          <w:rFonts w:ascii="Helvetica" w:hAnsi="Helvetica" w:cs="Helvetica"/>
          <w:sz w:val="20"/>
          <w:szCs w:val="20"/>
          <w:lang w:eastAsia="en-AU"/>
        </w:rPr>
        <w:t>Swysen</w:t>
      </w:r>
      <w:proofErr w:type="spellEnd"/>
      <w:r w:rsidRPr="0057518E">
        <w:rPr>
          <w:rFonts w:ascii="Helvetica" w:hAnsi="Helvetica" w:cs="Helvetica"/>
          <w:sz w:val="20"/>
          <w:szCs w:val="20"/>
          <w:lang w:eastAsia="en-AU"/>
        </w:rPr>
        <w:t xml:space="preserve"> C, </w:t>
      </w:r>
      <w:proofErr w:type="spellStart"/>
      <w:r w:rsidRPr="0057518E">
        <w:rPr>
          <w:rFonts w:ascii="Helvetica" w:hAnsi="Helvetica" w:cs="Helvetica"/>
          <w:sz w:val="20"/>
          <w:szCs w:val="20"/>
          <w:lang w:eastAsia="en-AU"/>
        </w:rPr>
        <w:t>Zauke</w:t>
      </w:r>
      <w:proofErr w:type="spellEnd"/>
      <w:r w:rsidRPr="0057518E">
        <w:rPr>
          <w:rFonts w:ascii="Helvetica" w:hAnsi="Helvetica" w:cs="Helvetica"/>
          <w:sz w:val="20"/>
          <w:szCs w:val="20"/>
          <w:lang w:eastAsia="en-AU"/>
        </w:rPr>
        <w:t xml:space="preserve"> M: Evaluation of three commercial assays for the detection of hepatitis a virus. Eur J Clin Microbiol Infect Dis 2003, 22:129-130.</w:t>
      </w:r>
    </w:p>
    <w:p w:rsidRPr="0057518E" w:rsidR="0057518E" w:rsidP="0057518E" w:rsidRDefault="0057518E" w14:paraId="1FCBDE3D" w14:textId="77777777">
      <w:pPr>
        <w:numPr>
          <w:ilvl w:val="0"/>
          <w:numId w:val="24"/>
        </w:numPr>
        <w:shd w:val="clear" w:color="auto" w:fill="FFFFFF"/>
        <w:spacing w:after="90" w:line="300" w:lineRule="atLeast"/>
        <w:rPr>
          <w:rFonts w:ascii="Helvetica" w:hAnsi="Helvetica" w:cs="Helvetica"/>
          <w:sz w:val="20"/>
          <w:szCs w:val="20"/>
          <w:lang w:eastAsia="en-AU"/>
        </w:rPr>
      </w:pPr>
      <w:r w:rsidRPr="0057518E">
        <w:rPr>
          <w:rFonts w:ascii="Helvetica" w:hAnsi="Helvetica" w:cs="Helvetica"/>
          <w:sz w:val="20"/>
          <w:szCs w:val="20"/>
          <w:lang w:eastAsia="en-AU"/>
        </w:rPr>
        <w:t xml:space="preserve">Vidor E, </w:t>
      </w:r>
      <w:proofErr w:type="spellStart"/>
      <w:r w:rsidRPr="0057518E">
        <w:rPr>
          <w:rFonts w:ascii="Helvetica" w:hAnsi="Helvetica" w:cs="Helvetica"/>
          <w:sz w:val="20"/>
          <w:szCs w:val="20"/>
          <w:lang w:eastAsia="en-AU"/>
        </w:rPr>
        <w:t>Xueref</w:t>
      </w:r>
      <w:proofErr w:type="spellEnd"/>
      <w:r w:rsidRPr="0057518E">
        <w:rPr>
          <w:rFonts w:ascii="Helvetica" w:hAnsi="Helvetica" w:cs="Helvetica"/>
          <w:sz w:val="20"/>
          <w:szCs w:val="20"/>
          <w:lang w:eastAsia="en-AU"/>
        </w:rPr>
        <w:t xml:space="preserve"> C, </w:t>
      </w:r>
      <w:proofErr w:type="spellStart"/>
      <w:r w:rsidRPr="0057518E">
        <w:rPr>
          <w:rFonts w:ascii="Helvetica" w:hAnsi="Helvetica" w:cs="Helvetica"/>
          <w:sz w:val="20"/>
          <w:szCs w:val="20"/>
          <w:lang w:eastAsia="en-AU"/>
        </w:rPr>
        <w:t>Blondeau</w:t>
      </w:r>
      <w:proofErr w:type="spellEnd"/>
      <w:r w:rsidRPr="0057518E">
        <w:rPr>
          <w:rFonts w:ascii="Helvetica" w:hAnsi="Helvetica" w:cs="Helvetica"/>
          <w:sz w:val="20"/>
          <w:szCs w:val="20"/>
          <w:lang w:eastAsia="en-AU"/>
        </w:rPr>
        <w:t xml:space="preserve"> C, </w:t>
      </w:r>
      <w:proofErr w:type="spellStart"/>
      <w:r w:rsidRPr="0057518E">
        <w:rPr>
          <w:rFonts w:ascii="Helvetica" w:hAnsi="Helvetica" w:cs="Helvetica"/>
          <w:sz w:val="20"/>
          <w:szCs w:val="20"/>
          <w:lang w:eastAsia="en-AU"/>
        </w:rPr>
        <w:t>Bajard</w:t>
      </w:r>
      <w:proofErr w:type="spellEnd"/>
      <w:r w:rsidRPr="0057518E">
        <w:rPr>
          <w:rFonts w:ascii="Helvetica" w:hAnsi="Helvetica" w:cs="Helvetica"/>
          <w:sz w:val="20"/>
          <w:szCs w:val="20"/>
          <w:lang w:eastAsia="en-AU"/>
        </w:rPr>
        <w:t xml:space="preserve"> A, </w:t>
      </w:r>
      <w:proofErr w:type="spellStart"/>
      <w:r w:rsidRPr="0057518E">
        <w:rPr>
          <w:rFonts w:ascii="Helvetica" w:hAnsi="Helvetica" w:cs="Helvetica"/>
          <w:sz w:val="20"/>
          <w:szCs w:val="20"/>
          <w:lang w:eastAsia="en-AU"/>
        </w:rPr>
        <w:t>Francon</w:t>
      </w:r>
      <w:proofErr w:type="spellEnd"/>
      <w:r w:rsidRPr="0057518E">
        <w:rPr>
          <w:rFonts w:ascii="Helvetica" w:hAnsi="Helvetica" w:cs="Helvetica"/>
          <w:sz w:val="20"/>
          <w:szCs w:val="20"/>
          <w:lang w:eastAsia="en-AU"/>
        </w:rPr>
        <w:t xml:space="preserve"> A, Goudeau A, </w:t>
      </w:r>
      <w:proofErr w:type="spellStart"/>
      <w:r w:rsidRPr="0057518E">
        <w:rPr>
          <w:rFonts w:ascii="Helvetica" w:hAnsi="Helvetica" w:cs="Helvetica"/>
          <w:sz w:val="20"/>
          <w:szCs w:val="20"/>
          <w:lang w:eastAsia="en-AU"/>
        </w:rPr>
        <w:t>Peyron</w:t>
      </w:r>
      <w:proofErr w:type="spellEnd"/>
      <w:r w:rsidRPr="0057518E">
        <w:rPr>
          <w:rFonts w:ascii="Helvetica" w:hAnsi="Helvetica" w:cs="Helvetica"/>
          <w:sz w:val="20"/>
          <w:szCs w:val="20"/>
          <w:lang w:eastAsia="en-AU"/>
        </w:rPr>
        <w:t xml:space="preserve"> F, Brasseur P, Zuckerman A: Analysis of the antibody response in humans with a new inactivated hepatitis A vaccine. Biologicals 1996, 24:235-242.</w:t>
      </w:r>
    </w:p>
    <w:p w:rsidRPr="0057518E" w:rsidR="0057518E" w:rsidP="0057518E" w:rsidRDefault="0057518E" w14:paraId="2DB4BE3B" w14:textId="4FBE5C4E">
      <w:pPr>
        <w:numPr>
          <w:ilvl w:val="0"/>
          <w:numId w:val="24"/>
        </w:numPr>
        <w:shd w:val="clear" w:color="auto" w:fill="FFFFFF"/>
        <w:spacing w:after="90" w:line="300" w:lineRule="atLeast"/>
        <w:rPr>
          <w:rFonts w:ascii="Helvetica" w:hAnsi="Helvetica" w:cs="Helvetica"/>
          <w:sz w:val="20"/>
          <w:szCs w:val="20"/>
          <w:lang w:eastAsia="en-AU"/>
        </w:rPr>
      </w:pPr>
      <w:r w:rsidRPr="0057518E">
        <w:rPr>
          <w:rFonts w:ascii="Helvetica" w:hAnsi="Helvetica" w:cs="Helvetica"/>
          <w:sz w:val="20"/>
          <w:szCs w:val="20"/>
          <w:lang w:eastAsia="en-AU"/>
        </w:rPr>
        <w:t xml:space="preserve">NHS Report 05127. 2006. Hepatitis A serological assays: a review of evaluation literature.  </w:t>
      </w:r>
    </w:p>
    <w:p w:rsidRPr="0057518E" w:rsidR="009E0B84" w:rsidP="00F42019" w:rsidRDefault="0057518E" w14:paraId="20630337" w14:textId="4EA6ED8C">
      <w:pPr>
        <w:numPr>
          <w:ilvl w:val="0"/>
          <w:numId w:val="24"/>
        </w:numPr>
        <w:shd w:val="clear" w:color="auto" w:fill="FFFFFF"/>
        <w:spacing w:after="90" w:line="300" w:lineRule="atLeast"/>
        <w:rPr>
          <w:rFonts w:ascii="Helvetica" w:hAnsi="Helvetica" w:cs="Helvetica"/>
          <w:sz w:val="20"/>
          <w:szCs w:val="20"/>
          <w:lang w:eastAsia="en-AU"/>
        </w:rPr>
      </w:pPr>
      <w:r w:rsidRPr="0057518E">
        <w:rPr>
          <w:rFonts w:ascii="Helvetica" w:hAnsi="Helvetica" w:cs="Helvetica"/>
          <w:sz w:val="20"/>
          <w:szCs w:val="20"/>
          <w:lang w:eastAsia="en-AU"/>
        </w:rPr>
        <w:t xml:space="preserve">Costa-Mattioli, M., Di Napoli, A., </w:t>
      </w:r>
      <w:proofErr w:type="spellStart"/>
      <w:r w:rsidRPr="0057518E">
        <w:rPr>
          <w:rFonts w:ascii="Helvetica" w:hAnsi="Helvetica" w:cs="Helvetica"/>
          <w:sz w:val="20"/>
          <w:szCs w:val="20"/>
          <w:lang w:eastAsia="en-AU"/>
        </w:rPr>
        <w:t>Ferré</w:t>
      </w:r>
      <w:proofErr w:type="spellEnd"/>
      <w:r w:rsidRPr="0057518E">
        <w:rPr>
          <w:rFonts w:ascii="Helvetica" w:hAnsi="Helvetica" w:cs="Helvetica"/>
          <w:sz w:val="20"/>
          <w:szCs w:val="20"/>
          <w:lang w:eastAsia="en-AU"/>
        </w:rPr>
        <w:t xml:space="preserve">, V., </w:t>
      </w:r>
      <w:proofErr w:type="spellStart"/>
      <w:r w:rsidRPr="0057518E">
        <w:rPr>
          <w:rFonts w:ascii="Helvetica" w:hAnsi="Helvetica" w:cs="Helvetica"/>
          <w:sz w:val="20"/>
          <w:szCs w:val="20"/>
          <w:lang w:eastAsia="en-AU"/>
        </w:rPr>
        <w:t>Billaudel</w:t>
      </w:r>
      <w:proofErr w:type="spellEnd"/>
      <w:r w:rsidRPr="0057518E">
        <w:rPr>
          <w:rFonts w:ascii="Helvetica" w:hAnsi="Helvetica" w:cs="Helvetica"/>
          <w:sz w:val="20"/>
          <w:szCs w:val="20"/>
          <w:lang w:eastAsia="en-AU"/>
        </w:rPr>
        <w:t>, S., Perez-</w:t>
      </w:r>
      <w:proofErr w:type="spellStart"/>
      <w:r w:rsidRPr="0057518E">
        <w:rPr>
          <w:rFonts w:ascii="Helvetica" w:hAnsi="Helvetica" w:cs="Helvetica"/>
          <w:sz w:val="20"/>
          <w:szCs w:val="20"/>
          <w:lang w:eastAsia="en-AU"/>
        </w:rPr>
        <w:t>Bercoff</w:t>
      </w:r>
      <w:proofErr w:type="spellEnd"/>
      <w:r w:rsidRPr="0057518E">
        <w:rPr>
          <w:rFonts w:ascii="Helvetica" w:hAnsi="Helvetica" w:cs="Helvetica"/>
          <w:sz w:val="20"/>
          <w:szCs w:val="20"/>
          <w:lang w:eastAsia="en-AU"/>
        </w:rPr>
        <w:t xml:space="preserve">, R., Cristina, J. 2003. Genetic variability of Hepatitis A virus. J Gen </w:t>
      </w:r>
      <w:proofErr w:type="spellStart"/>
      <w:r w:rsidRPr="0057518E">
        <w:rPr>
          <w:rFonts w:ascii="Helvetica" w:hAnsi="Helvetica" w:cs="Helvetica"/>
          <w:sz w:val="20"/>
          <w:szCs w:val="20"/>
          <w:lang w:eastAsia="en-AU"/>
        </w:rPr>
        <w:t>Virol</w:t>
      </w:r>
      <w:proofErr w:type="spellEnd"/>
      <w:r w:rsidRPr="0057518E">
        <w:rPr>
          <w:rFonts w:ascii="Helvetica" w:hAnsi="Helvetica" w:cs="Helvetica"/>
          <w:sz w:val="20"/>
          <w:szCs w:val="20"/>
          <w:lang w:eastAsia="en-AU"/>
        </w:rPr>
        <w:t>. 84:3191-201</w:t>
      </w:r>
    </w:p>
    <w:sectPr w:rsidRPr="0057518E" w:rsidR="009E0B84" w:rsidSect="00F42019">
      <w:headerReference w:type="default" r:id="rId11"/>
      <w:footerReference w:type="default" r:id="rId12"/>
      <w:headerReference w:type="first" r:id="rId13"/>
      <w:footerReference w:type="first" r:id="rId14"/>
      <w:type w:val="continuous"/>
      <w:pgSz w:w="11906" w:h="16838" w:orient="portrait"/>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7518E" w:rsidP="006B56BB" w:rsidRDefault="0057518E" w14:paraId="577B4EE2" w14:textId="77777777">
      <w:r>
        <w:separator/>
      </w:r>
    </w:p>
    <w:p w:rsidR="0057518E" w:rsidRDefault="0057518E" w14:paraId="308E2039" w14:textId="77777777"/>
  </w:endnote>
  <w:endnote w:type="continuationSeparator" w:id="0">
    <w:p w:rsidR="0057518E" w:rsidP="006B56BB" w:rsidRDefault="0057518E" w14:paraId="0C94596C" w14:textId="77777777">
      <w:r>
        <w:continuationSeparator/>
      </w:r>
    </w:p>
    <w:p w:rsidR="0057518E" w:rsidRDefault="0057518E" w14:paraId="32373AC9" w14:textId="77777777"/>
  </w:endnote>
  <w:endnote w:type="continuationNotice" w:id="1">
    <w:p w:rsidR="0057518E" w:rsidRDefault="0057518E" w14:paraId="4F619E4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Open Sans"/>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246970"/>
      <w:docPartObj>
        <w:docPartGallery w:val="Page Numbers (Bottom of Page)"/>
        <w:docPartUnique/>
      </w:docPartObj>
    </w:sdtPr>
    <w:sdtEndPr/>
    <w:sdtContent>
      <w:sdt>
        <w:sdtPr>
          <w:id w:val="-1769616900"/>
          <w:docPartObj>
            <w:docPartGallery w:val="Page Numbers (Top of Page)"/>
            <w:docPartUnique/>
          </w:docPartObj>
        </w:sdtPr>
        <w:sdtEndPr/>
        <w:sdtContent>
          <w:p w:rsidR="00CD407A" w:rsidP="0057518E" w:rsidRDefault="0057518E" w14:paraId="092B9B30" w14:textId="2501927D">
            <w:pPr>
              <w:pStyle w:val="Footer"/>
              <w:jc w:val="right"/>
            </w:pPr>
            <w:r w:rsidRPr="0057518E">
              <w:t xml:space="preserve">Hepatitis </w:t>
            </w:r>
            <w:r w:rsidR="008B18FB">
              <w:t xml:space="preserve">A </w:t>
            </w:r>
            <w:r w:rsidR="00076AD6">
              <w:t xml:space="preserve">– Laboratory case definition </w:t>
            </w:r>
            <w:r w:rsidR="00076AD6">
              <w:tab/>
            </w:r>
            <w:r w:rsidR="00076AD6">
              <w:tab/>
            </w:r>
            <w:r w:rsidR="00CD407A">
              <w:t xml:space="preserve">Page </w:t>
            </w:r>
            <w:r w:rsidR="00CD407A">
              <w:rPr>
                <w:b/>
                <w:bCs/>
                <w:sz w:val="24"/>
              </w:rPr>
              <w:fldChar w:fldCharType="begin"/>
            </w:r>
            <w:r w:rsidR="00CD407A">
              <w:rPr>
                <w:b/>
                <w:bCs/>
              </w:rPr>
              <w:instrText xml:space="preserve"> PAGE </w:instrText>
            </w:r>
            <w:r w:rsidR="00CD407A">
              <w:rPr>
                <w:b/>
                <w:bCs/>
                <w:sz w:val="24"/>
              </w:rPr>
              <w:fldChar w:fldCharType="separate"/>
            </w:r>
            <w:r w:rsidR="00CD407A">
              <w:rPr>
                <w:b/>
                <w:bCs/>
                <w:noProof/>
              </w:rPr>
              <w:t>2</w:t>
            </w:r>
            <w:r w:rsidR="00CD407A">
              <w:rPr>
                <w:b/>
                <w:bCs/>
                <w:sz w:val="24"/>
              </w:rPr>
              <w:fldChar w:fldCharType="end"/>
            </w:r>
            <w:r w:rsidR="00CD407A">
              <w:t xml:space="preserve"> of </w:t>
            </w:r>
            <w:r w:rsidR="00CD407A">
              <w:rPr>
                <w:b/>
                <w:bCs/>
                <w:sz w:val="24"/>
              </w:rPr>
              <w:fldChar w:fldCharType="begin"/>
            </w:r>
            <w:r w:rsidR="00CD407A">
              <w:rPr>
                <w:b/>
                <w:bCs/>
              </w:rPr>
              <w:instrText xml:space="preserve"> NUMPAGES  </w:instrText>
            </w:r>
            <w:r w:rsidR="00CD407A">
              <w:rPr>
                <w:b/>
                <w:bCs/>
                <w:sz w:val="24"/>
              </w:rPr>
              <w:fldChar w:fldCharType="separate"/>
            </w:r>
            <w:r w:rsidR="00CD407A">
              <w:rPr>
                <w:b/>
                <w:bCs/>
                <w:noProof/>
              </w:rPr>
              <w:t>2</w:t>
            </w:r>
            <w:r w:rsidR="00CD407A">
              <w:rPr>
                <w:b/>
                <w:bCs/>
                <w:sz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E40AE" w:rsidP="0057518E" w:rsidRDefault="0057518E" w14:paraId="3C673485" w14:textId="73EB3982">
    <w:pPr>
      <w:pStyle w:val="Footer"/>
      <w:jc w:val="right"/>
    </w:pPr>
    <w:r w:rsidRPr="0057518E">
      <w:t xml:space="preserve">Hepatitis A </w:t>
    </w:r>
    <w:r w:rsidR="005E40AE">
      <w:t xml:space="preserve">– Laboratory case definition </w:t>
    </w:r>
    <w:r w:rsidR="005E40AE">
      <w:tab/>
    </w:r>
    <w:r w:rsidR="005E40AE">
      <w:tab/>
    </w:r>
    <w:r w:rsidR="005E40AE">
      <w:t xml:space="preserve">Page </w:t>
    </w:r>
    <w:r w:rsidR="005E40AE">
      <w:rPr>
        <w:b/>
        <w:bCs/>
        <w:sz w:val="24"/>
      </w:rPr>
      <w:fldChar w:fldCharType="begin"/>
    </w:r>
    <w:r w:rsidR="005E40AE">
      <w:rPr>
        <w:b/>
        <w:bCs/>
      </w:rPr>
      <w:instrText xml:space="preserve"> PAGE </w:instrText>
    </w:r>
    <w:r w:rsidR="005E40AE">
      <w:rPr>
        <w:b/>
        <w:bCs/>
        <w:sz w:val="24"/>
      </w:rPr>
      <w:fldChar w:fldCharType="separate"/>
    </w:r>
    <w:r w:rsidR="005E40AE">
      <w:rPr>
        <w:b/>
        <w:bCs/>
        <w:sz w:val="24"/>
      </w:rPr>
      <w:t>2</w:t>
    </w:r>
    <w:r w:rsidR="005E40AE">
      <w:rPr>
        <w:b/>
        <w:bCs/>
        <w:sz w:val="24"/>
      </w:rPr>
      <w:fldChar w:fldCharType="end"/>
    </w:r>
    <w:r w:rsidR="005E40AE">
      <w:t xml:space="preserve"> of </w:t>
    </w:r>
    <w:r w:rsidR="005E40AE">
      <w:rPr>
        <w:b/>
        <w:bCs/>
        <w:sz w:val="24"/>
      </w:rPr>
      <w:fldChar w:fldCharType="begin"/>
    </w:r>
    <w:r w:rsidR="005E40AE">
      <w:rPr>
        <w:b/>
        <w:bCs/>
      </w:rPr>
      <w:instrText xml:space="preserve"> NUMPAGES  </w:instrText>
    </w:r>
    <w:r w:rsidR="005E40AE">
      <w:rPr>
        <w:b/>
        <w:bCs/>
        <w:sz w:val="24"/>
      </w:rPr>
      <w:fldChar w:fldCharType="separate"/>
    </w:r>
    <w:r w:rsidR="005E40AE">
      <w:rPr>
        <w:b/>
        <w:bCs/>
        <w:sz w:val="24"/>
      </w:rPr>
      <w:t>2</w:t>
    </w:r>
    <w:r w:rsidR="005E40AE">
      <w:rPr>
        <w:b/>
        <w:bCs/>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7518E" w:rsidP="006B56BB" w:rsidRDefault="0057518E" w14:paraId="4D53A34E" w14:textId="77777777">
      <w:r>
        <w:separator/>
      </w:r>
    </w:p>
    <w:p w:rsidR="0057518E" w:rsidRDefault="0057518E" w14:paraId="1CACC5E6" w14:textId="77777777"/>
  </w:footnote>
  <w:footnote w:type="continuationSeparator" w:id="0">
    <w:p w:rsidR="0057518E" w:rsidP="006B56BB" w:rsidRDefault="0057518E" w14:paraId="0AB54D89" w14:textId="77777777">
      <w:r>
        <w:continuationSeparator/>
      </w:r>
    </w:p>
    <w:p w:rsidR="0057518E" w:rsidRDefault="0057518E" w14:paraId="686C2F86" w14:textId="77777777"/>
  </w:footnote>
  <w:footnote w:type="continuationNotice" w:id="1">
    <w:p w:rsidR="0057518E" w:rsidRDefault="0057518E" w14:paraId="4809063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E0C77" w:rsidP="008E0C77" w:rsidRDefault="008E0C77" w14:paraId="4855826A" w14:textId="777777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F42019" w:rsidRDefault="00F42019" w14:paraId="6DAE5808" w14:textId="77777777">
    <w:pPr>
      <w:pStyle w:val="Header"/>
    </w:pPr>
    <w:r>
      <w:rPr>
        <w:noProof/>
      </w:rPr>
      <w:drawing>
        <wp:inline distT="0" distB="0" distL="0" distR="0" wp14:anchorId="18E059E1" wp14:editId="71E4BCD7">
          <wp:extent cx="2943580" cy="1200150"/>
          <wp:effectExtent l="0" t="0" r="9525" b="0"/>
          <wp:docPr id="2" name="Picture 2" descr="Public Health Laboratory Net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ublic Health Laboratory Network logo"/>
                  <pic:cNvPicPr/>
                </pic:nvPicPr>
                <pic:blipFill>
                  <a:blip r:embed="rId1">
                    <a:extLst>
                      <a:ext uri="{28A0092B-C50C-407E-A947-70E740481C1C}">
                        <a14:useLocalDpi xmlns:a14="http://schemas.microsoft.com/office/drawing/2010/main" val="0"/>
                      </a:ext>
                    </a:extLst>
                  </a:blip>
                  <a:stretch>
                    <a:fillRect/>
                  </a:stretch>
                </pic:blipFill>
                <pic:spPr>
                  <a:xfrm>
                    <a:off x="0" y="0"/>
                    <a:ext cx="2997886" cy="12222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hint="default" w:ascii="Symbol" w:hAnsi="Symbol"/>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hint="default" w:ascii="Symbol" w:hAnsi="Symbol"/>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hint="default" w:ascii="Symbol" w:hAnsi="Symbol"/>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hint="default" w:ascii="Symbol" w:hAnsi="Symbol"/>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hint="default" w:ascii="Symbol" w:hAnsi="Symbol"/>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hint="default" w:ascii="Calibri" w:hAnsi="Calibr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0" w15:restartNumberingAfterBreak="0">
    <w:nsid w:val="13363506"/>
    <w:multiLevelType w:val="hybridMultilevel"/>
    <w:tmpl w:val="C55CFE62"/>
    <w:lvl w:ilvl="0" w:tplc="B722292C">
      <w:start w:val="1"/>
      <w:numFmt w:val="bullet"/>
      <w:pStyle w:val="ListBullet"/>
      <w:lvlText w:val=""/>
      <w:lvlJc w:val="left"/>
      <w:pPr>
        <w:ind w:left="360" w:hanging="360"/>
      </w:pPr>
      <w:rPr>
        <w:rFonts w:hint="default" w:ascii="Symbol" w:hAnsi="Symbol"/>
        <w:color w:val="000000" w:themeColor="text1"/>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1" w15:restartNumberingAfterBreak="0">
    <w:nsid w:val="1A9E504F"/>
    <w:multiLevelType w:val="multilevel"/>
    <w:tmpl w:val="65ECA3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3" w15:restartNumberingAfterBreak="0">
    <w:nsid w:val="33E3502A"/>
    <w:multiLevelType w:val="multilevel"/>
    <w:tmpl w:val="40DED9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34CD50FD"/>
    <w:multiLevelType w:val="hybridMultilevel"/>
    <w:tmpl w:val="B3569960"/>
    <w:lvl w:ilvl="0" w:tplc="98DA49D4">
      <w:start w:val="1"/>
      <w:numFmt w:val="bullet"/>
      <w:pStyle w:val="ListNumber2"/>
      <w:lvlText w:val=""/>
      <w:lvlJc w:val="left"/>
      <w:pPr>
        <w:ind w:left="644" w:hanging="360"/>
      </w:pPr>
      <w:rPr>
        <w:rFonts w:hint="default" w:ascii="Symbol" w:hAnsi="Symbol"/>
        <w:color w:val="auto"/>
      </w:rPr>
    </w:lvl>
    <w:lvl w:ilvl="1" w:tplc="0C090003" w:tentative="1">
      <w:start w:val="1"/>
      <w:numFmt w:val="bullet"/>
      <w:lvlText w:val="o"/>
      <w:lvlJc w:val="left"/>
      <w:pPr>
        <w:ind w:left="1724" w:hanging="360"/>
      </w:pPr>
      <w:rPr>
        <w:rFonts w:hint="default" w:ascii="Courier New" w:hAnsi="Courier New" w:cs="Courier New"/>
      </w:rPr>
    </w:lvl>
    <w:lvl w:ilvl="2" w:tplc="0C090005" w:tentative="1">
      <w:start w:val="1"/>
      <w:numFmt w:val="bullet"/>
      <w:lvlText w:val=""/>
      <w:lvlJc w:val="left"/>
      <w:pPr>
        <w:ind w:left="2444" w:hanging="360"/>
      </w:pPr>
      <w:rPr>
        <w:rFonts w:hint="default" w:ascii="Wingdings" w:hAnsi="Wingdings"/>
      </w:rPr>
    </w:lvl>
    <w:lvl w:ilvl="3" w:tplc="0C090001" w:tentative="1">
      <w:start w:val="1"/>
      <w:numFmt w:val="bullet"/>
      <w:lvlText w:val=""/>
      <w:lvlJc w:val="left"/>
      <w:pPr>
        <w:ind w:left="3164" w:hanging="360"/>
      </w:pPr>
      <w:rPr>
        <w:rFonts w:hint="default" w:ascii="Symbol" w:hAnsi="Symbol"/>
      </w:rPr>
    </w:lvl>
    <w:lvl w:ilvl="4" w:tplc="0C090003" w:tentative="1">
      <w:start w:val="1"/>
      <w:numFmt w:val="bullet"/>
      <w:lvlText w:val="o"/>
      <w:lvlJc w:val="left"/>
      <w:pPr>
        <w:ind w:left="3884" w:hanging="360"/>
      </w:pPr>
      <w:rPr>
        <w:rFonts w:hint="default" w:ascii="Courier New" w:hAnsi="Courier New" w:cs="Courier New"/>
      </w:rPr>
    </w:lvl>
    <w:lvl w:ilvl="5" w:tplc="0C090005" w:tentative="1">
      <w:start w:val="1"/>
      <w:numFmt w:val="bullet"/>
      <w:lvlText w:val=""/>
      <w:lvlJc w:val="left"/>
      <w:pPr>
        <w:ind w:left="4604" w:hanging="360"/>
      </w:pPr>
      <w:rPr>
        <w:rFonts w:hint="default" w:ascii="Wingdings" w:hAnsi="Wingdings"/>
      </w:rPr>
    </w:lvl>
    <w:lvl w:ilvl="6" w:tplc="0C090001" w:tentative="1">
      <w:start w:val="1"/>
      <w:numFmt w:val="bullet"/>
      <w:lvlText w:val=""/>
      <w:lvlJc w:val="left"/>
      <w:pPr>
        <w:ind w:left="5324" w:hanging="360"/>
      </w:pPr>
      <w:rPr>
        <w:rFonts w:hint="default" w:ascii="Symbol" w:hAnsi="Symbol"/>
      </w:rPr>
    </w:lvl>
    <w:lvl w:ilvl="7" w:tplc="0C090003" w:tentative="1">
      <w:start w:val="1"/>
      <w:numFmt w:val="bullet"/>
      <w:lvlText w:val="o"/>
      <w:lvlJc w:val="left"/>
      <w:pPr>
        <w:ind w:left="6044" w:hanging="360"/>
      </w:pPr>
      <w:rPr>
        <w:rFonts w:hint="default" w:ascii="Courier New" w:hAnsi="Courier New" w:cs="Courier New"/>
      </w:rPr>
    </w:lvl>
    <w:lvl w:ilvl="8" w:tplc="0C090005" w:tentative="1">
      <w:start w:val="1"/>
      <w:numFmt w:val="bullet"/>
      <w:lvlText w:val=""/>
      <w:lvlJc w:val="left"/>
      <w:pPr>
        <w:ind w:left="6764" w:hanging="360"/>
      </w:pPr>
      <w:rPr>
        <w:rFonts w:hint="default" w:ascii="Wingdings" w:hAnsi="Wingdings"/>
      </w:rPr>
    </w:lvl>
  </w:abstractNum>
  <w:abstractNum w:abstractNumId="15" w15:restartNumberingAfterBreak="0">
    <w:nsid w:val="4354390E"/>
    <w:multiLevelType w:val="hybridMultilevel"/>
    <w:tmpl w:val="221CF9CA"/>
    <w:lvl w:ilvl="0" w:tplc="6556FF00">
      <w:start w:val="1"/>
      <w:numFmt w:val="bullet"/>
      <w:lvlText w:val="•"/>
      <w:lvlJc w:val="left"/>
      <w:pPr>
        <w:tabs>
          <w:tab w:val="num" w:pos="720"/>
        </w:tabs>
        <w:ind w:left="720" w:hanging="360"/>
      </w:pPr>
      <w:rPr>
        <w:rFonts w:hint="default" w:ascii="Calibri" w:hAnsi="Calibri"/>
      </w:rPr>
    </w:lvl>
    <w:lvl w:ilvl="1" w:tplc="B770D50E">
      <w:start w:val="1"/>
      <w:numFmt w:val="bullet"/>
      <w:lvlText w:val="•"/>
      <w:lvlJc w:val="left"/>
      <w:pPr>
        <w:tabs>
          <w:tab w:val="num" w:pos="1440"/>
        </w:tabs>
        <w:ind w:left="1440" w:hanging="360"/>
      </w:pPr>
      <w:rPr>
        <w:rFonts w:hint="default" w:ascii="Calibri" w:hAnsi="Calibri"/>
      </w:rPr>
    </w:lvl>
    <w:lvl w:ilvl="2" w:tplc="D1AC3FE6">
      <w:start w:val="1"/>
      <w:numFmt w:val="bullet"/>
      <w:lvlText w:val=""/>
      <w:lvlJc w:val="left"/>
      <w:pPr>
        <w:tabs>
          <w:tab w:val="num" w:pos="2084"/>
        </w:tabs>
        <w:ind w:left="2084" w:hanging="284"/>
      </w:pPr>
      <w:rPr>
        <w:rFonts w:hint="default" w:ascii="Symbol" w:hAnsi="Symbol"/>
      </w:rPr>
    </w:lvl>
    <w:lvl w:ilvl="3" w:tplc="2E722BD4">
      <w:start w:val="1"/>
      <w:numFmt w:val="bullet"/>
      <w:lvlText w:val="•"/>
      <w:lvlJc w:val="left"/>
      <w:pPr>
        <w:tabs>
          <w:tab w:val="num" w:pos="2880"/>
        </w:tabs>
        <w:ind w:left="2880" w:hanging="360"/>
      </w:pPr>
      <w:rPr>
        <w:rFonts w:hint="default" w:ascii="Calibri" w:hAnsi="Calibri"/>
      </w:rPr>
    </w:lvl>
    <w:lvl w:ilvl="4" w:tplc="CDB2B8BC" w:tentative="1">
      <w:start w:val="1"/>
      <w:numFmt w:val="bullet"/>
      <w:lvlText w:val="•"/>
      <w:lvlJc w:val="left"/>
      <w:pPr>
        <w:tabs>
          <w:tab w:val="num" w:pos="3600"/>
        </w:tabs>
        <w:ind w:left="3600" w:hanging="360"/>
      </w:pPr>
      <w:rPr>
        <w:rFonts w:hint="default" w:ascii="Calibri" w:hAnsi="Calibri"/>
      </w:rPr>
    </w:lvl>
    <w:lvl w:ilvl="5" w:tplc="7D8CFA76" w:tentative="1">
      <w:start w:val="1"/>
      <w:numFmt w:val="bullet"/>
      <w:lvlText w:val="•"/>
      <w:lvlJc w:val="left"/>
      <w:pPr>
        <w:tabs>
          <w:tab w:val="num" w:pos="4320"/>
        </w:tabs>
        <w:ind w:left="4320" w:hanging="360"/>
      </w:pPr>
      <w:rPr>
        <w:rFonts w:hint="default" w:ascii="Calibri" w:hAnsi="Calibri"/>
      </w:rPr>
    </w:lvl>
    <w:lvl w:ilvl="6" w:tplc="349224D0" w:tentative="1">
      <w:start w:val="1"/>
      <w:numFmt w:val="bullet"/>
      <w:lvlText w:val="•"/>
      <w:lvlJc w:val="left"/>
      <w:pPr>
        <w:tabs>
          <w:tab w:val="num" w:pos="5040"/>
        </w:tabs>
        <w:ind w:left="5040" w:hanging="360"/>
      </w:pPr>
      <w:rPr>
        <w:rFonts w:hint="default" w:ascii="Calibri" w:hAnsi="Calibri"/>
      </w:rPr>
    </w:lvl>
    <w:lvl w:ilvl="7" w:tplc="AD2E393C" w:tentative="1">
      <w:start w:val="1"/>
      <w:numFmt w:val="bullet"/>
      <w:lvlText w:val="•"/>
      <w:lvlJc w:val="left"/>
      <w:pPr>
        <w:tabs>
          <w:tab w:val="num" w:pos="5760"/>
        </w:tabs>
        <w:ind w:left="5760" w:hanging="360"/>
      </w:pPr>
      <w:rPr>
        <w:rFonts w:hint="default" w:ascii="Calibri" w:hAnsi="Calibri"/>
      </w:rPr>
    </w:lvl>
    <w:lvl w:ilvl="8" w:tplc="22B27F60" w:tentative="1">
      <w:start w:val="1"/>
      <w:numFmt w:val="bullet"/>
      <w:lvlText w:val="•"/>
      <w:lvlJc w:val="left"/>
      <w:pPr>
        <w:tabs>
          <w:tab w:val="num" w:pos="6480"/>
        </w:tabs>
        <w:ind w:left="6480" w:hanging="360"/>
      </w:pPr>
      <w:rPr>
        <w:rFonts w:hint="default" w:ascii="Calibri" w:hAnsi="Calibri"/>
      </w:rPr>
    </w:lvl>
  </w:abstractNum>
  <w:abstractNum w:abstractNumId="16" w15:restartNumberingAfterBreak="0">
    <w:nsid w:val="4559191E"/>
    <w:multiLevelType w:val="multilevel"/>
    <w:tmpl w:val="92DC7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1E0409D"/>
    <w:multiLevelType w:val="hybridMultilevel"/>
    <w:tmpl w:val="B9020172"/>
    <w:lvl w:ilvl="0" w:tplc="C4020892">
      <w:start w:val="1"/>
      <w:numFmt w:val="bullet"/>
      <w:pStyle w:val="ListNumber3"/>
      <w:lvlText w:val=""/>
      <w:lvlJc w:val="left"/>
      <w:pPr>
        <w:ind w:left="360" w:hanging="360"/>
      </w:pPr>
      <w:rPr>
        <w:rFonts w:hint="default" w:ascii="Wingdings" w:hAnsi="Wingdings"/>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8" w15:restartNumberingAfterBreak="0">
    <w:nsid w:val="54F0531F"/>
    <w:multiLevelType w:val="multilevel"/>
    <w:tmpl w:val="060AF7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559D29CC"/>
    <w:multiLevelType w:val="multilevel"/>
    <w:tmpl w:val="6582C4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CF8287E"/>
    <w:multiLevelType w:val="hybridMultilevel"/>
    <w:tmpl w:val="FE2A36DA"/>
    <w:lvl w:ilvl="0" w:tplc="B6B6120E">
      <w:start w:val="1"/>
      <w:numFmt w:val="bullet"/>
      <w:pStyle w:val="Tablelist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2" w15:restartNumberingAfterBreak="0">
    <w:nsid w:val="7E391716"/>
    <w:multiLevelType w:val="hybridMultilevel"/>
    <w:tmpl w:val="DDBC3032"/>
    <w:lvl w:ilvl="0" w:tplc="F4C86310">
      <w:start w:val="1"/>
      <w:numFmt w:val="bullet"/>
      <w:pStyle w:val="ListBullet2"/>
      <w:lvlText w:val="o"/>
      <w:lvlJc w:val="left"/>
      <w:pPr>
        <w:ind w:left="1004" w:hanging="360"/>
      </w:pPr>
      <w:rPr>
        <w:rFonts w:hint="default" w:ascii="Courier New" w:hAnsi="Courier New" w:cs="Courier New"/>
      </w:rPr>
    </w:lvl>
    <w:lvl w:ilvl="1" w:tplc="0C090003" w:tentative="1">
      <w:start w:val="1"/>
      <w:numFmt w:val="bullet"/>
      <w:lvlText w:val="o"/>
      <w:lvlJc w:val="left"/>
      <w:pPr>
        <w:ind w:left="1724" w:hanging="360"/>
      </w:pPr>
      <w:rPr>
        <w:rFonts w:hint="default" w:ascii="Courier New" w:hAnsi="Courier New" w:cs="Courier New"/>
      </w:rPr>
    </w:lvl>
    <w:lvl w:ilvl="2" w:tplc="0C090005" w:tentative="1">
      <w:start w:val="1"/>
      <w:numFmt w:val="bullet"/>
      <w:lvlText w:val=""/>
      <w:lvlJc w:val="left"/>
      <w:pPr>
        <w:ind w:left="2444" w:hanging="360"/>
      </w:pPr>
      <w:rPr>
        <w:rFonts w:hint="default" w:ascii="Wingdings" w:hAnsi="Wingdings"/>
      </w:rPr>
    </w:lvl>
    <w:lvl w:ilvl="3" w:tplc="0C090001" w:tentative="1">
      <w:start w:val="1"/>
      <w:numFmt w:val="bullet"/>
      <w:lvlText w:val=""/>
      <w:lvlJc w:val="left"/>
      <w:pPr>
        <w:ind w:left="3164" w:hanging="360"/>
      </w:pPr>
      <w:rPr>
        <w:rFonts w:hint="default" w:ascii="Symbol" w:hAnsi="Symbol"/>
      </w:rPr>
    </w:lvl>
    <w:lvl w:ilvl="4" w:tplc="0C090003" w:tentative="1">
      <w:start w:val="1"/>
      <w:numFmt w:val="bullet"/>
      <w:lvlText w:val="o"/>
      <w:lvlJc w:val="left"/>
      <w:pPr>
        <w:ind w:left="3884" w:hanging="360"/>
      </w:pPr>
      <w:rPr>
        <w:rFonts w:hint="default" w:ascii="Courier New" w:hAnsi="Courier New" w:cs="Courier New"/>
      </w:rPr>
    </w:lvl>
    <w:lvl w:ilvl="5" w:tplc="0C090005" w:tentative="1">
      <w:start w:val="1"/>
      <w:numFmt w:val="bullet"/>
      <w:lvlText w:val=""/>
      <w:lvlJc w:val="left"/>
      <w:pPr>
        <w:ind w:left="4604" w:hanging="360"/>
      </w:pPr>
      <w:rPr>
        <w:rFonts w:hint="default" w:ascii="Wingdings" w:hAnsi="Wingdings"/>
      </w:rPr>
    </w:lvl>
    <w:lvl w:ilvl="6" w:tplc="0C090001" w:tentative="1">
      <w:start w:val="1"/>
      <w:numFmt w:val="bullet"/>
      <w:lvlText w:val=""/>
      <w:lvlJc w:val="left"/>
      <w:pPr>
        <w:ind w:left="5324" w:hanging="360"/>
      </w:pPr>
      <w:rPr>
        <w:rFonts w:hint="default" w:ascii="Symbol" w:hAnsi="Symbol"/>
      </w:rPr>
    </w:lvl>
    <w:lvl w:ilvl="7" w:tplc="0C090003" w:tentative="1">
      <w:start w:val="1"/>
      <w:numFmt w:val="bullet"/>
      <w:lvlText w:val="o"/>
      <w:lvlJc w:val="left"/>
      <w:pPr>
        <w:ind w:left="6044" w:hanging="360"/>
      </w:pPr>
      <w:rPr>
        <w:rFonts w:hint="default" w:ascii="Courier New" w:hAnsi="Courier New" w:cs="Courier New"/>
      </w:rPr>
    </w:lvl>
    <w:lvl w:ilvl="8" w:tplc="0C090005" w:tentative="1">
      <w:start w:val="1"/>
      <w:numFmt w:val="bullet"/>
      <w:lvlText w:val=""/>
      <w:lvlJc w:val="left"/>
      <w:pPr>
        <w:ind w:left="6764" w:hanging="360"/>
      </w:pPr>
      <w:rPr>
        <w:rFonts w:hint="default" w:ascii="Wingdings" w:hAnsi="Wingdings"/>
      </w:rPr>
    </w:lvl>
  </w:abstractNum>
  <w:num w:numId="1">
    <w:abstractNumId w:val="7"/>
  </w:num>
  <w:num w:numId="2">
    <w:abstractNumId w:val="17"/>
  </w:num>
  <w:num w:numId="3">
    <w:abstractNumId w:val="21"/>
  </w:num>
  <w:num w:numId="4">
    <w:abstractNumId w:val="8"/>
  </w:num>
  <w:num w:numId="5">
    <w:abstractNumId w:val="8"/>
    <w:lvlOverride w:ilvl="0">
      <w:startOverride w:val="1"/>
    </w:lvlOverride>
  </w:num>
  <w:num w:numId="6">
    <w:abstractNumId w:val="9"/>
  </w:num>
  <w:num w:numId="7">
    <w:abstractNumId w:val="15"/>
  </w:num>
  <w:num w:numId="8">
    <w:abstractNumId w:val="20"/>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2"/>
  </w:num>
  <w:num w:numId="17">
    <w:abstractNumId w:val="10"/>
  </w:num>
  <w:num w:numId="18">
    <w:abstractNumId w:val="12"/>
  </w:num>
  <w:num w:numId="19">
    <w:abstractNumId w:val="14"/>
  </w:num>
  <w:num w:numId="20">
    <w:abstractNumId w:val="16"/>
  </w:num>
  <w:num w:numId="21">
    <w:abstractNumId w:val="18"/>
  </w:num>
  <w:num w:numId="22">
    <w:abstractNumId w:val="13"/>
  </w:num>
  <w:num w:numId="23">
    <w:abstractNumId w:val="11"/>
  </w:num>
  <w:num w:numId="24">
    <w:abstractNumId w:val="1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87"/>
  <w:hideSpellingErrors/>
  <w:hideGrammaticalErrors/>
  <w:attachedTemplate r:id="rId1"/>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trackRevisions w:val="false"/>
  <w:documentProtection w:formatting="1"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18E"/>
    <w:rsid w:val="00003743"/>
    <w:rsid w:val="000047B4"/>
    <w:rsid w:val="00005712"/>
    <w:rsid w:val="00007FD8"/>
    <w:rsid w:val="000117F8"/>
    <w:rsid w:val="0001460F"/>
    <w:rsid w:val="00022629"/>
    <w:rsid w:val="00026139"/>
    <w:rsid w:val="00027601"/>
    <w:rsid w:val="00033321"/>
    <w:rsid w:val="000338E5"/>
    <w:rsid w:val="00033ECC"/>
    <w:rsid w:val="0003422F"/>
    <w:rsid w:val="00046FF0"/>
    <w:rsid w:val="00050176"/>
    <w:rsid w:val="00050342"/>
    <w:rsid w:val="00067456"/>
    <w:rsid w:val="00071506"/>
    <w:rsid w:val="0007154F"/>
    <w:rsid w:val="00076AD6"/>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71C7"/>
    <w:rsid w:val="00161094"/>
    <w:rsid w:val="0017665C"/>
    <w:rsid w:val="00177AD2"/>
    <w:rsid w:val="001815A8"/>
    <w:rsid w:val="001840FA"/>
    <w:rsid w:val="0018564F"/>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B20E6"/>
    <w:rsid w:val="002B42A3"/>
    <w:rsid w:val="002C0734"/>
    <w:rsid w:val="002C0CDD"/>
    <w:rsid w:val="002C38C4"/>
    <w:rsid w:val="002E1A1D"/>
    <w:rsid w:val="002E4081"/>
    <w:rsid w:val="002E5B78"/>
    <w:rsid w:val="002F3AE3"/>
    <w:rsid w:val="0030464B"/>
    <w:rsid w:val="0030786C"/>
    <w:rsid w:val="003100AE"/>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05B3"/>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32E1B"/>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C6BCF"/>
    <w:rsid w:val="004D58BF"/>
    <w:rsid w:val="004E4335"/>
    <w:rsid w:val="004F13EE"/>
    <w:rsid w:val="004F2022"/>
    <w:rsid w:val="004F7C05"/>
    <w:rsid w:val="00501C94"/>
    <w:rsid w:val="00506432"/>
    <w:rsid w:val="0052051D"/>
    <w:rsid w:val="00545EE6"/>
    <w:rsid w:val="005550E7"/>
    <w:rsid w:val="005564FB"/>
    <w:rsid w:val="005572C7"/>
    <w:rsid w:val="005650ED"/>
    <w:rsid w:val="0057518E"/>
    <w:rsid w:val="00575754"/>
    <w:rsid w:val="00581FBA"/>
    <w:rsid w:val="00591E20"/>
    <w:rsid w:val="00595408"/>
    <w:rsid w:val="00595E84"/>
    <w:rsid w:val="005A0C59"/>
    <w:rsid w:val="005A48EB"/>
    <w:rsid w:val="005A6CFB"/>
    <w:rsid w:val="005C5AEB"/>
    <w:rsid w:val="005D75EA"/>
    <w:rsid w:val="005E0A3F"/>
    <w:rsid w:val="005E40AE"/>
    <w:rsid w:val="005E6883"/>
    <w:rsid w:val="005E772F"/>
    <w:rsid w:val="005F4ECA"/>
    <w:rsid w:val="006041BE"/>
    <w:rsid w:val="006043C7"/>
    <w:rsid w:val="006221A5"/>
    <w:rsid w:val="00624B52"/>
    <w:rsid w:val="00630794"/>
    <w:rsid w:val="00631DF4"/>
    <w:rsid w:val="00634175"/>
    <w:rsid w:val="006408AC"/>
    <w:rsid w:val="006511B6"/>
    <w:rsid w:val="00657FF8"/>
    <w:rsid w:val="00670D99"/>
    <w:rsid w:val="00670E2B"/>
    <w:rsid w:val="006734BB"/>
    <w:rsid w:val="0067697A"/>
    <w:rsid w:val="006821EB"/>
    <w:rsid w:val="006B2286"/>
    <w:rsid w:val="006B56BB"/>
    <w:rsid w:val="006C77A8"/>
    <w:rsid w:val="006D4098"/>
    <w:rsid w:val="006D7681"/>
    <w:rsid w:val="006D7B2E"/>
    <w:rsid w:val="006E02EA"/>
    <w:rsid w:val="006E0968"/>
    <w:rsid w:val="006E2AF6"/>
    <w:rsid w:val="00701275"/>
    <w:rsid w:val="00707F56"/>
    <w:rsid w:val="00712CDA"/>
    <w:rsid w:val="00713558"/>
    <w:rsid w:val="00720D08"/>
    <w:rsid w:val="007263B9"/>
    <w:rsid w:val="007334F8"/>
    <w:rsid w:val="007339CD"/>
    <w:rsid w:val="007359D8"/>
    <w:rsid w:val="007362D4"/>
    <w:rsid w:val="0076672A"/>
    <w:rsid w:val="00775E45"/>
    <w:rsid w:val="00776E74"/>
    <w:rsid w:val="00785169"/>
    <w:rsid w:val="007954AB"/>
    <w:rsid w:val="007A14C5"/>
    <w:rsid w:val="007A4A10"/>
    <w:rsid w:val="007B1760"/>
    <w:rsid w:val="007B194E"/>
    <w:rsid w:val="007C1FDC"/>
    <w:rsid w:val="007C6D9C"/>
    <w:rsid w:val="007C7DDB"/>
    <w:rsid w:val="007D2CC7"/>
    <w:rsid w:val="007D673D"/>
    <w:rsid w:val="007E4D09"/>
    <w:rsid w:val="007F2220"/>
    <w:rsid w:val="007F4B3E"/>
    <w:rsid w:val="008127AF"/>
    <w:rsid w:val="00812B46"/>
    <w:rsid w:val="00815700"/>
    <w:rsid w:val="008264EB"/>
    <w:rsid w:val="00826B8F"/>
    <w:rsid w:val="00831E8A"/>
    <w:rsid w:val="00835C76"/>
    <w:rsid w:val="008376E2"/>
    <w:rsid w:val="00843049"/>
    <w:rsid w:val="0085209B"/>
    <w:rsid w:val="00856B66"/>
    <w:rsid w:val="008601AC"/>
    <w:rsid w:val="00861A5F"/>
    <w:rsid w:val="0086254B"/>
    <w:rsid w:val="008644AD"/>
    <w:rsid w:val="00865735"/>
    <w:rsid w:val="00865DDB"/>
    <w:rsid w:val="00867538"/>
    <w:rsid w:val="00873D90"/>
    <w:rsid w:val="00873FC8"/>
    <w:rsid w:val="00884C63"/>
    <w:rsid w:val="00885908"/>
    <w:rsid w:val="008864B7"/>
    <w:rsid w:val="0089677E"/>
    <w:rsid w:val="008A7438"/>
    <w:rsid w:val="008B1334"/>
    <w:rsid w:val="008B18FB"/>
    <w:rsid w:val="008B25C7"/>
    <w:rsid w:val="008C0278"/>
    <w:rsid w:val="008C24E9"/>
    <w:rsid w:val="008D0533"/>
    <w:rsid w:val="008D42CB"/>
    <w:rsid w:val="008D48C9"/>
    <w:rsid w:val="008D6381"/>
    <w:rsid w:val="008D6B57"/>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344DE"/>
    <w:rsid w:val="00945E7F"/>
    <w:rsid w:val="009557C1"/>
    <w:rsid w:val="00960D6E"/>
    <w:rsid w:val="00974B59"/>
    <w:rsid w:val="0098340B"/>
    <w:rsid w:val="00986830"/>
    <w:rsid w:val="009924C3"/>
    <w:rsid w:val="00993102"/>
    <w:rsid w:val="009B1570"/>
    <w:rsid w:val="009C6F10"/>
    <w:rsid w:val="009D148F"/>
    <w:rsid w:val="009D3D70"/>
    <w:rsid w:val="009E0B84"/>
    <w:rsid w:val="009E6F7E"/>
    <w:rsid w:val="009E7A57"/>
    <w:rsid w:val="009F4803"/>
    <w:rsid w:val="009F4F6A"/>
    <w:rsid w:val="00A13EB5"/>
    <w:rsid w:val="00A16E36"/>
    <w:rsid w:val="00A24961"/>
    <w:rsid w:val="00A24B10"/>
    <w:rsid w:val="00A277EF"/>
    <w:rsid w:val="00A30E9B"/>
    <w:rsid w:val="00A363C7"/>
    <w:rsid w:val="00A4512D"/>
    <w:rsid w:val="00A50244"/>
    <w:rsid w:val="00A627D7"/>
    <w:rsid w:val="00A656C7"/>
    <w:rsid w:val="00A705AF"/>
    <w:rsid w:val="00A72454"/>
    <w:rsid w:val="00A77696"/>
    <w:rsid w:val="00A80557"/>
    <w:rsid w:val="00A81D33"/>
    <w:rsid w:val="00A8341C"/>
    <w:rsid w:val="00A930AE"/>
    <w:rsid w:val="00A9567F"/>
    <w:rsid w:val="00AA1A95"/>
    <w:rsid w:val="00AA260F"/>
    <w:rsid w:val="00AA26D0"/>
    <w:rsid w:val="00AB1EE7"/>
    <w:rsid w:val="00AB4B37"/>
    <w:rsid w:val="00AB5762"/>
    <w:rsid w:val="00AC2679"/>
    <w:rsid w:val="00AC4BE4"/>
    <w:rsid w:val="00AD05E6"/>
    <w:rsid w:val="00AD0D3F"/>
    <w:rsid w:val="00AE1D7D"/>
    <w:rsid w:val="00AE2A8B"/>
    <w:rsid w:val="00AE3F64"/>
    <w:rsid w:val="00AF7386"/>
    <w:rsid w:val="00AF7934"/>
    <w:rsid w:val="00B00B81"/>
    <w:rsid w:val="00B0310E"/>
    <w:rsid w:val="00B04580"/>
    <w:rsid w:val="00B04B09"/>
    <w:rsid w:val="00B16A51"/>
    <w:rsid w:val="00B32222"/>
    <w:rsid w:val="00B3618D"/>
    <w:rsid w:val="00B36233"/>
    <w:rsid w:val="00B42851"/>
    <w:rsid w:val="00B45AC7"/>
    <w:rsid w:val="00B5372F"/>
    <w:rsid w:val="00B61129"/>
    <w:rsid w:val="00B67E7F"/>
    <w:rsid w:val="00B839B2"/>
    <w:rsid w:val="00B86E28"/>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4631F"/>
    <w:rsid w:val="00C47CDE"/>
    <w:rsid w:val="00C50E16"/>
    <w:rsid w:val="00C55258"/>
    <w:rsid w:val="00C82EEB"/>
    <w:rsid w:val="00C971DC"/>
    <w:rsid w:val="00CA16B7"/>
    <w:rsid w:val="00CA62AE"/>
    <w:rsid w:val="00CB5B1A"/>
    <w:rsid w:val="00CC220B"/>
    <w:rsid w:val="00CC5C43"/>
    <w:rsid w:val="00CD02AE"/>
    <w:rsid w:val="00CD2A4F"/>
    <w:rsid w:val="00CD407A"/>
    <w:rsid w:val="00CE03CA"/>
    <w:rsid w:val="00CE22F1"/>
    <w:rsid w:val="00CE50F2"/>
    <w:rsid w:val="00CE60AF"/>
    <w:rsid w:val="00CE6502"/>
    <w:rsid w:val="00CF7D3C"/>
    <w:rsid w:val="00D01F09"/>
    <w:rsid w:val="00D147EB"/>
    <w:rsid w:val="00D34667"/>
    <w:rsid w:val="00D401E1"/>
    <w:rsid w:val="00D408B4"/>
    <w:rsid w:val="00D524C8"/>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5B5B"/>
    <w:rsid w:val="00DF7619"/>
    <w:rsid w:val="00DF7652"/>
    <w:rsid w:val="00E042D8"/>
    <w:rsid w:val="00E07EE7"/>
    <w:rsid w:val="00E1103B"/>
    <w:rsid w:val="00E17B44"/>
    <w:rsid w:val="00E20F27"/>
    <w:rsid w:val="00E22443"/>
    <w:rsid w:val="00E27FEA"/>
    <w:rsid w:val="00E4086F"/>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5E9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321DE"/>
    <w:rsid w:val="00F33777"/>
    <w:rsid w:val="00F40648"/>
    <w:rsid w:val="00F42019"/>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F62"/>
    <w:rsid w:val="514EF949"/>
    <w:rsid w:val="6BE699EF"/>
    <w:rsid w:val="6FCE35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E00760E"/>
  <w15:docId w15:val="{8DF78772-5C8A-4704-838F-C0C6DDF4783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iPriority="99" w:semiHidden="1"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uiPriority="99"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uiPriority="99" w:semiHidden="1"/>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rsid w:val="003F5F4D"/>
    <w:rPr>
      <w:rFonts w:ascii="Arial" w:hAnsi="Arial"/>
      <w:sz w:val="22"/>
      <w:szCs w:val="24"/>
      <w:lang w:eastAsia="en-US"/>
    </w:rPr>
  </w:style>
  <w:style w:type="paragraph" w:styleId="Heading1">
    <w:name w:val="heading 1"/>
    <w:basedOn w:val="Normal"/>
    <w:next w:val="Normal"/>
    <w:qFormat/>
    <w:rsid w:val="008376E2"/>
    <w:pPr>
      <w:keepNext/>
      <w:spacing w:before="240" w:after="60"/>
      <w:outlineLvl w:val="0"/>
    </w:pPr>
    <w:rPr>
      <w:rFonts w:cs="Arial"/>
      <w:bCs/>
      <w:color w:val="3F4A75"/>
      <w:kern w:val="28"/>
      <w:sz w:val="36"/>
      <w:szCs w:val="36"/>
    </w:rPr>
  </w:style>
  <w:style w:type="paragraph" w:styleId="Heading2">
    <w:name w:val="heading 2"/>
    <w:next w:val="Paragraphtext"/>
    <w:qFormat/>
    <w:rsid w:val="008376E2"/>
    <w:pPr>
      <w:keepNext/>
      <w:spacing w:before="240" w:after="60"/>
      <w:outlineLvl w:val="1"/>
    </w:pPr>
    <w:rPr>
      <w:rFonts w:ascii="Arial" w:hAnsi="Arial" w:cs="Arial"/>
      <w:bCs/>
      <w:iCs/>
      <w:color w:val="358189"/>
      <w:sz w:val="32"/>
      <w:szCs w:val="28"/>
      <w:lang w:eastAsia="en-US"/>
    </w:rPr>
  </w:style>
  <w:style w:type="paragraph" w:styleId="Heading3">
    <w:name w:val="heading 3"/>
    <w:next w:val="Normal"/>
    <w:qFormat/>
    <w:rsid w:val="00DF7652"/>
    <w:pPr>
      <w:keepNext/>
      <w:spacing w:before="180" w:after="60"/>
      <w:outlineLvl w:val="2"/>
    </w:pPr>
    <w:rPr>
      <w:rFonts w:ascii="Arial" w:hAnsi="Arial" w:cs="Arial"/>
      <w:bCs/>
      <w:color w:val="358189"/>
      <w:sz w:val="24"/>
      <w:szCs w:val="26"/>
      <w:lang w:eastAsia="en-US"/>
    </w:rPr>
  </w:style>
  <w:style w:type="paragraph" w:styleId="Heading4">
    <w:name w:val="heading 4"/>
    <w:basedOn w:val="Normal"/>
    <w:next w:val="Normal"/>
    <w:qFormat/>
    <w:rsid w:val="002C38C4"/>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text" w:customStyle="1">
    <w:name w:val="Paragraph text"/>
    <w:basedOn w:val="Normal"/>
    <w:qFormat/>
    <w:rsid w:val="001571C7"/>
    <w:pPr>
      <w:spacing w:before="120"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3100AE"/>
    <w:pPr>
      <w:numPr>
        <w:ilvl w:val="1"/>
      </w:numPr>
      <w:spacing w:before="120" w:after="60"/>
    </w:pPr>
    <w:rPr>
      <w:rFonts w:ascii="Arial" w:hAnsi="Arial" w:eastAsiaTheme="majorEastAsia" w:cstheme="majorBidi"/>
      <w:iCs/>
      <w:color w:val="000000" w:themeColor="text1"/>
      <w:spacing w:val="15"/>
      <w:sz w:val="40"/>
      <w:szCs w:val="24"/>
      <w:lang w:eastAsia="en-US"/>
    </w:rPr>
  </w:style>
  <w:style w:type="character" w:styleId="SubtitleChar" w:customStyle="1">
    <w:name w:val="Subtitle Char"/>
    <w:basedOn w:val="DefaultParagraphFont"/>
    <w:link w:val="Subtitle"/>
    <w:rsid w:val="003100AE"/>
    <w:rPr>
      <w:rFonts w:ascii="Arial" w:hAnsi="Arial" w:eastAsiaTheme="majorEastAsia" w:cstheme="majorBidi"/>
      <w:iCs/>
      <w:color w:val="000000" w:themeColor="text1"/>
      <w:spacing w:val="15"/>
      <w:sz w:val="40"/>
      <w:szCs w:val="24"/>
      <w:lang w:eastAsia="en-US"/>
    </w:rPr>
  </w:style>
  <w:style w:type="paragraph" w:styleId="Title">
    <w:name w:val="Title"/>
    <w:basedOn w:val="Normal"/>
    <w:next w:val="Paragraphtext"/>
    <w:link w:val="TitleChar"/>
    <w:qFormat/>
    <w:rsid w:val="00EC5E9A"/>
    <w:pPr>
      <w:spacing w:before="480" w:after="120"/>
      <w:contextualSpacing/>
    </w:pPr>
    <w:rPr>
      <w:rFonts w:eastAsiaTheme="majorEastAsia" w:cstheme="majorBidi"/>
      <w:b/>
      <w:kern w:val="28"/>
      <w:sz w:val="48"/>
      <w:szCs w:val="52"/>
    </w:rPr>
  </w:style>
  <w:style w:type="character" w:styleId="TitleChar" w:customStyle="1">
    <w:name w:val="Title Char"/>
    <w:basedOn w:val="DefaultParagraphFont"/>
    <w:link w:val="Title"/>
    <w:rsid w:val="00EC5E9A"/>
    <w:rPr>
      <w:rFonts w:ascii="Arial" w:hAnsi="Arial" w:eastAsiaTheme="majorEastAsia" w:cstheme="majorBidi"/>
      <w:b/>
      <w:kern w:val="28"/>
      <w:sz w:val="48"/>
      <w:szCs w:val="52"/>
      <w:lang w:eastAsia="en-US"/>
    </w:rPr>
  </w:style>
  <w:style w:type="paragraph" w:styleId="Boxheading" w:customStyle="1">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styleId="QuoteChar" w:customStyle="1">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9B1570"/>
    <w:pPr>
      <w:spacing w:before="200" w:after="280"/>
      <w:ind w:right="936"/>
    </w:pPr>
    <w:rPr>
      <w:bCs/>
      <w:iCs/>
      <w:color w:val="358189"/>
      <w:sz w:val="28"/>
    </w:rPr>
  </w:style>
  <w:style w:type="character" w:styleId="IntenseQuoteChar" w:customStyle="1">
    <w:name w:val="Intense Quote Char"/>
    <w:basedOn w:val="DefaultParagraphFont"/>
    <w:link w:val="IntenseQuote"/>
    <w:uiPriority w:val="30"/>
    <w:rsid w:val="009B1570"/>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48593C"/>
    <w:pPr>
      <w:numPr>
        <w:numId w:val="19"/>
      </w:numPr>
    </w:pPr>
  </w:style>
  <w:style w:type="paragraph" w:styleId="ListBullet">
    <w:name w:val="List Bullet"/>
    <w:basedOn w:val="Normal"/>
    <w:qFormat/>
    <w:rsid w:val="0048593C"/>
    <w:pPr>
      <w:numPr>
        <w:numId w:val="17"/>
      </w:numPr>
      <w:spacing w:before="60" w:after="60"/>
    </w:pPr>
    <w:rPr>
      <w:color w:val="000000" w:themeColor="text1"/>
      <w:sz w:val="21"/>
    </w:rPr>
  </w:style>
  <w:style w:type="paragraph" w:styleId="ListParagraph">
    <w:name w:val="List Paragraph"/>
    <w:basedOn w:val="Normal"/>
    <w:uiPriority w:val="34"/>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styleId="ImageTitle" w:customStyle="1">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pPr>
      <w:spacing w:after="120"/>
    </w:pPr>
  </w:style>
  <w:style w:type="character" w:styleId="BodyTextChar" w:customStyle="1">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Columns3">
    <w:name w:val="Table Columns 3"/>
    <w:basedOn w:val="TableNormal"/>
    <w:locked/>
    <w:rsid w:val="003A2E4F"/>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paragraph" w:styleId="TableText" w:customStyle="1">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1">
    <w:name w:val="Table Columns 1"/>
    <w:basedOn w:val="TableNormal"/>
    <w:locked/>
    <w:rsid w:val="007263B9"/>
    <w:rPr>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orful3">
    <w:name w:val="Table Colorful 3"/>
    <w:basedOn w:val="TableNormal"/>
    <w:locked/>
    <w:rsid w:val="004F13EE"/>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lassic4">
    <w:name w:val="Table Classic 4"/>
    <w:basedOn w:val="TableNormal"/>
    <w:locked/>
    <w:rsid w:val="004F13EE"/>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Grid8">
    <w:name w:val="Table Grid 8"/>
    <w:basedOn w:val="TableNormal"/>
    <w:locked/>
    <w:rsid w:val="004F13EE"/>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paragraph" w:styleId="TableTitle" w:customStyle="1">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styleId="HeaderChar" w:customStyle="1">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styleId="FooterChar" w:customStyle="1">
    <w:name w:val="Footer Char"/>
    <w:basedOn w:val="DefaultParagraphFont"/>
    <w:link w:val="Footer"/>
    <w:uiPriority w:val="99"/>
    <w:rsid w:val="00220E5F"/>
    <w:rPr>
      <w:rFonts w:ascii="Arial" w:hAnsi="Arial"/>
      <w:szCs w:val="24"/>
      <w:lang w:eastAsia="en-US"/>
    </w:rPr>
  </w:style>
  <w:style w:type="paragraph" w:styleId="TableHeaderWhite" w:customStyle="1">
    <w:name w:val="Table Header White"/>
    <w:basedOn w:val="Normal"/>
    <w:next w:val="TableText"/>
    <w:qFormat/>
    <w:rsid w:val="00B16A51"/>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paragraph" w:styleId="Tablehead" w:customStyle="1">
    <w:name w:val="Table_head"/>
    <w:basedOn w:val="Normal"/>
    <w:locked/>
    <w:rsid w:val="00912D54"/>
    <w:pPr>
      <w:spacing w:before="60" w:after="60"/>
    </w:pPr>
    <w:rPr>
      <w:rFonts w:cs="Arial"/>
      <w:b/>
      <w:sz w:val="20"/>
    </w:rPr>
  </w:style>
  <w:style w:type="paragraph" w:styleId="FigureTitle" w:customStyle="1">
    <w:name w:val="Figure Title"/>
    <w:basedOn w:val="Normal"/>
    <w:next w:val="Paragraphtext"/>
    <w:qFormat/>
    <w:rsid w:val="00DA3D1D"/>
    <w:pPr>
      <w:spacing w:before="120" w:after="120"/>
    </w:pPr>
    <w:rPr>
      <w:rFonts w:cs="Arial"/>
      <w:b/>
      <w:bCs/>
      <w:iCs/>
      <w:color w:val="000000" w:themeColor="text1"/>
      <w:szCs w:val="22"/>
    </w:rPr>
  </w:style>
  <w:style w:type="paragraph" w:styleId="Headertext" w:customStyle="1">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styleId="PHNGreyTable" w:customStyle="1">
    <w:name w:val="PHN Grey Table"/>
    <w:basedOn w:val="TableNormal"/>
    <w:uiPriority w:val="99"/>
    <w:rsid w:val="00404F8B"/>
    <w:pPr>
      <w:spacing w:before="120" w:after="120"/>
    </w:pPr>
    <w:rPr>
      <w:rFonts w:ascii="Arial" w:hAnsi="Arial"/>
      <w:sz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blStylePr w:type="firstRow">
      <w:rPr>
        <w:rFonts w:ascii="Arial" w:hAnsi="Arial"/>
        <w:b/>
        <w:color w:val="FFFFFF" w:themeColor="background1"/>
        <w:sz w:val="22"/>
      </w:rPr>
      <w:tblPr/>
      <w:tcPr>
        <w:shd w:val="clear" w:color="auto" w:fill="32373A"/>
      </w:tcPr>
    </w:tblStylePr>
  </w:style>
  <w:style w:type="paragraph" w:styleId="Tablelistbullet" w:customStyle="1">
    <w:name w:val="Table list bullet"/>
    <w:basedOn w:val="TableText"/>
    <w:qFormat/>
    <w:rsid w:val="00110478"/>
    <w:pPr>
      <w:numPr>
        <w:numId w:val="3"/>
      </w:numPr>
      <w:ind w:left="284" w:hanging="284"/>
    </w:pPr>
    <w:rPr>
      <w:szCs w:val="20"/>
    </w:rPr>
  </w:style>
  <w:style w:type="paragraph" w:styleId="Tablelistnumber" w:customStyle="1">
    <w:name w:val="Table list number"/>
    <w:basedOn w:val="TableText"/>
    <w:qFormat/>
    <w:rsid w:val="00DD2061"/>
    <w:pPr>
      <w:numPr>
        <w:numId w:val="4"/>
      </w:numPr>
    </w:pPr>
    <w:rPr>
      <w:bCs/>
      <w14:numSpacing w14:val="proportional"/>
    </w:rPr>
  </w:style>
  <w:style w:type="paragraph" w:styleId="TableHeader" w:customStyle="1">
    <w:name w:val="Table Header"/>
    <w:basedOn w:val="Normal"/>
    <w:next w:val="TableText"/>
    <w:qFormat/>
    <w:rsid w:val="00B16A51"/>
    <w:pPr>
      <w:spacing w:before="80" w:after="80"/>
    </w:pPr>
    <w:rPr>
      <w:rFonts w:eastAsia="Cambria"/>
      <w:b/>
      <w:color w:val="000000" w:themeColor="text1"/>
      <w:szCs w:val="22"/>
      <w:lang w:val="en-US"/>
    </w:rPr>
  </w:style>
  <w:style w:type="paragraph" w:styleId="SectionHeading" w:customStyle="1">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styleId="FootnoteTextChar" w:customStyle="1">
    <w:name w:val="Footnote Text Char"/>
    <w:basedOn w:val="DefaultParagraphFont"/>
    <w:link w:val="FootnoteText"/>
    <w:rsid w:val="00A24961"/>
    <w:rPr>
      <w:rFonts w:ascii="Arial" w:hAnsi="Arial"/>
      <w:lang w:eastAsia="en-US"/>
    </w:rPr>
  </w:style>
  <w:style w:type="paragraph" w:styleId="VisionBox" w:customStyle="1">
    <w:name w:val="VisionBox"/>
    <w:basedOn w:val="Normal"/>
    <w:qFormat/>
    <w:rsid w:val="00BB5860"/>
    <w:pPr>
      <w:pBdr>
        <w:top w:val="single" w:color="358189" w:sz="4" w:space="15"/>
        <w:bottom w:val="single" w:color="358189" w:sz="4" w:space="10"/>
      </w:pBdr>
      <w:spacing w:before="240" w:after="240" w:line="340" w:lineRule="exact"/>
    </w:pPr>
    <w:rPr>
      <w:rFonts w:eastAsiaTheme="minorHAnsi"/>
      <w:color w:val="358189"/>
    </w:rPr>
  </w:style>
  <w:style w:type="paragraph" w:styleId="Boxtype" w:customStyle="1">
    <w:name w:val="Box type"/>
    <w:next w:val="Normal"/>
    <w:qFormat/>
    <w:rsid w:val="00177AD2"/>
    <w:pPr>
      <w:pBdr>
        <w:top w:val="single" w:color="358189" w:sz="6" w:space="20"/>
        <w:left w:val="single" w:color="358189" w:sz="6" w:space="10"/>
        <w:bottom w:val="single" w:color="358189" w:sz="6" w:space="10"/>
        <w:right w:val="single" w:color="358189" w:sz="6" w:space="10"/>
      </w:pBdr>
      <w:spacing w:after="240" w:line="260" w:lineRule="auto"/>
      <w:ind w:left="227" w:right="227"/>
    </w:pPr>
    <w:rPr>
      <w:rFonts w:ascii="Arial" w:hAnsi="Arial" w:cs="Arial"/>
      <w:color w:val="000000" w:themeColor="text1"/>
      <w:sz w:val="21"/>
      <w:szCs w:val="24"/>
      <w:lang w:val="en" w:eastAsia="en-US"/>
    </w:rPr>
  </w:style>
  <w:style w:type="character" w:styleId="BoldAllCaps" w:customStyle="1">
    <w:name w:val="Bold All Caps"/>
    <w:basedOn w:val="DefaultParagraphFont"/>
    <w:uiPriority w:val="1"/>
    <w:qFormat/>
    <w:rsid w:val="00177AD2"/>
    <w:rPr>
      <w:b/>
      <w:caps/>
      <w:smallCaps w:val="0"/>
      <w:color w:val="358189"/>
      <w:bdr w:val="none" w:color="auto" w:sz="0" w:space="0"/>
    </w:rPr>
  </w:style>
  <w:style w:type="paragraph" w:styleId="PolicyStatement" w:customStyle="1">
    <w:name w:val="PolicyStatement"/>
    <w:basedOn w:val="Normal"/>
    <w:qFormat/>
    <w:rsid w:val="00177AD2"/>
    <w:pPr>
      <w:pBdr>
        <w:top w:val="single" w:color="F2F2F2" w:themeColor="background1" w:themeShade="F2" w:sz="4" w:space="20"/>
        <w:left w:val="single" w:color="F2F2F2" w:themeColor="background1" w:themeShade="F2" w:sz="4" w:space="10"/>
        <w:bottom w:val="single" w:color="F2F2F2" w:themeColor="background1" w:themeShade="F2" w:sz="4" w:space="10"/>
        <w:right w:val="single" w:color="F2F2F2" w:themeColor="background1" w:themeShade="F2" w:sz="4" w:space="10"/>
      </w:pBdr>
      <w:shd w:val="clear" w:color="auto" w:fill="F2F2F2" w:themeFill="background1" w:themeFillShade="F2"/>
      <w:spacing w:before="240" w:line="260" w:lineRule="auto"/>
      <w:ind w:left="227" w:right="227"/>
    </w:pPr>
    <w:rPr>
      <w:sz w:val="21"/>
    </w:rPr>
  </w:style>
  <w:style w:type="paragraph" w:styleId="IntroPara" w:customStyle="1">
    <w:name w:val="Intro Para"/>
    <w:basedOn w:val="Title"/>
    <w:qFormat/>
    <w:rsid w:val="00EC5E9A"/>
    <w:pPr>
      <w:spacing w:after="240" w:line="360" w:lineRule="auto"/>
    </w:pPr>
    <w:rPr>
      <w:b w:val="0"/>
      <w:color w:val="000000" w:themeColor="text1"/>
      <w:sz w:val="28"/>
    </w:rPr>
  </w:style>
  <w:style w:type="paragraph" w:styleId="Intropara0" w:customStyle="1">
    <w:name w:val="Intro para"/>
    <w:basedOn w:val="VisionBox"/>
    <w:rsid w:val="008376E2"/>
    <w:pPr>
      <w:pBdr>
        <w:top w:val="none" w:color="auto" w:sz="0" w:space="0"/>
        <w:bottom w:val="none" w:color="auto" w:sz="0" w:space="0"/>
      </w:pBdr>
      <w:spacing w:before="480" w:line="400" w:lineRule="exact"/>
    </w:pPr>
    <w:rPr>
      <w:sz w:val="28"/>
    </w:rPr>
  </w:style>
  <w:style w:type="table" w:styleId="DepartmentofHealthtable" w:customStyle="1">
    <w:name w:val="Department of Health table"/>
    <w:basedOn w:val="TableNormal"/>
    <w:uiPriority w:val="99"/>
    <w:rsid w:val="009040E9"/>
    <w:rPr>
      <w:rFonts w:ascii="Arial" w:hAnsi="Arial"/>
      <w:color w:val="000000" w:themeColor="text1"/>
      <w:sz w:val="21"/>
    </w:rPr>
    <w:tblPr>
      <w:tblStyleRowBandSize w:val="1"/>
      <w:tblBorders>
        <w:top w:val="single" w:color="auto" w:sz="4" w:space="0"/>
        <w:bottom w:val="single" w:color="auto" w:sz="4" w:space="0"/>
        <w:insideH w:val="single" w:color="auto" w:sz="4" w:space="0"/>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styleId="Tabletitle0" w:customStyle="1">
    <w:name w:val="Table title"/>
    <w:basedOn w:val="Normal"/>
    <w:rsid w:val="009040E9"/>
    <w:pPr>
      <w:spacing w:before="120" w:after="120"/>
    </w:pPr>
    <w:rPr>
      <w:b/>
      <w:bCs/>
      <w:color w:val="000000" w:themeColor="text1"/>
      <w:szCs w:val="20"/>
    </w:rPr>
  </w:style>
  <w:style w:type="paragraph" w:styleId="Tableheader0" w:customStyle="1">
    <w:name w:val="Table header"/>
    <w:basedOn w:val="Normal"/>
    <w:rsid w:val="009040E9"/>
    <w:pPr>
      <w:spacing w:before="80" w:after="80"/>
    </w:pPr>
    <w:rPr>
      <w:b/>
      <w:bCs/>
      <w:color w:val="FFFFFF" w:themeColor="background1"/>
      <w:szCs w:val="20"/>
    </w:rPr>
  </w:style>
  <w:style w:type="paragraph" w:styleId="Tabletextleft" w:customStyle="1">
    <w:name w:val="Table text left"/>
    <w:basedOn w:val="Normal"/>
    <w:rsid w:val="009040E9"/>
    <w:pPr>
      <w:spacing w:before="60" w:after="60"/>
    </w:pPr>
    <w:rPr>
      <w:color w:val="000000" w:themeColor="text1"/>
      <w:sz w:val="21"/>
      <w:szCs w:val="20"/>
    </w:rPr>
  </w:style>
  <w:style w:type="paragraph" w:styleId="TabletextRight" w:customStyle="1">
    <w:name w:val="Table text Right"/>
    <w:basedOn w:val="Tabletextleft"/>
    <w:rsid w:val="009040E9"/>
    <w:pPr>
      <w:jc w:val="right"/>
    </w:pPr>
  </w:style>
  <w:style w:type="paragraph" w:styleId="Tabletextright0" w:customStyle="1">
    <w:name w:val="Table text right"/>
    <w:basedOn w:val="Tabletextleft"/>
    <w:rsid w:val="00D01F09"/>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82431536">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94965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glossaryDocument" Target="glossary/document.xml" Id="R19d0a4958c494d77"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entral.health\dfsuserenv\Users\User_01\ARNOMA\Documents\Laboratory%20Case%20Definitions\Templates%20and%20Instructions\PHLN%20laboratory%20case%20definition%20template%20v2.dotx"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4d65301c-259a-4030-b8eb-188fb731c54d}"/>
      </w:docPartPr>
      <w:docPartBody>
        <w:p w14:paraId="3DF94737">
          <w:r>
            <w:rPr>
              <w:rStyle w:val="PlaceholderText"/>
            </w:rPr>
            <w:t/>
          </w:r>
        </w:p>
      </w:docPartBody>
    </w:docPart>
  </w:docParts>
</w:glossaryDocument>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tatus xmlns="dcf7b372-aaaa-46d8-9da6-ade9aab953df" xsi:nil="true"/>
    <URLpattern xmlns="dcf7b372-aaaa-46d8-9da6-ade9aab953df" xsi:nil="true"/>
    <Reviewer xmlns="dcf7b372-aaaa-46d8-9da6-ade9aab953df" xsi:nil="true"/>
    <_Flow_SignoffStatus xmlns="dcf7b372-aaaa-46d8-9da6-ade9aab953df" xsi:nil="true"/>
    <Subtypes xmlns="dcf7b372-aaaa-46d8-9da6-ade9aab953df" xsi:nil="true"/>
    <TaxCatchAll xmlns="236487dd-ec90-4f99-8970-1318e5f29791" xsi:nil="true"/>
    <_DCDateModified xmlns="http://schemas.microsoft.com/sharepoint/v3/fields" xsi:nil="true"/>
    <lcf76f155ced4ddcb4097134ff3c332f xmlns="dcf7b372-aaaa-46d8-9da6-ade9aab953df">
      <Terms xmlns="http://schemas.microsoft.com/office/infopath/2007/PartnerControls"/>
    </lcf76f155ced4ddcb4097134ff3c332f>
    <Modified_x0020_by0 xmlns="dcf7b372-aaaa-46d8-9da6-ade9aab953df">
      <UserInfo>
        <DisplayName/>
        <AccountId xsi:nil="true"/>
        <AccountType/>
      </UserInfo>
    </Modified_x0020_by0>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35" ma:contentTypeDescription="Create a new document." ma:contentTypeScope="" ma:versionID="daa902607d3782abc6b39da5c7377c17">
  <xsd:schema xmlns:xsd="http://www.w3.org/2001/XMLSchema" xmlns:xs="http://www.w3.org/2001/XMLSchema" xmlns:p="http://schemas.microsoft.com/office/2006/metadata/properties" xmlns:ns2="dcf7b372-aaaa-46d8-9da6-ade9aab953df" xmlns:ns3="236487dd-ec90-4f99-8970-1318e5f29791" xmlns:ns4="http://schemas.microsoft.com/sharepoint/v3/fields" targetNamespace="http://schemas.microsoft.com/office/2006/metadata/properties" ma:root="true" ma:fieldsID="6786407172af4bf6979b7e88cf4c144d" ns2:_="" ns3:_="" ns4:_="">
    <xsd:import namespace="dcf7b372-aaaa-46d8-9da6-ade9aab953df"/>
    <xsd:import namespace="236487dd-ec90-4f99-8970-1318e5f29791"/>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_Flow_SignoffStatus" minOccurs="0"/>
                <xsd:element ref="ns2:Reviewer" minOccurs="0"/>
                <xsd:element ref="ns2:Status" minOccurs="0"/>
                <xsd:element ref="ns2:Subtypes" minOccurs="0"/>
                <xsd:element ref="ns2:URLpattern" minOccurs="0"/>
                <xsd:element ref="ns3:TaxCatchAll" minOccurs="0"/>
                <xsd:element ref="ns2:lcf76f155ced4ddcb4097134ff3c332f" minOccurs="0"/>
                <xsd:element ref="ns2:Modified_x0020_by0" minOccurs="0"/>
                <xsd:element ref="ns4:_DCDate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Reviewer" ma:index="21" nillable="true" ma:displayName="Use case" ma:description="Who is reviewing the content to ensure it is current, accurate and relevant?" ma:format="Dropdown" ma:internalName="Reviewer">
      <xsd:simpleType>
        <xsd:restriction base="dms:Text">
          <xsd:maxLength value="255"/>
        </xsd:restriction>
      </xsd:simpleType>
    </xsd:element>
    <xsd:element name="Status" ma:index="22" nillable="true" ma:displayName="Status" ma:format="Dropdown" ma:internalName="Status">
      <xsd:simpleType>
        <xsd:restriction base="dms:Choice">
          <xsd:enumeration value="Not started"/>
          <xsd:enumeration value="Drafting"/>
          <xsd:enumeration value="Ready for review"/>
          <xsd:enumeration value="Reviewed"/>
          <xsd:enumeration value="Ready for approval"/>
          <xsd:enumeration value="Blocked"/>
          <xsd:enumeration value="Published"/>
          <xsd:enumeration value="Archived"/>
        </xsd:restriction>
      </xsd:simpleType>
    </xsd:element>
    <xsd:element name="Subtypes" ma:index="23" nillable="true" ma:displayName="Subtypes" ma:description="Subtypes available to the template&#10;" ma:format="Dropdown" ma:internalName="Subtypes">
      <xsd:simpleType>
        <xsd:restriction base="dms:Note">
          <xsd:maxLength value="255"/>
        </xsd:restriction>
      </xsd:simpleType>
    </xsd:element>
    <xsd:element name="URLpattern" ma:index="24" nillable="true" ma:displayName="URL pattern" ma:description="The URL pattern to be followed for all objects of this type" ma:format="Dropdown" ma:internalName="URLpattern">
      <xsd:simpleType>
        <xsd:restriction base="dms:Text">
          <xsd:maxLength value="255"/>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odified_x0020_by0" ma:index="28" nillable="true" ma:displayName="Modified by" ma:list="UserInfo" ma:SharePointGroup="0" ma:internalName="Modified_x0020_by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c229c01-420d-4fb4-94f6-2b9ca1e2fb91}" ma:internalName="TaxCatchAll" ma:showField="CatchAllData" ma:web="236487dd-ec90-4f99-8970-1318e5f297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29"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3348D2-979D-4E78-A679-D0D231230214}">
  <ds:schemaRefs>
    <ds:schemaRef ds:uri="http://schemas.openxmlformats.org/officeDocument/2006/bibliography"/>
  </ds:schemaRefs>
</ds:datastoreItem>
</file>

<file path=customXml/itemProps2.xml><?xml version="1.0" encoding="utf-8"?>
<ds:datastoreItem xmlns:ds="http://schemas.openxmlformats.org/officeDocument/2006/customXml" ds:itemID="{D20C6417-ADBB-487B-9091-DC3471F064B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236487dd-ec90-4f99-8970-1318e5f29791"/>
    <ds:schemaRef ds:uri="dcf7b372-aaaa-46d8-9da6-ade9aab953df"/>
    <ds:schemaRef ds:uri="http://www.w3.org/XML/1998/namespace"/>
    <ds:schemaRef ds:uri="http://purl.org/dc/dcmitype/"/>
  </ds:schemaRefs>
</ds:datastoreItem>
</file>

<file path=customXml/itemProps3.xml><?xml version="1.0" encoding="utf-8"?>
<ds:datastoreItem xmlns:ds="http://schemas.openxmlformats.org/officeDocument/2006/customXml" ds:itemID="{A30A2C04-84C5-44C6-BDE4-14479573F311}"/>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PHLN laboratory case definition template v2.dotx</ap:Template>
  <ap:Application>Microsoft Word for the web</ap:Application>
  <ap:DocSecurity>0</ap:DocSecurity>
  <ap:ScaleCrop>false</ap:ScaleCrop>
  <ap:Company>Dept Health And Ageing</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Hepatitis A (Hepatitis A virus) – Laboratory case definition</dc:title>
  <dc:creator>Public Health Laboratories Network</dc:creator>
  <cp:keywords>Communicable diseases</cp:keywords>
  <cp:lastModifiedBy>WATSON, Michel</cp:lastModifiedBy>
  <cp:revision>4</cp:revision>
  <dcterms:created xsi:type="dcterms:W3CDTF">2022-06-05T23:27:00Z</dcterms:created>
  <dcterms:modified xsi:type="dcterms:W3CDTF">2022-06-09T23:41:11Z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0x010100BA217076F0871349BCBE5A6EC7EEC4B3</vt:lpwstr>
  </property>
  <property fmtid="{D5CDD505-2E9C-101B-9397-08002B2CF9AE}" pid="5" name="MediaServiceImageTags">
    <vt:lpwstr/>
  </property>
</Properties>
</file>