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35C6E988" w:rsidRDefault="007E3DE7" w14:paraId="307C8037" w14:textId="6924C1CB">
      <w:pPr>
        <w:pStyle w:val="Subtitle"/>
        <w:numPr>
          <w:numId w:val="0"/>
        </w:numPr>
        <w:rPr>
          <w:b w:val="1"/>
          <w:bCs w:val="1"/>
          <w:i w:val="1"/>
          <w:iCs w:val="1"/>
          <w:color w:val="auto"/>
          <w:spacing w:val="0"/>
          <w:kern w:val="28"/>
          <w:sz w:val="48"/>
          <w:szCs w:val="48"/>
        </w:rPr>
      </w:pPr>
      <w:r w:rsidRPr="35C6E988" w:rsidR="35C6E988">
        <w:rPr>
          <w:b w:val="1"/>
          <w:bCs w:val="1"/>
          <w:i w:val="1"/>
          <w:iCs w:val="1"/>
          <w:color w:val="auto"/>
          <w:sz w:val="48"/>
          <w:szCs w:val="48"/>
        </w:rPr>
        <w:t xml:space="preserve">Hendra </w:t>
      </w:r>
      <w:r w:rsidRPr="35C6E988" w:rsidR="007E3DE7">
        <w:rPr>
          <w:b w:val="1"/>
          <w:bCs w:val="1"/>
          <w:i w:val="1"/>
          <w:iCs w:val="1"/>
          <w:color w:val="auto"/>
          <w:spacing w:val="0"/>
          <w:kern w:val="28"/>
          <w:sz w:val="48"/>
          <w:szCs w:val="48"/>
        </w:rPr>
        <w:t>v</w:t>
      </w:r>
      <w:r w:rsidRPr="35C6E988" w:rsidR="007E3DE7">
        <w:rPr>
          <w:b w:val="1"/>
          <w:bCs w:val="1"/>
          <w:i w:val="1"/>
          <w:iCs w:val="1"/>
          <w:color w:val="auto"/>
          <w:sz w:val="48"/>
          <w:szCs w:val="48"/>
        </w:rPr>
        <w:t>irus</w:t>
      </w:r>
    </w:p>
    <w:p w:rsidR="00177AD2" w:rsidP="009E0B84" w:rsidRDefault="009E0B84" w14:paraId="334F9C77" w14:textId="77777777">
      <w:pPr>
        <w:pStyle w:val="Subtitle"/>
      </w:pPr>
      <w:r>
        <w:t>Laboratory case definition</w:t>
      </w:r>
    </w:p>
    <w:p w:rsidR="009E0B84" w:rsidP="009E0B84" w:rsidRDefault="009E0B84" w14:paraId="10325CF2" w14:textId="428F4180">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proofErr w:type="spellStart"/>
      <w:r w:rsidRPr="35C6E988" w:rsidR="000E1EFA">
        <w:rPr>
          <w:i w:val="1"/>
          <w:iCs w:val="1"/>
        </w:rPr>
        <w:t>h</w:t>
      </w:r>
      <w:r w:rsidRPr="35C6E988" w:rsidR="007E3DE7">
        <w:rPr>
          <w:i w:val="1"/>
          <w:iCs w:val="1"/>
        </w:rPr>
        <w:t>endra</w:t>
      </w:r>
      <w:proofErr w:type="spellEnd"/>
      <w:r w:rsidRPr="35C6E988" w:rsidR="007E3DE7">
        <w:rPr>
          <w:i w:val="1"/>
          <w:iCs w:val="1"/>
        </w:rPr>
        <w:t xml:space="preserve"> virus</w:t>
      </w:r>
      <w:r w:rsidR="007E3DE7">
        <w:rPr/>
        <w:t>.</w:t>
      </w:r>
    </w:p>
    <w:p w:rsidRPr="009E0B84" w:rsidR="009E0B84" w:rsidP="009E0B84" w:rsidRDefault="009E0B84" w14:paraId="4BE8AF46" w14:textId="77777777">
      <w:pPr>
        <w:spacing w:after="120"/>
      </w:pPr>
      <w:r w:rsidRPr="009E0B84">
        <w:rPr>
          <w:b/>
          <w:bCs/>
        </w:rPr>
        <w:t>Authorisation:</w:t>
      </w:r>
      <w:r w:rsidRPr="009E0B84">
        <w:t> </w:t>
      </w:r>
      <w:r w:rsidRPr="009E0B84">
        <w:tab/>
      </w:r>
      <w:r w:rsidRPr="009E0B84">
        <w:t>PHLN</w:t>
      </w:r>
    </w:p>
    <w:p w:rsidR="007E3DE7" w:rsidP="009E0B84" w:rsidRDefault="009E0B84" w14:paraId="2083601E" w14:textId="77777777">
      <w:pPr>
        <w:pBdr>
          <w:bottom w:val="single" w:color="auto" w:sz="6" w:space="1"/>
        </w:pBdr>
      </w:pPr>
      <w:r w:rsidRPr="009E0B84">
        <w:rPr>
          <w:b/>
          <w:bCs/>
        </w:rPr>
        <w:t>Consensus date:</w:t>
      </w:r>
      <w:r w:rsidRPr="009E0B84">
        <w:t> </w:t>
      </w:r>
      <w:r w:rsidRPr="009E0B84">
        <w:tab/>
      </w:r>
      <w:r w:rsidRPr="007E3DE7" w:rsidR="007E3DE7">
        <w:t>28 June 2010</w:t>
      </w:r>
    </w:p>
    <w:p w:rsidR="007E3DE7" w:rsidP="009E0B84" w:rsidRDefault="007E3DE7" w14:paraId="7188FD9B" w14:textId="6B0B196A">
      <w:pPr>
        <w:pBdr>
          <w:bottom w:val="single" w:color="auto" w:sz="6" w:space="1"/>
        </w:pBdr>
      </w:pPr>
    </w:p>
    <w:p w:rsidRPr="007E3DE7" w:rsidR="007E3DE7" w:rsidP="007E3DE7" w:rsidRDefault="007E3DE7" w14:paraId="492EBFD0" w14:textId="77777777">
      <w:pPr>
        <w:shd w:val="clear" w:color="auto" w:fill="FFFFFF"/>
        <w:spacing w:before="240" w:after="120"/>
        <w:outlineLvl w:val="1"/>
        <w:rPr>
          <w:rFonts w:ascii="Open Sans" w:hAnsi="Open Sans" w:cs="Open Sans"/>
          <w:color w:val="000000"/>
          <w:sz w:val="36"/>
          <w:szCs w:val="36"/>
          <w:lang w:eastAsia="en-AU"/>
        </w:rPr>
      </w:pPr>
      <w:r w:rsidRPr="007E3DE7">
        <w:rPr>
          <w:rFonts w:ascii="Open Sans" w:hAnsi="Open Sans" w:cs="Open Sans"/>
          <w:color w:val="000000"/>
          <w:sz w:val="36"/>
          <w:szCs w:val="36"/>
          <w:lang w:eastAsia="en-AU"/>
        </w:rPr>
        <w:t>1 PHLN Summary Laboratory Definition</w:t>
      </w:r>
    </w:p>
    <w:p w:rsidRPr="007E3DE7" w:rsidR="007E3DE7" w:rsidP="007E3DE7" w:rsidRDefault="007E3DE7" w14:paraId="2F760A30" w14:textId="77777777">
      <w:pPr>
        <w:shd w:val="clear" w:color="auto" w:fill="FFFFFF"/>
        <w:spacing w:before="240" w:after="120" w:line="276" w:lineRule="auto"/>
        <w:outlineLvl w:val="2"/>
        <w:rPr>
          <w:rFonts w:ascii="Open Sans" w:hAnsi="Open Sans" w:cs="Open Sans"/>
          <w:color w:val="000000"/>
          <w:sz w:val="27"/>
          <w:szCs w:val="27"/>
          <w:lang w:eastAsia="en-AU"/>
        </w:rPr>
      </w:pPr>
      <w:r w:rsidRPr="007E3DE7">
        <w:rPr>
          <w:rFonts w:ascii="Open Sans" w:hAnsi="Open Sans" w:cs="Open Sans"/>
          <w:color w:val="000000"/>
          <w:sz w:val="27"/>
          <w:szCs w:val="27"/>
          <w:lang w:eastAsia="en-AU"/>
        </w:rPr>
        <w:t>1.1 Condition:</w:t>
      </w:r>
    </w:p>
    <w:p w:rsidR="007E3DE7" w:rsidP="007E3DE7" w:rsidRDefault="007E3DE7" w14:paraId="4696368E" w14:textId="23DAF264">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Hendra virus</w:t>
      </w:r>
    </w:p>
    <w:p w:rsidRPr="007E3DE7" w:rsidR="007E3DE7" w:rsidP="007E3DE7" w:rsidRDefault="007E3DE7" w14:paraId="21815DEF"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1.1.1 Definitive Criteria</w:t>
      </w:r>
    </w:p>
    <w:p w:rsidRPr="007E3DE7" w:rsidR="007E3DE7" w:rsidP="35C6E988" w:rsidRDefault="007E3DE7" w14:paraId="0BB7CA85"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35C6E988" w:rsidR="007E3DE7">
        <w:rPr>
          <w:rFonts w:ascii="Helvetica" w:hAnsi="Helvetica" w:cs="Helvetica"/>
          <w:color w:val="222222"/>
          <w:sz w:val="20"/>
          <w:szCs w:val="20"/>
          <w:lang w:eastAsia="en-AU"/>
        </w:rPr>
        <w:t xml:space="preserve">Isolation of </w:t>
      </w:r>
      <w:r w:rsidRPr="35C6E988" w:rsidR="007E3DE7">
        <w:rPr>
          <w:rFonts w:ascii="Helvetica" w:hAnsi="Helvetica" w:cs="Helvetica"/>
          <w:i w:val="1"/>
          <w:iCs w:val="1"/>
          <w:color w:val="222222"/>
          <w:sz w:val="20"/>
          <w:szCs w:val="20"/>
          <w:lang w:eastAsia="en-AU"/>
        </w:rPr>
        <w:t>Hendra virus</w:t>
      </w:r>
      <w:r w:rsidRPr="35C6E988" w:rsidR="007E3DE7">
        <w:rPr>
          <w:rFonts w:ascii="Helvetica" w:hAnsi="Helvetica" w:cs="Helvetica"/>
          <w:color w:val="222222"/>
          <w:sz w:val="20"/>
          <w:szCs w:val="20"/>
          <w:lang w:eastAsia="en-AU"/>
        </w:rPr>
        <w:t xml:space="preserve"> from clinical material (requires PC4 laboratory)</w:t>
      </w:r>
    </w:p>
    <w:p w:rsidRPr="007E3DE7" w:rsidR="007E3DE7" w:rsidP="35C6E988" w:rsidRDefault="007E3DE7" w14:paraId="24E0F722"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35C6E988" w:rsidR="007E3DE7">
        <w:rPr>
          <w:rFonts w:ascii="Helvetica" w:hAnsi="Helvetica" w:cs="Helvetica"/>
          <w:color w:val="222222"/>
          <w:sz w:val="20"/>
          <w:szCs w:val="20"/>
          <w:lang w:eastAsia="en-AU"/>
        </w:rPr>
        <w:t>Detection of</w:t>
      </w:r>
      <w:r w:rsidRPr="35C6E988" w:rsidR="007E3DE7">
        <w:rPr>
          <w:rFonts w:ascii="Helvetica" w:hAnsi="Helvetica" w:cs="Helvetica"/>
          <w:i w:val="1"/>
          <w:iCs w:val="1"/>
          <w:color w:val="222222"/>
          <w:sz w:val="20"/>
          <w:szCs w:val="20"/>
          <w:lang w:eastAsia="en-AU"/>
        </w:rPr>
        <w:t xml:space="preserve"> Hendra virus</w:t>
      </w:r>
      <w:r w:rsidRPr="35C6E988" w:rsidR="007E3DE7">
        <w:rPr>
          <w:rFonts w:ascii="Helvetica" w:hAnsi="Helvetica" w:cs="Helvetica"/>
          <w:color w:val="222222"/>
          <w:sz w:val="20"/>
          <w:szCs w:val="20"/>
          <w:lang w:eastAsia="en-AU"/>
        </w:rPr>
        <w:t xml:space="preserve"> RNA in clinical material by nucleic acid testing (NAT)</w:t>
      </w:r>
    </w:p>
    <w:p w:rsidRPr="007E3DE7" w:rsidR="007E3DE7" w:rsidP="35C6E988" w:rsidRDefault="007E3DE7" w14:paraId="65758A46"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35C6E988" w:rsidR="007E3DE7">
        <w:rPr>
          <w:rFonts w:ascii="Helvetica" w:hAnsi="Helvetica" w:cs="Helvetica"/>
          <w:color w:val="222222"/>
          <w:sz w:val="20"/>
          <w:szCs w:val="20"/>
          <w:lang w:eastAsia="en-AU"/>
        </w:rPr>
        <w:t xml:space="preserve">Detection of seroconversion or four-fold or greater rise in </w:t>
      </w:r>
      <w:r w:rsidRPr="35C6E988" w:rsidR="007E3DE7">
        <w:rPr>
          <w:rFonts w:ascii="Helvetica" w:hAnsi="Helvetica" w:cs="Helvetica"/>
          <w:i w:val="1"/>
          <w:iCs w:val="1"/>
          <w:color w:val="222222"/>
          <w:sz w:val="20"/>
          <w:szCs w:val="20"/>
          <w:lang w:eastAsia="en-AU"/>
        </w:rPr>
        <w:t>Hendra virus</w:t>
      </w:r>
      <w:r w:rsidRPr="35C6E988" w:rsidR="007E3DE7">
        <w:rPr>
          <w:rFonts w:ascii="Helvetica" w:hAnsi="Helvetica" w:cs="Helvetica"/>
          <w:color w:val="222222"/>
          <w:sz w:val="20"/>
          <w:szCs w:val="20"/>
          <w:lang w:eastAsia="en-AU"/>
        </w:rPr>
        <w:t>-specific IgM or IgG titres</w:t>
      </w:r>
    </w:p>
    <w:p w:rsidRPr="007E3DE7" w:rsidR="007E3DE7" w:rsidP="007E3DE7" w:rsidRDefault="007E3DE7" w14:paraId="69467EBC" w14:textId="77777777">
      <w:pPr>
        <w:shd w:val="clear" w:color="auto" w:fill="FFFFFF"/>
        <w:spacing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1.1.2 Suggestive Criteria</w:t>
      </w:r>
    </w:p>
    <w:p w:rsidRPr="007E3DE7" w:rsidR="007E3DE7" w:rsidP="007E3DE7" w:rsidRDefault="007E3DE7" w14:paraId="5078F44C"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7E3DE7">
        <w:rPr>
          <w:rFonts w:ascii="Helvetica" w:hAnsi="Helvetica" w:cs="Helvetica"/>
          <w:color w:val="222222"/>
          <w:sz w:val="20"/>
          <w:szCs w:val="20"/>
          <w:lang w:eastAsia="en-AU"/>
        </w:rPr>
        <w:t>Detection of Hendra virus-specific IgM</w:t>
      </w:r>
    </w:p>
    <w:p w:rsidRPr="007E3DE7" w:rsidR="007E3DE7" w:rsidP="007E3DE7" w:rsidRDefault="007E3DE7" w14:paraId="4B40E711" w14:textId="77777777">
      <w:pPr>
        <w:shd w:val="clear" w:color="auto" w:fill="FFFFFF"/>
        <w:spacing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1.1.3 Special Considerations</w:t>
      </w:r>
    </w:p>
    <w:p w:rsidRPr="007E3DE7" w:rsidR="007E3DE7" w:rsidP="35C6E988" w:rsidRDefault="007E3DE7" w14:paraId="13ED60C1" w14:textId="77777777" w14:noSpellErr="1">
      <w:pPr>
        <w:numPr>
          <w:ilvl w:val="0"/>
          <w:numId w:val="22"/>
        </w:numPr>
        <w:shd w:val="clear" w:color="auto" w:fill="FFFFFF" w:themeFill="background1"/>
        <w:spacing w:after="90" w:line="276" w:lineRule="auto"/>
        <w:rPr>
          <w:rFonts w:ascii="Helvetica" w:hAnsi="Helvetica" w:cs="Helvetica"/>
          <w:color w:val="222222"/>
          <w:sz w:val="20"/>
          <w:szCs w:val="20"/>
          <w:lang w:eastAsia="en-AU"/>
        </w:rPr>
      </w:pPr>
      <w:r w:rsidRPr="35C6E988" w:rsidR="007E3DE7">
        <w:rPr>
          <w:rFonts w:ascii="Helvetica" w:hAnsi="Helvetica" w:cs="Helvetica"/>
          <w:color w:val="222222"/>
          <w:sz w:val="20"/>
          <w:szCs w:val="20"/>
          <w:lang w:eastAsia="en-AU"/>
        </w:rPr>
        <w:t xml:space="preserve">Isolation of </w:t>
      </w:r>
      <w:r w:rsidRPr="35C6E988" w:rsidR="007E3DE7">
        <w:rPr>
          <w:rFonts w:ascii="Helvetica" w:hAnsi="Helvetica" w:cs="Helvetica"/>
          <w:i w:val="1"/>
          <w:iCs w:val="1"/>
          <w:color w:val="222222"/>
          <w:sz w:val="20"/>
          <w:szCs w:val="20"/>
          <w:lang w:eastAsia="en-AU"/>
        </w:rPr>
        <w:t>Hendra virus</w:t>
      </w:r>
      <w:r w:rsidRPr="35C6E988" w:rsidR="007E3DE7">
        <w:rPr>
          <w:rFonts w:ascii="Helvetica" w:hAnsi="Helvetica" w:cs="Helvetica"/>
          <w:color w:val="222222"/>
          <w:sz w:val="20"/>
          <w:szCs w:val="20"/>
          <w:lang w:eastAsia="en-AU"/>
        </w:rPr>
        <w:t xml:space="preserve"> should only be performed in a PC4 laboratory</w:t>
      </w:r>
    </w:p>
    <w:p w:rsidRPr="007E3DE7" w:rsidR="007E3DE7" w:rsidP="007E3DE7" w:rsidRDefault="007E3DE7" w14:paraId="14A57CF8"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7E3DE7">
        <w:rPr>
          <w:rFonts w:ascii="Helvetica" w:hAnsi="Helvetica" w:cs="Helvetica"/>
          <w:color w:val="222222"/>
          <w:sz w:val="20"/>
          <w:szCs w:val="20"/>
          <w:lang w:eastAsia="en-AU"/>
        </w:rPr>
        <w:t xml:space="preserve">Hendra virus antibody detection should be confirmed by at least one alternative method </w:t>
      </w:r>
      <w:proofErr w:type="gramStart"/>
      <w:r w:rsidRPr="007E3DE7">
        <w:rPr>
          <w:rFonts w:ascii="Helvetica" w:hAnsi="Helvetica" w:cs="Helvetica"/>
          <w:color w:val="222222"/>
          <w:sz w:val="20"/>
          <w:szCs w:val="20"/>
          <w:lang w:eastAsia="en-AU"/>
        </w:rPr>
        <w:t>e.g.</w:t>
      </w:r>
      <w:proofErr w:type="gramEnd"/>
      <w:r w:rsidRPr="007E3DE7">
        <w:rPr>
          <w:rFonts w:ascii="Helvetica" w:hAnsi="Helvetica" w:cs="Helvetica"/>
          <w:color w:val="222222"/>
          <w:sz w:val="20"/>
          <w:szCs w:val="20"/>
          <w:lang w:eastAsia="en-AU"/>
        </w:rPr>
        <w:t xml:space="preserve"> ELISA, microsphere immunoassay (MIA), IFA techniques or serum neutralisation (SNT).</w:t>
      </w:r>
    </w:p>
    <w:p w:rsidRPr="007E3DE7" w:rsidR="007E3DE7" w:rsidP="007E3DE7" w:rsidRDefault="007E3DE7" w14:paraId="4C00BB42" w14:textId="77777777">
      <w:pPr>
        <w:shd w:val="clear" w:color="auto" w:fill="FFFFFF"/>
        <w:spacing w:before="240" w:after="120" w:line="276" w:lineRule="auto"/>
        <w:outlineLvl w:val="1"/>
        <w:rPr>
          <w:rFonts w:ascii="Open Sans" w:hAnsi="Open Sans" w:cs="Open Sans"/>
          <w:color w:val="000000"/>
          <w:sz w:val="36"/>
          <w:szCs w:val="36"/>
          <w:lang w:eastAsia="en-AU"/>
        </w:rPr>
      </w:pPr>
      <w:r w:rsidRPr="007E3DE7">
        <w:rPr>
          <w:rFonts w:ascii="Open Sans" w:hAnsi="Open Sans" w:cs="Open Sans"/>
          <w:color w:val="000000"/>
          <w:sz w:val="36"/>
          <w:szCs w:val="36"/>
          <w:lang w:eastAsia="en-AU"/>
        </w:rPr>
        <w:t>2 Introduction</w:t>
      </w:r>
    </w:p>
    <w:p w:rsidR="007E3DE7" w:rsidP="007E3DE7" w:rsidRDefault="007E3DE7" w14:paraId="1C452ABF" w14:textId="6EE50A88">
      <w:pPr>
        <w:spacing w:line="276" w:lineRule="auto"/>
        <w:rPr>
          <w:rFonts w:ascii="Helvetica" w:hAnsi="Helvetica" w:cs="Helvetica"/>
          <w:color w:val="222222"/>
          <w:sz w:val="20"/>
          <w:szCs w:val="20"/>
          <w:lang w:eastAsia="en-AU"/>
        </w:rPr>
      </w:pPr>
      <w:r w:rsidRPr="35C6E988" w:rsidR="007E3DE7">
        <w:rPr>
          <w:rFonts w:ascii="Helvetica" w:hAnsi="Helvetica" w:cs="Helvetica"/>
          <w:i w:val="1"/>
          <w:iCs w:val="1"/>
          <w:color w:val="222222"/>
          <w:sz w:val="20"/>
          <w:szCs w:val="20"/>
          <w:shd w:val="clear" w:color="auto" w:fill="FFFFFF"/>
          <w:lang w:eastAsia="en-AU"/>
        </w:rPr>
        <w:t>Hendra virus (</w:t>
      </w:r>
      <w:proofErr w:type="spellStart"/>
      <w:r w:rsidRPr="007E3DE7" w:rsidR="007E3DE7">
        <w:rPr>
          <w:rFonts w:ascii="Helvetica" w:hAnsi="Helvetica" w:cs="Helvetica"/>
          <w:color w:val="222222"/>
          <w:sz w:val="20"/>
          <w:szCs w:val="20"/>
          <w:shd w:val="clear" w:color="auto" w:fill="FFFFFF"/>
          <w:lang w:eastAsia="en-AU"/>
        </w:rPr>
        <w:t>HeV</w:t>
      </w:r>
      <w:proofErr w:type="spellEnd"/>
      <w:r w:rsidRPr="007E3DE7" w:rsidR="007E3DE7">
        <w:rPr>
          <w:rFonts w:ascii="Helvetica" w:hAnsi="Helvetica" w:cs="Helvetica"/>
          <w:color w:val="222222"/>
          <w:sz w:val="20"/>
          <w:szCs w:val="20"/>
          <w:shd w:val="clear" w:color="auto" w:fill="FFFFFF"/>
          <w:lang w:eastAsia="en-AU"/>
        </w:rPr>
        <w:t xml:space="preserve">) is the prototype virus, along with </w:t>
      </w:r>
      <w:proofErr w:type="spellStart"/>
      <w:r w:rsidRPr="007E3DE7" w:rsidR="007E3DE7">
        <w:rPr>
          <w:rFonts w:ascii="Helvetica" w:hAnsi="Helvetica" w:cs="Helvetica"/>
          <w:color w:val="222222"/>
          <w:sz w:val="20"/>
          <w:szCs w:val="20"/>
          <w:shd w:val="clear" w:color="auto" w:fill="FFFFFF"/>
          <w:lang w:eastAsia="en-AU"/>
        </w:rPr>
        <w:t>Nipah</w:t>
      </w:r>
      <w:proofErr w:type="spellEnd"/>
      <w:r w:rsidRPr="007E3DE7" w:rsidR="007E3DE7">
        <w:rPr>
          <w:rFonts w:ascii="Helvetica" w:hAnsi="Helvetica" w:cs="Helvetica"/>
          <w:color w:val="222222"/>
          <w:sz w:val="20"/>
          <w:szCs w:val="20"/>
          <w:shd w:val="clear" w:color="auto" w:fill="FFFFFF"/>
          <w:lang w:eastAsia="en-AU"/>
        </w:rPr>
        <w:t xml:space="preserve"> virus (</w:t>
      </w:r>
      <w:proofErr w:type="spellStart"/>
      <w:r w:rsidRPr="007E3DE7" w:rsidR="007E3DE7">
        <w:rPr>
          <w:rFonts w:ascii="Helvetica" w:hAnsi="Helvetica" w:cs="Helvetica"/>
          <w:color w:val="222222"/>
          <w:sz w:val="20"/>
          <w:szCs w:val="20"/>
          <w:shd w:val="clear" w:color="auto" w:fill="FFFFFF"/>
          <w:lang w:eastAsia="en-AU"/>
        </w:rPr>
        <w:t>NiV</w:t>
      </w:r>
      <w:proofErr w:type="spellEnd"/>
      <w:r w:rsidRPr="007E3DE7" w:rsidR="007E3DE7">
        <w:rPr>
          <w:rFonts w:ascii="Helvetica" w:hAnsi="Helvetica" w:cs="Helvetica"/>
          <w:color w:val="222222"/>
          <w:sz w:val="20"/>
          <w:szCs w:val="20"/>
          <w:shd w:val="clear" w:color="auto" w:fill="FFFFFF"/>
          <w:lang w:eastAsia="en-AU"/>
        </w:rPr>
        <w:t xml:space="preserve">), of the genus </w:t>
      </w:r>
      <w:proofErr w:type="spellStart"/>
      <w:r w:rsidRPr="35C6E988" w:rsidR="007E3DE7">
        <w:rPr>
          <w:rFonts w:ascii="Helvetica" w:hAnsi="Helvetica" w:cs="Helvetica"/>
          <w:i w:val="1"/>
          <w:iCs w:val="1"/>
          <w:color w:val="222222"/>
          <w:sz w:val="20"/>
          <w:szCs w:val="20"/>
          <w:shd w:val="clear" w:color="auto" w:fill="FFFFFF"/>
          <w:lang w:eastAsia="en-AU"/>
        </w:rPr>
        <w:t>Henipavirus</w:t>
      </w:r>
      <w:proofErr w:type="spellEnd"/>
      <w:r w:rsidRPr="35C6E988" w:rsidR="007E3DE7">
        <w:rPr>
          <w:rFonts w:ascii="Helvetica" w:hAnsi="Helvetica" w:cs="Helvetica"/>
          <w:i w:val="1"/>
          <w:iCs w:val="1"/>
          <w:color w:val="222222"/>
          <w:sz w:val="20"/>
          <w:szCs w:val="20"/>
          <w:shd w:val="clear" w:color="auto" w:fill="FFFFFF"/>
          <w:lang w:eastAsia="en-AU"/>
        </w:rPr>
        <w:t xml:space="preserve"> </w:t>
      </w:r>
      <w:r w:rsidRPr="007E3DE7" w:rsidR="007E3DE7">
        <w:rPr>
          <w:rFonts w:ascii="Helvetica" w:hAnsi="Helvetica" w:cs="Helvetica"/>
          <w:color w:val="222222"/>
          <w:sz w:val="20"/>
          <w:szCs w:val="20"/>
          <w:shd w:val="clear" w:color="auto" w:fill="FFFFFF"/>
          <w:lang w:eastAsia="en-AU"/>
        </w:rPr>
        <w:t xml:space="preserve">in the </w:t>
      </w:r>
      <w:proofErr w:type="spellStart"/>
      <w:r w:rsidRPr="35C6E988" w:rsidR="007E3DE7">
        <w:rPr>
          <w:rFonts w:ascii="Helvetica" w:hAnsi="Helvetica" w:cs="Helvetica"/>
          <w:i w:val="1"/>
          <w:iCs w:val="1"/>
          <w:color w:val="222222"/>
          <w:sz w:val="20"/>
          <w:szCs w:val="20"/>
          <w:shd w:val="clear" w:color="auto" w:fill="FFFFFF"/>
          <w:lang w:eastAsia="en-AU"/>
        </w:rPr>
        <w:t>Paramyxoviridae</w:t>
      </w:r>
      <w:proofErr w:type="spellEnd"/>
      <w:r w:rsidRPr="35C6E988" w:rsidR="007E3DE7">
        <w:rPr>
          <w:rFonts w:ascii="Helvetica" w:hAnsi="Helvetica" w:cs="Helvetica"/>
          <w:i w:val="1"/>
          <w:iCs w:val="1"/>
          <w:color w:val="222222"/>
          <w:sz w:val="20"/>
          <w:szCs w:val="20"/>
          <w:shd w:val="clear" w:color="auto" w:fill="FFFFFF"/>
          <w:lang w:eastAsia="en-AU"/>
        </w:rPr>
        <w:t xml:space="preserve"> </w:t>
      </w:r>
      <w:r w:rsidRPr="007E3DE7" w:rsidR="007E3DE7">
        <w:rPr>
          <w:rFonts w:ascii="Helvetica" w:hAnsi="Helvetica" w:cs="Helvetica"/>
          <w:color w:val="222222"/>
          <w:sz w:val="20"/>
          <w:szCs w:val="20"/>
          <w:shd w:val="clear" w:color="auto" w:fill="FFFFFF"/>
          <w:lang w:eastAsia="en-AU"/>
        </w:rPr>
        <w:t xml:space="preserve">family. It was originally named equine </w:t>
      </w:r>
      <w:r w:rsidRPr="35C6E988" w:rsidR="007E3DE7">
        <w:rPr>
          <w:rFonts w:ascii="Helvetica" w:hAnsi="Helvetica" w:cs="Helvetica"/>
          <w:i w:val="1"/>
          <w:iCs w:val="1"/>
          <w:color w:val="222222"/>
          <w:sz w:val="20"/>
          <w:szCs w:val="20"/>
          <w:shd w:val="clear" w:color="auto" w:fill="FFFFFF"/>
          <w:lang w:eastAsia="en-AU"/>
        </w:rPr>
        <w:t xml:space="preserve">morbillivirus</w:t>
      </w:r>
      <w:r w:rsidRPr="007E3DE7" w:rsidR="007E3DE7">
        <w:rPr>
          <w:rFonts w:ascii="Helvetica" w:hAnsi="Helvetica" w:cs="Helvetica"/>
          <w:color w:val="222222"/>
          <w:sz w:val="20"/>
          <w:szCs w:val="20"/>
          <w:shd w:val="clear" w:color="auto" w:fill="FFFFFF"/>
          <w:lang w:eastAsia="en-AU"/>
        </w:rPr>
        <w:t xml:space="preserve">, but subsequently renamed </w:t>
      </w:r>
      <w:proofErr w:type="spellStart"/>
      <w:r w:rsidRPr="007E3DE7" w:rsidR="007E3DE7">
        <w:rPr>
          <w:rFonts w:ascii="Helvetica" w:hAnsi="Helvetica" w:cs="Helvetica"/>
          <w:color w:val="222222"/>
          <w:sz w:val="20"/>
          <w:szCs w:val="20"/>
          <w:shd w:val="clear" w:color="auto" w:fill="FFFFFF"/>
          <w:lang w:eastAsia="en-AU"/>
        </w:rPr>
        <w:t>HeV</w:t>
      </w:r>
      <w:proofErr w:type="spellEnd"/>
      <w:r w:rsidRPr="007E3DE7" w:rsidR="007E3DE7">
        <w:rPr>
          <w:rFonts w:ascii="Helvetica" w:hAnsi="Helvetica" w:cs="Helvetica"/>
          <w:color w:val="222222"/>
          <w:sz w:val="20"/>
          <w:szCs w:val="20"/>
          <w:shd w:val="clear" w:color="auto" w:fill="FFFFFF"/>
          <w:lang w:eastAsia="en-AU"/>
        </w:rPr>
        <w:t xml:space="preserve"> following genetic analysis which determined it to be distinct from other paramyxoviruses. It is named after the Brisbane suburb of Hendra where the initial outbreak was recognised in 1994 (1,2).</w:t>
      </w:r>
    </w:p>
    <w:p w:rsidR="007E3DE7" w:rsidP="007E3DE7" w:rsidRDefault="007E3DE7" w14:paraId="63D203C2" w14:textId="77777777">
      <w:pPr>
        <w:spacing w:line="276" w:lineRule="auto"/>
        <w:rPr>
          <w:rFonts w:ascii="Helvetica" w:hAnsi="Helvetica" w:cs="Helvetica"/>
          <w:color w:val="222222"/>
          <w:sz w:val="20"/>
          <w:szCs w:val="20"/>
          <w:lang w:eastAsia="en-AU"/>
        </w:rPr>
      </w:pPr>
    </w:p>
    <w:p w:rsidR="007E3DE7" w:rsidP="007E3DE7" w:rsidRDefault="007E3DE7" w14:paraId="7AFD5324"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lastRenderedPageBreak/>
        <w:t xml:space="preserve">As with other paramyxoviruses,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is a </w:t>
      </w:r>
      <w:proofErr w:type="spellStart"/>
      <w:r w:rsidRPr="007E3DE7">
        <w:rPr>
          <w:rFonts w:ascii="Helvetica" w:hAnsi="Helvetica" w:cs="Helvetica"/>
          <w:color w:val="222222"/>
          <w:sz w:val="20"/>
          <w:szCs w:val="20"/>
          <w:shd w:val="clear" w:color="auto" w:fill="FFFFFF"/>
          <w:lang w:eastAsia="en-AU"/>
        </w:rPr>
        <w:t>nonsegmented</w:t>
      </w:r>
      <w:proofErr w:type="spellEnd"/>
      <w:r w:rsidRPr="007E3DE7">
        <w:rPr>
          <w:rFonts w:ascii="Helvetica" w:hAnsi="Helvetica" w:cs="Helvetica"/>
          <w:color w:val="222222"/>
          <w:sz w:val="20"/>
          <w:szCs w:val="20"/>
          <w:shd w:val="clear" w:color="auto" w:fill="FFFFFF"/>
          <w:lang w:eastAsia="en-AU"/>
        </w:rPr>
        <w:t xml:space="preserve">, negative-stranded RNA virus composed of helical nucleocapsids enclosed within an envelope to form roughly spherical, pleomorphic virus particles.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has one of the larger genomes among the paramyxoviruses, with 18,324 nucleotides. Six transcriptional units encode six structural proteins, (from the 3’ end) nucleocapsid protein (N) phosphoprotein (P), matrix protein (M), fusion protein (F), glycoprotein (G), and polymerase (L). The F and G glycoproteins are important for viral attachment and entry (3). The host cell receptor for the G glycoprotein is ephrin B2/B3, which is ubiquitously distributed throughout the arteriolar endothelial cells, neurones, and certain other cells of most animal species. Such a ubiquitous distribution explains both the very wide species susceptibility to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and the pathophysiology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infection-induced disease (4).</w:t>
      </w:r>
    </w:p>
    <w:p w:rsidR="007E3DE7" w:rsidP="007E3DE7" w:rsidRDefault="007E3DE7" w14:paraId="1A53482A" w14:textId="77777777">
      <w:pPr>
        <w:spacing w:line="276" w:lineRule="auto"/>
        <w:rPr>
          <w:rFonts w:ascii="Helvetica" w:hAnsi="Helvetica" w:cs="Helvetica"/>
          <w:color w:val="222222"/>
          <w:sz w:val="20"/>
          <w:szCs w:val="20"/>
          <w:lang w:eastAsia="en-AU"/>
        </w:rPr>
      </w:pPr>
    </w:p>
    <w:p w:rsidR="007E3DE7" w:rsidP="007E3DE7" w:rsidRDefault="007E3DE7" w14:paraId="636B8A8E"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The epidemiology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involves periodic “</w:t>
      </w:r>
      <w:proofErr w:type="spellStart"/>
      <w:r w:rsidRPr="007E3DE7">
        <w:rPr>
          <w:rFonts w:ascii="Helvetica" w:hAnsi="Helvetica" w:cs="Helvetica"/>
          <w:color w:val="222222"/>
          <w:sz w:val="20"/>
          <w:szCs w:val="20"/>
          <w:shd w:val="clear" w:color="auto" w:fill="FFFFFF"/>
          <w:lang w:eastAsia="en-AU"/>
        </w:rPr>
        <w:t>spillover</w:t>
      </w:r>
      <w:proofErr w:type="spellEnd"/>
      <w:r w:rsidRPr="007E3DE7">
        <w:rPr>
          <w:rFonts w:ascii="Helvetica" w:hAnsi="Helvetica" w:cs="Helvetica"/>
          <w:color w:val="222222"/>
          <w:sz w:val="20"/>
          <w:szCs w:val="20"/>
          <w:shd w:val="clear" w:color="auto" w:fill="FFFFFF"/>
          <w:lang w:eastAsia="en-AU"/>
        </w:rPr>
        <w:t xml:space="preserve">” events from its natural host (fruit bats – </w:t>
      </w:r>
      <w:proofErr w:type="spellStart"/>
      <w:r w:rsidRPr="007E3DE7">
        <w:rPr>
          <w:rFonts w:ascii="Helvetica" w:hAnsi="Helvetica" w:cs="Helvetica"/>
          <w:color w:val="222222"/>
          <w:sz w:val="20"/>
          <w:szCs w:val="20"/>
          <w:shd w:val="clear" w:color="auto" w:fill="FFFFFF"/>
          <w:lang w:eastAsia="en-AU"/>
        </w:rPr>
        <w:t>Pteropus</w:t>
      </w:r>
      <w:proofErr w:type="spellEnd"/>
      <w:r w:rsidRPr="007E3DE7">
        <w:rPr>
          <w:rFonts w:ascii="Helvetica" w:hAnsi="Helvetica" w:cs="Helvetica"/>
          <w:color w:val="222222"/>
          <w:sz w:val="20"/>
          <w:szCs w:val="20"/>
          <w:shd w:val="clear" w:color="auto" w:fill="FFFFFF"/>
          <w:lang w:eastAsia="en-AU"/>
        </w:rPr>
        <w:t xml:space="preserve"> spp., among which the seroprevalence is between 20-50%) to horses and then from horses to humans. In total (to October 2009), there have been 13 recognised “</w:t>
      </w:r>
      <w:proofErr w:type="spellStart"/>
      <w:r w:rsidRPr="007E3DE7">
        <w:rPr>
          <w:rFonts w:ascii="Helvetica" w:hAnsi="Helvetica" w:cs="Helvetica"/>
          <w:color w:val="222222"/>
          <w:sz w:val="20"/>
          <w:szCs w:val="20"/>
          <w:shd w:val="clear" w:color="auto" w:fill="FFFFFF"/>
          <w:lang w:eastAsia="en-AU"/>
        </w:rPr>
        <w:t>spillover</w:t>
      </w:r>
      <w:proofErr w:type="spellEnd"/>
      <w:r w:rsidRPr="007E3DE7">
        <w:rPr>
          <w:rFonts w:ascii="Helvetica" w:hAnsi="Helvetica" w:cs="Helvetica"/>
          <w:color w:val="222222"/>
          <w:sz w:val="20"/>
          <w:szCs w:val="20"/>
          <w:shd w:val="clear" w:color="auto" w:fill="FFFFFF"/>
          <w:lang w:eastAsia="en-AU"/>
        </w:rPr>
        <w:t>” events, involving 43 equine and seven human infections. All “</w:t>
      </w:r>
      <w:proofErr w:type="spellStart"/>
      <w:r w:rsidRPr="007E3DE7">
        <w:rPr>
          <w:rFonts w:ascii="Helvetica" w:hAnsi="Helvetica" w:cs="Helvetica"/>
          <w:color w:val="222222"/>
          <w:sz w:val="20"/>
          <w:szCs w:val="20"/>
          <w:shd w:val="clear" w:color="auto" w:fill="FFFFFF"/>
          <w:lang w:eastAsia="en-AU"/>
        </w:rPr>
        <w:t>spillover</w:t>
      </w:r>
      <w:proofErr w:type="spellEnd"/>
      <w:r w:rsidRPr="007E3DE7">
        <w:rPr>
          <w:rFonts w:ascii="Helvetica" w:hAnsi="Helvetica" w:cs="Helvetica"/>
          <w:color w:val="222222"/>
          <w:sz w:val="20"/>
          <w:szCs w:val="20"/>
          <w:shd w:val="clear" w:color="auto" w:fill="FFFFFF"/>
          <w:lang w:eastAsia="en-AU"/>
        </w:rPr>
        <w:t xml:space="preserve">” events have occurred in Queensland and northern New South Wales. Transmission from fruit bats to horses likely involves contamination of pastures or feed with infected fruit bat fluids or tissues, such as gestational products, urine, or saliva. Horse-to-horse transmission appears relatively inefficient but has occurred within stabled environments. Horse-to-human transmission also appears inefficient and has occurred in seven instances – on each occasion involving heavy exposure to infected horse secretions, </w:t>
      </w:r>
      <w:proofErr w:type="gramStart"/>
      <w:r w:rsidRPr="007E3DE7">
        <w:rPr>
          <w:rFonts w:ascii="Helvetica" w:hAnsi="Helvetica" w:cs="Helvetica"/>
          <w:color w:val="222222"/>
          <w:sz w:val="20"/>
          <w:szCs w:val="20"/>
          <w:shd w:val="clear" w:color="auto" w:fill="FFFFFF"/>
          <w:lang w:eastAsia="en-AU"/>
        </w:rPr>
        <w:t>tissues</w:t>
      </w:r>
      <w:proofErr w:type="gramEnd"/>
      <w:r w:rsidRPr="007E3DE7">
        <w:rPr>
          <w:rFonts w:ascii="Helvetica" w:hAnsi="Helvetica" w:cs="Helvetica"/>
          <w:color w:val="222222"/>
          <w:sz w:val="20"/>
          <w:szCs w:val="20"/>
          <w:shd w:val="clear" w:color="auto" w:fill="FFFFFF"/>
          <w:lang w:eastAsia="en-AU"/>
        </w:rPr>
        <w:t xml:space="preserve"> or body fluids. There has been no evidence of bat-to-human transmission despite extensive surveillance of people with occupational or recreational exposure to flying foxes (1,5,6). There have been no cases of human-to-human transmission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although this is likely to have occurred with </w:t>
      </w:r>
      <w:proofErr w:type="spellStart"/>
      <w:r w:rsidRPr="007E3DE7">
        <w:rPr>
          <w:rFonts w:ascii="Helvetica" w:hAnsi="Helvetica" w:cs="Helvetica"/>
          <w:color w:val="222222"/>
          <w:sz w:val="20"/>
          <w:szCs w:val="20"/>
          <w:shd w:val="clear" w:color="auto" w:fill="FFFFFF"/>
          <w:lang w:eastAsia="en-AU"/>
        </w:rPr>
        <w:t>NiV</w:t>
      </w:r>
      <w:proofErr w:type="spellEnd"/>
      <w:r w:rsidRPr="007E3DE7">
        <w:rPr>
          <w:rFonts w:ascii="Helvetica" w:hAnsi="Helvetica" w:cs="Helvetica"/>
          <w:color w:val="222222"/>
          <w:sz w:val="20"/>
          <w:szCs w:val="20"/>
          <w:shd w:val="clear" w:color="auto" w:fill="FFFFFF"/>
          <w:lang w:eastAsia="en-AU"/>
        </w:rPr>
        <w:t>.</w:t>
      </w:r>
    </w:p>
    <w:p w:rsidR="007E3DE7" w:rsidP="007E3DE7" w:rsidRDefault="007E3DE7" w14:paraId="3E1FF92F" w14:textId="77777777">
      <w:pPr>
        <w:spacing w:line="276" w:lineRule="auto"/>
        <w:rPr>
          <w:rFonts w:ascii="Helvetica" w:hAnsi="Helvetica" w:cs="Helvetica"/>
          <w:color w:val="222222"/>
          <w:sz w:val="20"/>
          <w:szCs w:val="20"/>
          <w:lang w:eastAsia="en-AU"/>
        </w:rPr>
      </w:pPr>
    </w:p>
    <w:p w:rsidR="007E3DE7" w:rsidP="007E3DE7" w:rsidRDefault="007E3DE7" w14:paraId="2FAF5ACE" w14:textId="77777777">
      <w:pPr>
        <w:spacing w:line="276" w:lineRule="auto"/>
        <w:rPr>
          <w:rFonts w:ascii="Helvetica" w:hAnsi="Helvetica" w:cs="Helvetica"/>
          <w:color w:val="222222"/>
          <w:sz w:val="20"/>
          <w:szCs w:val="20"/>
          <w:lang w:eastAsia="en-AU"/>
        </w:rPr>
      </w:pP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in humans has caused a variety of manifestations: two patients have experienced self-limited influenza-like illnesses, one fatal acute pneumonitis and multiorgan failure, three acute encephalitis (two fatal), and one relapsed encephalitis following aseptic meningitis 13months previously (1,5,6).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in horses causes an acute rapidly progressive illness characterised by respiratory and neurological manifestations.</w:t>
      </w:r>
    </w:p>
    <w:p w:rsidR="007E3DE7" w:rsidP="007E3DE7" w:rsidRDefault="007E3DE7" w14:paraId="1029C810" w14:textId="664AC95A">
      <w:pPr>
        <w:spacing w:line="276" w:lineRule="auto"/>
        <w:rPr>
          <w:rFonts w:ascii="Helvetica" w:hAnsi="Helvetica" w:cs="Helvetica"/>
          <w:color w:val="222222"/>
          <w:sz w:val="20"/>
          <w:szCs w:val="20"/>
          <w:lang w:eastAsia="en-AU"/>
        </w:rPr>
      </w:pPr>
    </w:p>
    <w:p w:rsidR="007E3DE7" w:rsidP="007E3DE7" w:rsidRDefault="007E3DE7" w14:paraId="753B55EB"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There are no effective antiviral therapies available for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Although ribavirin has been reported to improve outcomes in </w:t>
      </w:r>
      <w:proofErr w:type="spellStart"/>
      <w:r w:rsidRPr="007E3DE7">
        <w:rPr>
          <w:rFonts w:ascii="Helvetica" w:hAnsi="Helvetica" w:cs="Helvetica"/>
          <w:color w:val="222222"/>
          <w:sz w:val="20"/>
          <w:szCs w:val="20"/>
          <w:shd w:val="clear" w:color="auto" w:fill="FFFFFF"/>
          <w:lang w:eastAsia="en-AU"/>
        </w:rPr>
        <w:t>NiV</w:t>
      </w:r>
      <w:proofErr w:type="spellEnd"/>
      <w:r w:rsidRPr="007E3DE7">
        <w:rPr>
          <w:rFonts w:ascii="Helvetica" w:hAnsi="Helvetica" w:cs="Helvetica"/>
          <w:color w:val="222222"/>
          <w:sz w:val="20"/>
          <w:szCs w:val="20"/>
          <w:shd w:val="clear" w:color="auto" w:fill="FFFFFF"/>
          <w:lang w:eastAsia="en-AU"/>
        </w:rPr>
        <w:t xml:space="preserve"> infection, there is no clinical evidence of efficacy in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Candidate </w:t>
      </w:r>
      <w:proofErr w:type="spellStart"/>
      <w:r w:rsidRPr="007E3DE7">
        <w:rPr>
          <w:rFonts w:ascii="Helvetica" w:hAnsi="Helvetica" w:cs="Helvetica"/>
          <w:color w:val="222222"/>
          <w:sz w:val="20"/>
          <w:szCs w:val="20"/>
          <w:shd w:val="clear" w:color="auto" w:fill="FFFFFF"/>
          <w:lang w:eastAsia="en-AU"/>
        </w:rPr>
        <w:t>Henipavirus</w:t>
      </w:r>
      <w:proofErr w:type="spellEnd"/>
      <w:r w:rsidRPr="007E3DE7">
        <w:rPr>
          <w:rFonts w:ascii="Helvetica" w:hAnsi="Helvetica" w:cs="Helvetica"/>
          <w:color w:val="222222"/>
          <w:sz w:val="20"/>
          <w:szCs w:val="20"/>
          <w:shd w:val="clear" w:color="auto" w:fill="FFFFFF"/>
          <w:lang w:eastAsia="en-AU"/>
        </w:rPr>
        <w:t xml:space="preserve"> vaccines (for animals) and passive immunotherapeutic therapies for postexposure prophylaxis have been developed and show promising efficacy in animal models. Preventing human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infections currently relies upon the prompt recognition of infection in horses so that appropriate infection control precautions to prevent horse-to-human transmission can be implemented (6)</w:t>
      </w:r>
      <w:r>
        <w:rPr>
          <w:rFonts w:ascii="Helvetica" w:hAnsi="Helvetica" w:cs="Helvetica"/>
          <w:color w:val="222222"/>
          <w:sz w:val="20"/>
          <w:szCs w:val="20"/>
          <w:shd w:val="clear" w:color="auto" w:fill="FFFFFF"/>
          <w:lang w:eastAsia="en-AU"/>
        </w:rPr>
        <w:t>.</w:t>
      </w:r>
    </w:p>
    <w:p w:rsidRPr="007E3DE7" w:rsidR="007E3DE7" w:rsidP="007E3DE7" w:rsidRDefault="007E3DE7" w14:paraId="005C0459" w14:textId="77777777">
      <w:pPr>
        <w:shd w:val="clear" w:color="auto" w:fill="FFFFFF"/>
        <w:spacing w:before="240" w:after="120" w:line="276" w:lineRule="auto"/>
        <w:outlineLvl w:val="1"/>
        <w:rPr>
          <w:rFonts w:ascii="Open Sans" w:hAnsi="Open Sans" w:cs="Open Sans"/>
          <w:color w:val="000000"/>
          <w:sz w:val="36"/>
          <w:szCs w:val="36"/>
          <w:lang w:eastAsia="en-AU"/>
        </w:rPr>
      </w:pPr>
      <w:r w:rsidRPr="007E3DE7">
        <w:rPr>
          <w:rFonts w:ascii="Open Sans" w:hAnsi="Open Sans" w:cs="Open Sans"/>
          <w:color w:val="000000"/>
          <w:sz w:val="36"/>
          <w:szCs w:val="36"/>
          <w:lang w:eastAsia="en-AU"/>
        </w:rPr>
        <w:t>3 Tests</w:t>
      </w:r>
    </w:p>
    <w:p w:rsidR="007E3DE7" w:rsidP="007E3DE7" w:rsidRDefault="007E3DE7" w14:paraId="1D17275B"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In most circumstances, the diagnosis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infection should be made by detection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RNA (by real time (RT-PCR) or conventional reverse transcriptase PCR confirmed by nucleotide sequencing or detection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-specific antibodies (by EIA, MIA, IFA, or SNT). Culture of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is definitive for diagnosis but should only be attempted in PC4 facilities.</w:t>
      </w:r>
    </w:p>
    <w:p w:rsidR="007E3DE7" w:rsidP="007E3DE7" w:rsidRDefault="007E3DE7" w14:paraId="720937E1" w14:textId="77777777">
      <w:pPr>
        <w:spacing w:line="276" w:lineRule="auto"/>
        <w:rPr>
          <w:rFonts w:ascii="Helvetica" w:hAnsi="Helvetica" w:cs="Helvetica"/>
          <w:color w:val="222222"/>
          <w:sz w:val="20"/>
          <w:szCs w:val="20"/>
          <w:lang w:eastAsia="en-AU"/>
        </w:rPr>
      </w:pPr>
    </w:p>
    <w:p w:rsidR="007E3DE7" w:rsidP="007E3DE7" w:rsidRDefault="007E3DE7" w14:paraId="651F7411"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Suitable specimens: serum, plasma or whole blood, saliva, nasopharyngeal aspirate/swab, CSF), urine or tissue (especially kidney, lung or neural, although isolation is possible from most tissues).</w:t>
      </w:r>
    </w:p>
    <w:p w:rsidR="007E3DE7" w:rsidP="007E3DE7" w:rsidRDefault="007E3DE7" w14:paraId="7143E895" w14:textId="5E1B7FDF">
      <w:pPr>
        <w:spacing w:line="276" w:lineRule="auto"/>
        <w:rPr>
          <w:rFonts w:ascii="Helvetica" w:hAnsi="Helvetica" w:cs="Helvetica"/>
          <w:color w:val="222222"/>
          <w:sz w:val="20"/>
          <w:szCs w:val="20"/>
          <w:lang w:eastAsia="en-AU"/>
        </w:rPr>
      </w:pPr>
    </w:p>
    <w:p w:rsidR="007E3DE7" w:rsidP="007E3DE7" w:rsidRDefault="007E3DE7" w14:paraId="02B490B0"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Swabs should be rayon or </w:t>
      </w:r>
      <w:proofErr w:type="spellStart"/>
      <w:r w:rsidRPr="007E3DE7">
        <w:rPr>
          <w:rFonts w:ascii="Helvetica" w:hAnsi="Helvetica" w:cs="Helvetica"/>
          <w:color w:val="222222"/>
          <w:sz w:val="20"/>
          <w:szCs w:val="20"/>
          <w:shd w:val="clear" w:color="auto" w:fill="FFFFFF"/>
          <w:lang w:eastAsia="en-AU"/>
        </w:rPr>
        <w:t>dacron</w:t>
      </w:r>
      <w:proofErr w:type="spellEnd"/>
      <w:r w:rsidRPr="007E3DE7">
        <w:rPr>
          <w:rFonts w:ascii="Helvetica" w:hAnsi="Helvetica" w:cs="Helvetica"/>
          <w:color w:val="222222"/>
          <w:sz w:val="20"/>
          <w:szCs w:val="20"/>
          <w:shd w:val="clear" w:color="auto" w:fill="FFFFFF"/>
          <w:lang w:eastAsia="en-AU"/>
        </w:rPr>
        <w:t xml:space="preserve">-tipped with plastic or aluminium shafts. They may either contain their own viral transport media (VTM), Universal Transport Medium or can be placed into a vial of VTM/UTM immediately after collection. Other specimens should be placed in a sterile container. All </w:t>
      </w:r>
      <w:r w:rsidRPr="007E3DE7">
        <w:rPr>
          <w:rFonts w:ascii="Helvetica" w:hAnsi="Helvetica" w:cs="Helvetica"/>
          <w:color w:val="222222"/>
          <w:sz w:val="20"/>
          <w:szCs w:val="20"/>
          <w:shd w:val="clear" w:color="auto" w:fill="FFFFFF"/>
          <w:lang w:eastAsia="en-AU"/>
        </w:rPr>
        <w:lastRenderedPageBreak/>
        <w:t>specimens should be stored at 4 °C (according to the appropriate IATA standards), or if they cannot be processed within 72 hours, they should be frozen at -70 °C. Freezing at -20 °C is not acceptable.</w:t>
      </w:r>
    </w:p>
    <w:p w:rsidRPr="007E3DE7" w:rsidR="007E3DE7" w:rsidP="007E3DE7" w:rsidRDefault="007E3DE7" w14:paraId="641F7000" w14:textId="77777777">
      <w:pPr>
        <w:shd w:val="clear" w:color="auto" w:fill="FFFFFF"/>
        <w:spacing w:before="240" w:after="120" w:line="276" w:lineRule="auto"/>
        <w:outlineLvl w:val="2"/>
        <w:rPr>
          <w:rFonts w:ascii="Open Sans" w:hAnsi="Open Sans" w:cs="Open Sans"/>
          <w:color w:val="000000"/>
          <w:sz w:val="27"/>
          <w:szCs w:val="27"/>
          <w:lang w:eastAsia="en-AU"/>
        </w:rPr>
      </w:pPr>
      <w:r w:rsidRPr="007E3DE7">
        <w:rPr>
          <w:rFonts w:ascii="Open Sans" w:hAnsi="Open Sans" w:cs="Open Sans"/>
          <w:color w:val="000000"/>
          <w:sz w:val="27"/>
          <w:szCs w:val="27"/>
          <w:lang w:eastAsia="en-AU"/>
        </w:rPr>
        <w:t>3.1 Viral isolation</w:t>
      </w:r>
    </w:p>
    <w:p w:rsidRPr="007E3DE7" w:rsidR="007E3DE7" w:rsidP="007E3DE7" w:rsidRDefault="007E3DE7" w14:paraId="553E997C"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3.1.1 Suitable specimens</w:t>
      </w:r>
    </w:p>
    <w:p w:rsidR="007E3DE7" w:rsidP="007E3DE7" w:rsidRDefault="007E3DE7" w14:paraId="58E73AF3"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See section 3 overview.</w:t>
      </w:r>
    </w:p>
    <w:p w:rsidR="007E3DE7" w:rsidP="007E3DE7" w:rsidRDefault="007E3DE7" w14:paraId="6B6234A3" w14:textId="39CD512C">
      <w:pPr>
        <w:spacing w:line="276" w:lineRule="auto"/>
        <w:rPr>
          <w:rFonts w:ascii="Helvetica" w:hAnsi="Helvetica" w:cs="Helvetica"/>
          <w:color w:val="222222"/>
          <w:sz w:val="20"/>
          <w:szCs w:val="20"/>
          <w:lang w:eastAsia="en-AU"/>
        </w:rPr>
      </w:pPr>
    </w:p>
    <w:p w:rsidRPr="007E3DE7" w:rsidR="007E3DE7" w:rsidP="007E3DE7" w:rsidRDefault="007E3DE7" w14:paraId="25189575"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3.1.2 Cell culture techniques</w:t>
      </w:r>
    </w:p>
    <w:p w:rsidR="007E3DE7" w:rsidP="007E3DE7" w:rsidRDefault="007E3DE7" w14:paraId="38DC03A5"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A variety of cell lines may be used to isolate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including Vero, Vero E6, RK13, MDBK, LLC-MK2, BHK, Hep-2, HeLa, and embryonated chicken eggs. Several passages may be required to determine if isolation is successful. Cytopathic effect (CPE) typically manifests in the form of large syncytia containing multiple nuclei.</w:t>
      </w:r>
    </w:p>
    <w:p w:rsidR="007E3DE7" w:rsidP="007E3DE7" w:rsidRDefault="007E3DE7" w14:paraId="1DE47B5A" w14:textId="6B84ACCD">
      <w:pPr>
        <w:spacing w:line="276" w:lineRule="auto"/>
        <w:rPr>
          <w:rFonts w:ascii="Helvetica" w:hAnsi="Helvetica" w:cs="Helvetica"/>
          <w:color w:val="222222"/>
          <w:sz w:val="20"/>
          <w:szCs w:val="20"/>
          <w:lang w:eastAsia="en-AU"/>
        </w:rPr>
      </w:pPr>
    </w:p>
    <w:p w:rsidRPr="007E3DE7" w:rsidR="007E3DE7" w:rsidP="007E3DE7" w:rsidRDefault="007E3DE7" w14:paraId="3B2A71BC"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3.1.3 Suitable Test Acceptance Criteria</w:t>
      </w:r>
    </w:p>
    <w:p w:rsidR="007E3DE7" w:rsidP="007E3DE7" w:rsidRDefault="007E3DE7" w14:paraId="27B97708"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Isolation can be confirmed by IFA, immuno-electron microscopy, RT-</w:t>
      </w:r>
      <w:proofErr w:type="gramStart"/>
      <w:r w:rsidRPr="007E3DE7">
        <w:rPr>
          <w:rFonts w:ascii="Helvetica" w:hAnsi="Helvetica" w:cs="Helvetica"/>
          <w:color w:val="222222"/>
          <w:sz w:val="20"/>
          <w:szCs w:val="20"/>
          <w:shd w:val="clear" w:color="auto" w:fill="FFFFFF"/>
          <w:lang w:eastAsia="en-AU"/>
        </w:rPr>
        <w:t>PCR</w:t>
      </w:r>
      <w:proofErr w:type="gramEnd"/>
      <w:r w:rsidRPr="007E3DE7">
        <w:rPr>
          <w:rFonts w:ascii="Helvetica" w:hAnsi="Helvetica" w:cs="Helvetica"/>
          <w:color w:val="222222"/>
          <w:sz w:val="20"/>
          <w:szCs w:val="20"/>
          <w:shd w:val="clear" w:color="auto" w:fill="FFFFFF"/>
          <w:lang w:eastAsia="en-AU"/>
        </w:rPr>
        <w:t xml:space="preserve"> or genomic sequencing. </w:t>
      </w:r>
      <w:proofErr w:type="spellStart"/>
      <w:r w:rsidRPr="007E3DE7">
        <w:rPr>
          <w:rFonts w:ascii="Helvetica" w:hAnsi="Helvetica" w:cs="Helvetica"/>
          <w:color w:val="222222"/>
          <w:sz w:val="20"/>
          <w:szCs w:val="20"/>
          <w:shd w:val="clear" w:color="auto" w:fill="FFFFFF"/>
          <w:lang w:eastAsia="en-AU"/>
        </w:rPr>
        <w:t>Verificaion</w:t>
      </w:r>
      <w:proofErr w:type="spellEnd"/>
      <w:r w:rsidRPr="007E3DE7">
        <w:rPr>
          <w:rFonts w:ascii="Helvetica" w:hAnsi="Helvetica" w:cs="Helvetica"/>
          <w:color w:val="222222"/>
          <w:sz w:val="20"/>
          <w:szCs w:val="20"/>
          <w:shd w:val="clear" w:color="auto" w:fill="FFFFFF"/>
          <w:lang w:eastAsia="en-AU"/>
        </w:rPr>
        <w:t xml:space="preserve"> at a second reference lab should be undertaken.</w:t>
      </w:r>
    </w:p>
    <w:p w:rsidR="007E3DE7" w:rsidP="007E3DE7" w:rsidRDefault="007E3DE7" w14:paraId="43B68379" w14:textId="111826DB">
      <w:pPr>
        <w:spacing w:line="276" w:lineRule="auto"/>
        <w:rPr>
          <w:rFonts w:ascii="Helvetica" w:hAnsi="Helvetica" w:cs="Helvetica"/>
          <w:color w:val="222222"/>
          <w:sz w:val="20"/>
          <w:szCs w:val="20"/>
          <w:lang w:eastAsia="en-AU"/>
        </w:rPr>
      </w:pPr>
    </w:p>
    <w:p w:rsidRPr="007E3DE7" w:rsidR="007E3DE7" w:rsidP="007E3DE7" w:rsidRDefault="007E3DE7" w14:paraId="665A1708"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3.1.4 Suitable External QC Programme</w:t>
      </w:r>
    </w:p>
    <w:p w:rsidR="007E3DE7" w:rsidP="007E3DE7" w:rsidRDefault="007E3DE7" w14:paraId="36C635DB" w14:textId="1A8C37F2">
      <w:pPr>
        <w:spacing w:line="276" w:lineRule="auto"/>
        <w:rPr>
          <w:rFonts w:ascii="Helvetica" w:hAnsi="Helvetica" w:cs="Helvetica"/>
          <w:color w:val="222222"/>
          <w:sz w:val="20"/>
          <w:szCs w:val="20"/>
          <w:lang w:eastAsia="en-AU"/>
        </w:rPr>
      </w:pPr>
      <w:proofErr w:type="gramStart"/>
      <w:r w:rsidRPr="007E3DE7">
        <w:rPr>
          <w:rFonts w:ascii="Helvetica" w:hAnsi="Helvetica" w:cs="Helvetica"/>
          <w:color w:val="222222"/>
          <w:sz w:val="20"/>
          <w:szCs w:val="20"/>
          <w:shd w:val="clear" w:color="auto" w:fill="FFFFFF"/>
          <w:lang w:eastAsia="en-AU"/>
        </w:rPr>
        <w:t>None available</w:t>
      </w:r>
      <w:proofErr w:type="gramEnd"/>
      <w:r w:rsidRPr="007E3DE7">
        <w:rPr>
          <w:rFonts w:ascii="Helvetica" w:hAnsi="Helvetica" w:cs="Helvetica"/>
          <w:color w:val="222222"/>
          <w:sz w:val="20"/>
          <w:szCs w:val="20"/>
          <w:shd w:val="clear" w:color="auto" w:fill="FFFFFF"/>
          <w:lang w:eastAsia="en-AU"/>
        </w:rPr>
        <w:t>.</w:t>
      </w:r>
    </w:p>
    <w:p w:rsidRPr="007E3DE7" w:rsidR="007E3DE7" w:rsidP="007E3DE7" w:rsidRDefault="007E3DE7" w14:paraId="293270AA"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3.1.5 Special Considerations</w:t>
      </w:r>
    </w:p>
    <w:p w:rsidR="007E3DE7" w:rsidP="007E3DE7" w:rsidRDefault="007E3DE7" w14:paraId="247F6F19" w14:textId="104B0400">
      <w:pPr>
        <w:spacing w:line="276" w:lineRule="auto"/>
        <w:rPr>
          <w:rFonts w:ascii="Helvetica" w:hAnsi="Helvetica" w:cs="Helvetica"/>
          <w:color w:val="222222"/>
          <w:sz w:val="20"/>
          <w:szCs w:val="20"/>
          <w:lang w:eastAsia="en-AU"/>
        </w:rPr>
      </w:pP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is a PC4 rated organism. Any work involving live virus should only be conducted in a PC4 laboratory after appropriate training.</w:t>
      </w:r>
    </w:p>
    <w:p w:rsidRPr="007E3DE7" w:rsidR="007E3DE7" w:rsidP="007E3DE7" w:rsidRDefault="007E3DE7" w14:paraId="0F18ECAC" w14:textId="77777777">
      <w:pPr>
        <w:shd w:val="clear" w:color="auto" w:fill="FFFFFF"/>
        <w:spacing w:before="240" w:after="120" w:line="276" w:lineRule="auto"/>
        <w:outlineLvl w:val="2"/>
        <w:rPr>
          <w:rFonts w:ascii="Open Sans" w:hAnsi="Open Sans" w:cs="Open Sans"/>
          <w:color w:val="000000"/>
          <w:sz w:val="27"/>
          <w:szCs w:val="27"/>
          <w:lang w:eastAsia="en-AU"/>
        </w:rPr>
      </w:pPr>
      <w:r w:rsidRPr="007E3DE7">
        <w:rPr>
          <w:rFonts w:ascii="Open Sans" w:hAnsi="Open Sans" w:cs="Open Sans"/>
          <w:color w:val="000000"/>
          <w:sz w:val="27"/>
          <w:szCs w:val="27"/>
          <w:lang w:eastAsia="en-AU"/>
        </w:rPr>
        <w:t>3.2 Nucleic acid testing (NAT)</w:t>
      </w:r>
    </w:p>
    <w:p w:rsidRPr="007E3DE7" w:rsidR="007E3DE7" w:rsidP="007E3DE7" w:rsidRDefault="007E3DE7" w14:paraId="47D5DE95"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3.2.1 Suitable specimens</w:t>
      </w:r>
    </w:p>
    <w:p w:rsidR="007E3DE7" w:rsidP="007E3DE7" w:rsidRDefault="007E3DE7" w14:paraId="201664A3" w14:textId="28E5399C">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see section 3 Note: Fixed tissues and environmental samples have limited diagnostic value due to contaminating and inhibitory substances which may interfere with the tests.</w:t>
      </w:r>
    </w:p>
    <w:p w:rsidRPr="007E3DE7" w:rsidR="007E3DE7" w:rsidP="007E3DE7" w:rsidRDefault="007E3DE7" w14:paraId="4A3C3DD4"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3.2.2 Suitable tests</w:t>
      </w:r>
    </w:p>
    <w:p w:rsidR="007E3DE7" w:rsidP="007E3DE7" w:rsidRDefault="007E3DE7" w14:paraId="4F92FE8F" w14:textId="7CDFE5B1">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Real time or conventional gel-based RT-PCR, gene sequencing.</w:t>
      </w:r>
    </w:p>
    <w:p w:rsidRPr="007E3DE7" w:rsidR="007E3DE7" w:rsidP="007E3DE7" w:rsidRDefault="007E3DE7" w14:paraId="041CC277"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3.2.3 Test Sensitivity</w:t>
      </w:r>
    </w:p>
    <w:p w:rsidR="007E3DE7" w:rsidP="007E3DE7" w:rsidRDefault="007E3DE7" w14:paraId="0FE18701" w14:textId="347BB734">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There is currently insufficient data available to determine test </w:t>
      </w:r>
      <w:proofErr w:type="gramStart"/>
      <w:r w:rsidRPr="007E3DE7">
        <w:rPr>
          <w:rFonts w:ascii="Helvetica" w:hAnsi="Helvetica" w:cs="Helvetica"/>
          <w:color w:val="222222"/>
          <w:sz w:val="20"/>
          <w:szCs w:val="20"/>
          <w:shd w:val="clear" w:color="auto" w:fill="FFFFFF"/>
          <w:lang w:eastAsia="en-AU"/>
        </w:rPr>
        <w:t>sensitivity</w:t>
      </w:r>
      <w:proofErr w:type="gramEnd"/>
      <w:r w:rsidRPr="007E3DE7">
        <w:rPr>
          <w:rFonts w:ascii="Helvetica" w:hAnsi="Helvetica" w:cs="Helvetica"/>
          <w:color w:val="222222"/>
          <w:sz w:val="20"/>
          <w:szCs w:val="20"/>
          <w:shd w:val="clear" w:color="auto" w:fill="FFFFFF"/>
          <w:lang w:eastAsia="en-AU"/>
        </w:rPr>
        <w:t xml:space="preserve"> but real-time RT-PCR has been observed to have significantly greater sensitivity than conventional gel-based PCR (7).</w:t>
      </w:r>
    </w:p>
    <w:p w:rsidRPr="007E3DE7" w:rsidR="007E3DE7" w:rsidP="007E3DE7" w:rsidRDefault="007E3DE7" w14:paraId="5E5CF78A" w14:textId="77777777">
      <w:pPr>
        <w:keepNext/>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lastRenderedPageBreak/>
        <w:t>3.2.4 Test Specificity</w:t>
      </w:r>
    </w:p>
    <w:p w:rsidR="007E3DE7" w:rsidP="007E3DE7" w:rsidRDefault="007E3DE7" w14:paraId="0B7DBEBE" w14:textId="09302222">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At least one real time RT-PCR targeting the G gene has been reported to have ~100% specificity for all Hendra virus isolates recovered to date (7) Significant nucleotide heterogeneity has been observed between different Hendra virus isolates and care should be taken in selecting conventional or RT-PCR primers (6). Care should be taken in using RT primer sets targeting the </w:t>
      </w:r>
      <w:proofErr w:type="spellStart"/>
      <w:r w:rsidRPr="007E3DE7">
        <w:rPr>
          <w:rFonts w:ascii="Helvetica" w:hAnsi="Helvetica" w:cs="Helvetica"/>
          <w:color w:val="222222"/>
          <w:sz w:val="20"/>
          <w:szCs w:val="20"/>
          <w:shd w:val="clear" w:color="auto" w:fill="FFFFFF"/>
          <w:lang w:eastAsia="en-AU"/>
        </w:rPr>
        <w:t>nucelocapsid</w:t>
      </w:r>
      <w:proofErr w:type="spellEnd"/>
      <w:r w:rsidRPr="007E3DE7">
        <w:rPr>
          <w:rFonts w:ascii="Helvetica" w:hAnsi="Helvetica" w:cs="Helvetica"/>
          <w:color w:val="222222"/>
          <w:sz w:val="20"/>
          <w:szCs w:val="20"/>
          <w:shd w:val="clear" w:color="auto" w:fill="FFFFFF"/>
          <w:lang w:eastAsia="en-AU"/>
        </w:rPr>
        <w:t xml:space="preserve"> gene as some published primer sets do not detect all Hendra virus isolates.</w:t>
      </w:r>
    </w:p>
    <w:p w:rsidRPr="007E3DE7" w:rsidR="007E3DE7" w:rsidP="007E3DE7" w:rsidRDefault="007E3DE7" w14:paraId="2F915EB2"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3.2.5 Predictive Values and relevant population</w:t>
      </w:r>
    </w:p>
    <w:p w:rsidR="007E3DE7" w:rsidP="007E3DE7" w:rsidRDefault="007E3DE7" w14:paraId="33CDDC77" w14:textId="169A1678">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Given the low incidence of infection there is insufficient data to enable meaningful calculation of predictive values.</w:t>
      </w:r>
    </w:p>
    <w:p w:rsidRPr="007E3DE7" w:rsidR="007E3DE7" w:rsidP="007E3DE7" w:rsidRDefault="007E3DE7" w14:paraId="76EAAC46"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3.2.6 Test Acceptance Criteria</w:t>
      </w:r>
    </w:p>
    <w:p w:rsidR="007E3DE7" w:rsidP="007E3DE7" w:rsidRDefault="007E3DE7" w14:paraId="4CF26D98" w14:textId="305CC233">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Real time PCR – detection to 40 amplification cycles can be considered definitive of infection. Sequencing should be undertaken of conventional PCR products to confirm definitive diagnosis.</w:t>
      </w:r>
    </w:p>
    <w:p w:rsidRPr="007E3DE7" w:rsidR="007E3DE7" w:rsidP="007E3DE7" w:rsidRDefault="007E3DE7" w14:paraId="23E002ED"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3.2.7 Suitable Internal Controls</w:t>
      </w:r>
    </w:p>
    <w:p w:rsidR="007E3DE7" w:rsidP="007E3DE7" w:rsidRDefault="007E3DE7" w14:paraId="782D2953" w14:textId="7192F8BD">
      <w:pPr>
        <w:spacing w:line="276" w:lineRule="auto"/>
        <w:rPr>
          <w:rFonts w:ascii="Helvetica" w:hAnsi="Helvetica" w:cs="Helvetica"/>
          <w:color w:val="222222"/>
          <w:sz w:val="20"/>
          <w:szCs w:val="20"/>
          <w:lang w:eastAsia="en-AU"/>
        </w:rPr>
      </w:pPr>
      <w:proofErr w:type="gramStart"/>
      <w:r w:rsidRPr="007E3DE7">
        <w:rPr>
          <w:rFonts w:ascii="Helvetica" w:hAnsi="Helvetica" w:cs="Helvetica"/>
          <w:color w:val="222222"/>
          <w:sz w:val="20"/>
          <w:szCs w:val="20"/>
          <w:shd w:val="clear" w:color="auto" w:fill="FFFFFF"/>
          <w:lang w:eastAsia="en-AU"/>
        </w:rPr>
        <w:t>e.g.</w:t>
      </w:r>
      <w:proofErr w:type="gramEnd"/>
      <w:r w:rsidRPr="007E3DE7">
        <w:rPr>
          <w:rFonts w:ascii="Helvetica" w:hAnsi="Helvetica" w:cs="Helvetica"/>
          <w:color w:val="222222"/>
          <w:sz w:val="20"/>
          <w:szCs w:val="20"/>
          <w:shd w:val="clear" w:color="auto" w:fill="FFFFFF"/>
          <w:lang w:eastAsia="en-AU"/>
        </w:rPr>
        <w:t xml:space="preserve"> positive controls and negative controls must be run to ensure validity of test run. Inhibition controls may be run dependent upon specimen type. The use of synthetic or oligo-based positive controls may be useful to limit possible false positives or for laboratories that do not have access to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RNA.</w:t>
      </w:r>
    </w:p>
    <w:p w:rsidRPr="007E3DE7" w:rsidR="007E3DE7" w:rsidP="007E3DE7" w:rsidRDefault="007E3DE7" w14:paraId="63DCFD8F"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3.2.8 Suitable External QC Programme</w:t>
      </w:r>
    </w:p>
    <w:p w:rsidR="007E3DE7" w:rsidP="007E3DE7" w:rsidRDefault="007E3DE7" w14:paraId="04870C3D" w14:textId="2E5D5F2D">
      <w:pPr>
        <w:spacing w:line="276" w:lineRule="auto"/>
        <w:rPr>
          <w:rFonts w:ascii="Helvetica" w:hAnsi="Helvetica" w:cs="Helvetica"/>
          <w:color w:val="222222"/>
          <w:sz w:val="20"/>
          <w:szCs w:val="20"/>
          <w:lang w:eastAsia="en-AU"/>
        </w:rPr>
      </w:pPr>
      <w:proofErr w:type="gramStart"/>
      <w:r w:rsidRPr="007E3DE7">
        <w:rPr>
          <w:rFonts w:ascii="Helvetica" w:hAnsi="Helvetica" w:cs="Helvetica"/>
          <w:color w:val="222222"/>
          <w:sz w:val="20"/>
          <w:szCs w:val="20"/>
          <w:shd w:val="clear" w:color="auto" w:fill="FFFFFF"/>
          <w:lang w:eastAsia="en-AU"/>
        </w:rPr>
        <w:t>None available</w:t>
      </w:r>
      <w:proofErr w:type="gramEnd"/>
      <w:r w:rsidRPr="007E3DE7">
        <w:rPr>
          <w:rFonts w:ascii="Helvetica" w:hAnsi="Helvetica" w:cs="Helvetica"/>
          <w:color w:val="222222"/>
          <w:sz w:val="20"/>
          <w:szCs w:val="20"/>
          <w:shd w:val="clear" w:color="auto" w:fill="FFFFFF"/>
          <w:lang w:eastAsia="en-AU"/>
        </w:rPr>
        <w:t>.</w:t>
      </w:r>
    </w:p>
    <w:p w:rsidRPr="007E3DE7" w:rsidR="007E3DE7" w:rsidP="007E3DE7" w:rsidRDefault="007E3DE7" w14:paraId="2FF85162"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3.2.9 Special Considerations</w:t>
      </w:r>
    </w:p>
    <w:p w:rsidR="007E3DE7" w:rsidP="007E3DE7" w:rsidRDefault="007E3DE7" w14:paraId="672A7724" w14:textId="4F190635">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Failure to detect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nucleic acid does not necessarily exclude infection. Serology should be attempted on sera collected from patients providing samples for RT-PCR or virus isolation. Where possible, samples should be tested in duplicate or positive samples should be confirmed by repeat extraction and RT-PCR confirmation. Use of two or more RT-PCR tests targeting different areas of the Hendra virus genome should be considered. Sequencing should be undertaken to confirm amplicons from conventional </w:t>
      </w:r>
      <w:proofErr w:type="spellStart"/>
      <w:r w:rsidRPr="007E3DE7">
        <w:rPr>
          <w:rFonts w:ascii="Helvetica" w:hAnsi="Helvetica" w:cs="Helvetica"/>
          <w:color w:val="222222"/>
          <w:sz w:val="20"/>
          <w:szCs w:val="20"/>
          <w:shd w:val="clear" w:color="auto" w:fill="FFFFFF"/>
          <w:lang w:eastAsia="en-AU"/>
        </w:rPr>
        <w:t>PCR.tests</w:t>
      </w:r>
      <w:proofErr w:type="spellEnd"/>
      <w:r w:rsidRPr="007E3DE7">
        <w:rPr>
          <w:rFonts w:ascii="Helvetica" w:hAnsi="Helvetica" w:cs="Helvetica"/>
          <w:color w:val="222222"/>
          <w:sz w:val="20"/>
          <w:szCs w:val="20"/>
          <w:shd w:val="clear" w:color="auto" w:fill="FFFFFF"/>
          <w:lang w:eastAsia="en-AU"/>
        </w:rPr>
        <w:t>.</w:t>
      </w:r>
    </w:p>
    <w:p w:rsidRPr="007E3DE7" w:rsidR="007E3DE7" w:rsidP="007E3DE7" w:rsidRDefault="007E3DE7" w14:paraId="6456EECC" w14:textId="77777777">
      <w:pPr>
        <w:shd w:val="clear" w:color="auto" w:fill="FFFFFF"/>
        <w:spacing w:before="240" w:after="120" w:line="276" w:lineRule="auto"/>
        <w:outlineLvl w:val="2"/>
        <w:rPr>
          <w:rFonts w:ascii="Open Sans" w:hAnsi="Open Sans" w:cs="Open Sans"/>
          <w:color w:val="000000"/>
          <w:sz w:val="27"/>
          <w:szCs w:val="27"/>
          <w:lang w:eastAsia="en-AU"/>
        </w:rPr>
      </w:pPr>
      <w:r w:rsidRPr="007E3DE7">
        <w:rPr>
          <w:rFonts w:ascii="Open Sans" w:hAnsi="Open Sans" w:cs="Open Sans"/>
          <w:color w:val="000000"/>
          <w:sz w:val="27"/>
          <w:szCs w:val="27"/>
          <w:lang w:eastAsia="en-AU"/>
        </w:rPr>
        <w:t>3.3 Serology</w:t>
      </w:r>
    </w:p>
    <w:p w:rsidRPr="007E3DE7" w:rsidR="007E3DE7" w:rsidP="007E3DE7" w:rsidRDefault="007E3DE7" w14:paraId="63299663"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3.3.1 Suitable specimens</w:t>
      </w:r>
    </w:p>
    <w:p w:rsidR="007E3DE7" w:rsidP="007E3DE7" w:rsidRDefault="007E3DE7" w14:paraId="0E41F3D7" w14:textId="0E0FF653">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Serum (minimum volume 0.5 mL). Specimens should be repeated </w:t>
      </w:r>
      <w:proofErr w:type="gramStart"/>
      <w:r w:rsidRPr="007E3DE7">
        <w:rPr>
          <w:rFonts w:ascii="Helvetica" w:hAnsi="Helvetica" w:cs="Helvetica"/>
          <w:color w:val="222222"/>
          <w:sz w:val="20"/>
          <w:szCs w:val="20"/>
          <w:shd w:val="clear" w:color="auto" w:fill="FFFFFF"/>
          <w:lang w:eastAsia="en-AU"/>
        </w:rPr>
        <w:t>during the course of</w:t>
      </w:r>
      <w:proofErr w:type="gramEnd"/>
      <w:r w:rsidRPr="007E3DE7">
        <w:rPr>
          <w:rFonts w:ascii="Helvetica" w:hAnsi="Helvetica" w:cs="Helvetica"/>
          <w:color w:val="222222"/>
          <w:sz w:val="20"/>
          <w:szCs w:val="20"/>
          <w:shd w:val="clear" w:color="auto" w:fill="FFFFFF"/>
          <w:lang w:eastAsia="en-AU"/>
        </w:rPr>
        <w:t xml:space="preserve"> the illness to detect an IgM or IgM to IgG seroconversion or a fourfold or greater rise in IgM or IgG titres.</w:t>
      </w:r>
    </w:p>
    <w:p w:rsidRPr="007E3DE7" w:rsidR="007E3DE7" w:rsidP="007E3DE7" w:rsidRDefault="007E3DE7" w14:paraId="7613EBE9"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3.3.2 Serological techniques</w:t>
      </w:r>
    </w:p>
    <w:p w:rsidR="007E3DE7" w:rsidP="007E3DE7" w:rsidRDefault="007E3DE7" w14:paraId="56DE14C5" w14:textId="1569842E">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A variety of serological techniques can be used to detect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-specific antibodies, including </w:t>
      </w:r>
      <w:proofErr w:type="gramStart"/>
      <w:r w:rsidRPr="007E3DE7">
        <w:rPr>
          <w:rFonts w:ascii="Helvetica" w:hAnsi="Helvetica" w:cs="Helvetica"/>
          <w:color w:val="222222"/>
          <w:sz w:val="20"/>
          <w:szCs w:val="20"/>
          <w:shd w:val="clear" w:color="auto" w:fill="FFFFFF"/>
          <w:lang w:eastAsia="en-AU"/>
        </w:rPr>
        <w:t>EIA(</w:t>
      </w:r>
      <w:proofErr w:type="gramEnd"/>
      <w:r w:rsidRPr="007E3DE7">
        <w:rPr>
          <w:rFonts w:ascii="Helvetica" w:hAnsi="Helvetica" w:cs="Helvetica"/>
          <w:color w:val="222222"/>
          <w:sz w:val="20"/>
          <w:szCs w:val="20"/>
          <w:shd w:val="clear" w:color="auto" w:fill="FFFFFF"/>
          <w:lang w:eastAsia="en-AU"/>
        </w:rPr>
        <w:t>8), MIA (9), IFA using acetone fixed Hendra virus infected Vero E-6 cells, and SNT(8).</w:t>
      </w:r>
    </w:p>
    <w:p w:rsidRPr="007E3DE7" w:rsidR="007E3DE7" w:rsidP="007E3DE7" w:rsidRDefault="007E3DE7" w14:paraId="754E47BF"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3.3.3 Test Sensitivity</w:t>
      </w:r>
    </w:p>
    <w:p w:rsidR="007E3DE7" w:rsidP="007E3DE7" w:rsidRDefault="007E3DE7" w14:paraId="5BD31AE3" w14:textId="0C008AC4">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Insufficient data to determine although the IFA test and MIA test have demonstrated a higher level of specificity and sensitivity in the limited testing conducted to date.</w:t>
      </w:r>
    </w:p>
    <w:p w:rsidRPr="007E3DE7" w:rsidR="007E3DE7" w:rsidP="007E3DE7" w:rsidRDefault="007E3DE7" w14:paraId="57235F33"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lastRenderedPageBreak/>
        <w:t>3.3.4 Test Specificity</w:t>
      </w:r>
    </w:p>
    <w:p w:rsidR="007E3DE7" w:rsidP="007E3DE7" w:rsidRDefault="007E3DE7" w14:paraId="4B96D464" w14:textId="0BD84192">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Insufficient data to determine although the IFA test and MIA test have demonstrated a higher level of specificity and sensitivity in the limited testing conducted to date.</w:t>
      </w:r>
    </w:p>
    <w:p w:rsidRPr="007E3DE7" w:rsidR="007E3DE7" w:rsidP="007E3DE7" w:rsidRDefault="007E3DE7" w14:paraId="03080844"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3.3.5 Predictive Values and relevant population</w:t>
      </w:r>
    </w:p>
    <w:p w:rsidR="007E3DE7" w:rsidP="007E3DE7" w:rsidRDefault="007E3DE7" w14:paraId="78207B8E" w14:textId="025832A5">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Given the low incidence of infection there is insufficient data to enable meaningful calculation of predictive values.</w:t>
      </w:r>
    </w:p>
    <w:p w:rsidRPr="007E3DE7" w:rsidR="007E3DE7" w:rsidP="007E3DE7" w:rsidRDefault="007E3DE7" w14:paraId="6631B8EC"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3.3.6 Suitable Test Acceptance Criteria</w:t>
      </w:r>
    </w:p>
    <w:p w:rsidR="007E3DE7" w:rsidP="007E3DE7" w:rsidRDefault="007E3DE7" w14:paraId="1C3F4EBD" w14:textId="0C9B84B0">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 xml:space="preserve">A single positive result (with cut offs determined by the laboratory performing the test) should be accepted as suggestive of infection. A seroconversion or </w:t>
      </w:r>
      <w:proofErr w:type="gramStart"/>
      <w:r w:rsidRPr="007E3DE7">
        <w:rPr>
          <w:rFonts w:ascii="Helvetica" w:hAnsi="Helvetica" w:cs="Helvetica"/>
          <w:color w:val="222222"/>
          <w:sz w:val="20"/>
          <w:szCs w:val="20"/>
          <w:shd w:val="clear" w:color="auto" w:fill="FFFFFF"/>
          <w:lang w:eastAsia="en-AU"/>
        </w:rPr>
        <w:t>four fold</w:t>
      </w:r>
      <w:proofErr w:type="gramEnd"/>
      <w:r w:rsidRPr="007E3DE7">
        <w:rPr>
          <w:rFonts w:ascii="Helvetica" w:hAnsi="Helvetica" w:cs="Helvetica"/>
          <w:color w:val="222222"/>
          <w:sz w:val="20"/>
          <w:szCs w:val="20"/>
          <w:shd w:val="clear" w:color="auto" w:fill="FFFFFF"/>
          <w:lang w:eastAsia="en-AU"/>
        </w:rPr>
        <w:t xml:space="preserve"> rise in </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-specific antibody titre is indicative of infection.</w:t>
      </w:r>
    </w:p>
    <w:p w:rsidRPr="007E3DE7" w:rsidR="007E3DE7" w:rsidP="007E3DE7" w:rsidRDefault="007E3DE7" w14:paraId="1C9013A0"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3.3.7 Suitable Internal Controls</w:t>
      </w:r>
    </w:p>
    <w:p w:rsidR="007E3DE7" w:rsidP="007E3DE7" w:rsidRDefault="007E3DE7" w14:paraId="2EAE3F4A" w14:textId="453E15E0">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Positive (high, low) and negative controls should be included to validate each test run.</w:t>
      </w:r>
    </w:p>
    <w:p w:rsidRPr="007E3DE7" w:rsidR="007E3DE7" w:rsidP="007E3DE7" w:rsidRDefault="007E3DE7" w14:paraId="5E4D9C18"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3.3.8 Suitable External QC Programme</w:t>
      </w:r>
    </w:p>
    <w:p w:rsidR="007E3DE7" w:rsidP="007E3DE7" w:rsidRDefault="007E3DE7" w14:paraId="4BC1DDE8" w14:textId="79DA1D36">
      <w:pPr>
        <w:spacing w:line="276" w:lineRule="auto"/>
        <w:rPr>
          <w:rFonts w:ascii="Helvetica" w:hAnsi="Helvetica" w:cs="Helvetica"/>
          <w:color w:val="222222"/>
          <w:sz w:val="20"/>
          <w:szCs w:val="20"/>
          <w:lang w:eastAsia="en-AU"/>
        </w:rPr>
      </w:pPr>
      <w:proofErr w:type="gramStart"/>
      <w:r w:rsidRPr="007E3DE7">
        <w:rPr>
          <w:rFonts w:ascii="Helvetica" w:hAnsi="Helvetica" w:cs="Helvetica"/>
          <w:color w:val="222222"/>
          <w:sz w:val="20"/>
          <w:szCs w:val="20"/>
          <w:shd w:val="clear" w:color="auto" w:fill="FFFFFF"/>
          <w:lang w:eastAsia="en-AU"/>
        </w:rPr>
        <w:t>None available</w:t>
      </w:r>
      <w:proofErr w:type="gramEnd"/>
      <w:r w:rsidRPr="007E3DE7">
        <w:rPr>
          <w:rFonts w:ascii="Helvetica" w:hAnsi="Helvetica" w:cs="Helvetica"/>
          <w:color w:val="222222"/>
          <w:sz w:val="20"/>
          <w:szCs w:val="20"/>
          <w:shd w:val="clear" w:color="auto" w:fill="FFFFFF"/>
          <w:lang w:eastAsia="en-AU"/>
        </w:rPr>
        <w:t>.</w:t>
      </w:r>
    </w:p>
    <w:p w:rsidRPr="007E3DE7" w:rsidR="007E3DE7" w:rsidP="007E3DE7" w:rsidRDefault="007E3DE7" w14:paraId="626A1CAF" w14:textId="77777777">
      <w:pPr>
        <w:shd w:val="clear" w:color="auto" w:fill="FFFFFF"/>
        <w:spacing w:before="240" w:after="120" w:line="276" w:lineRule="auto"/>
        <w:outlineLvl w:val="3"/>
        <w:rPr>
          <w:rFonts w:ascii="Open Sans" w:hAnsi="Open Sans" w:cs="Open Sans"/>
          <w:color w:val="000000"/>
          <w:sz w:val="24"/>
          <w:lang w:eastAsia="en-AU"/>
        </w:rPr>
      </w:pPr>
      <w:r w:rsidRPr="007E3DE7">
        <w:rPr>
          <w:rFonts w:ascii="Open Sans" w:hAnsi="Open Sans" w:cs="Open Sans"/>
          <w:color w:val="000000"/>
          <w:sz w:val="24"/>
          <w:lang w:eastAsia="en-AU"/>
        </w:rPr>
        <w:t>3.3.9 Special Considerations</w:t>
      </w:r>
    </w:p>
    <w:p w:rsidR="007E3DE7" w:rsidP="007E3DE7" w:rsidRDefault="007E3DE7" w14:paraId="414BFDFA" w14:textId="77777777">
      <w:pPr>
        <w:spacing w:line="276" w:lineRule="auto"/>
        <w:rPr>
          <w:rFonts w:ascii="Helvetica" w:hAnsi="Helvetica" w:cs="Helvetica"/>
          <w:color w:val="222222"/>
          <w:sz w:val="20"/>
          <w:szCs w:val="20"/>
          <w:lang w:eastAsia="en-AU"/>
        </w:rPr>
      </w:pPr>
      <w:r w:rsidRPr="007E3DE7">
        <w:rPr>
          <w:rFonts w:ascii="Helvetica" w:hAnsi="Helvetica" w:cs="Helvetica"/>
          <w:color w:val="222222"/>
          <w:sz w:val="20"/>
          <w:szCs w:val="20"/>
          <w:shd w:val="clear" w:color="auto" w:fill="FFFFFF"/>
          <w:lang w:eastAsia="en-AU"/>
        </w:rPr>
        <w:t>Serology in the viraemic phase of illness may not demonstrate the presence of anti-</w:t>
      </w: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antibodies. Virus isolation and/or RT-PCR should also be attempted in this instance. Result variations may exist between assays depending on </w:t>
      </w:r>
      <w:proofErr w:type="gramStart"/>
      <w:r w:rsidRPr="007E3DE7">
        <w:rPr>
          <w:rFonts w:ascii="Helvetica" w:hAnsi="Helvetica" w:cs="Helvetica"/>
          <w:color w:val="222222"/>
          <w:sz w:val="20"/>
          <w:szCs w:val="20"/>
          <w:shd w:val="clear" w:color="auto" w:fill="FFFFFF"/>
          <w:lang w:eastAsia="en-AU"/>
        </w:rPr>
        <w:t>whether or not</w:t>
      </w:r>
      <w:proofErr w:type="gramEnd"/>
      <w:r w:rsidRPr="007E3DE7">
        <w:rPr>
          <w:rFonts w:ascii="Helvetica" w:hAnsi="Helvetica" w:cs="Helvetica"/>
          <w:color w:val="222222"/>
          <w:sz w:val="20"/>
          <w:szCs w:val="20"/>
          <w:shd w:val="clear" w:color="auto" w:fill="FFFFFF"/>
          <w:lang w:eastAsia="en-AU"/>
        </w:rPr>
        <w:t xml:space="preserve"> recombinant (partial genome represented) or whole viral antigens are employed.</w:t>
      </w:r>
    </w:p>
    <w:p w:rsidRPr="007E3DE7" w:rsidR="007E3DE7" w:rsidP="007E3DE7" w:rsidRDefault="007E3DE7" w14:paraId="0B14A33B" w14:textId="77777777">
      <w:pPr>
        <w:shd w:val="clear" w:color="auto" w:fill="FFFFFF"/>
        <w:spacing w:before="240" w:after="120" w:line="276" w:lineRule="auto"/>
        <w:outlineLvl w:val="1"/>
        <w:rPr>
          <w:rFonts w:ascii="Open Sans" w:hAnsi="Open Sans" w:cs="Open Sans"/>
          <w:color w:val="000000"/>
          <w:sz w:val="36"/>
          <w:szCs w:val="36"/>
          <w:lang w:eastAsia="en-AU"/>
        </w:rPr>
      </w:pPr>
      <w:r w:rsidRPr="007E3DE7">
        <w:rPr>
          <w:rFonts w:ascii="Open Sans" w:hAnsi="Open Sans" w:cs="Open Sans"/>
          <w:color w:val="000000"/>
          <w:sz w:val="36"/>
          <w:szCs w:val="36"/>
          <w:lang w:eastAsia="en-AU"/>
        </w:rPr>
        <w:t>4 Agreed Typing &amp; Subtyping Methods</w:t>
      </w:r>
    </w:p>
    <w:p w:rsidR="007E3DE7" w:rsidP="007E3DE7" w:rsidRDefault="007E3DE7" w14:paraId="3165D52E" w14:textId="22CBD50F">
      <w:pPr>
        <w:rPr>
          <w:rFonts w:ascii="Helvetica" w:hAnsi="Helvetica" w:cs="Helvetica"/>
          <w:color w:val="222222"/>
          <w:sz w:val="20"/>
          <w:szCs w:val="20"/>
          <w:lang w:eastAsia="en-AU"/>
        </w:rPr>
      </w:pPr>
      <w:proofErr w:type="spellStart"/>
      <w:r w:rsidRPr="007E3DE7">
        <w:rPr>
          <w:rFonts w:ascii="Helvetica" w:hAnsi="Helvetica" w:cs="Helvetica"/>
          <w:color w:val="222222"/>
          <w:sz w:val="20"/>
          <w:szCs w:val="20"/>
          <w:shd w:val="clear" w:color="auto" w:fill="FFFFFF"/>
          <w:lang w:eastAsia="en-AU"/>
        </w:rPr>
        <w:t>HeV</w:t>
      </w:r>
      <w:proofErr w:type="spellEnd"/>
      <w:r w:rsidRPr="007E3DE7">
        <w:rPr>
          <w:rFonts w:ascii="Helvetica" w:hAnsi="Helvetica" w:cs="Helvetica"/>
          <w:color w:val="222222"/>
          <w:sz w:val="20"/>
          <w:szCs w:val="20"/>
          <w:shd w:val="clear" w:color="auto" w:fill="FFFFFF"/>
          <w:lang w:eastAsia="en-AU"/>
        </w:rPr>
        <w:t xml:space="preserve"> is a member of the Family </w:t>
      </w:r>
      <w:proofErr w:type="spellStart"/>
      <w:r w:rsidRPr="007E3DE7">
        <w:rPr>
          <w:rFonts w:ascii="Helvetica" w:hAnsi="Helvetica" w:cs="Helvetica"/>
          <w:color w:val="222222"/>
          <w:sz w:val="20"/>
          <w:szCs w:val="20"/>
          <w:shd w:val="clear" w:color="auto" w:fill="FFFFFF"/>
          <w:lang w:eastAsia="en-AU"/>
        </w:rPr>
        <w:t>Paramyxoviridae</w:t>
      </w:r>
      <w:proofErr w:type="spellEnd"/>
      <w:r w:rsidRPr="007E3DE7">
        <w:rPr>
          <w:rFonts w:ascii="Helvetica" w:hAnsi="Helvetica" w:cs="Helvetica"/>
          <w:color w:val="222222"/>
          <w:sz w:val="20"/>
          <w:szCs w:val="20"/>
          <w:shd w:val="clear" w:color="auto" w:fill="FFFFFF"/>
          <w:lang w:eastAsia="en-AU"/>
        </w:rPr>
        <w:t xml:space="preserve">: Sub Family </w:t>
      </w:r>
      <w:proofErr w:type="spellStart"/>
      <w:r w:rsidRPr="007E3DE7">
        <w:rPr>
          <w:rFonts w:ascii="Helvetica" w:hAnsi="Helvetica" w:cs="Helvetica"/>
          <w:color w:val="222222"/>
          <w:sz w:val="20"/>
          <w:szCs w:val="20"/>
          <w:shd w:val="clear" w:color="auto" w:fill="FFFFFF"/>
          <w:lang w:eastAsia="en-AU"/>
        </w:rPr>
        <w:t>Paramyxovirinae</w:t>
      </w:r>
      <w:proofErr w:type="spellEnd"/>
      <w:r w:rsidRPr="007E3DE7">
        <w:rPr>
          <w:rFonts w:ascii="Helvetica" w:hAnsi="Helvetica" w:cs="Helvetica"/>
          <w:color w:val="222222"/>
          <w:sz w:val="20"/>
          <w:szCs w:val="20"/>
          <w:shd w:val="clear" w:color="auto" w:fill="FFFFFF"/>
          <w:lang w:eastAsia="en-AU"/>
        </w:rPr>
        <w:t xml:space="preserve">: Genus </w:t>
      </w:r>
      <w:proofErr w:type="spellStart"/>
      <w:r w:rsidRPr="007E3DE7">
        <w:rPr>
          <w:rFonts w:ascii="Helvetica" w:hAnsi="Helvetica" w:cs="Helvetica"/>
          <w:color w:val="222222"/>
          <w:sz w:val="20"/>
          <w:szCs w:val="20"/>
          <w:shd w:val="clear" w:color="auto" w:fill="FFFFFF"/>
          <w:lang w:eastAsia="en-AU"/>
        </w:rPr>
        <w:t>Henipavirus</w:t>
      </w:r>
      <w:proofErr w:type="spellEnd"/>
      <w:r w:rsidRPr="007E3DE7">
        <w:rPr>
          <w:rFonts w:ascii="Helvetica" w:hAnsi="Helvetica" w:cs="Helvetica"/>
          <w:color w:val="222222"/>
          <w:sz w:val="20"/>
          <w:szCs w:val="20"/>
          <w:shd w:val="clear" w:color="auto" w:fill="FFFFFF"/>
          <w:lang w:eastAsia="en-AU"/>
        </w:rPr>
        <w:t>: Species Hendra virus. There are no recognised subtypes.</w:t>
      </w:r>
    </w:p>
    <w:p w:rsidRPr="007E3DE7" w:rsidR="007E3DE7" w:rsidP="007E3DE7" w:rsidRDefault="007E3DE7" w14:paraId="1BDB48DB" w14:textId="77777777">
      <w:pPr>
        <w:shd w:val="clear" w:color="auto" w:fill="FFFFFF"/>
        <w:spacing w:before="240" w:after="120"/>
        <w:outlineLvl w:val="2"/>
        <w:rPr>
          <w:rFonts w:ascii="Open Sans" w:hAnsi="Open Sans" w:cs="Open Sans"/>
          <w:color w:val="000000"/>
          <w:sz w:val="27"/>
          <w:szCs w:val="27"/>
          <w:lang w:eastAsia="en-AU"/>
        </w:rPr>
      </w:pPr>
      <w:r w:rsidRPr="007E3DE7">
        <w:rPr>
          <w:rFonts w:ascii="Open Sans" w:hAnsi="Open Sans" w:cs="Open Sans"/>
          <w:color w:val="000000"/>
          <w:sz w:val="27"/>
          <w:szCs w:val="27"/>
          <w:lang w:eastAsia="en-AU"/>
        </w:rPr>
        <w:t>4.1 Laboratory Nomenclature for National Database Dictionary</w:t>
      </w:r>
    </w:p>
    <w:tbl>
      <w:tblPr>
        <w:tblW w:w="8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Laboratory Nomenclature for National Database Dictionary"/>
      </w:tblPr>
      <w:tblGrid>
        <w:gridCol w:w="4395"/>
        <w:gridCol w:w="4268"/>
      </w:tblGrid>
      <w:tr w:rsidRPr="007E3DE7" w:rsidR="007E3DE7" w:rsidTr="00BD0C0E" w14:paraId="195848BB" w14:textId="77777777">
        <w:trPr>
          <w:trHeight w:val="573"/>
        </w:trPr>
        <w:tc>
          <w:tcPr>
            <w:tcW w:w="4395" w:type="dxa"/>
            <w:shd w:val="clear" w:color="auto" w:fill="E8F3FA"/>
            <w:tcMar>
              <w:top w:w="150" w:type="dxa"/>
              <w:left w:w="150" w:type="dxa"/>
              <w:bottom w:w="150" w:type="dxa"/>
              <w:right w:w="150" w:type="dxa"/>
            </w:tcMar>
            <w:hideMark/>
          </w:tcPr>
          <w:p w:rsidRPr="007E3DE7" w:rsidR="007E3DE7" w:rsidP="007E3DE7" w:rsidRDefault="007E3DE7" w14:paraId="2AB00E51" w14:textId="77777777">
            <w:pPr>
              <w:spacing w:after="300"/>
              <w:rPr>
                <w:rFonts w:ascii="Helvetica" w:hAnsi="Helvetica" w:cs="Helvetica"/>
                <w:b/>
                <w:bCs/>
                <w:color w:val="222222"/>
                <w:sz w:val="20"/>
                <w:szCs w:val="20"/>
                <w:lang w:eastAsia="en-AU"/>
              </w:rPr>
            </w:pPr>
            <w:r w:rsidRPr="007E3DE7">
              <w:rPr>
                <w:rFonts w:ascii="Helvetica" w:hAnsi="Helvetica" w:cs="Helvetica"/>
                <w:b/>
                <w:bCs/>
                <w:color w:val="222222"/>
                <w:sz w:val="20"/>
                <w:szCs w:val="20"/>
                <w:lang w:eastAsia="en-AU"/>
              </w:rPr>
              <w:t>SNOMED CT concept</w:t>
            </w:r>
          </w:p>
        </w:tc>
        <w:tc>
          <w:tcPr>
            <w:tcW w:w="4268" w:type="dxa"/>
            <w:shd w:val="clear" w:color="auto" w:fill="E8F3FA"/>
            <w:tcMar>
              <w:top w:w="150" w:type="dxa"/>
              <w:left w:w="150" w:type="dxa"/>
              <w:bottom w:w="150" w:type="dxa"/>
              <w:right w:w="150" w:type="dxa"/>
            </w:tcMar>
            <w:hideMark/>
          </w:tcPr>
          <w:p w:rsidRPr="007E3DE7" w:rsidR="007E3DE7" w:rsidP="007E3DE7" w:rsidRDefault="007E3DE7" w14:paraId="3F2213A4" w14:textId="77777777">
            <w:pPr>
              <w:spacing w:after="300"/>
              <w:rPr>
                <w:rFonts w:ascii="Helvetica" w:hAnsi="Helvetica" w:cs="Helvetica"/>
                <w:b/>
                <w:bCs/>
                <w:color w:val="222222"/>
                <w:sz w:val="20"/>
                <w:szCs w:val="20"/>
                <w:lang w:eastAsia="en-AU"/>
              </w:rPr>
            </w:pPr>
            <w:r w:rsidRPr="007E3DE7">
              <w:rPr>
                <w:rFonts w:ascii="Helvetica" w:hAnsi="Helvetica" w:cs="Helvetica"/>
                <w:b/>
                <w:bCs/>
                <w:color w:val="222222"/>
                <w:sz w:val="20"/>
                <w:szCs w:val="20"/>
                <w:lang w:eastAsia="en-AU"/>
              </w:rPr>
              <w:t>SNOMED CT Code</w:t>
            </w:r>
          </w:p>
        </w:tc>
      </w:tr>
      <w:tr w:rsidRPr="007E3DE7" w:rsidR="007E3DE7" w:rsidTr="00BD0C0E" w14:paraId="6C8A9A22" w14:textId="77777777">
        <w:trPr>
          <w:trHeight w:val="573"/>
        </w:trPr>
        <w:tc>
          <w:tcPr>
            <w:tcW w:w="4395" w:type="dxa"/>
            <w:shd w:val="clear" w:color="auto" w:fill="FFFFFF"/>
            <w:tcMar>
              <w:top w:w="150" w:type="dxa"/>
              <w:left w:w="150" w:type="dxa"/>
              <w:bottom w:w="150" w:type="dxa"/>
              <w:right w:w="150" w:type="dxa"/>
            </w:tcMar>
            <w:hideMark/>
          </w:tcPr>
          <w:p w:rsidRPr="007E3DE7" w:rsidR="007E3DE7" w:rsidP="007E3DE7" w:rsidRDefault="007E3DE7" w14:paraId="6AEAF2B7" w14:textId="77777777">
            <w:pPr>
              <w:spacing w:after="300"/>
              <w:rPr>
                <w:rFonts w:ascii="Helvetica" w:hAnsi="Helvetica" w:cs="Helvetica"/>
                <w:color w:val="222222"/>
                <w:sz w:val="20"/>
                <w:szCs w:val="20"/>
                <w:lang w:eastAsia="en-AU"/>
              </w:rPr>
            </w:pPr>
            <w:r w:rsidRPr="007E3DE7">
              <w:rPr>
                <w:rFonts w:ascii="Helvetica" w:hAnsi="Helvetica" w:cs="Helvetica"/>
                <w:color w:val="222222"/>
                <w:sz w:val="20"/>
                <w:szCs w:val="20"/>
                <w:lang w:eastAsia="en-AU"/>
              </w:rPr>
              <w:t>Hendra virus (organism)</w:t>
            </w:r>
          </w:p>
        </w:tc>
        <w:tc>
          <w:tcPr>
            <w:tcW w:w="4268" w:type="dxa"/>
            <w:shd w:val="clear" w:color="auto" w:fill="FFFFFF"/>
            <w:tcMar>
              <w:top w:w="150" w:type="dxa"/>
              <w:left w:w="150" w:type="dxa"/>
              <w:bottom w:w="150" w:type="dxa"/>
              <w:right w:w="150" w:type="dxa"/>
            </w:tcMar>
            <w:hideMark/>
          </w:tcPr>
          <w:p w:rsidRPr="007E3DE7" w:rsidR="007E3DE7" w:rsidP="007E3DE7" w:rsidRDefault="007E3DE7" w14:paraId="526E4CF1" w14:textId="77777777">
            <w:pPr>
              <w:spacing w:after="300"/>
              <w:rPr>
                <w:rFonts w:ascii="Helvetica" w:hAnsi="Helvetica" w:cs="Helvetica"/>
                <w:color w:val="222222"/>
                <w:sz w:val="20"/>
                <w:szCs w:val="20"/>
                <w:lang w:eastAsia="en-AU"/>
              </w:rPr>
            </w:pPr>
            <w:r w:rsidRPr="007E3DE7">
              <w:rPr>
                <w:rFonts w:ascii="Helvetica" w:hAnsi="Helvetica" w:cs="Helvetica"/>
                <w:color w:val="222222"/>
                <w:sz w:val="20"/>
                <w:szCs w:val="20"/>
                <w:lang w:eastAsia="en-AU"/>
              </w:rPr>
              <w:t>115510008</w:t>
            </w:r>
          </w:p>
        </w:tc>
      </w:tr>
    </w:tbl>
    <w:p w:rsidR="007E3DE7" w:rsidP="007E3DE7" w:rsidRDefault="007E3DE7" w14:paraId="7F5B5388" w14:textId="77777777">
      <w:pPr>
        <w:shd w:val="clear" w:color="auto" w:fill="FFFFFF"/>
        <w:spacing w:before="240" w:after="120"/>
        <w:outlineLvl w:val="1"/>
        <w:rPr>
          <w:rFonts w:ascii="Open Sans" w:hAnsi="Open Sans" w:cs="Open Sans"/>
          <w:color w:val="000000"/>
          <w:sz w:val="36"/>
          <w:szCs w:val="36"/>
          <w:lang w:eastAsia="en-AU"/>
        </w:rPr>
      </w:pPr>
    </w:p>
    <w:p w:rsidR="007E3DE7" w:rsidRDefault="007E3DE7" w14:paraId="441B499B" w14:textId="77777777">
      <w:pPr>
        <w:rPr>
          <w:rFonts w:ascii="Open Sans" w:hAnsi="Open Sans" w:cs="Open Sans"/>
          <w:color w:val="000000"/>
          <w:sz w:val="36"/>
          <w:szCs w:val="36"/>
          <w:lang w:eastAsia="en-AU"/>
        </w:rPr>
      </w:pPr>
      <w:r>
        <w:rPr>
          <w:rFonts w:ascii="Open Sans" w:hAnsi="Open Sans" w:cs="Open Sans"/>
          <w:color w:val="000000"/>
          <w:sz w:val="36"/>
          <w:szCs w:val="36"/>
          <w:lang w:eastAsia="en-AU"/>
        </w:rPr>
        <w:br w:type="page"/>
      </w:r>
    </w:p>
    <w:p w:rsidRPr="007E3DE7" w:rsidR="007E3DE7" w:rsidP="007E3DE7" w:rsidRDefault="007E3DE7" w14:paraId="1C47E95D" w14:textId="6DA09259">
      <w:pPr>
        <w:shd w:val="clear" w:color="auto" w:fill="FFFFFF"/>
        <w:spacing w:before="240" w:after="120"/>
        <w:outlineLvl w:val="1"/>
        <w:rPr>
          <w:rFonts w:ascii="Open Sans" w:hAnsi="Open Sans" w:cs="Open Sans"/>
          <w:color w:val="000000"/>
          <w:sz w:val="36"/>
          <w:szCs w:val="36"/>
          <w:lang w:eastAsia="en-AU"/>
        </w:rPr>
      </w:pPr>
      <w:r w:rsidRPr="007E3DE7">
        <w:rPr>
          <w:rFonts w:ascii="Open Sans" w:hAnsi="Open Sans" w:cs="Open Sans"/>
          <w:color w:val="000000"/>
          <w:sz w:val="36"/>
          <w:szCs w:val="36"/>
          <w:lang w:eastAsia="en-AU"/>
        </w:rPr>
        <w:lastRenderedPageBreak/>
        <w:t>5 References</w:t>
      </w:r>
    </w:p>
    <w:p w:rsidRPr="007E3DE7" w:rsidR="007E3DE7" w:rsidP="007E3DE7" w:rsidRDefault="007E3DE7" w14:paraId="0DD0548D" w14:textId="77777777">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7E3DE7">
        <w:rPr>
          <w:rFonts w:ascii="Helvetica" w:hAnsi="Helvetica" w:cs="Helvetica"/>
          <w:color w:val="222222"/>
          <w:sz w:val="20"/>
          <w:szCs w:val="20"/>
          <w:lang w:eastAsia="en-AU"/>
        </w:rPr>
        <w:t>Selvey</w:t>
      </w:r>
      <w:proofErr w:type="spellEnd"/>
      <w:r w:rsidRPr="007E3DE7">
        <w:rPr>
          <w:rFonts w:ascii="Helvetica" w:hAnsi="Helvetica" w:cs="Helvetica"/>
          <w:color w:val="222222"/>
          <w:sz w:val="20"/>
          <w:szCs w:val="20"/>
          <w:lang w:eastAsia="en-AU"/>
        </w:rPr>
        <w:t xml:space="preserve"> LA, et al, Med. J. Aust. Vol 12 (1995) 642-645.</w:t>
      </w:r>
    </w:p>
    <w:p w:rsidRPr="007E3DE7" w:rsidR="007E3DE7" w:rsidP="007E3DE7" w:rsidRDefault="007E3DE7" w14:paraId="0C486ECE"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7E3DE7">
        <w:rPr>
          <w:rFonts w:ascii="Helvetica" w:hAnsi="Helvetica" w:cs="Helvetica"/>
          <w:color w:val="222222"/>
          <w:sz w:val="20"/>
          <w:szCs w:val="20"/>
          <w:lang w:eastAsia="en-AU"/>
        </w:rPr>
        <w:t xml:space="preserve">Murray K et al., </w:t>
      </w:r>
      <w:proofErr w:type="spellStart"/>
      <w:r w:rsidRPr="007E3DE7">
        <w:rPr>
          <w:rFonts w:ascii="Helvetica" w:hAnsi="Helvetica" w:cs="Helvetica"/>
          <w:color w:val="222222"/>
          <w:sz w:val="20"/>
          <w:szCs w:val="20"/>
          <w:lang w:eastAsia="en-AU"/>
        </w:rPr>
        <w:t>ScienceVol</w:t>
      </w:r>
      <w:proofErr w:type="spellEnd"/>
      <w:r w:rsidRPr="007E3DE7">
        <w:rPr>
          <w:rFonts w:ascii="Helvetica" w:hAnsi="Helvetica" w:cs="Helvetica"/>
          <w:color w:val="222222"/>
          <w:sz w:val="20"/>
          <w:szCs w:val="20"/>
          <w:lang w:eastAsia="en-AU"/>
        </w:rPr>
        <w:t xml:space="preserve"> 268 (1995) 94-97.</w:t>
      </w:r>
    </w:p>
    <w:p w:rsidRPr="007E3DE7" w:rsidR="007E3DE7" w:rsidP="007E3DE7" w:rsidRDefault="007E3DE7" w14:paraId="51CF968C"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7E3DE7">
        <w:rPr>
          <w:rFonts w:ascii="Helvetica" w:hAnsi="Helvetica" w:cs="Helvetica"/>
          <w:color w:val="222222"/>
          <w:sz w:val="20"/>
          <w:szCs w:val="20"/>
          <w:lang w:eastAsia="en-AU"/>
        </w:rPr>
        <w:t>Wang L et al, Microbes. Infect. Vol 3 (2001) 279-287.</w:t>
      </w:r>
    </w:p>
    <w:p w:rsidRPr="007E3DE7" w:rsidR="007E3DE7" w:rsidP="007E3DE7" w:rsidRDefault="007E3DE7" w14:paraId="23CF5E2A" w14:textId="77777777">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7E3DE7">
        <w:rPr>
          <w:rFonts w:ascii="Helvetica" w:hAnsi="Helvetica" w:cs="Helvetica"/>
          <w:color w:val="222222"/>
          <w:sz w:val="20"/>
          <w:szCs w:val="20"/>
          <w:lang w:eastAsia="en-AU"/>
        </w:rPr>
        <w:t>Bossart</w:t>
      </w:r>
      <w:proofErr w:type="spellEnd"/>
      <w:r w:rsidRPr="007E3DE7">
        <w:rPr>
          <w:rFonts w:ascii="Helvetica" w:hAnsi="Helvetica" w:cs="Helvetica"/>
          <w:color w:val="222222"/>
          <w:sz w:val="20"/>
          <w:szCs w:val="20"/>
          <w:lang w:eastAsia="en-AU"/>
        </w:rPr>
        <w:t xml:space="preserve"> KN et al. Virology Vol 372 (2008) 357-371.</w:t>
      </w:r>
    </w:p>
    <w:p w:rsidRPr="007E3DE7" w:rsidR="007E3DE7" w:rsidP="007E3DE7" w:rsidRDefault="007E3DE7" w14:paraId="655C3AE9"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7E3DE7">
        <w:rPr>
          <w:rFonts w:ascii="Helvetica" w:hAnsi="Helvetica" w:cs="Helvetica"/>
          <w:color w:val="222222"/>
          <w:sz w:val="20"/>
          <w:szCs w:val="20"/>
          <w:lang w:eastAsia="en-AU"/>
        </w:rPr>
        <w:t>Hanna JN et al, Med. J. Aust. Vol 10 (2006) 562-564.</w:t>
      </w:r>
    </w:p>
    <w:p w:rsidRPr="007E3DE7" w:rsidR="007E3DE7" w:rsidP="007E3DE7" w:rsidRDefault="007E3DE7" w14:paraId="1E4CEBB1"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7E3DE7">
        <w:rPr>
          <w:rFonts w:ascii="Helvetica" w:hAnsi="Helvetica" w:cs="Helvetica"/>
          <w:color w:val="222222"/>
          <w:sz w:val="20"/>
          <w:szCs w:val="20"/>
          <w:lang w:eastAsia="en-AU"/>
        </w:rPr>
        <w:t xml:space="preserve">Playford EG, et al, </w:t>
      </w:r>
      <w:proofErr w:type="spellStart"/>
      <w:r w:rsidRPr="007E3DE7">
        <w:rPr>
          <w:rFonts w:ascii="Helvetica" w:hAnsi="Helvetica" w:cs="Helvetica"/>
          <w:color w:val="222222"/>
          <w:sz w:val="20"/>
          <w:szCs w:val="20"/>
          <w:lang w:eastAsia="en-AU"/>
        </w:rPr>
        <w:t>Emerg</w:t>
      </w:r>
      <w:proofErr w:type="spellEnd"/>
      <w:r w:rsidRPr="007E3DE7">
        <w:rPr>
          <w:rFonts w:ascii="Helvetica" w:hAnsi="Helvetica" w:cs="Helvetica"/>
          <w:color w:val="222222"/>
          <w:sz w:val="20"/>
          <w:szCs w:val="20"/>
          <w:lang w:eastAsia="en-AU"/>
        </w:rPr>
        <w:t>. Infect. Dis. Vol 16 (2010) 219-223.</w:t>
      </w:r>
    </w:p>
    <w:p w:rsidRPr="007E3DE7" w:rsidR="007E3DE7" w:rsidP="007E3DE7" w:rsidRDefault="007E3DE7" w14:paraId="07FAA020"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7E3DE7">
        <w:rPr>
          <w:rFonts w:ascii="Helvetica" w:hAnsi="Helvetica" w:cs="Helvetica"/>
          <w:color w:val="222222"/>
          <w:sz w:val="20"/>
          <w:szCs w:val="20"/>
          <w:lang w:eastAsia="en-AU"/>
        </w:rPr>
        <w:t xml:space="preserve">Smith I, et al, J. </w:t>
      </w:r>
      <w:proofErr w:type="spellStart"/>
      <w:r w:rsidRPr="007E3DE7">
        <w:rPr>
          <w:rFonts w:ascii="Helvetica" w:hAnsi="Helvetica" w:cs="Helvetica"/>
          <w:color w:val="222222"/>
          <w:sz w:val="20"/>
          <w:szCs w:val="20"/>
          <w:lang w:eastAsia="en-AU"/>
        </w:rPr>
        <w:t>Virol</w:t>
      </w:r>
      <w:proofErr w:type="spellEnd"/>
      <w:r w:rsidRPr="007E3DE7">
        <w:rPr>
          <w:rFonts w:ascii="Helvetica" w:hAnsi="Helvetica" w:cs="Helvetica"/>
          <w:color w:val="222222"/>
          <w:sz w:val="20"/>
          <w:szCs w:val="20"/>
          <w:lang w:eastAsia="en-AU"/>
        </w:rPr>
        <w:t>. Methods. Vol. 98 (2001) 33-40</w:t>
      </w:r>
    </w:p>
    <w:p w:rsidRPr="007E3DE7" w:rsidR="007E3DE7" w:rsidP="007E3DE7" w:rsidRDefault="007E3DE7" w14:paraId="34DD8F4B"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7E3DE7">
        <w:rPr>
          <w:rFonts w:ascii="Helvetica" w:hAnsi="Helvetica" w:cs="Helvetica"/>
          <w:color w:val="222222"/>
          <w:sz w:val="20"/>
          <w:szCs w:val="20"/>
          <w:lang w:eastAsia="en-AU"/>
        </w:rPr>
        <w:t>Daniels et al, Microbes Infect Vol 3 (2001) 289-295.</w:t>
      </w:r>
    </w:p>
    <w:p w:rsidRPr="007E3DE7" w:rsidR="009E0B84" w:rsidP="00F42019" w:rsidRDefault="007E3DE7" w14:paraId="46CA51A9" w14:textId="3DA01BA5">
      <w:pPr>
        <w:numPr>
          <w:ilvl w:val="0"/>
          <w:numId w:val="23"/>
        </w:numPr>
        <w:shd w:val="clear" w:color="auto" w:fill="FFFFFF"/>
        <w:spacing w:after="90" w:line="300" w:lineRule="atLeast"/>
        <w:rPr>
          <w:rFonts w:ascii="Helvetica" w:hAnsi="Helvetica" w:cs="Helvetica"/>
          <w:color w:val="222222"/>
          <w:sz w:val="20"/>
          <w:szCs w:val="20"/>
          <w:lang w:eastAsia="en-AU"/>
        </w:rPr>
      </w:pPr>
      <w:proofErr w:type="spellStart"/>
      <w:r w:rsidRPr="007E3DE7">
        <w:rPr>
          <w:rFonts w:ascii="Helvetica" w:hAnsi="Helvetica" w:cs="Helvetica"/>
          <w:color w:val="222222"/>
          <w:sz w:val="20"/>
          <w:szCs w:val="20"/>
          <w:lang w:eastAsia="en-AU"/>
        </w:rPr>
        <w:t>Bossart</w:t>
      </w:r>
      <w:proofErr w:type="spellEnd"/>
      <w:r w:rsidRPr="007E3DE7">
        <w:rPr>
          <w:rFonts w:ascii="Helvetica" w:hAnsi="Helvetica" w:cs="Helvetica"/>
          <w:color w:val="222222"/>
          <w:sz w:val="20"/>
          <w:szCs w:val="20"/>
          <w:lang w:eastAsia="en-AU"/>
        </w:rPr>
        <w:t xml:space="preserve"> KN, et al, </w:t>
      </w:r>
      <w:proofErr w:type="gramStart"/>
      <w:r w:rsidRPr="007E3DE7">
        <w:rPr>
          <w:rFonts w:ascii="Helvetica" w:hAnsi="Helvetica" w:cs="Helvetica"/>
          <w:color w:val="222222"/>
          <w:sz w:val="20"/>
          <w:szCs w:val="20"/>
          <w:lang w:eastAsia="en-AU"/>
        </w:rPr>
        <w:t>J .</w:t>
      </w:r>
      <w:proofErr w:type="spellStart"/>
      <w:r w:rsidRPr="007E3DE7">
        <w:rPr>
          <w:rFonts w:ascii="Helvetica" w:hAnsi="Helvetica" w:cs="Helvetica"/>
          <w:color w:val="222222"/>
          <w:sz w:val="20"/>
          <w:szCs w:val="20"/>
          <w:lang w:eastAsia="en-AU"/>
        </w:rPr>
        <w:t>Virol</w:t>
      </w:r>
      <w:proofErr w:type="spellEnd"/>
      <w:proofErr w:type="gramEnd"/>
      <w:r w:rsidRPr="007E3DE7">
        <w:rPr>
          <w:rFonts w:ascii="Helvetica" w:hAnsi="Helvetica" w:cs="Helvetica"/>
          <w:color w:val="222222"/>
          <w:sz w:val="20"/>
          <w:szCs w:val="20"/>
          <w:lang w:eastAsia="en-AU"/>
        </w:rPr>
        <w:t xml:space="preserve">. </w:t>
      </w:r>
      <w:proofErr w:type="gramStart"/>
      <w:r w:rsidRPr="007E3DE7">
        <w:rPr>
          <w:rFonts w:ascii="Helvetica" w:hAnsi="Helvetica" w:cs="Helvetica"/>
          <w:color w:val="222222"/>
          <w:sz w:val="20"/>
          <w:szCs w:val="20"/>
          <w:lang w:eastAsia="en-AU"/>
        </w:rPr>
        <w:t>Methods .</w:t>
      </w:r>
      <w:proofErr w:type="gramEnd"/>
      <w:r w:rsidRPr="007E3DE7">
        <w:rPr>
          <w:rFonts w:ascii="Helvetica" w:hAnsi="Helvetica" w:cs="Helvetica"/>
          <w:color w:val="222222"/>
          <w:sz w:val="20"/>
          <w:szCs w:val="20"/>
          <w:lang w:eastAsia="en-AU"/>
        </w:rPr>
        <w:t>Vol. 142 (2007) 29-40.</w:t>
      </w:r>
    </w:p>
    <w:sectPr w:rsidRPr="007E3DE7"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3DE7" w:rsidP="006B56BB" w:rsidRDefault="007E3DE7" w14:paraId="5320E066" w14:textId="77777777">
      <w:r>
        <w:separator/>
      </w:r>
    </w:p>
    <w:p w:rsidR="007E3DE7" w:rsidRDefault="007E3DE7" w14:paraId="2F4D8FA2" w14:textId="77777777"/>
  </w:endnote>
  <w:endnote w:type="continuationSeparator" w:id="0">
    <w:p w:rsidR="007E3DE7" w:rsidP="006B56BB" w:rsidRDefault="007E3DE7" w14:paraId="0FF0B517" w14:textId="77777777">
      <w:r>
        <w:continuationSeparator/>
      </w:r>
    </w:p>
    <w:p w:rsidR="007E3DE7" w:rsidRDefault="007E3DE7" w14:paraId="205FF48C" w14:textId="77777777"/>
  </w:endnote>
  <w:endnote w:type="continuationNotice" w:id="1">
    <w:p w:rsidR="007E3DE7" w:rsidRDefault="007E3DE7" w14:paraId="44CCBD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7E3DE7" w14:paraId="6541BF0D" w14:textId="429E6A07">
            <w:pPr>
              <w:pStyle w:val="Footer"/>
              <w:jc w:val="right"/>
            </w:pPr>
            <w:r w:rsidRPr="007E3DE7">
              <w:t>Hendra virus</w:t>
            </w:r>
            <w:r>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264B48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7E3DE7" w14:paraId="10F3BF3F" w14:textId="5A753A79">
    <w:pPr>
      <w:pStyle w:val="Footer"/>
      <w:jc w:val="right"/>
    </w:pPr>
    <w:r w:rsidRPr="007E3DE7">
      <w:t xml:space="preserve">Hendra </w:t>
    </w:r>
    <w:r>
      <w:t>v</w:t>
    </w:r>
    <w:r w:rsidRPr="007E3DE7">
      <w:t>irus</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71FC8D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3DE7" w:rsidP="006B56BB" w:rsidRDefault="007E3DE7" w14:paraId="63AE3180" w14:textId="77777777">
      <w:r>
        <w:separator/>
      </w:r>
    </w:p>
    <w:p w:rsidR="007E3DE7" w:rsidRDefault="007E3DE7" w14:paraId="2CADF4A9" w14:textId="77777777"/>
  </w:footnote>
  <w:footnote w:type="continuationSeparator" w:id="0">
    <w:p w:rsidR="007E3DE7" w:rsidP="006B56BB" w:rsidRDefault="007E3DE7" w14:paraId="2EB42F7B" w14:textId="77777777">
      <w:r>
        <w:continuationSeparator/>
      </w:r>
    </w:p>
    <w:p w:rsidR="007E3DE7" w:rsidRDefault="007E3DE7" w14:paraId="518E530E" w14:textId="77777777"/>
  </w:footnote>
  <w:footnote w:type="continuationNotice" w:id="1">
    <w:p w:rsidR="007E3DE7" w:rsidRDefault="007E3DE7" w14:paraId="321199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1E996A1F"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71D53032" w14:textId="77777777">
    <w:pPr>
      <w:pStyle w:val="Header"/>
    </w:pPr>
    <w:r>
      <w:rPr>
        <w:noProof/>
      </w:rPr>
      <w:drawing>
        <wp:inline distT="0" distB="0" distL="0" distR="0" wp14:anchorId="6675A9ED" wp14:editId="4B04E31E">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10E0354"/>
    <w:multiLevelType w:val="multilevel"/>
    <w:tmpl w:val="C402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3EF46194"/>
    <w:multiLevelType w:val="multilevel"/>
    <w:tmpl w:val="49DAC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50CF49B1"/>
    <w:multiLevelType w:val="multilevel"/>
    <w:tmpl w:val="BF826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613033C4"/>
    <w:multiLevelType w:val="multilevel"/>
    <w:tmpl w:val="5EB00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9"/>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3"/>
  </w:num>
  <w:num w:numId="20">
    <w:abstractNumId w:val="18"/>
  </w:num>
  <w:num w:numId="21">
    <w:abstractNumId w:val="16"/>
  </w:num>
  <w:num w:numId="22">
    <w:abstractNumId w:val="14"/>
  </w:num>
  <w:num w:numId="2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E7"/>
    <w:rsid w:val="00003743"/>
    <w:rsid w:val="000047B4"/>
    <w:rsid w:val="00005712"/>
    <w:rsid w:val="00007FD8"/>
    <w:rsid w:val="000117F8"/>
    <w:rsid w:val="0001460F"/>
    <w:rsid w:val="00022570"/>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1EF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3DE7"/>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C0E"/>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35C6E988"/>
    <w:rsid w:val="4516AD83"/>
    <w:rsid w:val="6EBF7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0E349"/>
  <w15:docId w15:val="{06643BBD-16EA-4A64-881E-C8FA8AFE9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760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f8612e8ec1b44e28"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77e305-3502-4a6f-8cab-391674afc3c7}"/>
      </w:docPartPr>
      <w:docPartBody>
        <w:p w14:paraId="4AB86BFB">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http://purl.org/dc/terms/"/>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CC5B0D4B-7948-455F-A02D-0F68046A0D16}"/>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Hendra virus – Laboratory case definition</dc:title>
  <dc:creator>Public Health Laboratories Network</dc:creator>
  <cp:keywords>Communicable diseases</cp:keywords>
  <cp:lastModifiedBy>WATSON, Michel</cp:lastModifiedBy>
  <cp:revision>5</cp:revision>
  <dcterms:created xsi:type="dcterms:W3CDTF">2022-06-05T23:17:00Z</dcterms:created>
  <dcterms:modified xsi:type="dcterms:W3CDTF">2022-06-09T23:39:05Z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