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D7CD9E3" w14:textId="77777777" w:rsidTr="00800DEB">
        <w:tc>
          <w:tcPr>
            <w:tcW w:w="2547" w:type="dxa"/>
          </w:tcPr>
          <w:p w14:paraId="39C0B301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8F5A76D" wp14:editId="3324FB68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0A000E9" w14:textId="6312FCE1" w:rsidR="00800DEB" w:rsidRDefault="00BA0F9A" w:rsidP="00800DEB">
            <w:pPr>
              <w:pStyle w:val="Title"/>
            </w:pPr>
            <w:r w:rsidRPr="00BA0F9A">
              <w:t>Haemolytic uraemic syndrome (HUS)</w:t>
            </w:r>
          </w:p>
          <w:p w14:paraId="054FB26E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9BFAE96" w14:textId="7CE76BC1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BA0F9A">
        <w:t>h</w:t>
      </w:r>
      <w:r w:rsidR="00BA0F9A" w:rsidRPr="00BA0F9A">
        <w:t>aemolytic uraemic syndrome (HUS)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590716" w14:paraId="2F9681E0" w14:textId="77777777" w:rsidTr="00590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BB0244" w14:textId="77777777" w:rsidR="00590716" w:rsidRDefault="00590716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2D912" w14:textId="77777777" w:rsidR="00590716" w:rsidRDefault="0059071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5E76BC" w14:textId="77777777" w:rsidR="00590716" w:rsidRDefault="0059071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DD30E" w14:textId="77777777" w:rsidR="00590716" w:rsidRDefault="0059071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590716" w14:paraId="08AE9C73" w14:textId="77777777" w:rsidTr="0059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13449" w14:textId="77777777" w:rsidR="00590716" w:rsidRDefault="0059071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F9A0E" w14:textId="77777777" w:rsidR="00590716" w:rsidRDefault="0059071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5D424" w14:textId="77777777" w:rsidR="00590716" w:rsidRDefault="0059071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A846BD" w14:textId="77777777" w:rsidR="00590716" w:rsidRDefault="0059071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40DE5068" w14:textId="04DE9B6E" w:rsidR="00BA0F9A" w:rsidRPr="00BA0F9A" w:rsidRDefault="00BA0F9A" w:rsidP="00BA0F9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A0F9A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2BBF80E5" w14:textId="606EEB35" w:rsidR="00BA0F9A" w:rsidRPr="00BA0F9A" w:rsidRDefault="00BA0F9A" w:rsidP="00BA0F9A">
      <w:pPr>
        <w:rPr>
          <w:rFonts w:ascii="Times New Roman" w:hAnsi="Times New Roman"/>
          <w:sz w:val="24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BA0F9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BA0F9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6CC0A63C" w14:textId="77777777" w:rsidR="00BA0F9A" w:rsidRPr="00BA0F9A" w:rsidRDefault="00BA0F9A" w:rsidP="00BA0F9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A0F9A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35B62BDB" w14:textId="77777777" w:rsidR="00BA0F9A" w:rsidRPr="00BA0F9A" w:rsidRDefault="00BA0F9A" w:rsidP="00BA0F9A">
      <w:pPr>
        <w:rPr>
          <w:rFonts w:ascii="Times New Roman" w:hAnsi="Times New Roman"/>
          <w:sz w:val="24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BA0F9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BA0F9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28BD454E" w14:textId="77777777" w:rsidR="00BA0F9A" w:rsidRPr="00BA0F9A" w:rsidRDefault="00BA0F9A" w:rsidP="00BA0F9A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A0F9A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00188586" w14:textId="77777777" w:rsidR="00BA0F9A" w:rsidRPr="00BA0F9A" w:rsidRDefault="00BA0F9A" w:rsidP="00BA0F9A">
      <w:pPr>
        <w:rPr>
          <w:rFonts w:ascii="Times New Roman" w:hAnsi="Times New Roman"/>
          <w:sz w:val="24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Acute microangiopathic anaemia on peripheral blood smear (schistocytes, burr cells or helmet cells)</w:t>
      </w:r>
    </w:p>
    <w:p w14:paraId="47C72465" w14:textId="77777777" w:rsidR="00BA0F9A" w:rsidRPr="00BA0F9A" w:rsidRDefault="00BA0F9A" w:rsidP="00BA0F9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>AND AT LEAST ONE OF THE FOLLOWING:</w:t>
      </w:r>
    </w:p>
    <w:p w14:paraId="3DCC11CE" w14:textId="77777777" w:rsidR="00BA0F9A" w:rsidRPr="00BA0F9A" w:rsidRDefault="00BA0F9A" w:rsidP="00BA0F9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2. Acute renal impairment (haematuria, </w:t>
      </w:r>
      <w:proofErr w:type="gramStart"/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>proteinuria</w:t>
      </w:r>
      <w:proofErr w:type="gramEnd"/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or elevated creatinine level)</w:t>
      </w:r>
    </w:p>
    <w:p w14:paraId="58D3EE84" w14:textId="77777777" w:rsidR="00BA0F9A" w:rsidRPr="00BA0F9A" w:rsidRDefault="00BA0F9A" w:rsidP="00BA0F9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5722042" w14:textId="77777777" w:rsidR="00BA0F9A" w:rsidRPr="00BA0F9A" w:rsidRDefault="00BA0F9A" w:rsidP="00BA0F9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>3. Thrombocytopaenia, particularly during the first seven days of illness.</w:t>
      </w:r>
    </w:p>
    <w:p w14:paraId="450EEF0D" w14:textId="1A424359" w:rsidR="009E0B84" w:rsidRPr="00BA0F9A" w:rsidRDefault="00BA0F9A" w:rsidP="00BA0F9A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A0F9A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Note:</w:t>
      </w:r>
      <w:r w:rsidRPr="00BA0F9A">
        <w:rPr>
          <w:rFonts w:ascii="Helvetica" w:hAnsi="Helvetica" w:cs="Helvetica"/>
          <w:color w:val="222222"/>
          <w:sz w:val="20"/>
          <w:szCs w:val="20"/>
          <w:lang w:eastAsia="en-AU"/>
        </w:rPr>
        <w:t> Where STEC/VTEC is isolated in the context of HUS, it should be notified as both STEC/VTEC and HUS.</w:t>
      </w:r>
    </w:p>
    <w:sectPr w:rsidR="009E0B84" w:rsidRPr="00BA0F9A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EE8B" w14:textId="77777777" w:rsidR="00BA0F9A" w:rsidRDefault="00BA0F9A" w:rsidP="006B56BB">
      <w:r>
        <w:separator/>
      </w:r>
    </w:p>
    <w:p w14:paraId="74DA2D79" w14:textId="77777777" w:rsidR="00BA0F9A" w:rsidRDefault="00BA0F9A"/>
  </w:endnote>
  <w:endnote w:type="continuationSeparator" w:id="0">
    <w:p w14:paraId="79A7090E" w14:textId="77777777" w:rsidR="00BA0F9A" w:rsidRDefault="00BA0F9A" w:rsidP="006B56BB">
      <w:r>
        <w:continuationSeparator/>
      </w:r>
    </w:p>
    <w:p w14:paraId="18135A18" w14:textId="77777777" w:rsidR="00BA0F9A" w:rsidRDefault="00BA0F9A"/>
  </w:endnote>
  <w:endnote w:type="continuationNotice" w:id="1">
    <w:p w14:paraId="3577ECF8" w14:textId="77777777" w:rsidR="00BA0F9A" w:rsidRDefault="00BA0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6CC1E" w14:textId="40FE6910" w:rsidR="00CD407A" w:rsidRDefault="00BA0F9A" w:rsidP="00BA0F9A">
            <w:pPr>
              <w:pStyle w:val="Footer"/>
              <w:jc w:val="right"/>
            </w:pPr>
            <w:r w:rsidRPr="00BA0F9A">
              <w:t>Haemolytic uraemic syndrome (HUS)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D9375" w14:textId="77777777" w:rsidR="00BA0F9A" w:rsidRDefault="00BA0F9A" w:rsidP="006B56BB">
      <w:r>
        <w:separator/>
      </w:r>
    </w:p>
    <w:p w14:paraId="659EBEB3" w14:textId="77777777" w:rsidR="00BA0F9A" w:rsidRDefault="00BA0F9A"/>
  </w:footnote>
  <w:footnote w:type="continuationSeparator" w:id="0">
    <w:p w14:paraId="1FBFDE7F" w14:textId="77777777" w:rsidR="00BA0F9A" w:rsidRDefault="00BA0F9A" w:rsidP="006B56BB">
      <w:r>
        <w:continuationSeparator/>
      </w:r>
    </w:p>
    <w:p w14:paraId="1EC76D87" w14:textId="77777777" w:rsidR="00BA0F9A" w:rsidRDefault="00BA0F9A"/>
  </w:footnote>
  <w:footnote w:type="continuationNotice" w:id="1">
    <w:p w14:paraId="164FDEC3" w14:textId="77777777" w:rsidR="00BA0F9A" w:rsidRDefault="00BA0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9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0716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0F9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12D25"/>
  <w15:docId w15:val="{39EABC9B-E32E-4DC6-A3C5-C94B04D5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BA0F9A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0F9A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A0F9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96609-6CEE-4717-B26E-72B0ACBF378D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http://purl.org/dc/terms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4</TotalTime>
  <Pages>1</Pages>
  <Words>145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Haemolytic uraemic syndrome (HUS)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2022-06-07T02:20:00Z</dcterms:created>
  <dcterms:modified xsi:type="dcterms:W3CDTF">2022-06-09T05:30:00Z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