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9FB" w:rsidRPr="00E80E4D" w:rsidRDefault="00E80E4D" w:rsidP="0049790F">
      <w:pPr>
        <w:pStyle w:val="Covertitle"/>
        <w:rPr>
          <w:rFonts w:cs="Segoe UI"/>
          <w:b/>
          <w:color w:val="auto"/>
          <w:sz w:val="64"/>
          <w:szCs w:val="64"/>
        </w:rPr>
      </w:pPr>
      <w:r>
        <w:rPr>
          <w:rFonts w:cs="Segoe UI"/>
          <w:b/>
          <w:color w:val="FFFFFF"/>
          <w:sz w:val="64"/>
          <w:szCs w:val="64"/>
        </w:rPr>
        <w:tab/>
      </w:r>
      <w:r>
        <w:rPr>
          <w:rFonts w:cs="Segoe UI"/>
          <w:b/>
          <w:color w:val="FFFFFF"/>
          <w:sz w:val="64"/>
          <w:szCs w:val="64"/>
        </w:rPr>
        <w:tab/>
      </w:r>
      <w:r>
        <w:rPr>
          <w:rFonts w:cs="Segoe UI"/>
          <w:b/>
          <w:color w:val="FFFFFF"/>
          <w:sz w:val="64"/>
          <w:szCs w:val="64"/>
        </w:rPr>
        <w:tab/>
      </w:r>
      <w:r>
        <w:rPr>
          <w:rFonts w:cs="Segoe UI"/>
          <w:b/>
          <w:color w:val="FFFFFF"/>
          <w:sz w:val="64"/>
          <w:szCs w:val="64"/>
        </w:rPr>
        <w:tab/>
      </w:r>
      <w:r>
        <w:rPr>
          <w:rFonts w:cs="Segoe UI"/>
          <w:b/>
          <w:color w:val="FFFFFF"/>
          <w:sz w:val="64"/>
          <w:szCs w:val="64"/>
        </w:rPr>
        <w:tab/>
      </w:r>
      <w:r>
        <w:rPr>
          <w:rFonts w:cs="Segoe UI"/>
          <w:b/>
          <w:color w:val="FFFFFF"/>
          <w:sz w:val="64"/>
          <w:szCs w:val="64"/>
        </w:rPr>
        <w:tab/>
      </w:r>
      <w:r>
        <w:rPr>
          <w:rFonts w:cs="Segoe UI"/>
          <w:b/>
          <w:color w:val="FFFFFF"/>
          <w:sz w:val="64"/>
          <w:szCs w:val="64"/>
        </w:rPr>
        <w:tab/>
      </w:r>
      <w:r>
        <w:rPr>
          <w:rFonts w:cs="Segoe UI"/>
          <w:b/>
          <w:color w:val="FFFFFF"/>
          <w:sz w:val="64"/>
          <w:szCs w:val="64"/>
        </w:rPr>
        <w:tab/>
      </w:r>
      <w:r w:rsidRPr="00E80E4D">
        <w:rPr>
          <w:rFonts w:cs="Segoe UI"/>
          <w:b/>
          <w:color w:val="auto"/>
          <w:sz w:val="64"/>
          <w:szCs w:val="64"/>
        </w:rPr>
        <w:tab/>
      </w:r>
      <w:r w:rsidRPr="00E80E4D">
        <w:rPr>
          <w:rFonts w:cs="Segoe UI"/>
          <w:b/>
          <w:color w:val="auto"/>
          <w:sz w:val="64"/>
          <w:szCs w:val="64"/>
        </w:rPr>
        <w:tab/>
      </w:r>
      <w:r>
        <w:rPr>
          <w:rFonts w:cs="Segoe UI"/>
          <w:b/>
          <w:color w:val="auto"/>
          <w:sz w:val="64"/>
          <w:szCs w:val="64"/>
        </w:rPr>
        <w:tab/>
      </w:r>
    </w:p>
    <w:p w:rsidR="00E779FB" w:rsidRPr="00E80E4D" w:rsidRDefault="00E779FB" w:rsidP="0049790F">
      <w:pPr>
        <w:pStyle w:val="Covertitle"/>
        <w:rPr>
          <w:rFonts w:cs="Segoe UI"/>
          <w:b/>
          <w:color w:val="auto"/>
          <w:sz w:val="64"/>
          <w:szCs w:val="64"/>
        </w:rPr>
      </w:pPr>
    </w:p>
    <w:p w:rsidR="00E779FB" w:rsidRDefault="00E779FB" w:rsidP="0049790F">
      <w:pPr>
        <w:pStyle w:val="Covertitle"/>
        <w:rPr>
          <w:rFonts w:cs="Segoe UI"/>
          <w:b/>
          <w:color w:val="auto"/>
          <w:sz w:val="64"/>
          <w:szCs w:val="64"/>
        </w:rPr>
      </w:pPr>
    </w:p>
    <w:p w:rsidR="00F97418" w:rsidRDefault="00E779FB" w:rsidP="00227A9B">
      <w:pPr>
        <w:pStyle w:val="Covertitle"/>
      </w:pPr>
      <w:r>
        <w:rPr>
          <w:rFonts w:cs="Segoe UI"/>
          <w:b/>
          <w:color w:val="auto"/>
          <w:sz w:val="64"/>
          <w:szCs w:val="64"/>
        </w:rPr>
        <w:t>Fourth</w:t>
      </w:r>
      <w:r w:rsidRPr="00340744">
        <w:rPr>
          <w:rFonts w:cs="Segoe UI"/>
          <w:b/>
          <w:color w:val="auto"/>
          <w:sz w:val="64"/>
          <w:szCs w:val="64"/>
        </w:rPr>
        <w:t xml:space="preserve"> National </w:t>
      </w:r>
      <w:r w:rsidR="00D42AC7">
        <w:rPr>
          <w:rFonts w:cs="Segoe UI"/>
          <w:b/>
          <w:color w:val="auto"/>
          <w:sz w:val="64"/>
          <w:szCs w:val="64"/>
        </w:rPr>
        <w:t xml:space="preserve">Sexually Transmissible </w:t>
      </w:r>
      <w:r w:rsidR="00BE4B49">
        <w:rPr>
          <w:rFonts w:cs="Segoe UI"/>
          <w:b/>
          <w:color w:val="auto"/>
          <w:sz w:val="64"/>
          <w:szCs w:val="64"/>
        </w:rPr>
        <w:t>Infections</w:t>
      </w:r>
      <w:r w:rsidR="00D42AC7" w:rsidRPr="00340744">
        <w:rPr>
          <w:rFonts w:cs="Segoe UI"/>
          <w:b/>
          <w:color w:val="auto"/>
          <w:sz w:val="64"/>
          <w:szCs w:val="64"/>
        </w:rPr>
        <w:t xml:space="preserve"> </w:t>
      </w:r>
      <w:r w:rsidRPr="00340744">
        <w:rPr>
          <w:rFonts w:cs="Segoe UI"/>
          <w:b/>
          <w:color w:val="auto"/>
          <w:sz w:val="64"/>
          <w:szCs w:val="64"/>
        </w:rPr>
        <w:t xml:space="preserve">Strategy </w:t>
      </w:r>
      <w:r w:rsidRPr="009116D8">
        <w:rPr>
          <w:rFonts w:cs="Segoe UI"/>
          <w:b/>
          <w:color w:val="auto"/>
          <w:sz w:val="52"/>
          <w:szCs w:val="52"/>
        </w:rPr>
        <w:t>2018</w:t>
      </w:r>
      <w:r w:rsidR="00944683">
        <w:rPr>
          <w:rFonts w:cs="Segoe UI"/>
          <w:b/>
          <w:color w:val="auto"/>
          <w:sz w:val="52"/>
          <w:szCs w:val="52"/>
        </w:rPr>
        <w:t>–</w:t>
      </w:r>
      <w:r w:rsidRPr="009116D8">
        <w:rPr>
          <w:rFonts w:cs="Segoe UI"/>
          <w:b/>
          <w:color w:val="auto"/>
          <w:sz w:val="52"/>
          <w:szCs w:val="52"/>
        </w:rPr>
        <w:t>2022</w:t>
      </w:r>
    </w:p>
    <w:p w:rsidR="00F97418" w:rsidRDefault="00F97418">
      <w:pPr>
        <w:spacing w:after="160" w:line="259" w:lineRule="auto"/>
      </w:pPr>
      <w:r>
        <w:br w:type="page"/>
      </w:r>
      <w:bookmarkStart w:id="0" w:name="_GoBack"/>
      <w:bookmarkEnd w:id="0"/>
    </w:p>
    <w:p w:rsidR="00F97418" w:rsidRDefault="00F97418">
      <w:pPr>
        <w:spacing w:after="160" w:line="259" w:lineRule="auto"/>
      </w:pPr>
    </w:p>
    <w:p w:rsidR="00FD4AB1" w:rsidRPr="006B3C1E" w:rsidRDefault="00FD4AB1" w:rsidP="000D5CE3">
      <w:pPr>
        <w:sectPr w:rsidR="00FD4AB1" w:rsidRPr="006B3C1E" w:rsidSect="00D92E90">
          <w:footerReference w:type="default" r:id="rId13"/>
          <w:pgSz w:w="11907" w:h="16839" w:code="9"/>
          <w:pgMar w:top="1440" w:right="1080" w:bottom="1440" w:left="1080" w:header="737" w:footer="567" w:gutter="0"/>
          <w:pgNumType w:start="1"/>
          <w:cols w:space="720"/>
          <w:titlePg/>
          <w:docGrid w:linePitch="360"/>
        </w:sectPr>
      </w:pPr>
      <w:r w:rsidRPr="006B3C1E">
        <w:t>This page is intentionally blank</w:t>
      </w:r>
      <w:r w:rsidR="0073030E" w:rsidRPr="006B3C1E">
        <w:t>.</w:t>
      </w:r>
    </w:p>
    <w:p w:rsidR="00CF7BA0" w:rsidRPr="00A42CAD" w:rsidRDefault="00CF7BA0" w:rsidP="00CF7BA0">
      <w:pPr>
        <w:pStyle w:val="ContentsHeading"/>
        <w:rPr>
          <w:b w:val="0"/>
        </w:rPr>
      </w:pPr>
      <w:r w:rsidRPr="006B3C1E">
        <w:lastRenderedPageBreak/>
        <w:t>Contents</w:t>
      </w:r>
      <w:r w:rsidR="00BC59E3">
        <w:t xml:space="preserve">  </w:t>
      </w:r>
    </w:p>
    <w:p w:rsidR="00D15505" w:rsidRPr="00F94100" w:rsidRDefault="00FD2DCB">
      <w:pPr>
        <w:pStyle w:val="TOC1"/>
        <w:rPr>
          <w:rFonts w:ascii="Calibri" w:hAnsi="Calibri"/>
          <w:sz w:val="24"/>
          <w:szCs w:val="24"/>
          <w:lang w:val="en-US" w:eastAsia="en-US"/>
        </w:rPr>
      </w:pPr>
      <w:r w:rsidRPr="006B3C1E">
        <w:fldChar w:fldCharType="begin"/>
      </w:r>
      <w:r w:rsidR="008A4363" w:rsidRPr="006B3C1E">
        <w:instrText xml:space="preserve"> TOC \o "1-3" \h \z \u </w:instrText>
      </w:r>
      <w:r w:rsidRPr="006B3C1E">
        <w:fldChar w:fldCharType="separate"/>
      </w:r>
      <w:hyperlink w:anchor="_Toc529473029" w:history="1">
        <w:r w:rsidR="00D15505" w:rsidRPr="00BB5A2F">
          <w:rPr>
            <w:rStyle w:val="Hyperlink"/>
          </w:rPr>
          <w:t>1</w:t>
        </w:r>
        <w:r w:rsidR="00D15505" w:rsidRPr="00F94100">
          <w:rPr>
            <w:rFonts w:ascii="Calibri" w:hAnsi="Calibri"/>
            <w:sz w:val="24"/>
            <w:szCs w:val="24"/>
            <w:lang w:val="en-US" w:eastAsia="en-US"/>
          </w:rPr>
          <w:tab/>
        </w:r>
        <w:r w:rsidR="00D15505" w:rsidRPr="00BB5A2F">
          <w:rPr>
            <w:rStyle w:val="Hyperlink"/>
          </w:rPr>
          <w:t>Introduction</w:t>
        </w:r>
        <w:r w:rsidR="00D15505">
          <w:rPr>
            <w:webHidden/>
          </w:rPr>
          <w:tab/>
        </w:r>
        <w:r w:rsidR="00D15505">
          <w:rPr>
            <w:webHidden/>
          </w:rPr>
          <w:fldChar w:fldCharType="begin"/>
        </w:r>
        <w:r w:rsidR="00D15505">
          <w:rPr>
            <w:webHidden/>
          </w:rPr>
          <w:instrText xml:space="preserve"> PAGEREF _Toc529473029 \h </w:instrText>
        </w:r>
        <w:r w:rsidR="00D15505">
          <w:rPr>
            <w:webHidden/>
          </w:rPr>
        </w:r>
        <w:r w:rsidR="00D15505">
          <w:rPr>
            <w:webHidden/>
          </w:rPr>
          <w:fldChar w:fldCharType="separate"/>
        </w:r>
        <w:r w:rsidR="00D15505">
          <w:rPr>
            <w:webHidden/>
          </w:rPr>
          <w:t>3</w:t>
        </w:r>
        <w:r w:rsidR="00D15505">
          <w:rPr>
            <w:webHidden/>
          </w:rPr>
          <w:fldChar w:fldCharType="end"/>
        </w:r>
      </w:hyperlink>
    </w:p>
    <w:p w:rsidR="00D15505" w:rsidRPr="00F94100" w:rsidRDefault="00762C7A">
      <w:pPr>
        <w:pStyle w:val="TOC1"/>
        <w:rPr>
          <w:rFonts w:ascii="Calibri" w:hAnsi="Calibri"/>
          <w:sz w:val="24"/>
          <w:szCs w:val="24"/>
          <w:lang w:val="en-US" w:eastAsia="en-US"/>
        </w:rPr>
      </w:pPr>
      <w:hyperlink w:anchor="_Toc529473030" w:history="1">
        <w:r w:rsidR="00D15505" w:rsidRPr="00BB5A2F">
          <w:rPr>
            <w:rStyle w:val="Hyperlink"/>
          </w:rPr>
          <w:t>2</w:t>
        </w:r>
        <w:r w:rsidR="00D15505" w:rsidRPr="00F94100">
          <w:rPr>
            <w:rFonts w:ascii="Calibri" w:hAnsi="Calibri"/>
            <w:sz w:val="24"/>
            <w:szCs w:val="24"/>
            <w:lang w:val="en-US" w:eastAsia="en-US"/>
          </w:rPr>
          <w:tab/>
        </w:r>
        <w:r w:rsidR="00D15505" w:rsidRPr="00BB5A2F">
          <w:rPr>
            <w:rStyle w:val="Hyperlink"/>
          </w:rPr>
          <w:t>Guiding principles</w:t>
        </w:r>
        <w:r w:rsidR="00D15505">
          <w:rPr>
            <w:webHidden/>
          </w:rPr>
          <w:tab/>
        </w:r>
        <w:r w:rsidR="00D15505">
          <w:rPr>
            <w:webHidden/>
          </w:rPr>
          <w:fldChar w:fldCharType="begin"/>
        </w:r>
        <w:r w:rsidR="00D15505">
          <w:rPr>
            <w:webHidden/>
          </w:rPr>
          <w:instrText xml:space="preserve"> PAGEREF _Toc529473030 \h </w:instrText>
        </w:r>
        <w:r w:rsidR="00D15505">
          <w:rPr>
            <w:webHidden/>
          </w:rPr>
        </w:r>
        <w:r w:rsidR="00D15505">
          <w:rPr>
            <w:webHidden/>
          </w:rPr>
          <w:fldChar w:fldCharType="separate"/>
        </w:r>
        <w:r w:rsidR="00D15505">
          <w:rPr>
            <w:webHidden/>
          </w:rPr>
          <w:t>5</w:t>
        </w:r>
        <w:r w:rsidR="00D15505">
          <w:rPr>
            <w:webHidden/>
          </w:rPr>
          <w:fldChar w:fldCharType="end"/>
        </w:r>
      </w:hyperlink>
    </w:p>
    <w:p w:rsidR="00D15505" w:rsidRPr="00F94100" w:rsidRDefault="00762C7A">
      <w:pPr>
        <w:pStyle w:val="TOC1"/>
        <w:rPr>
          <w:rFonts w:ascii="Calibri" w:hAnsi="Calibri"/>
          <w:sz w:val="24"/>
          <w:szCs w:val="24"/>
          <w:lang w:val="en-US" w:eastAsia="en-US"/>
        </w:rPr>
      </w:pPr>
      <w:hyperlink w:anchor="_Toc529473031" w:history="1">
        <w:r w:rsidR="00D15505" w:rsidRPr="00BB5A2F">
          <w:rPr>
            <w:rStyle w:val="Hyperlink"/>
          </w:rPr>
          <w:t>3</w:t>
        </w:r>
        <w:r w:rsidR="00D15505" w:rsidRPr="00F94100">
          <w:rPr>
            <w:rFonts w:ascii="Calibri" w:hAnsi="Calibri"/>
            <w:sz w:val="24"/>
            <w:szCs w:val="24"/>
            <w:lang w:val="en-US" w:eastAsia="en-US"/>
          </w:rPr>
          <w:tab/>
        </w:r>
        <w:r w:rsidR="00D15505" w:rsidRPr="00BB5A2F">
          <w:rPr>
            <w:rStyle w:val="Hyperlink"/>
          </w:rPr>
          <w:t>Snapshot of STI in Australia</w:t>
        </w:r>
        <w:r w:rsidR="00D15505">
          <w:rPr>
            <w:webHidden/>
          </w:rPr>
          <w:tab/>
        </w:r>
        <w:r w:rsidR="00D15505">
          <w:rPr>
            <w:webHidden/>
          </w:rPr>
          <w:fldChar w:fldCharType="begin"/>
        </w:r>
        <w:r w:rsidR="00D15505">
          <w:rPr>
            <w:webHidden/>
          </w:rPr>
          <w:instrText xml:space="preserve"> PAGEREF _Toc529473031 \h </w:instrText>
        </w:r>
        <w:r w:rsidR="00D15505">
          <w:rPr>
            <w:webHidden/>
          </w:rPr>
        </w:r>
        <w:r w:rsidR="00D15505">
          <w:rPr>
            <w:webHidden/>
          </w:rPr>
          <w:fldChar w:fldCharType="separate"/>
        </w:r>
        <w:r w:rsidR="00D15505">
          <w:rPr>
            <w:webHidden/>
          </w:rPr>
          <w:t>6</w:t>
        </w:r>
        <w:r w:rsidR="00D15505">
          <w:rPr>
            <w:webHidden/>
          </w:rPr>
          <w:fldChar w:fldCharType="end"/>
        </w:r>
      </w:hyperlink>
    </w:p>
    <w:p w:rsidR="00D15505" w:rsidRPr="00F94100" w:rsidRDefault="00762C7A">
      <w:pPr>
        <w:pStyle w:val="TOC1"/>
        <w:rPr>
          <w:rFonts w:ascii="Calibri" w:hAnsi="Calibri"/>
          <w:sz w:val="24"/>
          <w:szCs w:val="24"/>
          <w:lang w:val="en-US" w:eastAsia="en-US"/>
        </w:rPr>
      </w:pPr>
      <w:hyperlink w:anchor="_Toc529473032" w:history="1">
        <w:r w:rsidR="00D15505" w:rsidRPr="00BB5A2F">
          <w:rPr>
            <w:rStyle w:val="Hyperlink"/>
          </w:rPr>
          <w:t>4</w:t>
        </w:r>
        <w:r w:rsidR="00D15505" w:rsidRPr="00F94100">
          <w:rPr>
            <w:rFonts w:ascii="Calibri" w:hAnsi="Calibri"/>
            <w:sz w:val="24"/>
            <w:szCs w:val="24"/>
            <w:lang w:val="en-US" w:eastAsia="en-US"/>
          </w:rPr>
          <w:tab/>
        </w:r>
        <w:r w:rsidR="00D15505" w:rsidRPr="00BB5A2F">
          <w:rPr>
            <w:rStyle w:val="Hyperlink"/>
          </w:rPr>
          <w:t>About this strategy</w:t>
        </w:r>
        <w:r w:rsidR="00D15505">
          <w:rPr>
            <w:webHidden/>
          </w:rPr>
          <w:tab/>
        </w:r>
        <w:r w:rsidR="00D15505">
          <w:rPr>
            <w:webHidden/>
          </w:rPr>
          <w:fldChar w:fldCharType="begin"/>
        </w:r>
        <w:r w:rsidR="00D15505">
          <w:rPr>
            <w:webHidden/>
          </w:rPr>
          <w:instrText xml:space="preserve"> PAGEREF _Toc529473032 \h </w:instrText>
        </w:r>
        <w:r w:rsidR="00D15505">
          <w:rPr>
            <w:webHidden/>
          </w:rPr>
        </w:r>
        <w:r w:rsidR="00D15505">
          <w:rPr>
            <w:webHidden/>
          </w:rPr>
          <w:fldChar w:fldCharType="separate"/>
        </w:r>
        <w:r w:rsidR="00D15505">
          <w:rPr>
            <w:webHidden/>
          </w:rPr>
          <w:t>7</w:t>
        </w:r>
        <w:r w:rsidR="00D15505">
          <w:rPr>
            <w:webHidden/>
          </w:rPr>
          <w:fldChar w:fldCharType="end"/>
        </w:r>
      </w:hyperlink>
    </w:p>
    <w:p w:rsidR="00D15505" w:rsidRPr="00F94100" w:rsidRDefault="00762C7A">
      <w:pPr>
        <w:pStyle w:val="TOC1"/>
        <w:rPr>
          <w:rFonts w:ascii="Calibri" w:hAnsi="Calibri"/>
          <w:sz w:val="24"/>
          <w:szCs w:val="24"/>
          <w:lang w:val="en-US" w:eastAsia="en-US"/>
        </w:rPr>
      </w:pPr>
      <w:hyperlink w:anchor="_Toc529473033" w:history="1">
        <w:r w:rsidR="00D15505" w:rsidRPr="00BB5A2F">
          <w:rPr>
            <w:rStyle w:val="Hyperlink"/>
          </w:rPr>
          <w:t>5</w:t>
        </w:r>
        <w:r w:rsidR="00D15505" w:rsidRPr="00F94100">
          <w:rPr>
            <w:rFonts w:ascii="Calibri" w:hAnsi="Calibri"/>
            <w:sz w:val="24"/>
            <w:szCs w:val="24"/>
            <w:lang w:val="en-US" w:eastAsia="en-US"/>
          </w:rPr>
          <w:tab/>
        </w:r>
        <w:r w:rsidR="00D15505" w:rsidRPr="00BB5A2F">
          <w:rPr>
            <w:rStyle w:val="Hyperlink"/>
          </w:rPr>
          <w:t>Measuring progress</w:t>
        </w:r>
        <w:r w:rsidR="00D15505">
          <w:rPr>
            <w:webHidden/>
          </w:rPr>
          <w:tab/>
        </w:r>
        <w:r w:rsidR="00D15505">
          <w:rPr>
            <w:webHidden/>
          </w:rPr>
          <w:fldChar w:fldCharType="begin"/>
        </w:r>
        <w:r w:rsidR="00D15505">
          <w:rPr>
            <w:webHidden/>
          </w:rPr>
          <w:instrText xml:space="preserve"> PAGEREF _Toc529473033 \h </w:instrText>
        </w:r>
        <w:r w:rsidR="00D15505">
          <w:rPr>
            <w:webHidden/>
          </w:rPr>
        </w:r>
        <w:r w:rsidR="00D15505">
          <w:rPr>
            <w:webHidden/>
          </w:rPr>
          <w:fldChar w:fldCharType="separate"/>
        </w:r>
        <w:r w:rsidR="00D15505">
          <w:rPr>
            <w:webHidden/>
          </w:rPr>
          <w:t>10</w:t>
        </w:r>
        <w:r w:rsidR="00D15505">
          <w:rPr>
            <w:webHidden/>
          </w:rPr>
          <w:fldChar w:fldCharType="end"/>
        </w:r>
      </w:hyperlink>
    </w:p>
    <w:p w:rsidR="00D15505" w:rsidRPr="00F94100" w:rsidRDefault="00762C7A">
      <w:pPr>
        <w:pStyle w:val="TOC1"/>
        <w:rPr>
          <w:rFonts w:ascii="Calibri" w:hAnsi="Calibri"/>
          <w:sz w:val="24"/>
          <w:szCs w:val="24"/>
          <w:lang w:val="en-US" w:eastAsia="en-US"/>
        </w:rPr>
      </w:pPr>
      <w:hyperlink w:anchor="_Toc529473034" w:history="1">
        <w:r w:rsidR="00D15505" w:rsidRPr="00BB5A2F">
          <w:rPr>
            <w:rStyle w:val="Hyperlink"/>
          </w:rPr>
          <w:t>6</w:t>
        </w:r>
        <w:r w:rsidR="00D15505" w:rsidRPr="00F94100">
          <w:rPr>
            <w:rFonts w:ascii="Calibri" w:hAnsi="Calibri"/>
            <w:sz w:val="24"/>
            <w:szCs w:val="24"/>
            <w:lang w:val="en-US" w:eastAsia="en-US"/>
          </w:rPr>
          <w:tab/>
        </w:r>
        <w:r w:rsidR="00D15505" w:rsidRPr="00BB5A2F">
          <w:rPr>
            <w:rStyle w:val="Hyperlink"/>
          </w:rPr>
          <w:t>Priority populations and settings</w:t>
        </w:r>
        <w:r w:rsidR="00D15505">
          <w:rPr>
            <w:webHidden/>
          </w:rPr>
          <w:tab/>
        </w:r>
        <w:r w:rsidR="00D15505">
          <w:rPr>
            <w:webHidden/>
          </w:rPr>
          <w:fldChar w:fldCharType="begin"/>
        </w:r>
        <w:r w:rsidR="00D15505">
          <w:rPr>
            <w:webHidden/>
          </w:rPr>
          <w:instrText xml:space="preserve"> PAGEREF _Toc529473034 \h </w:instrText>
        </w:r>
        <w:r w:rsidR="00D15505">
          <w:rPr>
            <w:webHidden/>
          </w:rPr>
        </w:r>
        <w:r w:rsidR="00D15505">
          <w:rPr>
            <w:webHidden/>
          </w:rPr>
          <w:fldChar w:fldCharType="separate"/>
        </w:r>
        <w:r w:rsidR="00D15505">
          <w:rPr>
            <w:webHidden/>
          </w:rPr>
          <w:t>11</w:t>
        </w:r>
        <w:r w:rsidR="00D15505">
          <w:rPr>
            <w:webHidden/>
          </w:rPr>
          <w:fldChar w:fldCharType="end"/>
        </w:r>
      </w:hyperlink>
    </w:p>
    <w:p w:rsidR="00D15505" w:rsidRPr="00F94100" w:rsidRDefault="00762C7A">
      <w:pPr>
        <w:pStyle w:val="TOC1"/>
        <w:rPr>
          <w:rFonts w:ascii="Calibri" w:hAnsi="Calibri"/>
          <w:sz w:val="24"/>
          <w:szCs w:val="24"/>
          <w:lang w:val="en-US" w:eastAsia="en-US"/>
        </w:rPr>
      </w:pPr>
      <w:hyperlink w:anchor="_Toc529473035" w:history="1">
        <w:r w:rsidR="00D15505" w:rsidRPr="00BB5A2F">
          <w:rPr>
            <w:rStyle w:val="Hyperlink"/>
          </w:rPr>
          <w:t>7</w:t>
        </w:r>
        <w:r w:rsidR="00D15505" w:rsidRPr="00F94100">
          <w:rPr>
            <w:rFonts w:ascii="Calibri" w:hAnsi="Calibri"/>
            <w:sz w:val="24"/>
            <w:szCs w:val="24"/>
            <w:lang w:val="en-US" w:eastAsia="en-US"/>
          </w:rPr>
          <w:tab/>
        </w:r>
        <w:r w:rsidR="00D15505" w:rsidRPr="00BB5A2F">
          <w:rPr>
            <w:rStyle w:val="Hyperlink"/>
          </w:rPr>
          <w:t>Priority areas for action</w:t>
        </w:r>
        <w:r w:rsidR="00D15505">
          <w:rPr>
            <w:webHidden/>
          </w:rPr>
          <w:tab/>
        </w:r>
        <w:r w:rsidR="00D15505">
          <w:rPr>
            <w:webHidden/>
          </w:rPr>
          <w:fldChar w:fldCharType="begin"/>
        </w:r>
        <w:r w:rsidR="00D15505">
          <w:rPr>
            <w:webHidden/>
          </w:rPr>
          <w:instrText xml:space="preserve"> PAGEREF _Toc529473035 \h </w:instrText>
        </w:r>
        <w:r w:rsidR="00D15505">
          <w:rPr>
            <w:webHidden/>
          </w:rPr>
        </w:r>
        <w:r w:rsidR="00D15505">
          <w:rPr>
            <w:webHidden/>
          </w:rPr>
          <w:fldChar w:fldCharType="separate"/>
        </w:r>
        <w:r w:rsidR="00D15505">
          <w:rPr>
            <w:webHidden/>
          </w:rPr>
          <w:t>16</w:t>
        </w:r>
        <w:r w:rsidR="00D15505">
          <w:rPr>
            <w:webHidden/>
          </w:rPr>
          <w:fldChar w:fldCharType="end"/>
        </w:r>
      </w:hyperlink>
    </w:p>
    <w:p w:rsidR="00D15505" w:rsidRPr="00F94100" w:rsidRDefault="00762C7A">
      <w:pPr>
        <w:pStyle w:val="TOC1"/>
        <w:rPr>
          <w:rFonts w:ascii="Calibri" w:hAnsi="Calibri"/>
          <w:sz w:val="24"/>
          <w:szCs w:val="24"/>
          <w:lang w:val="en-US" w:eastAsia="en-US"/>
        </w:rPr>
      </w:pPr>
      <w:hyperlink w:anchor="_Toc529473036" w:history="1">
        <w:r w:rsidR="00D15505" w:rsidRPr="00BB5A2F">
          <w:rPr>
            <w:rStyle w:val="Hyperlink"/>
          </w:rPr>
          <w:t>8</w:t>
        </w:r>
        <w:r w:rsidR="00D15505" w:rsidRPr="00F94100">
          <w:rPr>
            <w:rFonts w:ascii="Calibri" w:hAnsi="Calibri"/>
            <w:sz w:val="24"/>
            <w:szCs w:val="24"/>
            <w:lang w:val="en-US" w:eastAsia="en-US"/>
          </w:rPr>
          <w:tab/>
        </w:r>
        <w:r w:rsidR="00D15505" w:rsidRPr="00BB5A2F">
          <w:rPr>
            <w:rStyle w:val="Hyperlink"/>
          </w:rPr>
          <w:t>Implementing this strategy</w:t>
        </w:r>
        <w:r w:rsidR="00D15505">
          <w:rPr>
            <w:webHidden/>
          </w:rPr>
          <w:tab/>
        </w:r>
        <w:r w:rsidR="00D15505">
          <w:rPr>
            <w:webHidden/>
          </w:rPr>
          <w:fldChar w:fldCharType="begin"/>
        </w:r>
        <w:r w:rsidR="00D15505">
          <w:rPr>
            <w:webHidden/>
          </w:rPr>
          <w:instrText xml:space="preserve"> PAGEREF _Toc529473036 \h </w:instrText>
        </w:r>
        <w:r w:rsidR="00D15505">
          <w:rPr>
            <w:webHidden/>
          </w:rPr>
        </w:r>
        <w:r w:rsidR="00D15505">
          <w:rPr>
            <w:webHidden/>
          </w:rPr>
          <w:fldChar w:fldCharType="separate"/>
        </w:r>
        <w:r w:rsidR="00D15505">
          <w:rPr>
            <w:webHidden/>
          </w:rPr>
          <w:t>24</w:t>
        </w:r>
        <w:r w:rsidR="00D15505">
          <w:rPr>
            <w:webHidden/>
          </w:rPr>
          <w:fldChar w:fldCharType="end"/>
        </w:r>
      </w:hyperlink>
    </w:p>
    <w:p w:rsidR="00D15505" w:rsidRPr="00F94100" w:rsidRDefault="00762C7A">
      <w:pPr>
        <w:pStyle w:val="TOC1"/>
        <w:tabs>
          <w:tab w:val="left" w:pos="1200"/>
        </w:tabs>
        <w:rPr>
          <w:rFonts w:ascii="Calibri" w:hAnsi="Calibri"/>
          <w:sz w:val="24"/>
          <w:szCs w:val="24"/>
          <w:lang w:val="en-US" w:eastAsia="en-US"/>
        </w:rPr>
      </w:pPr>
      <w:hyperlink w:anchor="_Toc529473037" w:history="1">
        <w:r w:rsidR="00D15505" w:rsidRPr="00BB5A2F">
          <w:rPr>
            <w:rStyle w:val="Hyperlink"/>
          </w:rPr>
          <w:t>Appendix A</w:t>
        </w:r>
        <w:r w:rsidR="00D15505" w:rsidRPr="00F94100">
          <w:rPr>
            <w:rFonts w:ascii="Calibri" w:hAnsi="Calibri"/>
            <w:sz w:val="24"/>
            <w:szCs w:val="24"/>
            <w:lang w:val="en-US" w:eastAsia="en-US"/>
          </w:rPr>
          <w:tab/>
        </w:r>
        <w:r w:rsidR="00D15505" w:rsidRPr="00BB5A2F">
          <w:rPr>
            <w:rStyle w:val="Hyperlink"/>
          </w:rPr>
          <w:t>References</w:t>
        </w:r>
        <w:r w:rsidR="00D15505">
          <w:rPr>
            <w:webHidden/>
          </w:rPr>
          <w:tab/>
        </w:r>
        <w:r w:rsidR="00D15505">
          <w:rPr>
            <w:webHidden/>
          </w:rPr>
          <w:fldChar w:fldCharType="begin"/>
        </w:r>
        <w:r w:rsidR="00D15505">
          <w:rPr>
            <w:webHidden/>
          </w:rPr>
          <w:instrText xml:space="preserve"> PAGEREF _Toc529473037 \h </w:instrText>
        </w:r>
        <w:r w:rsidR="00D15505">
          <w:rPr>
            <w:webHidden/>
          </w:rPr>
        </w:r>
        <w:r w:rsidR="00D15505">
          <w:rPr>
            <w:webHidden/>
          </w:rPr>
          <w:fldChar w:fldCharType="separate"/>
        </w:r>
        <w:r w:rsidR="00D15505">
          <w:rPr>
            <w:webHidden/>
          </w:rPr>
          <w:t>25</w:t>
        </w:r>
        <w:r w:rsidR="00D15505">
          <w:rPr>
            <w:webHidden/>
          </w:rPr>
          <w:fldChar w:fldCharType="end"/>
        </w:r>
      </w:hyperlink>
    </w:p>
    <w:p w:rsidR="00BC59E3" w:rsidRDefault="00FD2DCB" w:rsidP="000D5CE3">
      <w:pPr>
        <w:rPr>
          <w:lang w:eastAsia="en-AU"/>
        </w:rPr>
      </w:pPr>
      <w:r w:rsidRPr="006B3C1E">
        <w:rPr>
          <w:lang w:eastAsia="en-AU"/>
        </w:rPr>
        <w:fldChar w:fldCharType="end"/>
      </w:r>
    </w:p>
    <w:p w:rsidR="00BC59E3" w:rsidRDefault="00BC59E3">
      <w:pPr>
        <w:spacing w:after="160" w:line="259" w:lineRule="auto"/>
        <w:rPr>
          <w:lang w:eastAsia="en-AU"/>
        </w:rPr>
      </w:pPr>
      <w:r>
        <w:rPr>
          <w:lang w:eastAsia="en-AU"/>
        </w:rPr>
        <w:br w:type="page"/>
      </w:r>
    </w:p>
    <w:p w:rsidR="00673CC9" w:rsidRDefault="00673CC9" w:rsidP="00673CC9">
      <w:bookmarkStart w:id="1" w:name="_Toc496779359"/>
      <w:bookmarkStart w:id="2" w:name="_Toc495612714"/>
      <w:bookmarkStart w:id="3" w:name="_Toc495651592"/>
      <w:bookmarkStart w:id="4" w:name="_Toc495681025"/>
      <w:r w:rsidRPr="006B3C1E">
        <w:lastRenderedPageBreak/>
        <w:t>This page is intentionally blank</w:t>
      </w:r>
    </w:p>
    <w:p w:rsidR="00BF65C3" w:rsidRDefault="00BF65C3" w:rsidP="00BF65C3">
      <w:pPr>
        <w:pStyle w:val="Heading1"/>
        <w:sectPr w:rsidR="00BF65C3" w:rsidSect="00D92E90">
          <w:headerReference w:type="even" r:id="rId14"/>
          <w:headerReference w:type="default" r:id="rId15"/>
          <w:footerReference w:type="default" r:id="rId16"/>
          <w:headerReference w:type="first" r:id="rId17"/>
          <w:endnotePr>
            <w:numFmt w:val="decimal"/>
          </w:endnotePr>
          <w:pgSz w:w="11907" w:h="16839" w:code="9"/>
          <w:pgMar w:top="1440" w:right="1080" w:bottom="1440" w:left="1080" w:header="720" w:footer="720" w:gutter="0"/>
          <w:pgNumType w:start="1"/>
          <w:cols w:space="720"/>
          <w:docGrid w:linePitch="360"/>
        </w:sectPr>
      </w:pPr>
    </w:p>
    <w:p w:rsidR="00406136" w:rsidRDefault="00D93E42" w:rsidP="00BF65C3">
      <w:pPr>
        <w:pStyle w:val="Heading1"/>
        <w:numPr>
          <w:ilvl w:val="0"/>
          <w:numId w:val="6"/>
        </w:numPr>
      </w:pPr>
      <w:r>
        <w:t xml:space="preserve"> </w:t>
      </w:r>
      <w:bookmarkStart w:id="5" w:name="_Toc529473029"/>
      <w:r w:rsidR="00406136">
        <w:t>Introduction</w:t>
      </w:r>
      <w:bookmarkEnd w:id="5"/>
    </w:p>
    <w:p w:rsidR="003B4062" w:rsidRPr="00D92E90" w:rsidRDefault="003B4062" w:rsidP="003B4062">
      <w:pPr>
        <w:rPr>
          <w:sz w:val="20"/>
          <w:szCs w:val="20"/>
        </w:rPr>
      </w:pPr>
      <w:r w:rsidRPr="00D92E90">
        <w:rPr>
          <w:sz w:val="20"/>
          <w:szCs w:val="20"/>
        </w:rPr>
        <w:t>Australia has made some notable progress in the management of sexually transmissible infections (STI) in recent years</w:t>
      </w:r>
      <w:r w:rsidR="00A93B5D">
        <w:rPr>
          <w:sz w:val="20"/>
          <w:szCs w:val="20"/>
        </w:rPr>
        <w:t>;</w:t>
      </w:r>
      <w:r w:rsidRPr="00D92E90">
        <w:rPr>
          <w:sz w:val="20"/>
          <w:szCs w:val="20"/>
        </w:rPr>
        <w:t xml:space="preserve"> </w:t>
      </w:r>
      <w:r w:rsidR="00066F07">
        <w:rPr>
          <w:sz w:val="20"/>
          <w:szCs w:val="20"/>
        </w:rPr>
        <w:t>however</w:t>
      </w:r>
      <w:r w:rsidR="00A93B5D">
        <w:rPr>
          <w:sz w:val="20"/>
          <w:szCs w:val="20"/>
        </w:rPr>
        <w:t>,</w:t>
      </w:r>
      <w:r w:rsidR="00066F07">
        <w:rPr>
          <w:sz w:val="20"/>
          <w:szCs w:val="20"/>
        </w:rPr>
        <w:t xml:space="preserve"> </w:t>
      </w:r>
      <w:r w:rsidRPr="00D92E90">
        <w:rPr>
          <w:sz w:val="20"/>
          <w:szCs w:val="20"/>
        </w:rPr>
        <w:t xml:space="preserve">there </w:t>
      </w:r>
      <w:r w:rsidR="00930004" w:rsidRPr="00D92E90">
        <w:rPr>
          <w:sz w:val="20"/>
          <w:szCs w:val="20"/>
        </w:rPr>
        <w:t xml:space="preserve">are persistent </w:t>
      </w:r>
      <w:r w:rsidRPr="00D92E90">
        <w:rPr>
          <w:sz w:val="20"/>
          <w:szCs w:val="20"/>
        </w:rPr>
        <w:t>and emerging issues that require a concerted effort over the life of th</w:t>
      </w:r>
      <w:r w:rsidR="005705B8">
        <w:rPr>
          <w:sz w:val="20"/>
          <w:szCs w:val="20"/>
        </w:rPr>
        <w:t>is</w:t>
      </w:r>
      <w:r w:rsidRPr="00D92E90">
        <w:rPr>
          <w:sz w:val="20"/>
          <w:szCs w:val="20"/>
        </w:rPr>
        <w:t xml:space="preserve"> </w:t>
      </w:r>
      <w:r w:rsidRPr="00944683">
        <w:rPr>
          <w:sz w:val="20"/>
          <w:szCs w:val="20"/>
        </w:rPr>
        <w:t xml:space="preserve">Fourth National </w:t>
      </w:r>
      <w:r w:rsidR="00C74EE5">
        <w:rPr>
          <w:sz w:val="20"/>
          <w:szCs w:val="20"/>
        </w:rPr>
        <w:t xml:space="preserve">Sexually Transmissible Infections </w:t>
      </w:r>
      <w:r w:rsidRPr="00944683">
        <w:rPr>
          <w:sz w:val="20"/>
          <w:szCs w:val="20"/>
        </w:rPr>
        <w:t>Strategy 2018</w:t>
      </w:r>
      <w:r w:rsidR="00944683">
        <w:rPr>
          <w:sz w:val="20"/>
          <w:szCs w:val="20"/>
        </w:rPr>
        <w:t>–</w:t>
      </w:r>
      <w:r w:rsidRPr="00944683">
        <w:rPr>
          <w:sz w:val="20"/>
          <w:szCs w:val="20"/>
        </w:rPr>
        <w:t>2022</w:t>
      </w:r>
      <w:r w:rsidRPr="00D92E90">
        <w:rPr>
          <w:i/>
          <w:sz w:val="20"/>
          <w:szCs w:val="20"/>
        </w:rPr>
        <w:t>.</w:t>
      </w:r>
    </w:p>
    <w:p w:rsidR="00497F7C" w:rsidRDefault="00A12566" w:rsidP="003B4062">
      <w:pPr>
        <w:rPr>
          <w:sz w:val="20"/>
          <w:szCs w:val="20"/>
        </w:rPr>
      </w:pPr>
      <w:r>
        <w:rPr>
          <w:rFonts w:cs="Segoe UI"/>
          <w:noProof/>
          <w:sz w:val="20"/>
          <w:szCs w:val="20"/>
          <w:lang w:eastAsia="en-AU"/>
        </w:rPr>
        <mc:AlternateContent>
          <mc:Choice Requires="wps">
            <w:drawing>
              <wp:anchor distT="0" distB="0" distL="114300" distR="114300" simplePos="0" relativeHeight="251651584" behindDoc="0" locked="0" layoutInCell="1" allowOverlap="1">
                <wp:simplePos x="0" y="0"/>
                <wp:positionH relativeFrom="column">
                  <wp:posOffset>4315460</wp:posOffset>
                </wp:positionH>
                <wp:positionV relativeFrom="paragraph">
                  <wp:posOffset>882650</wp:posOffset>
                </wp:positionV>
                <wp:extent cx="2378075" cy="6223635"/>
                <wp:effectExtent l="10160" t="6350" r="12065" b="37465"/>
                <wp:wrapSquare wrapText="bothSides"/>
                <wp:docPr id="7"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075" cy="6223635"/>
                        </a:xfrm>
                        <a:prstGeom prst="rect">
                          <a:avLst/>
                        </a:prstGeom>
                        <a:solidFill>
                          <a:srgbClr val="FFFFFF"/>
                        </a:solidFill>
                        <a:ln w="9525" cap="rnd" cmpd="dbl">
                          <a:solidFill>
                            <a:srgbClr val="000000"/>
                          </a:solidFill>
                          <a:miter lim="800000"/>
                          <a:headEnd/>
                          <a:tailEnd/>
                        </a:ln>
                        <a:effectLst>
                          <a:outerShdw dist="38100" dir="5400000" algn="t" rotWithShape="0">
                            <a:srgbClr val="808080">
                              <a:alpha val="39999"/>
                            </a:srgbClr>
                          </a:outerShdw>
                        </a:effectLst>
                      </wps:spPr>
                      <wps:txbx>
                        <w:txbxContent>
                          <w:p w:rsidR="00E90473" w:rsidRPr="00AF4935" w:rsidRDefault="00E90473" w:rsidP="003B4062">
                            <w:pPr>
                              <w:spacing w:after="60"/>
                              <w:rPr>
                                <w:sz w:val="17"/>
                                <w:szCs w:val="17"/>
                              </w:rPr>
                            </w:pPr>
                            <w:r w:rsidRPr="00AF4935">
                              <w:rPr>
                                <w:sz w:val="17"/>
                                <w:szCs w:val="17"/>
                              </w:rPr>
                              <w:t>Figure 1: Blood Borne Viruses and Sexually Transmissible Infections Standing Committee</w:t>
                            </w:r>
                            <w:r>
                              <w:rPr>
                                <w:sz w:val="17"/>
                                <w:szCs w:val="17"/>
                              </w:rPr>
                              <w:t xml:space="preserve"> (BBVSS)</w:t>
                            </w:r>
                          </w:p>
                          <w:p w:rsidR="00E90473" w:rsidRPr="00912CCF" w:rsidRDefault="00E90473" w:rsidP="003B4062">
                            <w:pPr>
                              <w:spacing w:after="60"/>
                              <w:rPr>
                                <w:sz w:val="17"/>
                                <w:szCs w:val="17"/>
                                <w:u w:val="single"/>
                              </w:rPr>
                            </w:pPr>
                            <w:r w:rsidRPr="00912CCF">
                              <w:rPr>
                                <w:sz w:val="17"/>
                                <w:szCs w:val="17"/>
                                <w:u w:val="single"/>
                              </w:rPr>
                              <w:t>Peak organisations</w:t>
                            </w:r>
                          </w:p>
                          <w:p w:rsidR="00E90473" w:rsidRDefault="00E90473" w:rsidP="00E156C0">
                            <w:pPr>
                              <w:spacing w:after="60"/>
                              <w:rPr>
                                <w:sz w:val="17"/>
                                <w:szCs w:val="17"/>
                              </w:rPr>
                            </w:pPr>
                            <w:r w:rsidRPr="0070283E">
                              <w:rPr>
                                <w:sz w:val="17"/>
                                <w:szCs w:val="17"/>
                              </w:rPr>
                              <w:t>Australasian Society for HIV</w:t>
                            </w:r>
                            <w:r>
                              <w:rPr>
                                <w:sz w:val="17"/>
                                <w:szCs w:val="17"/>
                              </w:rPr>
                              <w:t>, Viral Hepatitis and Sexual Health Medicine</w:t>
                            </w:r>
                            <w:r w:rsidRPr="0070283E">
                              <w:rPr>
                                <w:sz w:val="17"/>
                                <w:szCs w:val="17"/>
                              </w:rPr>
                              <w:t xml:space="preserve"> (ASHM)</w:t>
                            </w:r>
                          </w:p>
                          <w:p w:rsidR="00E90473" w:rsidRDefault="00E90473" w:rsidP="001F2828">
                            <w:pPr>
                              <w:spacing w:after="60"/>
                              <w:rPr>
                                <w:sz w:val="17"/>
                                <w:szCs w:val="17"/>
                              </w:rPr>
                            </w:pPr>
                            <w:r w:rsidRPr="0070283E">
                              <w:rPr>
                                <w:sz w:val="17"/>
                                <w:szCs w:val="17"/>
                              </w:rPr>
                              <w:t>Australian Federation of AIDS Organisations (AFAO)</w:t>
                            </w:r>
                          </w:p>
                          <w:p w:rsidR="00E90473" w:rsidRPr="0070283E" w:rsidRDefault="00E90473" w:rsidP="003B4062">
                            <w:pPr>
                              <w:spacing w:after="60"/>
                              <w:rPr>
                                <w:sz w:val="17"/>
                                <w:szCs w:val="17"/>
                              </w:rPr>
                            </w:pPr>
                            <w:r w:rsidRPr="0070283E">
                              <w:rPr>
                                <w:sz w:val="17"/>
                                <w:szCs w:val="17"/>
                              </w:rPr>
                              <w:t>Australian Indigenous Doctors’ Association (AIDA)</w:t>
                            </w:r>
                          </w:p>
                          <w:p w:rsidR="00E90473" w:rsidRPr="0070283E" w:rsidRDefault="00E90473" w:rsidP="003B4062">
                            <w:pPr>
                              <w:spacing w:after="60"/>
                              <w:rPr>
                                <w:sz w:val="17"/>
                                <w:szCs w:val="17"/>
                              </w:rPr>
                            </w:pPr>
                            <w:r w:rsidRPr="0070283E">
                              <w:rPr>
                                <w:sz w:val="17"/>
                                <w:szCs w:val="17"/>
                              </w:rPr>
                              <w:t xml:space="preserve">Australian Injecting </w:t>
                            </w:r>
                            <w:r>
                              <w:rPr>
                                <w:sz w:val="17"/>
                                <w:szCs w:val="17"/>
                              </w:rPr>
                              <w:t>and</w:t>
                            </w:r>
                            <w:r w:rsidRPr="0070283E">
                              <w:rPr>
                                <w:sz w:val="17"/>
                                <w:szCs w:val="17"/>
                              </w:rPr>
                              <w:t xml:space="preserve"> Illicit Drug Users League (AIVL)</w:t>
                            </w:r>
                          </w:p>
                          <w:p w:rsidR="00E90473" w:rsidRPr="0070283E" w:rsidRDefault="00E90473" w:rsidP="003B4062">
                            <w:pPr>
                              <w:spacing w:after="60"/>
                              <w:rPr>
                                <w:sz w:val="17"/>
                                <w:szCs w:val="17"/>
                              </w:rPr>
                            </w:pPr>
                            <w:r w:rsidRPr="0070283E">
                              <w:rPr>
                                <w:sz w:val="17"/>
                                <w:szCs w:val="17"/>
                              </w:rPr>
                              <w:t>Hepatitis Australia</w:t>
                            </w:r>
                          </w:p>
                          <w:p w:rsidR="00E90473" w:rsidRDefault="00E90473" w:rsidP="003B4062">
                            <w:pPr>
                              <w:spacing w:after="60"/>
                              <w:rPr>
                                <w:sz w:val="17"/>
                                <w:szCs w:val="17"/>
                              </w:rPr>
                            </w:pPr>
                            <w:r w:rsidRPr="0070283E">
                              <w:rPr>
                                <w:sz w:val="17"/>
                                <w:szCs w:val="17"/>
                              </w:rPr>
                              <w:t xml:space="preserve">National Association of People </w:t>
                            </w:r>
                            <w:r>
                              <w:rPr>
                                <w:sz w:val="17"/>
                                <w:szCs w:val="17"/>
                              </w:rPr>
                              <w:t>w</w:t>
                            </w:r>
                            <w:r w:rsidRPr="0070283E">
                              <w:rPr>
                                <w:sz w:val="17"/>
                                <w:szCs w:val="17"/>
                              </w:rPr>
                              <w:t>ith HIV Australia (NAPWHA)</w:t>
                            </w:r>
                          </w:p>
                          <w:p w:rsidR="00E90473" w:rsidRDefault="00E90473" w:rsidP="001F2828">
                            <w:pPr>
                              <w:spacing w:after="60"/>
                              <w:rPr>
                                <w:sz w:val="17"/>
                                <w:szCs w:val="17"/>
                              </w:rPr>
                            </w:pPr>
                            <w:r w:rsidRPr="0070283E">
                              <w:rPr>
                                <w:sz w:val="17"/>
                                <w:szCs w:val="17"/>
                              </w:rPr>
                              <w:t>Scarlet Alliance, Australian Sex Workers Association</w:t>
                            </w:r>
                          </w:p>
                          <w:p w:rsidR="00E90473" w:rsidRPr="00912CCF" w:rsidRDefault="00E90473" w:rsidP="003B4062">
                            <w:pPr>
                              <w:spacing w:after="60"/>
                              <w:rPr>
                                <w:sz w:val="17"/>
                                <w:szCs w:val="17"/>
                                <w:u w:val="single"/>
                              </w:rPr>
                            </w:pPr>
                            <w:r w:rsidRPr="00912CCF">
                              <w:rPr>
                                <w:sz w:val="17"/>
                                <w:szCs w:val="17"/>
                                <w:u w:val="single"/>
                              </w:rPr>
                              <w:t xml:space="preserve">State and </w:t>
                            </w:r>
                            <w:r>
                              <w:rPr>
                                <w:sz w:val="17"/>
                                <w:szCs w:val="17"/>
                                <w:u w:val="single"/>
                              </w:rPr>
                              <w:t>t</w:t>
                            </w:r>
                            <w:r w:rsidRPr="00912CCF">
                              <w:rPr>
                                <w:sz w:val="17"/>
                                <w:szCs w:val="17"/>
                                <w:u w:val="single"/>
                              </w:rPr>
                              <w:t xml:space="preserve">erritory </w:t>
                            </w:r>
                            <w:r>
                              <w:rPr>
                                <w:sz w:val="17"/>
                                <w:szCs w:val="17"/>
                                <w:u w:val="single"/>
                              </w:rPr>
                              <w:t>g</w:t>
                            </w:r>
                            <w:r w:rsidRPr="00912CCF">
                              <w:rPr>
                                <w:sz w:val="17"/>
                                <w:szCs w:val="17"/>
                                <w:u w:val="single"/>
                              </w:rPr>
                              <w:t>overnments</w:t>
                            </w:r>
                          </w:p>
                          <w:p w:rsidR="00E90473" w:rsidRPr="0070283E" w:rsidRDefault="00E90473" w:rsidP="003B4062">
                            <w:pPr>
                              <w:spacing w:after="60"/>
                              <w:rPr>
                                <w:sz w:val="17"/>
                                <w:szCs w:val="17"/>
                              </w:rPr>
                            </w:pPr>
                            <w:r w:rsidRPr="0070283E">
                              <w:rPr>
                                <w:sz w:val="17"/>
                                <w:szCs w:val="17"/>
                              </w:rPr>
                              <w:t>ACT Health</w:t>
                            </w:r>
                          </w:p>
                          <w:p w:rsidR="00E90473" w:rsidRPr="0070283E" w:rsidRDefault="00E90473" w:rsidP="003B4062">
                            <w:pPr>
                              <w:spacing w:after="60"/>
                              <w:rPr>
                                <w:sz w:val="17"/>
                                <w:szCs w:val="17"/>
                              </w:rPr>
                            </w:pPr>
                            <w:r w:rsidRPr="0070283E">
                              <w:rPr>
                                <w:sz w:val="17"/>
                                <w:szCs w:val="17"/>
                              </w:rPr>
                              <w:t>NSW Ministry of Health</w:t>
                            </w:r>
                          </w:p>
                          <w:p w:rsidR="00E90473" w:rsidRPr="0070283E" w:rsidRDefault="00E90473" w:rsidP="003B4062">
                            <w:pPr>
                              <w:spacing w:after="60"/>
                              <w:rPr>
                                <w:sz w:val="17"/>
                                <w:szCs w:val="17"/>
                              </w:rPr>
                            </w:pPr>
                            <w:r w:rsidRPr="0070283E">
                              <w:rPr>
                                <w:sz w:val="17"/>
                                <w:szCs w:val="17"/>
                              </w:rPr>
                              <w:t>NT Department of Health</w:t>
                            </w:r>
                          </w:p>
                          <w:p w:rsidR="00E90473" w:rsidRPr="0070283E" w:rsidRDefault="00E90473" w:rsidP="003B4062">
                            <w:pPr>
                              <w:spacing w:after="60"/>
                              <w:rPr>
                                <w:sz w:val="17"/>
                                <w:szCs w:val="17"/>
                              </w:rPr>
                            </w:pPr>
                            <w:r w:rsidRPr="0070283E">
                              <w:rPr>
                                <w:sz w:val="17"/>
                                <w:szCs w:val="17"/>
                              </w:rPr>
                              <w:t>Queensland Health</w:t>
                            </w:r>
                          </w:p>
                          <w:p w:rsidR="00E90473" w:rsidRPr="0070283E" w:rsidRDefault="00E90473" w:rsidP="003B4062">
                            <w:pPr>
                              <w:spacing w:after="60"/>
                              <w:rPr>
                                <w:sz w:val="17"/>
                                <w:szCs w:val="17"/>
                              </w:rPr>
                            </w:pPr>
                            <w:r w:rsidRPr="0070283E">
                              <w:rPr>
                                <w:sz w:val="17"/>
                                <w:szCs w:val="17"/>
                              </w:rPr>
                              <w:t xml:space="preserve">SA Department </w:t>
                            </w:r>
                            <w:r>
                              <w:rPr>
                                <w:sz w:val="17"/>
                                <w:szCs w:val="17"/>
                              </w:rPr>
                              <w:t>for</w:t>
                            </w:r>
                            <w:r w:rsidRPr="0070283E">
                              <w:rPr>
                                <w:sz w:val="17"/>
                                <w:szCs w:val="17"/>
                              </w:rPr>
                              <w:t xml:space="preserve"> Health and </w:t>
                            </w:r>
                            <w:r>
                              <w:rPr>
                                <w:sz w:val="17"/>
                                <w:szCs w:val="17"/>
                              </w:rPr>
                              <w:t>Wellbeing</w:t>
                            </w:r>
                          </w:p>
                          <w:p w:rsidR="00E90473" w:rsidRPr="0070283E" w:rsidRDefault="00E90473" w:rsidP="003B4062">
                            <w:pPr>
                              <w:spacing w:after="60"/>
                              <w:rPr>
                                <w:sz w:val="17"/>
                                <w:szCs w:val="17"/>
                              </w:rPr>
                            </w:pPr>
                            <w:r w:rsidRPr="0070283E">
                              <w:rPr>
                                <w:sz w:val="17"/>
                                <w:szCs w:val="17"/>
                              </w:rPr>
                              <w:t>Tasmanian Department of Health and Human Services</w:t>
                            </w:r>
                          </w:p>
                          <w:p w:rsidR="00E90473" w:rsidRPr="0070283E" w:rsidRDefault="00E90473" w:rsidP="003B4062">
                            <w:pPr>
                              <w:spacing w:after="60"/>
                              <w:rPr>
                                <w:sz w:val="17"/>
                                <w:szCs w:val="17"/>
                              </w:rPr>
                            </w:pPr>
                            <w:r w:rsidRPr="0070283E">
                              <w:rPr>
                                <w:sz w:val="17"/>
                                <w:szCs w:val="17"/>
                              </w:rPr>
                              <w:t>Victorian Department of Health</w:t>
                            </w:r>
                            <w:r>
                              <w:rPr>
                                <w:sz w:val="17"/>
                                <w:szCs w:val="17"/>
                              </w:rPr>
                              <w:t xml:space="preserve"> and Human Services</w:t>
                            </w:r>
                          </w:p>
                          <w:p w:rsidR="00E90473" w:rsidRPr="0070283E" w:rsidRDefault="00E90473" w:rsidP="003B4062">
                            <w:pPr>
                              <w:spacing w:after="60"/>
                              <w:rPr>
                                <w:sz w:val="17"/>
                                <w:szCs w:val="17"/>
                              </w:rPr>
                            </w:pPr>
                            <w:r w:rsidRPr="0070283E">
                              <w:rPr>
                                <w:sz w:val="17"/>
                                <w:szCs w:val="17"/>
                              </w:rPr>
                              <w:t>WA Department of Health</w:t>
                            </w:r>
                          </w:p>
                          <w:p w:rsidR="00E90473" w:rsidRDefault="00E90473" w:rsidP="003B4062">
                            <w:pPr>
                              <w:spacing w:after="60"/>
                              <w:rPr>
                                <w:sz w:val="17"/>
                                <w:szCs w:val="17"/>
                              </w:rPr>
                            </w:pPr>
                            <w:r w:rsidRPr="0070283E">
                              <w:rPr>
                                <w:sz w:val="17"/>
                                <w:szCs w:val="17"/>
                              </w:rPr>
                              <w:t>Australian Government Department of Health</w:t>
                            </w:r>
                          </w:p>
                          <w:p w:rsidR="00E90473" w:rsidRPr="00894EB0" w:rsidRDefault="00E90473" w:rsidP="003B4062">
                            <w:pPr>
                              <w:spacing w:after="60"/>
                              <w:rPr>
                                <w:sz w:val="10"/>
                                <w:szCs w:val="10"/>
                              </w:rPr>
                            </w:pPr>
                          </w:p>
                          <w:p w:rsidR="00E90473" w:rsidRDefault="00E90473" w:rsidP="003B4062">
                            <w:r w:rsidRPr="00B86908">
                              <w:rPr>
                                <w:i/>
                                <w:sz w:val="17"/>
                                <w:szCs w:val="17"/>
                              </w:rPr>
                              <w:t>BBVSS is a key advisory body reporting to the Australian Health Ministers’ Advisory Council through the Australian Health Protection Principal Committee on strategic policy, programs, social issues and activities related to HIV, viral hepatitis and sexually transmissible infections (STI).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6" o:spid="_x0000_s1026" type="#_x0000_t202" style="position:absolute;margin-left:339.8pt;margin-top:69.5pt;width:187.25pt;height:490.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fy4ggIAAA0FAAAOAAAAZHJzL2Uyb0RvYy54bWysVNuO0zAQfUfiHyy/06TpPdp0tXRZhLRc&#10;pF3E8yR2EgvHNrbbZPl6xk5bCgsvCEeyPBn7eObMGV9dD50kB26d0Kqg00lKCVeVZkI1Bf38ePdq&#10;TYnzoBhIrXhBn7ij19uXL656k/NMt1oybgmCKJf3pqCt9yZPEle1vAM30YYrdNbaduDRtE3CLPSI&#10;3skkS9Nl0mvLjNUVdw7/3o5Ouo34dc0r/7GuHfdEFhRj83G2cS7DnGyvIG8smFZUxzDgH6LoQCi8&#10;9Ax1Cx7I3opnUJ2orHa69pNKd4mua1HxmANmM01/y+ahBcNjLkiOM2ea3P+DrT4cPlkiWEFXlCjo&#10;sESPfPDktR7INF0Gfnrjctz2YHCjH9CBdY65OnOvq6+OKL1rQTX8xlrdtxwYxjcNJ5OLoyOOCyBl&#10;/14zvAj2XkegobZdIA/pIIiOdXo61yYEU+HPbLZap6sFJRX6llk2W84W8Q7IT8eNdf4t1x0Ji4Ja&#10;LH6Eh8O98yEcyE9bwm1OS8HuhJTRsE25k5YcAIVyF8cR/ZdtUpG+oJtFFgIB1KtVDFedQQJZKUda&#10;/oqbxvEn3E54bAMpuoKuz5sgD2S+USyK1IOQ4xrzkCoEzaPAMblI3h4hHlrWEyZC+rP1NEUmmUC1&#10;L+YjKAHZYJt6Sqz2X4Rvo8IC1884WKfhG/mTpoWRmdkGxymBkbLIqz5dHq2LuKIEQtXH+vuhHI6S&#10;KjV7QjFgILHi+IbgotX2OyU99mNB3bc9WE6JfKdQUJvpfB4aOBrzxSpDw156yksPqAqhYqbjcufH&#10;pt8bK5oWbxolrPQNirAWUR5BrWNUR+liz8V8ju9DaOpLO+76+YptfwAAAP//AwBQSwMEFAAGAAgA&#10;AAAhAH2WaOXhAAAADQEAAA8AAABkcnMvZG93bnJldi54bWxMj8FOwzAQRO9I/IO1SNyoY6CBhDgV&#10;iuBQCSFR+AAn3iaBeB3Fbhr4erYnuO1onmZnis3iBjHjFHpPGtQqAYHUeNtTq+Hj/fnqHkSIhqwZ&#10;PKGGbwywKc/PCpNbf6Q3nHexFRxCITcauhjHXMrQdOhMWPkRib29n5yJLKdW2skcOdwN8jpJUulM&#10;T/yhMyNWHTZfu4PT8LRvfT1M7mXG7Zrmz9dqa38qrS8vlscHEBGX+AfDqT5Xh5I71f5ANohBQ3qX&#10;pYyycZPxqBORrG8ViJovpTIFsizk/xXlLwAAAP//AwBQSwECLQAUAAYACAAAACEAtoM4kv4AAADh&#10;AQAAEwAAAAAAAAAAAAAAAAAAAAAAW0NvbnRlbnRfVHlwZXNdLnhtbFBLAQItABQABgAIAAAAIQA4&#10;/SH/1gAAAJQBAAALAAAAAAAAAAAAAAAAAC8BAABfcmVscy8ucmVsc1BLAQItABQABgAIAAAAIQD3&#10;Tfy4ggIAAA0FAAAOAAAAAAAAAAAAAAAAAC4CAABkcnMvZTJvRG9jLnhtbFBLAQItABQABgAIAAAA&#10;IQB9lmjl4QAAAA0BAAAPAAAAAAAAAAAAAAAAANwEAABkcnMvZG93bnJldi54bWxQSwUGAAAAAAQA&#10;BADzAAAA6gUAAAAA&#10;">
                <v:stroke linestyle="thinThin" endcap="round"/>
                <v:shadow on="t" opacity="26213f" origin=",-.5" offset="0,3pt"/>
                <v:textbox>
                  <w:txbxContent>
                    <w:p w:rsidR="00E90473" w:rsidRPr="00AF4935" w:rsidRDefault="00E90473" w:rsidP="003B4062">
                      <w:pPr>
                        <w:spacing w:after="60"/>
                        <w:rPr>
                          <w:sz w:val="17"/>
                          <w:szCs w:val="17"/>
                        </w:rPr>
                      </w:pPr>
                      <w:r w:rsidRPr="00AF4935">
                        <w:rPr>
                          <w:sz w:val="17"/>
                          <w:szCs w:val="17"/>
                        </w:rPr>
                        <w:t>Figure 1: Blood Borne Viruses and Sexually Transmissible Infections Standing Committee</w:t>
                      </w:r>
                      <w:r>
                        <w:rPr>
                          <w:sz w:val="17"/>
                          <w:szCs w:val="17"/>
                        </w:rPr>
                        <w:t xml:space="preserve"> (BBVSS)</w:t>
                      </w:r>
                    </w:p>
                    <w:p w:rsidR="00E90473" w:rsidRPr="00912CCF" w:rsidRDefault="00E90473" w:rsidP="003B4062">
                      <w:pPr>
                        <w:spacing w:after="60"/>
                        <w:rPr>
                          <w:sz w:val="17"/>
                          <w:szCs w:val="17"/>
                          <w:u w:val="single"/>
                        </w:rPr>
                      </w:pPr>
                      <w:r w:rsidRPr="00912CCF">
                        <w:rPr>
                          <w:sz w:val="17"/>
                          <w:szCs w:val="17"/>
                          <w:u w:val="single"/>
                        </w:rPr>
                        <w:t>Peak organisations</w:t>
                      </w:r>
                    </w:p>
                    <w:p w:rsidR="00E90473" w:rsidRDefault="00E90473" w:rsidP="00E156C0">
                      <w:pPr>
                        <w:spacing w:after="60"/>
                        <w:rPr>
                          <w:sz w:val="17"/>
                          <w:szCs w:val="17"/>
                        </w:rPr>
                      </w:pPr>
                      <w:r w:rsidRPr="0070283E">
                        <w:rPr>
                          <w:sz w:val="17"/>
                          <w:szCs w:val="17"/>
                        </w:rPr>
                        <w:t>Australasian Society for HIV</w:t>
                      </w:r>
                      <w:r>
                        <w:rPr>
                          <w:sz w:val="17"/>
                          <w:szCs w:val="17"/>
                        </w:rPr>
                        <w:t>, Viral Hepatitis and Sexual Health Medicine</w:t>
                      </w:r>
                      <w:r w:rsidRPr="0070283E">
                        <w:rPr>
                          <w:sz w:val="17"/>
                          <w:szCs w:val="17"/>
                        </w:rPr>
                        <w:t xml:space="preserve"> (ASHM)</w:t>
                      </w:r>
                    </w:p>
                    <w:p w:rsidR="00E90473" w:rsidRDefault="00E90473" w:rsidP="001F2828">
                      <w:pPr>
                        <w:spacing w:after="60"/>
                        <w:rPr>
                          <w:sz w:val="17"/>
                          <w:szCs w:val="17"/>
                        </w:rPr>
                      </w:pPr>
                      <w:r w:rsidRPr="0070283E">
                        <w:rPr>
                          <w:sz w:val="17"/>
                          <w:szCs w:val="17"/>
                        </w:rPr>
                        <w:t>Australian Federation of AIDS Organisations (AFAO)</w:t>
                      </w:r>
                    </w:p>
                    <w:p w:rsidR="00E90473" w:rsidRPr="0070283E" w:rsidRDefault="00E90473" w:rsidP="003B4062">
                      <w:pPr>
                        <w:spacing w:after="60"/>
                        <w:rPr>
                          <w:sz w:val="17"/>
                          <w:szCs w:val="17"/>
                        </w:rPr>
                      </w:pPr>
                      <w:r w:rsidRPr="0070283E">
                        <w:rPr>
                          <w:sz w:val="17"/>
                          <w:szCs w:val="17"/>
                        </w:rPr>
                        <w:t>Australian Indigenous Doctors’ Association (AIDA)</w:t>
                      </w:r>
                    </w:p>
                    <w:p w:rsidR="00E90473" w:rsidRPr="0070283E" w:rsidRDefault="00E90473" w:rsidP="003B4062">
                      <w:pPr>
                        <w:spacing w:after="60"/>
                        <w:rPr>
                          <w:sz w:val="17"/>
                          <w:szCs w:val="17"/>
                        </w:rPr>
                      </w:pPr>
                      <w:r w:rsidRPr="0070283E">
                        <w:rPr>
                          <w:sz w:val="17"/>
                          <w:szCs w:val="17"/>
                        </w:rPr>
                        <w:t xml:space="preserve">Australian Injecting </w:t>
                      </w:r>
                      <w:r>
                        <w:rPr>
                          <w:sz w:val="17"/>
                          <w:szCs w:val="17"/>
                        </w:rPr>
                        <w:t>and</w:t>
                      </w:r>
                      <w:r w:rsidRPr="0070283E">
                        <w:rPr>
                          <w:sz w:val="17"/>
                          <w:szCs w:val="17"/>
                        </w:rPr>
                        <w:t xml:space="preserve"> Illicit Drug Users League (AIVL)</w:t>
                      </w:r>
                    </w:p>
                    <w:p w:rsidR="00E90473" w:rsidRPr="0070283E" w:rsidRDefault="00E90473" w:rsidP="003B4062">
                      <w:pPr>
                        <w:spacing w:after="60"/>
                        <w:rPr>
                          <w:sz w:val="17"/>
                          <w:szCs w:val="17"/>
                        </w:rPr>
                      </w:pPr>
                      <w:r w:rsidRPr="0070283E">
                        <w:rPr>
                          <w:sz w:val="17"/>
                          <w:szCs w:val="17"/>
                        </w:rPr>
                        <w:t>Hepatitis Australia</w:t>
                      </w:r>
                    </w:p>
                    <w:p w:rsidR="00E90473" w:rsidRDefault="00E90473" w:rsidP="003B4062">
                      <w:pPr>
                        <w:spacing w:after="60"/>
                        <w:rPr>
                          <w:sz w:val="17"/>
                          <w:szCs w:val="17"/>
                        </w:rPr>
                      </w:pPr>
                      <w:r w:rsidRPr="0070283E">
                        <w:rPr>
                          <w:sz w:val="17"/>
                          <w:szCs w:val="17"/>
                        </w:rPr>
                        <w:t xml:space="preserve">National Association of People </w:t>
                      </w:r>
                      <w:r>
                        <w:rPr>
                          <w:sz w:val="17"/>
                          <w:szCs w:val="17"/>
                        </w:rPr>
                        <w:t>w</w:t>
                      </w:r>
                      <w:r w:rsidRPr="0070283E">
                        <w:rPr>
                          <w:sz w:val="17"/>
                          <w:szCs w:val="17"/>
                        </w:rPr>
                        <w:t>ith HIV Australia (NAPWHA)</w:t>
                      </w:r>
                    </w:p>
                    <w:p w:rsidR="00E90473" w:rsidRDefault="00E90473" w:rsidP="001F2828">
                      <w:pPr>
                        <w:spacing w:after="60"/>
                        <w:rPr>
                          <w:sz w:val="17"/>
                          <w:szCs w:val="17"/>
                        </w:rPr>
                      </w:pPr>
                      <w:r w:rsidRPr="0070283E">
                        <w:rPr>
                          <w:sz w:val="17"/>
                          <w:szCs w:val="17"/>
                        </w:rPr>
                        <w:t>Scarlet Alliance, Australian Sex Workers Association</w:t>
                      </w:r>
                    </w:p>
                    <w:p w:rsidR="00E90473" w:rsidRPr="00912CCF" w:rsidRDefault="00E90473" w:rsidP="003B4062">
                      <w:pPr>
                        <w:spacing w:after="60"/>
                        <w:rPr>
                          <w:sz w:val="17"/>
                          <w:szCs w:val="17"/>
                          <w:u w:val="single"/>
                        </w:rPr>
                      </w:pPr>
                      <w:r w:rsidRPr="00912CCF">
                        <w:rPr>
                          <w:sz w:val="17"/>
                          <w:szCs w:val="17"/>
                          <w:u w:val="single"/>
                        </w:rPr>
                        <w:t xml:space="preserve">State and </w:t>
                      </w:r>
                      <w:r>
                        <w:rPr>
                          <w:sz w:val="17"/>
                          <w:szCs w:val="17"/>
                          <w:u w:val="single"/>
                        </w:rPr>
                        <w:t>t</w:t>
                      </w:r>
                      <w:r w:rsidRPr="00912CCF">
                        <w:rPr>
                          <w:sz w:val="17"/>
                          <w:szCs w:val="17"/>
                          <w:u w:val="single"/>
                        </w:rPr>
                        <w:t xml:space="preserve">erritory </w:t>
                      </w:r>
                      <w:r>
                        <w:rPr>
                          <w:sz w:val="17"/>
                          <w:szCs w:val="17"/>
                          <w:u w:val="single"/>
                        </w:rPr>
                        <w:t>g</w:t>
                      </w:r>
                      <w:r w:rsidRPr="00912CCF">
                        <w:rPr>
                          <w:sz w:val="17"/>
                          <w:szCs w:val="17"/>
                          <w:u w:val="single"/>
                        </w:rPr>
                        <w:t>overnments</w:t>
                      </w:r>
                    </w:p>
                    <w:p w:rsidR="00E90473" w:rsidRPr="0070283E" w:rsidRDefault="00E90473" w:rsidP="003B4062">
                      <w:pPr>
                        <w:spacing w:after="60"/>
                        <w:rPr>
                          <w:sz w:val="17"/>
                          <w:szCs w:val="17"/>
                        </w:rPr>
                      </w:pPr>
                      <w:r w:rsidRPr="0070283E">
                        <w:rPr>
                          <w:sz w:val="17"/>
                          <w:szCs w:val="17"/>
                        </w:rPr>
                        <w:t>ACT Health</w:t>
                      </w:r>
                    </w:p>
                    <w:p w:rsidR="00E90473" w:rsidRPr="0070283E" w:rsidRDefault="00E90473" w:rsidP="003B4062">
                      <w:pPr>
                        <w:spacing w:after="60"/>
                        <w:rPr>
                          <w:sz w:val="17"/>
                          <w:szCs w:val="17"/>
                        </w:rPr>
                      </w:pPr>
                      <w:r w:rsidRPr="0070283E">
                        <w:rPr>
                          <w:sz w:val="17"/>
                          <w:szCs w:val="17"/>
                        </w:rPr>
                        <w:t>NSW Ministry of Health</w:t>
                      </w:r>
                    </w:p>
                    <w:p w:rsidR="00E90473" w:rsidRPr="0070283E" w:rsidRDefault="00E90473" w:rsidP="003B4062">
                      <w:pPr>
                        <w:spacing w:after="60"/>
                        <w:rPr>
                          <w:sz w:val="17"/>
                          <w:szCs w:val="17"/>
                        </w:rPr>
                      </w:pPr>
                      <w:r w:rsidRPr="0070283E">
                        <w:rPr>
                          <w:sz w:val="17"/>
                          <w:szCs w:val="17"/>
                        </w:rPr>
                        <w:t>NT Department of Health</w:t>
                      </w:r>
                    </w:p>
                    <w:p w:rsidR="00E90473" w:rsidRPr="0070283E" w:rsidRDefault="00E90473" w:rsidP="003B4062">
                      <w:pPr>
                        <w:spacing w:after="60"/>
                        <w:rPr>
                          <w:sz w:val="17"/>
                          <w:szCs w:val="17"/>
                        </w:rPr>
                      </w:pPr>
                      <w:r w:rsidRPr="0070283E">
                        <w:rPr>
                          <w:sz w:val="17"/>
                          <w:szCs w:val="17"/>
                        </w:rPr>
                        <w:t>Queensland Health</w:t>
                      </w:r>
                    </w:p>
                    <w:p w:rsidR="00E90473" w:rsidRPr="0070283E" w:rsidRDefault="00E90473" w:rsidP="003B4062">
                      <w:pPr>
                        <w:spacing w:after="60"/>
                        <w:rPr>
                          <w:sz w:val="17"/>
                          <w:szCs w:val="17"/>
                        </w:rPr>
                      </w:pPr>
                      <w:r w:rsidRPr="0070283E">
                        <w:rPr>
                          <w:sz w:val="17"/>
                          <w:szCs w:val="17"/>
                        </w:rPr>
                        <w:t xml:space="preserve">SA Department </w:t>
                      </w:r>
                      <w:r>
                        <w:rPr>
                          <w:sz w:val="17"/>
                          <w:szCs w:val="17"/>
                        </w:rPr>
                        <w:t>for</w:t>
                      </w:r>
                      <w:r w:rsidRPr="0070283E">
                        <w:rPr>
                          <w:sz w:val="17"/>
                          <w:szCs w:val="17"/>
                        </w:rPr>
                        <w:t xml:space="preserve"> Health and </w:t>
                      </w:r>
                      <w:r>
                        <w:rPr>
                          <w:sz w:val="17"/>
                          <w:szCs w:val="17"/>
                        </w:rPr>
                        <w:t>Wellbeing</w:t>
                      </w:r>
                    </w:p>
                    <w:p w:rsidR="00E90473" w:rsidRPr="0070283E" w:rsidRDefault="00E90473" w:rsidP="003B4062">
                      <w:pPr>
                        <w:spacing w:after="60"/>
                        <w:rPr>
                          <w:sz w:val="17"/>
                          <w:szCs w:val="17"/>
                        </w:rPr>
                      </w:pPr>
                      <w:r w:rsidRPr="0070283E">
                        <w:rPr>
                          <w:sz w:val="17"/>
                          <w:szCs w:val="17"/>
                        </w:rPr>
                        <w:t>Tasmanian Department of Health and Human Services</w:t>
                      </w:r>
                    </w:p>
                    <w:p w:rsidR="00E90473" w:rsidRPr="0070283E" w:rsidRDefault="00E90473" w:rsidP="003B4062">
                      <w:pPr>
                        <w:spacing w:after="60"/>
                        <w:rPr>
                          <w:sz w:val="17"/>
                          <w:szCs w:val="17"/>
                        </w:rPr>
                      </w:pPr>
                      <w:r w:rsidRPr="0070283E">
                        <w:rPr>
                          <w:sz w:val="17"/>
                          <w:szCs w:val="17"/>
                        </w:rPr>
                        <w:t>Victorian Department of Health</w:t>
                      </w:r>
                      <w:r>
                        <w:rPr>
                          <w:sz w:val="17"/>
                          <w:szCs w:val="17"/>
                        </w:rPr>
                        <w:t xml:space="preserve"> and Human Services</w:t>
                      </w:r>
                    </w:p>
                    <w:p w:rsidR="00E90473" w:rsidRPr="0070283E" w:rsidRDefault="00E90473" w:rsidP="003B4062">
                      <w:pPr>
                        <w:spacing w:after="60"/>
                        <w:rPr>
                          <w:sz w:val="17"/>
                          <w:szCs w:val="17"/>
                        </w:rPr>
                      </w:pPr>
                      <w:r w:rsidRPr="0070283E">
                        <w:rPr>
                          <w:sz w:val="17"/>
                          <w:szCs w:val="17"/>
                        </w:rPr>
                        <w:t>WA Department of Health</w:t>
                      </w:r>
                    </w:p>
                    <w:p w:rsidR="00E90473" w:rsidRDefault="00E90473" w:rsidP="003B4062">
                      <w:pPr>
                        <w:spacing w:after="60"/>
                        <w:rPr>
                          <w:sz w:val="17"/>
                          <w:szCs w:val="17"/>
                        </w:rPr>
                      </w:pPr>
                      <w:r w:rsidRPr="0070283E">
                        <w:rPr>
                          <w:sz w:val="17"/>
                          <w:szCs w:val="17"/>
                        </w:rPr>
                        <w:t>Australian Government Department of Health</w:t>
                      </w:r>
                    </w:p>
                    <w:p w:rsidR="00E90473" w:rsidRPr="00894EB0" w:rsidRDefault="00E90473" w:rsidP="003B4062">
                      <w:pPr>
                        <w:spacing w:after="60"/>
                        <w:rPr>
                          <w:sz w:val="10"/>
                          <w:szCs w:val="10"/>
                        </w:rPr>
                      </w:pPr>
                    </w:p>
                    <w:p w:rsidR="00E90473" w:rsidRDefault="00E90473" w:rsidP="003B4062">
                      <w:r w:rsidRPr="00B86908">
                        <w:rPr>
                          <w:i/>
                          <w:sz w:val="17"/>
                          <w:szCs w:val="17"/>
                        </w:rPr>
                        <w:t>BBVSS is a key advisory body reporting to the Australian Health Ministers’ Advisory Council through the Australian Health Protection Principal Committee on strategic policy, programs, social issues and activities related to HIV, viral hepatitis and sexually transmissible infections (STI). </w:t>
                      </w:r>
                    </w:p>
                  </w:txbxContent>
                </v:textbox>
                <w10:wrap type="square"/>
              </v:shape>
            </w:pict>
          </mc:Fallback>
        </mc:AlternateContent>
      </w:r>
      <w:r w:rsidR="003B4062" w:rsidRPr="00D92E90">
        <w:rPr>
          <w:sz w:val="20"/>
          <w:szCs w:val="20"/>
        </w:rPr>
        <w:t xml:space="preserve">Australia </w:t>
      </w:r>
      <w:r w:rsidR="00930004" w:rsidRPr="00D92E90">
        <w:rPr>
          <w:sz w:val="20"/>
          <w:szCs w:val="20"/>
        </w:rPr>
        <w:t xml:space="preserve">has </w:t>
      </w:r>
      <w:r w:rsidR="003B4062" w:rsidRPr="00D92E90">
        <w:rPr>
          <w:sz w:val="20"/>
          <w:szCs w:val="20"/>
        </w:rPr>
        <w:t xml:space="preserve">significantly increased the number of young people vaccinated against Human Papillomavirus </w:t>
      </w:r>
      <w:r w:rsidR="003B4062" w:rsidRPr="000C6E17">
        <w:rPr>
          <w:sz w:val="20"/>
          <w:szCs w:val="20"/>
        </w:rPr>
        <w:t>(HPV)</w:t>
      </w:r>
      <w:r w:rsidR="00066F07" w:rsidRPr="000C6E17">
        <w:rPr>
          <w:sz w:val="20"/>
          <w:szCs w:val="20"/>
        </w:rPr>
        <w:t xml:space="preserve">. </w:t>
      </w:r>
      <w:r w:rsidR="00497F7C" w:rsidRPr="000C6E17">
        <w:rPr>
          <w:sz w:val="20"/>
          <w:szCs w:val="20"/>
        </w:rPr>
        <w:t xml:space="preserve">Australia is the first country in the world to document substantial declines in HPV infection, genital warts and cervical pre-cancer as a result of </w:t>
      </w:r>
      <w:r w:rsidR="004B7D47" w:rsidRPr="000C6E17">
        <w:rPr>
          <w:sz w:val="20"/>
          <w:szCs w:val="20"/>
        </w:rPr>
        <w:t>its</w:t>
      </w:r>
      <w:r w:rsidR="00497F7C" w:rsidRPr="000C6E17">
        <w:rPr>
          <w:sz w:val="20"/>
          <w:szCs w:val="20"/>
        </w:rPr>
        <w:t xml:space="preserve"> HPV vaccination program.</w:t>
      </w:r>
      <w:r w:rsidR="008B3B18" w:rsidRPr="000C6E17">
        <w:rPr>
          <w:rStyle w:val="EndnoteReference"/>
          <w:sz w:val="20"/>
          <w:szCs w:val="20"/>
        </w:rPr>
        <w:endnoteReference w:id="2"/>
      </w:r>
      <w:r w:rsidR="000C6E17" w:rsidRPr="000C6E17">
        <w:rPr>
          <w:sz w:val="20"/>
          <w:szCs w:val="20"/>
          <w:vertAlign w:val="superscript"/>
        </w:rPr>
        <w:t>,</w:t>
      </w:r>
      <w:r w:rsidR="00CB7049" w:rsidRPr="000C6E17">
        <w:rPr>
          <w:rStyle w:val="EndnoteReference"/>
          <w:sz w:val="20"/>
          <w:szCs w:val="20"/>
        </w:rPr>
        <w:endnoteReference w:id="3"/>
      </w:r>
      <w:r w:rsidR="000C6E17" w:rsidRPr="000C6E17">
        <w:rPr>
          <w:sz w:val="20"/>
          <w:szCs w:val="20"/>
          <w:vertAlign w:val="superscript"/>
        </w:rPr>
        <w:t>,</w:t>
      </w:r>
      <w:r w:rsidR="000611DA" w:rsidRPr="000C6E17">
        <w:rPr>
          <w:rStyle w:val="EndnoteReference"/>
          <w:sz w:val="20"/>
          <w:szCs w:val="20"/>
        </w:rPr>
        <w:endnoteReference w:id="4"/>
      </w:r>
      <w:r w:rsidR="000C6E17" w:rsidRPr="000C6E17">
        <w:rPr>
          <w:sz w:val="20"/>
          <w:szCs w:val="20"/>
          <w:vertAlign w:val="superscript"/>
        </w:rPr>
        <w:t>,</w:t>
      </w:r>
      <w:r w:rsidR="000611DA" w:rsidRPr="000C6E17">
        <w:rPr>
          <w:rStyle w:val="EndnoteReference"/>
          <w:sz w:val="20"/>
          <w:szCs w:val="20"/>
        </w:rPr>
        <w:endnoteReference w:id="5"/>
      </w:r>
      <w:r w:rsidR="000C6E17" w:rsidRPr="000C6E17">
        <w:rPr>
          <w:sz w:val="20"/>
          <w:szCs w:val="20"/>
          <w:vertAlign w:val="superscript"/>
        </w:rPr>
        <w:t>,</w:t>
      </w:r>
      <w:r w:rsidR="000611DA" w:rsidRPr="000C6E17">
        <w:rPr>
          <w:rStyle w:val="EndnoteReference"/>
          <w:sz w:val="20"/>
          <w:szCs w:val="20"/>
        </w:rPr>
        <w:endnoteReference w:id="6"/>
      </w:r>
      <w:r w:rsidR="000C6E17" w:rsidRPr="000C6E17">
        <w:rPr>
          <w:sz w:val="20"/>
          <w:szCs w:val="20"/>
          <w:vertAlign w:val="superscript"/>
        </w:rPr>
        <w:t>,</w:t>
      </w:r>
      <w:r w:rsidR="000611DA" w:rsidRPr="000C6E17">
        <w:rPr>
          <w:rStyle w:val="EndnoteReference"/>
          <w:sz w:val="20"/>
          <w:szCs w:val="20"/>
        </w:rPr>
        <w:endnoteReference w:id="7"/>
      </w:r>
      <w:r w:rsidR="000C6E17" w:rsidRPr="000C6E17">
        <w:rPr>
          <w:sz w:val="20"/>
          <w:szCs w:val="20"/>
          <w:vertAlign w:val="superscript"/>
        </w:rPr>
        <w:t>,</w:t>
      </w:r>
      <w:r w:rsidR="000611DA" w:rsidRPr="000C6E17">
        <w:rPr>
          <w:rStyle w:val="EndnoteReference"/>
          <w:sz w:val="20"/>
          <w:szCs w:val="20"/>
        </w:rPr>
        <w:endnoteReference w:id="8"/>
      </w:r>
      <w:r w:rsidR="000C6E17" w:rsidRPr="000C6E17">
        <w:rPr>
          <w:sz w:val="20"/>
          <w:szCs w:val="20"/>
          <w:vertAlign w:val="superscript"/>
        </w:rPr>
        <w:t>,</w:t>
      </w:r>
      <w:r w:rsidR="000611DA" w:rsidRPr="000C6E17">
        <w:rPr>
          <w:rStyle w:val="EndnoteReference"/>
          <w:sz w:val="20"/>
          <w:szCs w:val="20"/>
        </w:rPr>
        <w:endnoteReference w:id="9"/>
      </w:r>
      <w:r w:rsidR="000C6E17" w:rsidRPr="000C6E17">
        <w:rPr>
          <w:sz w:val="20"/>
          <w:szCs w:val="20"/>
          <w:vertAlign w:val="superscript"/>
        </w:rPr>
        <w:t>,</w:t>
      </w:r>
      <w:r w:rsidR="000611DA" w:rsidRPr="000C6E17">
        <w:rPr>
          <w:rStyle w:val="EndnoteReference"/>
          <w:sz w:val="20"/>
          <w:szCs w:val="20"/>
        </w:rPr>
        <w:endnoteReference w:id="10"/>
      </w:r>
      <w:r w:rsidR="00497F7C" w:rsidRPr="000C6E17">
        <w:rPr>
          <w:sz w:val="20"/>
          <w:szCs w:val="20"/>
        </w:rPr>
        <w:t xml:space="preserve"> </w:t>
      </w:r>
      <w:r w:rsidR="00066F07" w:rsidRPr="000C6E17">
        <w:rPr>
          <w:sz w:val="20"/>
          <w:szCs w:val="20"/>
        </w:rPr>
        <w:t>Th</w:t>
      </w:r>
      <w:r w:rsidR="00066F07" w:rsidRPr="00D92E90">
        <w:rPr>
          <w:sz w:val="20"/>
          <w:szCs w:val="20"/>
        </w:rPr>
        <w:t>e introduction of Gardasil</w:t>
      </w:r>
      <w:r w:rsidR="00102E48">
        <w:rPr>
          <w:rFonts w:cs="Segoe UI"/>
          <w:sz w:val="20"/>
          <w:szCs w:val="20"/>
        </w:rPr>
        <w:t>®</w:t>
      </w:r>
      <w:r w:rsidR="00066F07" w:rsidRPr="00D92E90">
        <w:rPr>
          <w:sz w:val="20"/>
          <w:szCs w:val="20"/>
        </w:rPr>
        <w:t>9</w:t>
      </w:r>
      <w:r w:rsidR="00944683">
        <w:rPr>
          <w:sz w:val="20"/>
          <w:szCs w:val="20"/>
        </w:rPr>
        <w:t>, which protects</w:t>
      </w:r>
      <w:r w:rsidR="00944683" w:rsidRPr="00D92E90">
        <w:rPr>
          <w:sz w:val="20"/>
          <w:szCs w:val="20"/>
        </w:rPr>
        <w:t xml:space="preserve"> against nine types of HPV, </w:t>
      </w:r>
      <w:r w:rsidR="00066F07" w:rsidRPr="00D92E90">
        <w:rPr>
          <w:sz w:val="20"/>
          <w:szCs w:val="20"/>
        </w:rPr>
        <w:t>to the National Immunisation Program in 2018</w:t>
      </w:r>
      <w:r w:rsidR="00944683">
        <w:rPr>
          <w:sz w:val="20"/>
          <w:szCs w:val="20"/>
        </w:rPr>
        <w:t xml:space="preserve"> </w:t>
      </w:r>
      <w:r w:rsidR="00066F07" w:rsidRPr="00D92E90">
        <w:rPr>
          <w:sz w:val="20"/>
          <w:szCs w:val="20"/>
        </w:rPr>
        <w:t xml:space="preserve">is expected to </w:t>
      </w:r>
      <w:r w:rsidR="008B3B18">
        <w:rPr>
          <w:sz w:val="20"/>
          <w:szCs w:val="20"/>
        </w:rPr>
        <w:t>further</w:t>
      </w:r>
      <w:r w:rsidR="008B3B18" w:rsidRPr="00D92E90">
        <w:rPr>
          <w:sz w:val="20"/>
          <w:szCs w:val="20"/>
        </w:rPr>
        <w:t xml:space="preserve"> </w:t>
      </w:r>
      <w:r w:rsidR="00066F07" w:rsidRPr="00D92E90">
        <w:rPr>
          <w:sz w:val="20"/>
          <w:szCs w:val="20"/>
        </w:rPr>
        <w:t>reduce cervical cancer rates.</w:t>
      </w:r>
      <w:r w:rsidR="008B3B18">
        <w:rPr>
          <w:rStyle w:val="EndnoteReference"/>
          <w:sz w:val="20"/>
          <w:szCs w:val="20"/>
        </w:rPr>
        <w:endnoteReference w:id="11"/>
      </w:r>
      <w:r w:rsidR="00066F07" w:rsidRPr="00D92E90">
        <w:rPr>
          <w:sz w:val="20"/>
          <w:szCs w:val="20"/>
        </w:rPr>
        <w:t xml:space="preserve"> </w:t>
      </w:r>
    </w:p>
    <w:p w:rsidR="003B4062" w:rsidRPr="00D92E90" w:rsidRDefault="00066F07" w:rsidP="003B4062">
      <w:pPr>
        <w:rPr>
          <w:sz w:val="20"/>
          <w:szCs w:val="20"/>
        </w:rPr>
      </w:pPr>
      <w:r>
        <w:rPr>
          <w:sz w:val="20"/>
          <w:szCs w:val="20"/>
        </w:rPr>
        <w:t xml:space="preserve">Australia has also </w:t>
      </w:r>
      <w:r w:rsidR="003B4062" w:rsidRPr="00D92E90">
        <w:rPr>
          <w:sz w:val="20"/>
          <w:szCs w:val="20"/>
        </w:rPr>
        <w:t xml:space="preserve">boosted STI testing </w:t>
      </w:r>
      <w:r w:rsidR="009F7BAA">
        <w:rPr>
          <w:sz w:val="20"/>
          <w:szCs w:val="20"/>
        </w:rPr>
        <w:t xml:space="preserve">rates </w:t>
      </w:r>
      <w:r w:rsidR="003B4062" w:rsidRPr="00D92E90">
        <w:rPr>
          <w:sz w:val="20"/>
          <w:szCs w:val="20"/>
        </w:rPr>
        <w:t xml:space="preserve">in gay and bisexual men; is close to eliminating </w:t>
      </w:r>
      <w:r w:rsidR="003B4062" w:rsidRPr="00AF4935">
        <w:rPr>
          <w:sz w:val="20"/>
          <w:szCs w:val="20"/>
        </w:rPr>
        <w:t>donovanosis</w:t>
      </w:r>
      <w:r w:rsidR="00944683">
        <w:rPr>
          <w:sz w:val="20"/>
          <w:szCs w:val="20"/>
        </w:rPr>
        <w:t>—</w:t>
      </w:r>
      <w:r w:rsidR="003B4062" w:rsidRPr="00D92E90">
        <w:rPr>
          <w:sz w:val="20"/>
          <w:szCs w:val="20"/>
        </w:rPr>
        <w:t xml:space="preserve">a bacterial infection which was previously endemic in </w:t>
      </w:r>
      <w:r w:rsidR="004B7D47">
        <w:rPr>
          <w:sz w:val="20"/>
          <w:szCs w:val="20"/>
        </w:rPr>
        <w:t xml:space="preserve">remote </w:t>
      </w:r>
      <w:r w:rsidR="003B4062" w:rsidRPr="00D92E90">
        <w:rPr>
          <w:sz w:val="20"/>
          <w:szCs w:val="20"/>
        </w:rPr>
        <w:t>Aboriginal and Torres Strait Islander communities</w:t>
      </w:r>
      <w:r w:rsidR="005705B8">
        <w:rPr>
          <w:sz w:val="20"/>
          <w:szCs w:val="20"/>
        </w:rPr>
        <w:t xml:space="preserve">; and </w:t>
      </w:r>
      <w:r w:rsidR="00497F7C">
        <w:rPr>
          <w:sz w:val="20"/>
          <w:szCs w:val="20"/>
        </w:rPr>
        <w:t>has</w:t>
      </w:r>
      <w:r w:rsidR="003B4062" w:rsidRPr="00D92E90">
        <w:rPr>
          <w:sz w:val="20"/>
          <w:szCs w:val="20"/>
        </w:rPr>
        <w:t xml:space="preserve"> sustained</w:t>
      </w:r>
      <w:r w:rsidR="00005088">
        <w:rPr>
          <w:sz w:val="20"/>
          <w:szCs w:val="20"/>
        </w:rPr>
        <w:t xml:space="preserve"> strong </w:t>
      </w:r>
      <w:r w:rsidR="003B4062" w:rsidRPr="00D92E90">
        <w:rPr>
          <w:sz w:val="20"/>
          <w:szCs w:val="20"/>
        </w:rPr>
        <w:t xml:space="preserve">health promotion programs </w:t>
      </w:r>
      <w:r w:rsidR="00005088">
        <w:rPr>
          <w:sz w:val="20"/>
          <w:szCs w:val="20"/>
        </w:rPr>
        <w:t>for</w:t>
      </w:r>
      <w:r w:rsidR="003B4062" w:rsidRPr="00D92E90">
        <w:rPr>
          <w:sz w:val="20"/>
          <w:szCs w:val="20"/>
        </w:rPr>
        <w:t xml:space="preserve"> sex workers</w:t>
      </w:r>
      <w:r>
        <w:rPr>
          <w:sz w:val="20"/>
          <w:szCs w:val="20"/>
        </w:rPr>
        <w:t>,</w:t>
      </w:r>
      <w:r w:rsidR="003B4062" w:rsidRPr="00D92E90">
        <w:rPr>
          <w:sz w:val="20"/>
          <w:szCs w:val="20"/>
        </w:rPr>
        <w:t xml:space="preserve"> </w:t>
      </w:r>
      <w:r>
        <w:rPr>
          <w:sz w:val="20"/>
          <w:szCs w:val="20"/>
        </w:rPr>
        <w:t>resulting in</w:t>
      </w:r>
      <w:r w:rsidR="003B4062" w:rsidRPr="00D92E90">
        <w:rPr>
          <w:sz w:val="20"/>
          <w:szCs w:val="20"/>
        </w:rPr>
        <w:t xml:space="preserve"> </w:t>
      </w:r>
      <w:r>
        <w:rPr>
          <w:sz w:val="20"/>
          <w:szCs w:val="20"/>
        </w:rPr>
        <w:t xml:space="preserve">STI </w:t>
      </w:r>
      <w:r w:rsidR="003B4062" w:rsidRPr="00D92E90">
        <w:rPr>
          <w:sz w:val="20"/>
          <w:szCs w:val="20"/>
        </w:rPr>
        <w:t>rates</w:t>
      </w:r>
      <w:r w:rsidR="003D4AEA">
        <w:rPr>
          <w:sz w:val="20"/>
          <w:szCs w:val="20"/>
        </w:rPr>
        <w:t xml:space="preserve"> in this priority population</w:t>
      </w:r>
      <w:r w:rsidR="003B4062" w:rsidRPr="00D92E90">
        <w:rPr>
          <w:sz w:val="20"/>
          <w:szCs w:val="20"/>
        </w:rPr>
        <w:t xml:space="preserve"> </w:t>
      </w:r>
      <w:r w:rsidR="00944683">
        <w:rPr>
          <w:sz w:val="20"/>
          <w:szCs w:val="20"/>
        </w:rPr>
        <w:t xml:space="preserve">that are </w:t>
      </w:r>
      <w:r w:rsidR="003B4062" w:rsidRPr="00D92E90">
        <w:rPr>
          <w:sz w:val="20"/>
          <w:szCs w:val="20"/>
        </w:rPr>
        <w:t>among the lowest in the world</w:t>
      </w:r>
      <w:r w:rsidR="009F7BAA">
        <w:rPr>
          <w:sz w:val="20"/>
          <w:szCs w:val="20"/>
        </w:rPr>
        <w:t xml:space="preserve"> compared </w:t>
      </w:r>
      <w:r w:rsidR="00944683">
        <w:rPr>
          <w:sz w:val="20"/>
          <w:szCs w:val="20"/>
        </w:rPr>
        <w:t xml:space="preserve">with </w:t>
      </w:r>
      <w:r w:rsidR="009F7BAA">
        <w:rPr>
          <w:sz w:val="20"/>
          <w:szCs w:val="20"/>
        </w:rPr>
        <w:t>sex workers in other countries</w:t>
      </w:r>
      <w:r w:rsidR="003B4062" w:rsidRPr="00D92E90">
        <w:rPr>
          <w:sz w:val="20"/>
          <w:szCs w:val="20"/>
        </w:rPr>
        <w:t>.</w:t>
      </w:r>
      <w:r>
        <w:rPr>
          <w:sz w:val="20"/>
          <w:szCs w:val="20"/>
        </w:rPr>
        <w:t xml:space="preserve"> </w:t>
      </w:r>
    </w:p>
    <w:p w:rsidR="00005088" w:rsidRDefault="003B4062" w:rsidP="003B4062">
      <w:pPr>
        <w:rPr>
          <w:sz w:val="20"/>
          <w:szCs w:val="20"/>
        </w:rPr>
      </w:pPr>
      <w:r w:rsidRPr="00D92E90">
        <w:rPr>
          <w:sz w:val="20"/>
          <w:szCs w:val="20"/>
        </w:rPr>
        <w:t xml:space="preserve">Despite these advances, STI remain a public health challenge in Australia. Over the past five years, </w:t>
      </w:r>
      <w:r w:rsidR="00102E48">
        <w:rPr>
          <w:sz w:val="20"/>
          <w:szCs w:val="20"/>
        </w:rPr>
        <w:t>the prevalence of</w:t>
      </w:r>
      <w:r w:rsidRPr="00D92E90">
        <w:rPr>
          <w:sz w:val="20"/>
          <w:szCs w:val="20"/>
        </w:rPr>
        <w:t xml:space="preserve"> some STI </w:t>
      </w:r>
      <w:r w:rsidR="00944683">
        <w:rPr>
          <w:sz w:val="20"/>
          <w:szCs w:val="20"/>
        </w:rPr>
        <w:t xml:space="preserve">has </w:t>
      </w:r>
      <w:r w:rsidRPr="00D92E90">
        <w:rPr>
          <w:sz w:val="20"/>
          <w:szCs w:val="20"/>
        </w:rPr>
        <w:t>continued to rise in several priority populations</w:t>
      </w:r>
      <w:r w:rsidR="009F7BAA">
        <w:rPr>
          <w:sz w:val="20"/>
          <w:szCs w:val="20"/>
        </w:rPr>
        <w:t>.</w:t>
      </w:r>
      <w:r w:rsidRPr="00D92E90">
        <w:rPr>
          <w:sz w:val="20"/>
          <w:szCs w:val="20"/>
        </w:rPr>
        <w:t xml:space="preserve"> </w:t>
      </w:r>
      <w:r w:rsidR="009F7BAA">
        <w:t>In particular</w:t>
      </w:r>
      <w:r w:rsidR="009F7BAA" w:rsidRPr="00955241">
        <w:t xml:space="preserve">, </w:t>
      </w:r>
      <w:r w:rsidR="009F7BAA">
        <w:t xml:space="preserve">increased rates of </w:t>
      </w:r>
      <w:r w:rsidR="009F7BAA" w:rsidRPr="00955241">
        <w:t xml:space="preserve">syphilis </w:t>
      </w:r>
      <w:r w:rsidR="009F7BAA">
        <w:t xml:space="preserve">in gay men and </w:t>
      </w:r>
      <w:r w:rsidR="009F7BAA" w:rsidRPr="00955241">
        <w:t xml:space="preserve">Aboriginal and Torres Strait Islander people, </w:t>
      </w:r>
      <w:r w:rsidR="009F7BAA">
        <w:t xml:space="preserve">gonorrhoea in </w:t>
      </w:r>
      <w:r w:rsidR="009F7BAA" w:rsidRPr="00955241">
        <w:t>gay men and other men who have sex with men</w:t>
      </w:r>
      <w:r w:rsidR="009F7BAA">
        <w:t xml:space="preserve"> (MSM); and </w:t>
      </w:r>
      <w:r w:rsidR="003B7AEB">
        <w:t xml:space="preserve">gonorrhoea and </w:t>
      </w:r>
      <w:r w:rsidR="009F7BAA">
        <w:t>c</w:t>
      </w:r>
      <w:r w:rsidR="009F7BAA" w:rsidRPr="00955241">
        <w:t xml:space="preserve">hlamydia </w:t>
      </w:r>
      <w:r w:rsidR="009F7BAA">
        <w:t xml:space="preserve">in </w:t>
      </w:r>
      <w:r w:rsidR="009F7BAA" w:rsidRPr="00955241">
        <w:t>young people</w:t>
      </w:r>
      <w:r w:rsidR="009F7BAA">
        <w:t xml:space="preserve"> are all of significant concern</w:t>
      </w:r>
      <w:r w:rsidRPr="00D92E90">
        <w:rPr>
          <w:sz w:val="20"/>
          <w:szCs w:val="20"/>
        </w:rPr>
        <w:t xml:space="preserve">.  </w:t>
      </w:r>
    </w:p>
    <w:p w:rsidR="003B4062" w:rsidRPr="00D92E90" w:rsidRDefault="0069118B" w:rsidP="003B4062">
      <w:pPr>
        <w:rPr>
          <w:sz w:val="20"/>
          <w:szCs w:val="20"/>
        </w:rPr>
      </w:pPr>
      <w:r w:rsidRPr="00D92E90">
        <w:rPr>
          <w:sz w:val="20"/>
          <w:szCs w:val="20"/>
        </w:rPr>
        <w:t xml:space="preserve">There is a </w:t>
      </w:r>
      <w:r w:rsidR="00005088">
        <w:rPr>
          <w:sz w:val="20"/>
          <w:szCs w:val="20"/>
        </w:rPr>
        <w:t xml:space="preserve">critical </w:t>
      </w:r>
      <w:r w:rsidRPr="00D92E90">
        <w:rPr>
          <w:sz w:val="20"/>
          <w:szCs w:val="20"/>
        </w:rPr>
        <w:t xml:space="preserve">need to </w:t>
      </w:r>
      <w:r w:rsidR="00005088">
        <w:rPr>
          <w:sz w:val="20"/>
          <w:szCs w:val="20"/>
        </w:rPr>
        <w:t>improve knowledge and awareness of STI among priority popula</w:t>
      </w:r>
      <w:r w:rsidR="00A93B5D">
        <w:rPr>
          <w:sz w:val="20"/>
          <w:szCs w:val="20"/>
        </w:rPr>
        <w:t>tions</w:t>
      </w:r>
      <w:r w:rsidR="00671C70">
        <w:rPr>
          <w:sz w:val="20"/>
          <w:szCs w:val="20"/>
        </w:rPr>
        <w:t>, health professionals</w:t>
      </w:r>
      <w:r w:rsidR="00A93B5D">
        <w:rPr>
          <w:sz w:val="20"/>
          <w:szCs w:val="20"/>
        </w:rPr>
        <w:t xml:space="preserve"> and the wider community. </w:t>
      </w:r>
      <w:r w:rsidR="00005088">
        <w:rPr>
          <w:sz w:val="20"/>
          <w:szCs w:val="20"/>
        </w:rPr>
        <w:t>This includes re-emphasising</w:t>
      </w:r>
      <w:r w:rsidRPr="00D92E90">
        <w:rPr>
          <w:sz w:val="20"/>
          <w:szCs w:val="20"/>
        </w:rPr>
        <w:t xml:space="preserve"> t</w:t>
      </w:r>
      <w:r w:rsidR="00005088">
        <w:rPr>
          <w:sz w:val="20"/>
          <w:szCs w:val="20"/>
        </w:rPr>
        <w:t>he importance of STI prevention</w:t>
      </w:r>
      <w:r w:rsidR="00BA7E6A">
        <w:rPr>
          <w:sz w:val="20"/>
          <w:szCs w:val="20"/>
        </w:rPr>
        <w:t>, including</w:t>
      </w:r>
      <w:r w:rsidRPr="00D92E90">
        <w:rPr>
          <w:sz w:val="20"/>
          <w:szCs w:val="20"/>
        </w:rPr>
        <w:t xml:space="preserve"> </w:t>
      </w:r>
      <w:r w:rsidR="00005088">
        <w:rPr>
          <w:sz w:val="20"/>
          <w:szCs w:val="20"/>
        </w:rPr>
        <w:t>the central role of condoms</w:t>
      </w:r>
      <w:r w:rsidR="00DA2547">
        <w:rPr>
          <w:sz w:val="20"/>
          <w:szCs w:val="20"/>
        </w:rPr>
        <w:t>;</w:t>
      </w:r>
      <w:r w:rsidR="00BA7E6A">
        <w:rPr>
          <w:sz w:val="20"/>
          <w:szCs w:val="20"/>
        </w:rPr>
        <w:t xml:space="preserve"> </w:t>
      </w:r>
      <w:r w:rsidR="005705B8">
        <w:rPr>
          <w:sz w:val="20"/>
          <w:szCs w:val="20"/>
        </w:rPr>
        <w:t xml:space="preserve">the need for timely </w:t>
      </w:r>
      <w:r w:rsidRPr="00D92E90">
        <w:rPr>
          <w:sz w:val="20"/>
          <w:szCs w:val="20"/>
        </w:rPr>
        <w:t>testing and treatment</w:t>
      </w:r>
      <w:r w:rsidR="00DA2547">
        <w:rPr>
          <w:sz w:val="20"/>
          <w:szCs w:val="20"/>
        </w:rPr>
        <w:t>;</w:t>
      </w:r>
      <w:r w:rsidR="00BA7E6A">
        <w:rPr>
          <w:sz w:val="20"/>
          <w:szCs w:val="20"/>
        </w:rPr>
        <w:t xml:space="preserve"> and the potential long</w:t>
      </w:r>
      <w:r w:rsidR="00944683">
        <w:rPr>
          <w:sz w:val="20"/>
          <w:szCs w:val="20"/>
        </w:rPr>
        <w:t>-</w:t>
      </w:r>
      <w:r w:rsidR="00BA7E6A">
        <w:rPr>
          <w:sz w:val="20"/>
          <w:szCs w:val="20"/>
        </w:rPr>
        <w:t>term consequences of STI</w:t>
      </w:r>
      <w:r w:rsidR="00005088">
        <w:rPr>
          <w:sz w:val="20"/>
          <w:szCs w:val="20"/>
        </w:rPr>
        <w:t>. Approaches must counter STI-related</w:t>
      </w:r>
      <w:r w:rsidRPr="00D92E90">
        <w:rPr>
          <w:sz w:val="20"/>
          <w:szCs w:val="20"/>
        </w:rPr>
        <w:t xml:space="preserve"> stigma</w:t>
      </w:r>
      <w:r w:rsidR="00944683">
        <w:rPr>
          <w:sz w:val="20"/>
          <w:szCs w:val="20"/>
        </w:rPr>
        <w:t>,</w:t>
      </w:r>
      <w:r w:rsidRPr="00D92E90">
        <w:rPr>
          <w:sz w:val="20"/>
          <w:szCs w:val="20"/>
        </w:rPr>
        <w:t xml:space="preserve"> </w:t>
      </w:r>
      <w:r w:rsidR="00005088">
        <w:rPr>
          <w:sz w:val="20"/>
          <w:szCs w:val="20"/>
        </w:rPr>
        <w:t>as this</w:t>
      </w:r>
      <w:r w:rsidR="005705B8">
        <w:rPr>
          <w:sz w:val="20"/>
          <w:szCs w:val="20"/>
        </w:rPr>
        <w:t xml:space="preserve"> is a known </w:t>
      </w:r>
      <w:r w:rsidR="005705B8" w:rsidRPr="00C74EE5">
        <w:rPr>
          <w:sz w:val="20"/>
          <w:szCs w:val="20"/>
        </w:rPr>
        <w:t xml:space="preserve">barrier </w:t>
      </w:r>
      <w:r w:rsidRPr="00AF4935">
        <w:rPr>
          <w:sz w:val="20"/>
          <w:szCs w:val="20"/>
        </w:rPr>
        <w:t xml:space="preserve">to people </w:t>
      </w:r>
      <w:r w:rsidR="005705B8" w:rsidRPr="00AF4935">
        <w:rPr>
          <w:sz w:val="20"/>
          <w:szCs w:val="20"/>
        </w:rPr>
        <w:t>accessing</w:t>
      </w:r>
      <w:r w:rsidR="005705B8" w:rsidRPr="00C74EE5">
        <w:rPr>
          <w:sz w:val="20"/>
          <w:szCs w:val="20"/>
        </w:rPr>
        <w:t xml:space="preserve"> prevention</w:t>
      </w:r>
      <w:r w:rsidR="005705B8">
        <w:rPr>
          <w:sz w:val="20"/>
          <w:szCs w:val="20"/>
        </w:rPr>
        <w:t>,</w:t>
      </w:r>
      <w:r w:rsidRPr="00D92E90">
        <w:rPr>
          <w:sz w:val="20"/>
          <w:szCs w:val="20"/>
        </w:rPr>
        <w:t xml:space="preserve"> testing, treatment and support.</w:t>
      </w:r>
      <w:r w:rsidR="003B7AEB">
        <w:rPr>
          <w:rStyle w:val="EndnoteReference"/>
          <w:sz w:val="20"/>
          <w:szCs w:val="20"/>
        </w:rPr>
        <w:endnoteReference w:id="12"/>
      </w:r>
    </w:p>
    <w:p w:rsidR="002542E3" w:rsidRPr="00D92E90" w:rsidRDefault="002542E3" w:rsidP="002542E3">
      <w:pPr>
        <w:rPr>
          <w:sz w:val="20"/>
          <w:szCs w:val="20"/>
        </w:rPr>
      </w:pPr>
      <w:r w:rsidRPr="00D92E90">
        <w:rPr>
          <w:sz w:val="20"/>
          <w:szCs w:val="20"/>
        </w:rPr>
        <w:t>Understanding the social drivers that influence the rate</w:t>
      </w:r>
      <w:r w:rsidR="00A93B5D">
        <w:rPr>
          <w:sz w:val="20"/>
          <w:szCs w:val="20"/>
        </w:rPr>
        <w:t>s</w:t>
      </w:r>
      <w:r w:rsidRPr="00D92E90">
        <w:rPr>
          <w:sz w:val="20"/>
          <w:szCs w:val="20"/>
        </w:rPr>
        <w:t xml:space="preserve"> of STI in Australia, such as </w:t>
      </w:r>
      <w:r w:rsidR="00DA2547">
        <w:rPr>
          <w:sz w:val="20"/>
          <w:szCs w:val="20"/>
        </w:rPr>
        <w:t xml:space="preserve">social media and other </w:t>
      </w:r>
      <w:r w:rsidR="003B7AEB">
        <w:rPr>
          <w:sz w:val="20"/>
          <w:szCs w:val="20"/>
        </w:rPr>
        <w:t xml:space="preserve">technology </w:t>
      </w:r>
      <w:r w:rsidR="00DA2547">
        <w:rPr>
          <w:sz w:val="20"/>
          <w:szCs w:val="20"/>
        </w:rPr>
        <w:t>platforms</w:t>
      </w:r>
      <w:r w:rsidRPr="00D92E90">
        <w:rPr>
          <w:sz w:val="20"/>
          <w:szCs w:val="20"/>
        </w:rPr>
        <w:t xml:space="preserve"> and changing sexual behaviours, is </w:t>
      </w:r>
      <w:r w:rsidR="00B50B6A">
        <w:rPr>
          <w:sz w:val="20"/>
          <w:szCs w:val="20"/>
        </w:rPr>
        <w:t xml:space="preserve">also </w:t>
      </w:r>
      <w:proofErr w:type="gramStart"/>
      <w:r w:rsidRPr="00D92E90">
        <w:rPr>
          <w:sz w:val="20"/>
          <w:szCs w:val="20"/>
        </w:rPr>
        <w:t>critical.</w:t>
      </w:r>
      <w:r w:rsidRPr="00D92E90">
        <w:rPr>
          <w:rStyle w:val="EndnoteReference"/>
          <w:sz w:val="20"/>
          <w:szCs w:val="20"/>
        </w:rPr>
        <w:endnoteReference w:id="13"/>
      </w:r>
      <w:r w:rsidRPr="00D92E90">
        <w:rPr>
          <w:sz w:val="20"/>
          <w:szCs w:val="20"/>
          <w:vertAlign w:val="superscript"/>
        </w:rPr>
        <w:t>,</w:t>
      </w:r>
      <w:r w:rsidRPr="00D92E90">
        <w:rPr>
          <w:rStyle w:val="EndnoteReference"/>
          <w:sz w:val="20"/>
          <w:szCs w:val="20"/>
        </w:rPr>
        <w:endnoteReference w:id="14"/>
      </w:r>
      <w:r w:rsidRPr="00D92E90">
        <w:rPr>
          <w:sz w:val="20"/>
          <w:szCs w:val="20"/>
          <w:vertAlign w:val="superscript"/>
        </w:rPr>
        <w:t>,</w:t>
      </w:r>
      <w:proofErr w:type="gramEnd"/>
      <w:r w:rsidRPr="00D92E90">
        <w:rPr>
          <w:rStyle w:val="EndnoteReference"/>
          <w:sz w:val="20"/>
          <w:szCs w:val="20"/>
        </w:rPr>
        <w:endnoteReference w:id="15"/>
      </w:r>
      <w:r w:rsidRPr="00D92E90">
        <w:rPr>
          <w:sz w:val="20"/>
          <w:szCs w:val="20"/>
        </w:rPr>
        <w:t xml:space="preserve"> Messaging about STI and the importance of prevention needs to be </w:t>
      </w:r>
      <w:r w:rsidR="00B50B6A">
        <w:rPr>
          <w:sz w:val="20"/>
          <w:szCs w:val="20"/>
        </w:rPr>
        <w:t>targeted</w:t>
      </w:r>
      <w:r w:rsidRPr="00D92E90">
        <w:rPr>
          <w:sz w:val="20"/>
          <w:szCs w:val="20"/>
        </w:rPr>
        <w:t xml:space="preserve"> and capture the attention of priority populations. </w:t>
      </w:r>
    </w:p>
    <w:p w:rsidR="003B4062" w:rsidRDefault="00DA2547" w:rsidP="003B4062">
      <w:pPr>
        <w:rPr>
          <w:sz w:val="20"/>
          <w:szCs w:val="20"/>
        </w:rPr>
      </w:pPr>
      <w:r>
        <w:rPr>
          <w:sz w:val="20"/>
          <w:szCs w:val="20"/>
        </w:rPr>
        <w:t xml:space="preserve">There are also emerging issues that require close monitoring and </w:t>
      </w:r>
      <w:r w:rsidRPr="00AF4935">
        <w:rPr>
          <w:sz w:val="20"/>
          <w:szCs w:val="20"/>
        </w:rPr>
        <w:t>proactive</w:t>
      </w:r>
      <w:r>
        <w:rPr>
          <w:sz w:val="20"/>
          <w:szCs w:val="20"/>
        </w:rPr>
        <w:t xml:space="preserve"> response. </w:t>
      </w:r>
      <w:r w:rsidR="00170C37">
        <w:rPr>
          <w:sz w:val="20"/>
          <w:szCs w:val="20"/>
        </w:rPr>
        <w:t>The detection of extensively</w:t>
      </w:r>
      <w:r w:rsidR="008306B9">
        <w:rPr>
          <w:sz w:val="20"/>
          <w:szCs w:val="20"/>
        </w:rPr>
        <w:t xml:space="preserve"> and multi</w:t>
      </w:r>
      <w:r w:rsidR="00170C37">
        <w:rPr>
          <w:sz w:val="20"/>
          <w:szCs w:val="20"/>
        </w:rPr>
        <w:t>-drug resistant gonorrhoea</w:t>
      </w:r>
      <w:r w:rsidR="00DE312C">
        <w:rPr>
          <w:sz w:val="20"/>
          <w:szCs w:val="20"/>
        </w:rPr>
        <w:t xml:space="preserve"> is one such issue.</w:t>
      </w:r>
      <w:r w:rsidR="00AA67D5">
        <w:rPr>
          <w:rStyle w:val="EndnoteReference"/>
          <w:sz w:val="20"/>
          <w:szCs w:val="20"/>
        </w:rPr>
        <w:endnoteReference w:id="16"/>
      </w:r>
      <w:r w:rsidR="00170C37">
        <w:rPr>
          <w:sz w:val="20"/>
          <w:szCs w:val="20"/>
        </w:rPr>
        <w:t xml:space="preserve"> Another is t</w:t>
      </w:r>
      <w:r w:rsidR="00170C37" w:rsidRPr="00D92E90">
        <w:rPr>
          <w:sz w:val="20"/>
          <w:szCs w:val="20"/>
        </w:rPr>
        <w:t>he</w:t>
      </w:r>
      <w:r w:rsidR="00170C37">
        <w:rPr>
          <w:sz w:val="20"/>
          <w:szCs w:val="20"/>
        </w:rPr>
        <w:t xml:space="preserve"> emergence of sexual transmission of diseases typically not associated with sexual exposure</w:t>
      </w:r>
      <w:r w:rsidR="00DE312C">
        <w:rPr>
          <w:sz w:val="20"/>
          <w:szCs w:val="20"/>
        </w:rPr>
        <w:t>,</w:t>
      </w:r>
      <w:r w:rsidR="00170C37" w:rsidRPr="00D92E90">
        <w:rPr>
          <w:sz w:val="20"/>
          <w:szCs w:val="20"/>
        </w:rPr>
        <w:t xml:space="preserve"> </w:t>
      </w:r>
      <w:r w:rsidR="00170C37">
        <w:rPr>
          <w:sz w:val="20"/>
          <w:szCs w:val="20"/>
        </w:rPr>
        <w:t xml:space="preserve">such as hepatitis A </w:t>
      </w:r>
      <w:r w:rsidR="00671C70">
        <w:rPr>
          <w:sz w:val="20"/>
          <w:szCs w:val="20"/>
        </w:rPr>
        <w:t xml:space="preserve">and B viruses </w:t>
      </w:r>
      <w:r w:rsidR="00170C37">
        <w:rPr>
          <w:sz w:val="20"/>
          <w:szCs w:val="20"/>
        </w:rPr>
        <w:t xml:space="preserve">and </w:t>
      </w:r>
      <w:r w:rsidR="00170C37" w:rsidRPr="00AF4935">
        <w:rPr>
          <w:sz w:val="20"/>
          <w:szCs w:val="20"/>
        </w:rPr>
        <w:t>shigellosis</w:t>
      </w:r>
      <w:r w:rsidR="00170C37" w:rsidRPr="00D92E90">
        <w:rPr>
          <w:sz w:val="20"/>
          <w:szCs w:val="20"/>
        </w:rPr>
        <w:t>.</w:t>
      </w:r>
      <w:r w:rsidR="008D2381" w:rsidRPr="008D2381">
        <w:rPr>
          <w:rStyle w:val="EndnoteReference"/>
          <w:sz w:val="20"/>
          <w:szCs w:val="20"/>
        </w:rPr>
        <w:endnoteReference w:id="17"/>
      </w:r>
      <w:r w:rsidR="008D2381" w:rsidRPr="008D2381">
        <w:rPr>
          <w:sz w:val="20"/>
          <w:szCs w:val="20"/>
          <w:vertAlign w:val="superscript"/>
        </w:rPr>
        <w:t>,</w:t>
      </w:r>
      <w:r w:rsidR="008D2381" w:rsidRPr="008D2381">
        <w:rPr>
          <w:rStyle w:val="EndnoteReference"/>
          <w:sz w:val="20"/>
          <w:szCs w:val="20"/>
        </w:rPr>
        <w:endnoteReference w:id="18"/>
      </w:r>
      <w:r w:rsidR="008D2381" w:rsidRPr="008D2381">
        <w:rPr>
          <w:sz w:val="20"/>
          <w:szCs w:val="20"/>
          <w:vertAlign w:val="superscript"/>
        </w:rPr>
        <w:t>,</w:t>
      </w:r>
      <w:r w:rsidR="008D2381" w:rsidRPr="008D2381">
        <w:rPr>
          <w:rStyle w:val="EndnoteReference"/>
          <w:sz w:val="20"/>
          <w:szCs w:val="20"/>
        </w:rPr>
        <w:endnoteReference w:id="19"/>
      </w:r>
      <w:r w:rsidR="002E0FD8">
        <w:rPr>
          <w:sz w:val="20"/>
          <w:szCs w:val="20"/>
          <w:vertAlign w:val="superscript"/>
        </w:rPr>
        <w:t>,</w:t>
      </w:r>
      <w:r w:rsidR="002E0FD8">
        <w:rPr>
          <w:rStyle w:val="EndnoteReference"/>
          <w:sz w:val="20"/>
          <w:szCs w:val="20"/>
        </w:rPr>
        <w:endnoteReference w:id="20"/>
      </w:r>
    </w:p>
    <w:p w:rsidR="002542E3" w:rsidRDefault="003B4062" w:rsidP="003B4062">
      <w:pPr>
        <w:rPr>
          <w:sz w:val="20"/>
          <w:szCs w:val="20"/>
        </w:rPr>
      </w:pPr>
      <w:r w:rsidRPr="00D92E90">
        <w:rPr>
          <w:sz w:val="20"/>
          <w:szCs w:val="20"/>
        </w:rPr>
        <w:t xml:space="preserve">Meeting and exceeding international obligations and targets </w:t>
      </w:r>
      <w:r w:rsidR="00596874">
        <w:rPr>
          <w:sz w:val="20"/>
          <w:szCs w:val="20"/>
        </w:rPr>
        <w:t xml:space="preserve">for </w:t>
      </w:r>
      <w:r w:rsidR="00C45B05">
        <w:rPr>
          <w:sz w:val="20"/>
          <w:szCs w:val="20"/>
        </w:rPr>
        <w:t xml:space="preserve">STI </w:t>
      </w:r>
      <w:r w:rsidRPr="00D92E90">
        <w:rPr>
          <w:sz w:val="20"/>
          <w:szCs w:val="20"/>
        </w:rPr>
        <w:t xml:space="preserve">is a critical part of Australia’s response. Internationally, Australia supports the World Health Organization’s </w:t>
      </w:r>
      <w:r w:rsidRPr="00944683">
        <w:rPr>
          <w:sz w:val="20"/>
          <w:szCs w:val="20"/>
        </w:rPr>
        <w:t>Global Health Sector Strategy on Sexually Transmitted Infections 2016</w:t>
      </w:r>
      <w:r w:rsidR="00944683">
        <w:rPr>
          <w:sz w:val="20"/>
          <w:szCs w:val="20"/>
        </w:rPr>
        <w:t>–</w:t>
      </w:r>
      <w:r w:rsidRPr="00944683">
        <w:rPr>
          <w:sz w:val="20"/>
          <w:szCs w:val="20"/>
        </w:rPr>
        <w:t>2021</w:t>
      </w:r>
      <w:r w:rsidRPr="00D92E90">
        <w:rPr>
          <w:sz w:val="20"/>
          <w:szCs w:val="20"/>
        </w:rPr>
        <w:t>, which has an overarching goal of ending sexually transmitted infection epidemics as major public health concern</w:t>
      </w:r>
      <w:r w:rsidR="002542E3">
        <w:rPr>
          <w:sz w:val="20"/>
          <w:szCs w:val="20"/>
        </w:rPr>
        <w:t>s</w:t>
      </w:r>
      <w:r w:rsidR="00944683">
        <w:rPr>
          <w:sz w:val="20"/>
          <w:szCs w:val="20"/>
        </w:rPr>
        <w:t>.</w:t>
      </w:r>
      <w:r w:rsidR="004C43FD" w:rsidRPr="00D92E90">
        <w:rPr>
          <w:rStyle w:val="FootnoteReference"/>
          <w:sz w:val="20"/>
          <w:szCs w:val="20"/>
        </w:rPr>
        <w:footnoteReference w:id="2"/>
      </w:r>
      <w:r w:rsidRPr="00D92E90">
        <w:rPr>
          <w:sz w:val="20"/>
          <w:szCs w:val="20"/>
        </w:rPr>
        <w:t xml:space="preserve"> Milestones for 2020 relate to </w:t>
      </w:r>
      <w:r w:rsidR="004C43FD" w:rsidRPr="00D92E90">
        <w:rPr>
          <w:sz w:val="20"/>
          <w:szCs w:val="20"/>
        </w:rPr>
        <w:t xml:space="preserve">the provision of STI services, including in antenatal and </w:t>
      </w:r>
      <w:r w:rsidR="00C74EE5" w:rsidRPr="00C74EE5">
        <w:rPr>
          <w:sz w:val="20"/>
          <w:szCs w:val="20"/>
        </w:rPr>
        <w:t xml:space="preserve">Human Immunodeficiency Virus </w:t>
      </w:r>
      <w:r w:rsidR="00C74EE5">
        <w:rPr>
          <w:sz w:val="20"/>
          <w:szCs w:val="20"/>
        </w:rPr>
        <w:t>(</w:t>
      </w:r>
      <w:r w:rsidR="004C43FD" w:rsidRPr="00D92E90">
        <w:rPr>
          <w:sz w:val="20"/>
          <w:szCs w:val="20"/>
        </w:rPr>
        <w:t>HIV</w:t>
      </w:r>
      <w:r w:rsidR="00C74EE5">
        <w:rPr>
          <w:sz w:val="20"/>
          <w:szCs w:val="20"/>
        </w:rPr>
        <w:t>)</w:t>
      </w:r>
      <w:r w:rsidR="004C43FD" w:rsidRPr="00D92E90">
        <w:rPr>
          <w:sz w:val="20"/>
          <w:szCs w:val="20"/>
        </w:rPr>
        <w:t xml:space="preserve"> care</w:t>
      </w:r>
      <w:r w:rsidR="00C74EE5">
        <w:rPr>
          <w:sz w:val="20"/>
          <w:szCs w:val="20"/>
        </w:rPr>
        <w:t>;</w:t>
      </w:r>
      <w:r w:rsidR="004C43FD" w:rsidRPr="00D92E90">
        <w:rPr>
          <w:sz w:val="20"/>
          <w:szCs w:val="20"/>
        </w:rPr>
        <w:t xml:space="preserve"> </w:t>
      </w:r>
      <w:r w:rsidRPr="00D92E90">
        <w:rPr>
          <w:sz w:val="20"/>
          <w:szCs w:val="20"/>
        </w:rPr>
        <w:t>HPV</w:t>
      </w:r>
      <w:r w:rsidR="00D71BFE">
        <w:rPr>
          <w:sz w:val="20"/>
          <w:szCs w:val="20"/>
        </w:rPr>
        <w:t xml:space="preserve"> vaccine</w:t>
      </w:r>
      <w:r w:rsidRPr="00D92E90">
        <w:rPr>
          <w:sz w:val="20"/>
          <w:szCs w:val="20"/>
        </w:rPr>
        <w:t xml:space="preserve"> coverage</w:t>
      </w:r>
      <w:r w:rsidR="00C74EE5">
        <w:rPr>
          <w:sz w:val="20"/>
          <w:szCs w:val="20"/>
        </w:rPr>
        <w:t>;</w:t>
      </w:r>
      <w:r w:rsidRPr="00D92E90">
        <w:rPr>
          <w:sz w:val="20"/>
          <w:szCs w:val="20"/>
        </w:rPr>
        <w:t xml:space="preserve"> and reporting on </w:t>
      </w:r>
      <w:r w:rsidR="001F2828">
        <w:rPr>
          <w:sz w:val="20"/>
          <w:szCs w:val="20"/>
        </w:rPr>
        <w:t>anti</w:t>
      </w:r>
      <w:r w:rsidR="003B7AEB">
        <w:rPr>
          <w:sz w:val="20"/>
          <w:szCs w:val="20"/>
        </w:rPr>
        <w:t>microbial resistance (</w:t>
      </w:r>
      <w:r w:rsidR="006F6C65">
        <w:rPr>
          <w:sz w:val="20"/>
          <w:szCs w:val="20"/>
        </w:rPr>
        <w:t>AMR</w:t>
      </w:r>
      <w:r w:rsidR="003B7AEB">
        <w:rPr>
          <w:sz w:val="20"/>
          <w:szCs w:val="20"/>
        </w:rPr>
        <w:t>)</w:t>
      </w:r>
      <w:r w:rsidRPr="00D92E90">
        <w:rPr>
          <w:sz w:val="20"/>
          <w:szCs w:val="20"/>
        </w:rPr>
        <w:t xml:space="preserve">. Global targets for 2030 include </w:t>
      </w:r>
      <w:r w:rsidR="00930004" w:rsidRPr="00D92E90">
        <w:rPr>
          <w:sz w:val="20"/>
          <w:szCs w:val="20"/>
        </w:rPr>
        <w:t xml:space="preserve">a </w:t>
      </w:r>
      <w:r w:rsidRPr="00D92E90">
        <w:rPr>
          <w:sz w:val="20"/>
          <w:szCs w:val="20"/>
        </w:rPr>
        <w:t>reduction</w:t>
      </w:r>
      <w:r w:rsidR="00930004" w:rsidRPr="00D92E90">
        <w:rPr>
          <w:sz w:val="20"/>
          <w:szCs w:val="20"/>
        </w:rPr>
        <w:t xml:space="preserve"> in the incidence of</w:t>
      </w:r>
      <w:r w:rsidR="00B84E62" w:rsidRPr="00D92E90">
        <w:rPr>
          <w:sz w:val="20"/>
          <w:szCs w:val="20"/>
        </w:rPr>
        <w:t xml:space="preserve"> </w:t>
      </w:r>
      <w:r w:rsidRPr="00D92E90">
        <w:rPr>
          <w:sz w:val="20"/>
          <w:szCs w:val="20"/>
        </w:rPr>
        <w:t>syphilis</w:t>
      </w:r>
      <w:r w:rsidR="00930004" w:rsidRPr="00D92E90">
        <w:rPr>
          <w:sz w:val="20"/>
          <w:szCs w:val="20"/>
        </w:rPr>
        <w:t xml:space="preserve">, congenital syphilis </w:t>
      </w:r>
      <w:r w:rsidRPr="00D92E90">
        <w:rPr>
          <w:sz w:val="20"/>
          <w:szCs w:val="20"/>
        </w:rPr>
        <w:t>and</w:t>
      </w:r>
      <w:r w:rsidRPr="00D92E90">
        <w:rPr>
          <w:i/>
          <w:sz w:val="20"/>
          <w:szCs w:val="20"/>
        </w:rPr>
        <w:t xml:space="preserve"> </w:t>
      </w:r>
      <w:r w:rsidRPr="00D92E90">
        <w:rPr>
          <w:sz w:val="20"/>
          <w:szCs w:val="20"/>
        </w:rPr>
        <w:t xml:space="preserve">gonorrhoea. </w:t>
      </w:r>
      <w:r w:rsidR="00930004" w:rsidRPr="00D92E90">
        <w:rPr>
          <w:sz w:val="20"/>
          <w:szCs w:val="20"/>
        </w:rPr>
        <w:t>G</w:t>
      </w:r>
      <w:r w:rsidRPr="00D92E90">
        <w:rPr>
          <w:sz w:val="20"/>
          <w:szCs w:val="20"/>
        </w:rPr>
        <w:t>iven Australia’s strong health systems and partnership approach</w:t>
      </w:r>
      <w:r w:rsidR="00944683">
        <w:rPr>
          <w:sz w:val="20"/>
          <w:szCs w:val="20"/>
        </w:rPr>
        <w:t>,</w:t>
      </w:r>
      <w:r w:rsidR="00B84E62" w:rsidRPr="00D92E90">
        <w:rPr>
          <w:sz w:val="20"/>
          <w:szCs w:val="20"/>
        </w:rPr>
        <w:t xml:space="preserve"> </w:t>
      </w:r>
      <w:r w:rsidRPr="00D92E90">
        <w:rPr>
          <w:sz w:val="20"/>
          <w:szCs w:val="20"/>
        </w:rPr>
        <w:t>we should aim beyond many of these</w:t>
      </w:r>
      <w:r w:rsidR="0015368A" w:rsidRPr="00D92E90">
        <w:rPr>
          <w:sz w:val="20"/>
          <w:szCs w:val="20"/>
        </w:rPr>
        <w:t xml:space="preserve"> global</w:t>
      </w:r>
      <w:r w:rsidRPr="00D92E90">
        <w:rPr>
          <w:sz w:val="20"/>
          <w:szCs w:val="20"/>
        </w:rPr>
        <w:t xml:space="preserve"> targets</w:t>
      </w:r>
      <w:r w:rsidR="00DF208E">
        <w:rPr>
          <w:sz w:val="20"/>
          <w:szCs w:val="20"/>
        </w:rPr>
        <w:t>,</w:t>
      </w:r>
      <w:r w:rsidRPr="00D92E90">
        <w:rPr>
          <w:sz w:val="20"/>
          <w:szCs w:val="20"/>
        </w:rPr>
        <w:t xml:space="preserve"> includ</w:t>
      </w:r>
      <w:r w:rsidR="00DF208E">
        <w:rPr>
          <w:sz w:val="20"/>
          <w:szCs w:val="20"/>
        </w:rPr>
        <w:t>ing</w:t>
      </w:r>
      <w:r w:rsidRPr="00D92E90">
        <w:rPr>
          <w:sz w:val="20"/>
          <w:szCs w:val="20"/>
        </w:rPr>
        <w:t xml:space="preserve"> </w:t>
      </w:r>
      <w:r w:rsidR="003B7AEB">
        <w:rPr>
          <w:sz w:val="20"/>
          <w:szCs w:val="20"/>
        </w:rPr>
        <w:t xml:space="preserve">for the </w:t>
      </w:r>
      <w:r w:rsidRPr="00D92E90">
        <w:rPr>
          <w:sz w:val="20"/>
          <w:szCs w:val="20"/>
        </w:rPr>
        <w:t>elimination of congenital syphilis</w:t>
      </w:r>
      <w:r w:rsidR="002542E3">
        <w:rPr>
          <w:sz w:val="20"/>
          <w:szCs w:val="20"/>
        </w:rPr>
        <w:t xml:space="preserve"> and addressing STI-related stigma and discrimination</w:t>
      </w:r>
      <w:r w:rsidR="006C2342" w:rsidRPr="00D92E90">
        <w:rPr>
          <w:sz w:val="20"/>
          <w:szCs w:val="20"/>
        </w:rPr>
        <w:t xml:space="preserve">. </w:t>
      </w:r>
    </w:p>
    <w:p w:rsidR="00D71BFE" w:rsidRDefault="003B4062" w:rsidP="003B4062">
      <w:pPr>
        <w:rPr>
          <w:sz w:val="20"/>
          <w:szCs w:val="20"/>
        </w:rPr>
      </w:pPr>
      <w:r w:rsidRPr="00D92E90">
        <w:rPr>
          <w:sz w:val="20"/>
          <w:szCs w:val="20"/>
        </w:rPr>
        <w:t>Since the first national STI strategy in 2005, Australia’s response has been underpinned by a partnership approach between</w:t>
      </w:r>
      <w:r w:rsidR="00BA7E6A">
        <w:rPr>
          <w:sz w:val="20"/>
          <w:szCs w:val="20"/>
        </w:rPr>
        <w:t xml:space="preserve"> </w:t>
      </w:r>
      <w:r w:rsidRPr="00D92E90">
        <w:rPr>
          <w:sz w:val="20"/>
          <w:szCs w:val="20"/>
        </w:rPr>
        <w:t xml:space="preserve">Australian, </w:t>
      </w:r>
      <w:r w:rsidR="00944683">
        <w:rPr>
          <w:sz w:val="20"/>
          <w:szCs w:val="20"/>
        </w:rPr>
        <w:t>s</w:t>
      </w:r>
      <w:r w:rsidRPr="00D92E90">
        <w:rPr>
          <w:sz w:val="20"/>
          <w:szCs w:val="20"/>
        </w:rPr>
        <w:t xml:space="preserve">tate and </w:t>
      </w:r>
      <w:r w:rsidR="00944683">
        <w:rPr>
          <w:sz w:val="20"/>
          <w:szCs w:val="20"/>
        </w:rPr>
        <w:t>t</w:t>
      </w:r>
      <w:r w:rsidRPr="00D92E90">
        <w:rPr>
          <w:sz w:val="20"/>
          <w:szCs w:val="20"/>
        </w:rPr>
        <w:t xml:space="preserve">erritory </w:t>
      </w:r>
      <w:r w:rsidR="00944683">
        <w:rPr>
          <w:sz w:val="20"/>
          <w:szCs w:val="20"/>
        </w:rPr>
        <w:t>g</w:t>
      </w:r>
      <w:r w:rsidRPr="00D92E90">
        <w:rPr>
          <w:sz w:val="20"/>
          <w:szCs w:val="20"/>
        </w:rPr>
        <w:t xml:space="preserve">overnments, priority populations, community organisations, researchers and clinicians.  </w:t>
      </w:r>
    </w:p>
    <w:p w:rsidR="00D71BFE" w:rsidRDefault="003B4062" w:rsidP="003B4062">
      <w:pPr>
        <w:rPr>
          <w:sz w:val="20"/>
          <w:szCs w:val="20"/>
        </w:rPr>
      </w:pPr>
      <w:r w:rsidRPr="00D92E90">
        <w:rPr>
          <w:sz w:val="20"/>
          <w:szCs w:val="20"/>
        </w:rPr>
        <w:t xml:space="preserve">The Australian Government </w:t>
      </w:r>
      <w:r w:rsidR="00373B65" w:rsidRPr="00D92E90">
        <w:rPr>
          <w:sz w:val="20"/>
          <w:szCs w:val="20"/>
        </w:rPr>
        <w:t>acknowledges</w:t>
      </w:r>
      <w:r w:rsidRPr="00D92E90">
        <w:rPr>
          <w:sz w:val="20"/>
          <w:szCs w:val="20"/>
        </w:rPr>
        <w:t xml:space="preserve"> the significant </w:t>
      </w:r>
      <w:r w:rsidR="00373B65" w:rsidRPr="00D92E90">
        <w:rPr>
          <w:sz w:val="20"/>
          <w:szCs w:val="20"/>
        </w:rPr>
        <w:t>contribution of the</w:t>
      </w:r>
      <w:r w:rsidRPr="00D92E90">
        <w:rPr>
          <w:sz w:val="20"/>
          <w:szCs w:val="20"/>
        </w:rPr>
        <w:t xml:space="preserve"> </w:t>
      </w:r>
      <w:r w:rsidR="006C2342" w:rsidRPr="00D92E90">
        <w:rPr>
          <w:sz w:val="20"/>
          <w:szCs w:val="20"/>
        </w:rPr>
        <w:t>nationa</w:t>
      </w:r>
      <w:r w:rsidR="006060A1" w:rsidRPr="00D92E90">
        <w:rPr>
          <w:sz w:val="20"/>
          <w:szCs w:val="20"/>
        </w:rPr>
        <w:t>l</w:t>
      </w:r>
      <w:r w:rsidR="006C2342" w:rsidRPr="00D92E90">
        <w:rPr>
          <w:sz w:val="20"/>
          <w:szCs w:val="20"/>
        </w:rPr>
        <w:t xml:space="preserve"> community and health </w:t>
      </w:r>
      <w:r w:rsidRPr="00D92E90">
        <w:rPr>
          <w:sz w:val="20"/>
          <w:szCs w:val="20"/>
        </w:rPr>
        <w:t>peak organisations</w:t>
      </w:r>
      <w:r w:rsidR="006C2342" w:rsidRPr="00D92E90">
        <w:rPr>
          <w:sz w:val="20"/>
          <w:szCs w:val="20"/>
        </w:rPr>
        <w:t>, and other organisations,</w:t>
      </w:r>
      <w:r w:rsidRPr="00D92E90">
        <w:rPr>
          <w:sz w:val="20"/>
          <w:szCs w:val="20"/>
        </w:rPr>
        <w:t xml:space="preserve"> representing communities and the clinical workforce over the course of the previous </w:t>
      </w:r>
      <w:r w:rsidR="006060A1" w:rsidRPr="00D92E90">
        <w:rPr>
          <w:sz w:val="20"/>
          <w:szCs w:val="20"/>
        </w:rPr>
        <w:t xml:space="preserve">STI </w:t>
      </w:r>
      <w:r w:rsidRPr="00D92E90">
        <w:rPr>
          <w:sz w:val="20"/>
          <w:szCs w:val="20"/>
        </w:rPr>
        <w:t xml:space="preserve">strategies. </w:t>
      </w:r>
      <w:r w:rsidR="00373B65" w:rsidRPr="00D92E90">
        <w:rPr>
          <w:sz w:val="20"/>
          <w:szCs w:val="20"/>
        </w:rPr>
        <w:t xml:space="preserve">These organisations, including the Scarlet Alliance, Australian Sex Workers’ Association and the Australasian Society for HIV, Viral Hepatitis and Sexual Health Medicine, </w:t>
      </w:r>
      <w:r w:rsidR="003B7AEB">
        <w:rPr>
          <w:sz w:val="20"/>
          <w:szCs w:val="20"/>
        </w:rPr>
        <w:t xml:space="preserve">the </w:t>
      </w:r>
      <w:r w:rsidR="003B7AEB" w:rsidRPr="008866B8">
        <w:rPr>
          <w:sz w:val="20"/>
          <w:szCs w:val="20"/>
          <w:lang w:eastAsia="en-AU"/>
        </w:rPr>
        <w:t>Australian Federation of AIDS Organisations</w:t>
      </w:r>
      <w:r w:rsidR="00F0009B">
        <w:rPr>
          <w:sz w:val="20"/>
          <w:szCs w:val="20"/>
          <w:lang w:eastAsia="en-AU"/>
        </w:rPr>
        <w:t xml:space="preserve"> and</w:t>
      </w:r>
      <w:r w:rsidR="00440234">
        <w:rPr>
          <w:sz w:val="20"/>
          <w:szCs w:val="20"/>
          <w:lang w:eastAsia="en-AU"/>
        </w:rPr>
        <w:t xml:space="preserve"> </w:t>
      </w:r>
      <w:r w:rsidR="003B7AEB" w:rsidRPr="008866B8">
        <w:rPr>
          <w:sz w:val="20"/>
          <w:szCs w:val="20"/>
          <w:lang w:eastAsia="en-AU"/>
        </w:rPr>
        <w:t xml:space="preserve">the </w:t>
      </w:r>
      <w:r w:rsidR="001F2828">
        <w:rPr>
          <w:sz w:val="20"/>
          <w:szCs w:val="20"/>
          <w:lang w:eastAsia="en-AU"/>
        </w:rPr>
        <w:t>National Association of People w</w:t>
      </w:r>
      <w:r w:rsidR="003B7AEB" w:rsidRPr="008866B8">
        <w:rPr>
          <w:sz w:val="20"/>
          <w:szCs w:val="20"/>
          <w:lang w:eastAsia="en-AU"/>
        </w:rPr>
        <w:t>ith HIV Australia</w:t>
      </w:r>
      <w:r w:rsidR="00944683">
        <w:rPr>
          <w:sz w:val="20"/>
          <w:szCs w:val="20"/>
          <w:lang w:eastAsia="en-AU"/>
        </w:rPr>
        <w:t>,</w:t>
      </w:r>
      <w:r w:rsidR="00440234">
        <w:rPr>
          <w:sz w:val="20"/>
          <w:szCs w:val="20"/>
          <w:lang w:eastAsia="en-AU"/>
        </w:rPr>
        <w:t xml:space="preserve"> </w:t>
      </w:r>
      <w:r w:rsidR="00373B65" w:rsidRPr="00D92E90">
        <w:rPr>
          <w:sz w:val="20"/>
          <w:szCs w:val="20"/>
        </w:rPr>
        <w:t xml:space="preserve">play a critical role in Australia’s response to </w:t>
      </w:r>
      <w:r w:rsidR="006060A1" w:rsidRPr="00D92E90">
        <w:rPr>
          <w:sz w:val="20"/>
          <w:szCs w:val="20"/>
        </w:rPr>
        <w:t>STI</w:t>
      </w:r>
      <w:r w:rsidR="00373B65" w:rsidRPr="00D92E90">
        <w:rPr>
          <w:sz w:val="20"/>
          <w:szCs w:val="20"/>
        </w:rPr>
        <w:t>.</w:t>
      </w:r>
      <w:r w:rsidR="0015368A" w:rsidRPr="00D92E90">
        <w:rPr>
          <w:sz w:val="20"/>
          <w:szCs w:val="20"/>
        </w:rPr>
        <w:t xml:space="preserve"> </w:t>
      </w:r>
    </w:p>
    <w:p w:rsidR="003B4062" w:rsidRPr="00D92E90" w:rsidRDefault="003B4062" w:rsidP="003B4062">
      <w:pPr>
        <w:rPr>
          <w:sz w:val="20"/>
          <w:szCs w:val="20"/>
        </w:rPr>
      </w:pPr>
      <w:r w:rsidRPr="00D92E90">
        <w:rPr>
          <w:sz w:val="20"/>
          <w:szCs w:val="20"/>
        </w:rPr>
        <w:t xml:space="preserve">This strong foundation and the commitment and work of </w:t>
      </w:r>
      <w:r w:rsidR="00373B65" w:rsidRPr="00D92E90">
        <w:rPr>
          <w:sz w:val="20"/>
          <w:szCs w:val="20"/>
        </w:rPr>
        <w:t xml:space="preserve">all </w:t>
      </w:r>
      <w:proofErr w:type="gramStart"/>
      <w:r w:rsidR="00DF208E">
        <w:rPr>
          <w:sz w:val="20"/>
          <w:szCs w:val="20"/>
        </w:rPr>
        <w:t>partners</w:t>
      </w:r>
      <w:proofErr w:type="gramEnd"/>
      <w:r w:rsidRPr="00D92E90">
        <w:rPr>
          <w:sz w:val="20"/>
          <w:szCs w:val="20"/>
        </w:rPr>
        <w:t xml:space="preserve"> me</w:t>
      </w:r>
      <w:r w:rsidR="002A4611">
        <w:rPr>
          <w:sz w:val="20"/>
          <w:szCs w:val="20"/>
        </w:rPr>
        <w:t>ans that Australia remains well</w:t>
      </w:r>
      <w:r w:rsidR="00944683">
        <w:rPr>
          <w:sz w:val="20"/>
          <w:szCs w:val="20"/>
        </w:rPr>
        <w:t xml:space="preserve"> </w:t>
      </w:r>
      <w:r w:rsidRPr="00D92E90">
        <w:rPr>
          <w:sz w:val="20"/>
          <w:szCs w:val="20"/>
        </w:rPr>
        <w:t xml:space="preserve">placed to continue to build on the </w:t>
      </w:r>
      <w:r w:rsidRPr="00944683">
        <w:rPr>
          <w:sz w:val="20"/>
          <w:szCs w:val="20"/>
        </w:rPr>
        <w:t>Third National STI Strategy 2014</w:t>
      </w:r>
      <w:r w:rsidR="00944683">
        <w:rPr>
          <w:sz w:val="20"/>
          <w:szCs w:val="20"/>
        </w:rPr>
        <w:t>–</w:t>
      </w:r>
      <w:r w:rsidRPr="00944683">
        <w:rPr>
          <w:sz w:val="20"/>
          <w:szCs w:val="20"/>
        </w:rPr>
        <w:t>2017</w:t>
      </w:r>
      <w:r w:rsidR="006060A1" w:rsidRPr="00D92E90">
        <w:rPr>
          <w:sz w:val="20"/>
          <w:szCs w:val="20"/>
        </w:rPr>
        <w:t xml:space="preserve"> to</w:t>
      </w:r>
      <w:r w:rsidRPr="00D92E90">
        <w:rPr>
          <w:sz w:val="20"/>
          <w:szCs w:val="20"/>
        </w:rPr>
        <w:t xml:space="preserve"> realise gains for all priority populations</w:t>
      </w:r>
      <w:r w:rsidRPr="00D92E90">
        <w:rPr>
          <w:i/>
          <w:sz w:val="20"/>
          <w:szCs w:val="20"/>
        </w:rPr>
        <w:t xml:space="preserve"> </w:t>
      </w:r>
      <w:r w:rsidRPr="00D92E90">
        <w:rPr>
          <w:noProof/>
          <w:sz w:val="20"/>
          <w:szCs w:val="20"/>
          <w:lang w:eastAsia="en-AU"/>
        </w:rPr>
        <w:t>and</w:t>
      </w:r>
      <w:r w:rsidRPr="00D92E90">
        <w:rPr>
          <w:sz w:val="20"/>
          <w:szCs w:val="20"/>
        </w:rPr>
        <w:t xml:space="preserve"> reduce the</w:t>
      </w:r>
      <w:r w:rsidR="00A93B5D">
        <w:rPr>
          <w:sz w:val="20"/>
          <w:szCs w:val="20"/>
        </w:rPr>
        <w:t xml:space="preserve"> transmission and impact of STI</w:t>
      </w:r>
      <w:r w:rsidRPr="00D92E90">
        <w:rPr>
          <w:sz w:val="20"/>
          <w:szCs w:val="20"/>
        </w:rPr>
        <w:t xml:space="preserve"> in Australia.</w:t>
      </w:r>
    </w:p>
    <w:p w:rsidR="003B4062" w:rsidRPr="00D92E90" w:rsidRDefault="003B4062" w:rsidP="003B4062">
      <w:pPr>
        <w:rPr>
          <w:i/>
          <w:sz w:val="20"/>
          <w:szCs w:val="20"/>
        </w:rPr>
        <w:sectPr w:rsidR="003B4062" w:rsidRPr="00D92E90" w:rsidSect="00D92E90">
          <w:headerReference w:type="even" r:id="rId18"/>
          <w:headerReference w:type="default" r:id="rId19"/>
          <w:footerReference w:type="default" r:id="rId20"/>
          <w:headerReference w:type="first" r:id="rId21"/>
          <w:footnotePr>
            <w:numFmt w:val="lowerLetter"/>
          </w:footnotePr>
          <w:endnotePr>
            <w:numFmt w:val="decimal"/>
          </w:endnotePr>
          <w:pgSz w:w="11907" w:h="16839" w:code="9"/>
          <w:pgMar w:top="1440" w:right="1080" w:bottom="1440" w:left="1080" w:header="720" w:footer="720" w:gutter="0"/>
          <w:cols w:space="720"/>
          <w:docGrid w:linePitch="360"/>
        </w:sectPr>
      </w:pPr>
      <w:r w:rsidRPr="00D92E90">
        <w:rPr>
          <w:i/>
          <w:sz w:val="20"/>
          <w:szCs w:val="20"/>
        </w:rPr>
        <w:t>Gratitude is expressed to all those who participated in the stakeholder consultations and contributed to the strategy development process</w:t>
      </w:r>
      <w:r w:rsidR="00944683">
        <w:rPr>
          <w:i/>
          <w:sz w:val="20"/>
          <w:szCs w:val="20"/>
        </w:rPr>
        <w:t>—</w:t>
      </w:r>
      <w:r w:rsidRPr="00D92E90">
        <w:rPr>
          <w:i/>
          <w:sz w:val="20"/>
          <w:szCs w:val="20"/>
        </w:rPr>
        <w:t>in particular</w:t>
      </w:r>
      <w:r w:rsidR="00944683">
        <w:rPr>
          <w:i/>
          <w:sz w:val="20"/>
          <w:szCs w:val="20"/>
        </w:rPr>
        <w:t>,</w:t>
      </w:r>
      <w:r w:rsidRPr="00D92E90">
        <w:rPr>
          <w:i/>
          <w:sz w:val="20"/>
          <w:szCs w:val="20"/>
        </w:rPr>
        <w:t xml:space="preserve"> the members of the Blood Borne Viruses and Sexually Transmissible Infections Standing Committee</w:t>
      </w:r>
      <w:r w:rsidR="00373B65" w:rsidRPr="00D92E90">
        <w:rPr>
          <w:i/>
          <w:sz w:val="20"/>
          <w:szCs w:val="20"/>
        </w:rPr>
        <w:t xml:space="preserve"> (</w:t>
      </w:r>
      <w:r w:rsidR="00944683">
        <w:rPr>
          <w:i/>
          <w:sz w:val="20"/>
          <w:szCs w:val="20"/>
        </w:rPr>
        <w:t xml:space="preserve">see </w:t>
      </w:r>
      <w:r w:rsidR="00373B65" w:rsidRPr="00D92E90">
        <w:rPr>
          <w:i/>
          <w:sz w:val="20"/>
          <w:szCs w:val="20"/>
        </w:rPr>
        <w:t>Figure 1)</w:t>
      </w:r>
      <w:r w:rsidR="00944683">
        <w:rPr>
          <w:i/>
          <w:sz w:val="20"/>
          <w:szCs w:val="20"/>
        </w:rPr>
        <w:t>.</w:t>
      </w:r>
    </w:p>
    <w:p w:rsidR="00D9702D" w:rsidRDefault="00D9702D" w:rsidP="00673DFB">
      <w:pPr>
        <w:pStyle w:val="Heading1"/>
        <w:numPr>
          <w:ilvl w:val="0"/>
          <w:numId w:val="6"/>
        </w:numPr>
      </w:pPr>
      <w:bookmarkStart w:id="6" w:name="_Toc529473030"/>
      <w:r>
        <w:t xml:space="preserve">Guiding </w:t>
      </w:r>
      <w:r w:rsidR="00944683">
        <w:t>p</w:t>
      </w:r>
      <w:r>
        <w:t>rinciples</w:t>
      </w:r>
      <w:bookmarkEnd w:id="6"/>
    </w:p>
    <w:p w:rsidR="00FC420F" w:rsidRDefault="003B4062" w:rsidP="003B4062">
      <w:pPr>
        <w:rPr>
          <w:szCs w:val="19"/>
        </w:rPr>
      </w:pPr>
      <w:r w:rsidRPr="00D92E90">
        <w:rPr>
          <w:szCs w:val="19"/>
          <w:lang w:eastAsia="en-AU"/>
        </w:rPr>
        <w:t xml:space="preserve">The </w:t>
      </w:r>
      <w:r w:rsidRPr="00944683">
        <w:rPr>
          <w:szCs w:val="19"/>
          <w:lang w:eastAsia="en-AU"/>
        </w:rPr>
        <w:t xml:space="preserve">Fourth National STI </w:t>
      </w:r>
      <w:r w:rsidRPr="00944683">
        <w:rPr>
          <w:szCs w:val="19"/>
        </w:rPr>
        <w:t>Strategy</w:t>
      </w:r>
      <w:r w:rsidRPr="00944683">
        <w:rPr>
          <w:szCs w:val="19"/>
          <w:lang w:eastAsia="en-AU"/>
        </w:rPr>
        <w:t xml:space="preserve"> 2018</w:t>
      </w:r>
      <w:r w:rsidR="00944683">
        <w:rPr>
          <w:szCs w:val="19"/>
          <w:lang w:eastAsia="en-AU"/>
        </w:rPr>
        <w:t>–</w:t>
      </w:r>
      <w:r w:rsidRPr="00944683">
        <w:rPr>
          <w:szCs w:val="19"/>
          <w:lang w:eastAsia="en-AU"/>
        </w:rPr>
        <w:t>2022</w:t>
      </w:r>
      <w:r w:rsidRPr="00D92E90">
        <w:rPr>
          <w:szCs w:val="19"/>
          <w:lang w:eastAsia="en-AU"/>
        </w:rPr>
        <w:t xml:space="preserve"> includes guiding principles to support a high</w:t>
      </w:r>
      <w:r w:rsidR="00944683">
        <w:rPr>
          <w:szCs w:val="19"/>
          <w:lang w:eastAsia="en-AU"/>
        </w:rPr>
        <w:t>-</w:t>
      </w:r>
      <w:r w:rsidRPr="00D92E90">
        <w:rPr>
          <w:szCs w:val="19"/>
          <w:lang w:eastAsia="en-AU"/>
        </w:rPr>
        <w:t>quality, evidence</w:t>
      </w:r>
      <w:r w:rsidRPr="00D92E90">
        <w:rPr>
          <w:szCs w:val="19"/>
          <w:lang w:eastAsia="en-AU"/>
        </w:rPr>
        <w:noBreakHyphen/>
        <w:t>based and equitable response to STI. These are included in each of the blood</w:t>
      </w:r>
      <w:r w:rsidR="009117D6">
        <w:rPr>
          <w:szCs w:val="19"/>
          <w:lang w:eastAsia="en-AU"/>
        </w:rPr>
        <w:t xml:space="preserve"> </w:t>
      </w:r>
      <w:r w:rsidRPr="00D92E90">
        <w:rPr>
          <w:szCs w:val="19"/>
          <w:lang w:eastAsia="en-AU"/>
        </w:rPr>
        <w:t>borne viruses (BBV) and</w:t>
      </w:r>
      <w:r w:rsidR="000C1BC6" w:rsidRPr="000C1BC6">
        <w:t xml:space="preserve"> </w:t>
      </w:r>
      <w:r w:rsidRPr="00D92E90">
        <w:rPr>
          <w:szCs w:val="19"/>
          <w:lang w:eastAsia="en-AU"/>
        </w:rPr>
        <w:t xml:space="preserve">STI </w:t>
      </w:r>
      <w:r w:rsidR="00373B65" w:rsidRPr="00D92E90">
        <w:rPr>
          <w:szCs w:val="19"/>
          <w:lang w:eastAsia="en-AU"/>
        </w:rPr>
        <w:t>s</w:t>
      </w:r>
      <w:r w:rsidRPr="00D92E90">
        <w:rPr>
          <w:szCs w:val="19"/>
          <w:lang w:eastAsia="en-AU"/>
        </w:rPr>
        <w:t xml:space="preserve">trategies and are drawn from Australia’s efforts over time to respond to the challenges, threats and impacts of HIV, viral hepatitis and STI. Perhaps most critical is the ongoing and meaningful participation of priority populations in all aspects of the response. </w:t>
      </w:r>
      <w:r w:rsidRPr="00D92E90">
        <w:rPr>
          <w:szCs w:val="19"/>
        </w:rPr>
        <w:t xml:space="preserve">This is central to the partnership approach and is key to the success of </w:t>
      </w:r>
      <w:r w:rsidRPr="00610798">
        <w:rPr>
          <w:szCs w:val="19"/>
        </w:rPr>
        <w:t>th</w:t>
      </w:r>
      <w:r w:rsidR="000C1BC6" w:rsidRPr="00610798">
        <w:rPr>
          <w:szCs w:val="19"/>
        </w:rPr>
        <w:t>is</w:t>
      </w:r>
      <w:r w:rsidRPr="00610798">
        <w:rPr>
          <w:szCs w:val="19"/>
        </w:rPr>
        <w:t xml:space="preserve"> </w:t>
      </w:r>
      <w:r w:rsidR="000C1BC6" w:rsidRPr="00610798">
        <w:rPr>
          <w:szCs w:val="19"/>
        </w:rPr>
        <w:t>s</w:t>
      </w:r>
      <w:r w:rsidRPr="00610798">
        <w:rPr>
          <w:szCs w:val="19"/>
        </w:rPr>
        <w:t>trategy</w:t>
      </w:r>
      <w:r w:rsidR="0015368A" w:rsidRPr="000C1BC6">
        <w:rPr>
          <w:szCs w:val="19"/>
        </w:rPr>
        <w:t>.</w:t>
      </w:r>
    </w:p>
    <w:p w:rsidR="0063033D" w:rsidRDefault="00A12566" w:rsidP="00762C7A">
      <w:r>
        <w:rPr>
          <w:noProof/>
          <w:szCs w:val="19"/>
          <w:lang w:eastAsia="en-AU"/>
        </w:rPr>
        <w:drawing>
          <wp:inline distT="0" distB="0" distL="0" distR="0">
            <wp:extent cx="6948805" cy="6991350"/>
            <wp:effectExtent l="0" t="0" r="4445" b="0"/>
            <wp:docPr id="166" name="Picture 166" descr="Guiding principles to support a high-quality, evidence-based and equitable response to ST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Guiding principles to support a high-quality, evidence-based and equitable response to STI&#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48805" cy="6991350"/>
                    </a:xfrm>
                    <a:prstGeom prst="rect">
                      <a:avLst/>
                    </a:prstGeom>
                    <a:noFill/>
                  </pic:spPr>
                </pic:pic>
              </a:graphicData>
            </a:graphic>
          </wp:inline>
        </w:drawing>
      </w:r>
      <w:bookmarkStart w:id="7" w:name="_Toc529473031"/>
      <w:r w:rsidR="00931B24">
        <w:t>Snapshot of STI in Australia</w:t>
      </w:r>
      <w:r w:rsidR="003B4062" w:rsidRPr="00134B8E">
        <w:rPr>
          <w:rStyle w:val="EndnoteReference"/>
        </w:rPr>
        <w:endnoteReference w:id="21"/>
      </w:r>
      <w:r w:rsidR="003B4062" w:rsidRPr="00134B8E">
        <w:rPr>
          <w:vertAlign w:val="superscript"/>
        </w:rPr>
        <w:t>,</w:t>
      </w:r>
      <w:r w:rsidR="003B4062" w:rsidRPr="00134B8E">
        <w:rPr>
          <w:rStyle w:val="EndnoteReference"/>
        </w:rPr>
        <w:endnoteReference w:id="22"/>
      </w:r>
      <w:proofErr w:type="gramStart"/>
      <w:r w:rsidR="003B4062" w:rsidRPr="00134B8E">
        <w:rPr>
          <w:vertAlign w:val="superscript"/>
        </w:rPr>
        <w:t>,</w:t>
      </w:r>
      <w:proofErr w:type="gramEnd"/>
      <w:r w:rsidR="003B4062" w:rsidRPr="00134B8E">
        <w:rPr>
          <w:rStyle w:val="EndnoteReference"/>
        </w:rPr>
        <w:endnoteReference w:id="23"/>
      </w:r>
      <w:r w:rsidR="00C07D40" w:rsidRPr="00E47E37">
        <w:rPr>
          <w:rStyle w:val="FootnoteReference"/>
          <w:color w:val="FFFFFF"/>
        </w:rPr>
        <w:footnoteReference w:id="3"/>
      </w:r>
      <w:bookmarkEnd w:id="7"/>
    </w:p>
    <w:p w:rsidR="009117D6" w:rsidRDefault="009117D6" w:rsidP="00673CC9">
      <w:pPr>
        <w:rPr>
          <w:szCs w:val="19"/>
        </w:rPr>
      </w:pPr>
      <w:r>
        <w:rPr>
          <w:szCs w:val="19"/>
        </w:rPr>
        <w:t>Figure 2: Snapshot of STI in Australia</w:t>
      </w:r>
    </w:p>
    <w:p w:rsidR="009117D6" w:rsidRDefault="00A12566" w:rsidP="00673CC9">
      <w:pPr>
        <w:rPr>
          <w:szCs w:val="19"/>
        </w:rPr>
      </w:pPr>
      <w:r>
        <w:rPr>
          <w:noProof/>
          <w:szCs w:val="19"/>
          <w:lang w:eastAsia="en-AU"/>
        </w:rPr>
        <w:drawing>
          <wp:inline distT="0" distB="0" distL="0" distR="0">
            <wp:extent cx="5293995" cy="6087110"/>
            <wp:effectExtent l="0" t="0" r="0" b="8890"/>
            <wp:docPr id="168" name="Picture 168" descr="Snapshot of STI in Austral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Snapshot of STI in Australia&#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93995" cy="6087110"/>
                    </a:xfrm>
                    <a:prstGeom prst="rect">
                      <a:avLst/>
                    </a:prstGeom>
                    <a:noFill/>
                  </pic:spPr>
                </pic:pic>
              </a:graphicData>
            </a:graphic>
          </wp:inline>
        </w:drawing>
      </w:r>
    </w:p>
    <w:p w:rsidR="00710CE5" w:rsidRDefault="009117D6" w:rsidP="00673CC9">
      <w:pPr>
        <w:rPr>
          <w:szCs w:val="19"/>
        </w:rPr>
      </w:pPr>
      <w:r>
        <w:rPr>
          <w:szCs w:val="19"/>
        </w:rPr>
        <w:t xml:space="preserve">NOTE: </w:t>
      </w:r>
      <w:r w:rsidRPr="00D92E90">
        <w:rPr>
          <w:szCs w:val="19"/>
        </w:rPr>
        <w:t xml:space="preserve">STI surveillance data must be carefully interpreted because notifications and trends may not reflect true population prevalence and may be influenced by testing practices and access to health services. While notification data provides important information about changing rates of STI in the community, it does not </w:t>
      </w:r>
      <w:r>
        <w:rPr>
          <w:szCs w:val="19"/>
        </w:rPr>
        <w:t xml:space="preserve">measure the </w:t>
      </w:r>
      <w:r w:rsidRPr="00D92E90">
        <w:rPr>
          <w:szCs w:val="19"/>
        </w:rPr>
        <w:t xml:space="preserve">psychosexual or reproductive impacts of </w:t>
      </w:r>
      <w:r>
        <w:rPr>
          <w:szCs w:val="19"/>
        </w:rPr>
        <w:t>STI.</w:t>
      </w:r>
    </w:p>
    <w:p w:rsidR="005C4DB8" w:rsidRPr="00576487" w:rsidRDefault="005C4DB8" w:rsidP="00673CC9">
      <w:pPr>
        <w:rPr>
          <w:szCs w:val="19"/>
        </w:rPr>
        <w:sectPr w:rsidR="005C4DB8" w:rsidRPr="00576487" w:rsidSect="005D6336">
          <w:headerReference w:type="even" r:id="rId24"/>
          <w:headerReference w:type="default" r:id="rId25"/>
          <w:footerReference w:type="default" r:id="rId26"/>
          <w:headerReference w:type="first" r:id="rId27"/>
          <w:footnotePr>
            <w:numFmt w:val="lowerLetter"/>
          </w:footnotePr>
          <w:endnotePr>
            <w:numFmt w:val="decimal"/>
          </w:endnotePr>
          <w:pgSz w:w="11907" w:h="16839" w:code="9"/>
          <w:pgMar w:top="1440" w:right="1080" w:bottom="1440" w:left="1080" w:header="720" w:footer="720" w:gutter="0"/>
          <w:cols w:space="720"/>
          <w:docGrid w:linePitch="360"/>
        </w:sectPr>
      </w:pPr>
    </w:p>
    <w:p w:rsidR="002D0848" w:rsidRDefault="002D0848" w:rsidP="005E2B75">
      <w:pPr>
        <w:pStyle w:val="Heading1"/>
        <w:numPr>
          <w:ilvl w:val="0"/>
          <w:numId w:val="6"/>
        </w:numPr>
      </w:pPr>
      <w:bookmarkStart w:id="8" w:name="_Toc529473032"/>
      <w:r w:rsidRPr="006B0FC3">
        <w:t xml:space="preserve">About </w:t>
      </w:r>
      <w:r w:rsidRPr="002D0848">
        <w:t>this</w:t>
      </w:r>
      <w:r w:rsidRPr="006B0FC3">
        <w:t xml:space="preserve"> </w:t>
      </w:r>
      <w:r w:rsidR="000C1BC6">
        <w:t>s</w:t>
      </w:r>
      <w:r w:rsidRPr="006B0FC3">
        <w:t>trategy</w:t>
      </w:r>
      <w:bookmarkEnd w:id="1"/>
      <w:bookmarkEnd w:id="8"/>
    </w:p>
    <w:p w:rsidR="003B4062" w:rsidRPr="00095336" w:rsidRDefault="003B4062" w:rsidP="003B4062">
      <w:pPr>
        <w:rPr>
          <w:sz w:val="20"/>
          <w:szCs w:val="20"/>
        </w:rPr>
      </w:pPr>
      <w:r w:rsidRPr="000C1BC6">
        <w:rPr>
          <w:sz w:val="20"/>
          <w:szCs w:val="20"/>
        </w:rPr>
        <w:t xml:space="preserve">The </w:t>
      </w:r>
      <w:r w:rsidRPr="009117D6">
        <w:rPr>
          <w:sz w:val="20"/>
          <w:szCs w:val="20"/>
        </w:rPr>
        <w:t>Fourth National S</w:t>
      </w:r>
      <w:r w:rsidR="003B7AEB" w:rsidRPr="009117D6">
        <w:rPr>
          <w:sz w:val="20"/>
          <w:szCs w:val="20"/>
        </w:rPr>
        <w:t>TI</w:t>
      </w:r>
      <w:r w:rsidRPr="009117D6">
        <w:rPr>
          <w:sz w:val="20"/>
          <w:szCs w:val="20"/>
        </w:rPr>
        <w:t xml:space="preserve"> Strategy</w:t>
      </w:r>
      <w:r w:rsidRPr="000C1BC6">
        <w:rPr>
          <w:i/>
          <w:sz w:val="20"/>
          <w:szCs w:val="20"/>
        </w:rPr>
        <w:t xml:space="preserve"> </w:t>
      </w:r>
      <w:r w:rsidRPr="000C1BC6">
        <w:rPr>
          <w:sz w:val="20"/>
          <w:szCs w:val="20"/>
        </w:rPr>
        <w:t>sets the</w:t>
      </w:r>
      <w:r w:rsidRPr="00095336">
        <w:rPr>
          <w:sz w:val="20"/>
          <w:szCs w:val="20"/>
        </w:rPr>
        <w:t xml:space="preserve"> direction for Australia’s continuing response to STI for 2018 to 2022</w:t>
      </w:r>
      <w:r w:rsidR="000C1BC6">
        <w:rPr>
          <w:sz w:val="20"/>
          <w:szCs w:val="20"/>
        </w:rPr>
        <w:t>.</w:t>
      </w:r>
      <w:r w:rsidRPr="00095336">
        <w:rPr>
          <w:sz w:val="20"/>
          <w:szCs w:val="20"/>
        </w:rPr>
        <w:t xml:space="preserve"> </w:t>
      </w:r>
      <w:r w:rsidR="000C1BC6">
        <w:rPr>
          <w:sz w:val="20"/>
          <w:szCs w:val="20"/>
        </w:rPr>
        <w:t xml:space="preserve">It </w:t>
      </w:r>
      <w:r w:rsidRPr="00095336">
        <w:rPr>
          <w:sz w:val="20"/>
          <w:szCs w:val="20"/>
        </w:rPr>
        <w:t xml:space="preserve">builds on achievements and lessons learned from previous strategies. It is one of five national strategies </w:t>
      </w:r>
      <w:r w:rsidR="000C1BC6">
        <w:rPr>
          <w:sz w:val="20"/>
          <w:szCs w:val="20"/>
        </w:rPr>
        <w:t>that</w:t>
      </w:r>
      <w:r w:rsidR="00EA7D18">
        <w:rPr>
          <w:sz w:val="20"/>
          <w:szCs w:val="20"/>
        </w:rPr>
        <w:t>,</w:t>
      </w:r>
      <w:r w:rsidRPr="00095336">
        <w:rPr>
          <w:sz w:val="20"/>
          <w:szCs w:val="20"/>
        </w:rPr>
        <w:t xml:space="preserve"> together, outline a framework for a high</w:t>
      </w:r>
      <w:r w:rsidR="00EA7D18">
        <w:rPr>
          <w:sz w:val="20"/>
          <w:szCs w:val="20"/>
        </w:rPr>
        <w:t>-</w:t>
      </w:r>
      <w:r w:rsidRPr="00095336">
        <w:rPr>
          <w:sz w:val="20"/>
          <w:szCs w:val="20"/>
        </w:rPr>
        <w:t xml:space="preserve">quality and coordinated national response to </w:t>
      </w:r>
      <w:r w:rsidR="00C07D40" w:rsidRPr="00095336">
        <w:rPr>
          <w:sz w:val="20"/>
          <w:szCs w:val="20"/>
        </w:rPr>
        <w:t xml:space="preserve">BBV </w:t>
      </w:r>
      <w:r w:rsidRPr="00095336">
        <w:rPr>
          <w:sz w:val="20"/>
          <w:szCs w:val="20"/>
        </w:rPr>
        <w:t>and STI in Australia. These five strategies are:</w:t>
      </w:r>
    </w:p>
    <w:p w:rsidR="003B4062" w:rsidRPr="00095336" w:rsidRDefault="003B4062" w:rsidP="002809B4">
      <w:pPr>
        <w:pStyle w:val="Listnumbered"/>
        <w:numPr>
          <w:ilvl w:val="0"/>
          <w:numId w:val="7"/>
        </w:numPr>
        <w:ind w:left="426" w:hanging="426"/>
        <w:rPr>
          <w:sz w:val="20"/>
          <w:szCs w:val="20"/>
        </w:rPr>
      </w:pPr>
      <w:r w:rsidRPr="00095336">
        <w:rPr>
          <w:sz w:val="20"/>
          <w:szCs w:val="20"/>
        </w:rPr>
        <w:t xml:space="preserve">Third National Hepatitis B Strategy </w:t>
      </w:r>
      <w:r w:rsidR="000C1BC6">
        <w:rPr>
          <w:sz w:val="20"/>
          <w:szCs w:val="20"/>
        </w:rPr>
        <w:t>2018–2022</w:t>
      </w:r>
    </w:p>
    <w:p w:rsidR="003B4062" w:rsidRPr="00095336" w:rsidRDefault="003B4062" w:rsidP="002809B4">
      <w:pPr>
        <w:pStyle w:val="Listnumbered"/>
        <w:numPr>
          <w:ilvl w:val="0"/>
          <w:numId w:val="7"/>
        </w:numPr>
        <w:ind w:left="426" w:hanging="426"/>
        <w:rPr>
          <w:sz w:val="20"/>
          <w:szCs w:val="20"/>
        </w:rPr>
      </w:pPr>
      <w:r w:rsidRPr="00095336">
        <w:rPr>
          <w:sz w:val="20"/>
          <w:szCs w:val="20"/>
        </w:rPr>
        <w:t>Fifth National Hepatitis C Strategy</w:t>
      </w:r>
      <w:r w:rsidR="000C1BC6">
        <w:rPr>
          <w:sz w:val="20"/>
          <w:szCs w:val="20"/>
        </w:rPr>
        <w:t xml:space="preserve"> 2018–2022</w:t>
      </w:r>
    </w:p>
    <w:p w:rsidR="003B4062" w:rsidRPr="00095336" w:rsidRDefault="003B4062" w:rsidP="002809B4">
      <w:pPr>
        <w:pStyle w:val="Listnumbered"/>
        <w:numPr>
          <w:ilvl w:val="0"/>
          <w:numId w:val="7"/>
        </w:numPr>
        <w:ind w:left="426" w:hanging="426"/>
        <w:rPr>
          <w:sz w:val="20"/>
          <w:szCs w:val="20"/>
        </w:rPr>
      </w:pPr>
      <w:r w:rsidRPr="00095336">
        <w:rPr>
          <w:sz w:val="20"/>
          <w:szCs w:val="20"/>
        </w:rPr>
        <w:t xml:space="preserve">Eighth National HIV Strategy </w:t>
      </w:r>
      <w:r w:rsidR="000C1BC6">
        <w:rPr>
          <w:sz w:val="20"/>
          <w:szCs w:val="20"/>
        </w:rPr>
        <w:t>2018–2022</w:t>
      </w:r>
    </w:p>
    <w:p w:rsidR="003B4062" w:rsidRPr="00095336" w:rsidRDefault="003B4062" w:rsidP="002809B4">
      <w:pPr>
        <w:pStyle w:val="Listnumbered"/>
        <w:numPr>
          <w:ilvl w:val="0"/>
          <w:numId w:val="7"/>
        </w:numPr>
        <w:ind w:left="426" w:hanging="426"/>
        <w:rPr>
          <w:sz w:val="20"/>
          <w:szCs w:val="20"/>
        </w:rPr>
      </w:pPr>
      <w:r w:rsidRPr="00095336">
        <w:rPr>
          <w:sz w:val="20"/>
          <w:szCs w:val="20"/>
        </w:rPr>
        <w:t xml:space="preserve">Fourth National STI Strategy </w:t>
      </w:r>
      <w:r w:rsidR="000C1BC6">
        <w:rPr>
          <w:sz w:val="20"/>
          <w:szCs w:val="20"/>
        </w:rPr>
        <w:t xml:space="preserve">2018–2022 </w:t>
      </w:r>
      <w:r w:rsidR="0063033D" w:rsidRPr="00095336">
        <w:rPr>
          <w:sz w:val="20"/>
          <w:szCs w:val="20"/>
        </w:rPr>
        <w:t xml:space="preserve">(this </w:t>
      </w:r>
      <w:r w:rsidR="000C1BC6">
        <w:rPr>
          <w:sz w:val="20"/>
          <w:szCs w:val="20"/>
        </w:rPr>
        <w:t>s</w:t>
      </w:r>
      <w:r w:rsidRPr="00095336">
        <w:rPr>
          <w:sz w:val="20"/>
          <w:szCs w:val="20"/>
        </w:rPr>
        <w:t>trategy)</w:t>
      </w:r>
    </w:p>
    <w:p w:rsidR="003B4062" w:rsidRPr="00095336" w:rsidRDefault="003B4062" w:rsidP="002809B4">
      <w:pPr>
        <w:pStyle w:val="Listnumbered"/>
        <w:numPr>
          <w:ilvl w:val="0"/>
          <w:numId w:val="7"/>
        </w:numPr>
        <w:ind w:left="426" w:hanging="426"/>
        <w:rPr>
          <w:sz w:val="20"/>
          <w:szCs w:val="20"/>
        </w:rPr>
      </w:pPr>
      <w:r w:rsidRPr="00095336">
        <w:rPr>
          <w:sz w:val="20"/>
          <w:szCs w:val="20"/>
        </w:rPr>
        <w:t>Fifth National Aboriginal and Torres Strait Islander Blood Borne Viruses and Sexually Transmissible Infections Strategy</w:t>
      </w:r>
      <w:r w:rsidR="000C1BC6">
        <w:rPr>
          <w:sz w:val="20"/>
          <w:szCs w:val="20"/>
        </w:rPr>
        <w:t xml:space="preserve"> 2018–2022</w:t>
      </w:r>
      <w:r w:rsidRPr="00095336">
        <w:rPr>
          <w:sz w:val="20"/>
          <w:szCs w:val="20"/>
        </w:rPr>
        <w:t>.</w:t>
      </w:r>
    </w:p>
    <w:p w:rsidR="00855C70" w:rsidRPr="00095336" w:rsidRDefault="003B4062" w:rsidP="003B4062">
      <w:pPr>
        <w:rPr>
          <w:sz w:val="20"/>
          <w:szCs w:val="20"/>
        </w:rPr>
      </w:pPr>
      <w:r w:rsidRPr="00095336">
        <w:rPr>
          <w:sz w:val="20"/>
          <w:szCs w:val="20"/>
        </w:rPr>
        <w:t xml:space="preserve">Each </w:t>
      </w:r>
      <w:r w:rsidR="00EA7D18">
        <w:rPr>
          <w:sz w:val="20"/>
          <w:szCs w:val="20"/>
        </w:rPr>
        <w:t>s</w:t>
      </w:r>
      <w:r w:rsidRPr="00095336">
        <w:rPr>
          <w:sz w:val="20"/>
          <w:szCs w:val="20"/>
        </w:rPr>
        <w:t>trategy has a specific focus but share</w:t>
      </w:r>
      <w:r w:rsidR="000C1BC6">
        <w:rPr>
          <w:sz w:val="20"/>
          <w:szCs w:val="20"/>
        </w:rPr>
        <w:t>s</w:t>
      </w:r>
      <w:r w:rsidRPr="00095336">
        <w:rPr>
          <w:sz w:val="20"/>
          <w:szCs w:val="20"/>
        </w:rPr>
        <w:t xml:space="preserve"> some structural elements, including guiding principles, goals</w:t>
      </w:r>
      <w:r w:rsidR="00507E92">
        <w:rPr>
          <w:sz w:val="20"/>
          <w:szCs w:val="20"/>
        </w:rPr>
        <w:t>,</w:t>
      </w:r>
      <w:r w:rsidR="00810C93">
        <w:rPr>
          <w:sz w:val="20"/>
          <w:szCs w:val="20"/>
        </w:rPr>
        <w:t xml:space="preserve"> </w:t>
      </w:r>
      <w:r w:rsidRPr="00095336">
        <w:rPr>
          <w:sz w:val="20"/>
          <w:szCs w:val="20"/>
        </w:rPr>
        <w:t>targets, priority areas</w:t>
      </w:r>
      <w:r w:rsidR="00C07D40" w:rsidRPr="00095336">
        <w:rPr>
          <w:sz w:val="20"/>
          <w:szCs w:val="20"/>
        </w:rPr>
        <w:t xml:space="preserve"> (</w:t>
      </w:r>
      <w:r w:rsidR="00EA7D18">
        <w:rPr>
          <w:sz w:val="20"/>
          <w:szCs w:val="20"/>
        </w:rPr>
        <w:t xml:space="preserve">see </w:t>
      </w:r>
      <w:r w:rsidR="00002917" w:rsidRPr="00EA7D18">
        <w:rPr>
          <w:sz w:val="20"/>
          <w:szCs w:val="20"/>
        </w:rPr>
        <w:t>Section 5</w:t>
      </w:r>
      <w:r w:rsidR="00EA7D18">
        <w:rPr>
          <w:sz w:val="20"/>
          <w:szCs w:val="20"/>
        </w:rPr>
        <w:t>,</w:t>
      </w:r>
      <w:r w:rsidR="00002917" w:rsidRPr="00EA7D18">
        <w:rPr>
          <w:sz w:val="20"/>
          <w:szCs w:val="20"/>
        </w:rPr>
        <w:t xml:space="preserve"> ‘</w:t>
      </w:r>
      <w:r w:rsidR="00002917" w:rsidRPr="00EA7D18">
        <w:rPr>
          <w:sz w:val="20"/>
          <w:szCs w:val="20"/>
        </w:rPr>
        <w:fldChar w:fldCharType="begin"/>
      </w:r>
      <w:r w:rsidR="00002917" w:rsidRPr="00EA7D18">
        <w:rPr>
          <w:sz w:val="20"/>
          <w:szCs w:val="20"/>
        </w:rPr>
        <w:instrText xml:space="preserve"> REF _Ref511116446 \h  \* MERGEFORMAT </w:instrText>
      </w:r>
      <w:r w:rsidR="00002917" w:rsidRPr="00EA7D18">
        <w:rPr>
          <w:sz w:val="20"/>
          <w:szCs w:val="20"/>
        </w:rPr>
      </w:r>
      <w:r w:rsidR="00002917" w:rsidRPr="00EA7D18">
        <w:rPr>
          <w:sz w:val="20"/>
          <w:szCs w:val="20"/>
        </w:rPr>
        <w:fldChar w:fldCharType="separate"/>
      </w:r>
      <w:r w:rsidR="000536AD" w:rsidRPr="00EA7D18">
        <w:rPr>
          <w:sz w:val="20"/>
          <w:szCs w:val="20"/>
        </w:rPr>
        <w:t xml:space="preserve">Measuring </w:t>
      </w:r>
      <w:r w:rsidR="00EA7D18">
        <w:rPr>
          <w:sz w:val="20"/>
          <w:szCs w:val="20"/>
        </w:rPr>
        <w:t>p</w:t>
      </w:r>
      <w:r w:rsidR="000536AD" w:rsidRPr="00EA7D18">
        <w:rPr>
          <w:sz w:val="20"/>
          <w:szCs w:val="20"/>
        </w:rPr>
        <w:t>rogress</w:t>
      </w:r>
      <w:r w:rsidR="00002917" w:rsidRPr="00EA7D18">
        <w:rPr>
          <w:sz w:val="20"/>
          <w:szCs w:val="20"/>
        </w:rPr>
        <w:fldChar w:fldCharType="end"/>
      </w:r>
      <w:r w:rsidR="00002917" w:rsidRPr="00EA7D18">
        <w:rPr>
          <w:sz w:val="20"/>
          <w:szCs w:val="20"/>
        </w:rPr>
        <w:t>’</w:t>
      </w:r>
      <w:r w:rsidR="00C07D40" w:rsidRPr="00095336">
        <w:rPr>
          <w:sz w:val="20"/>
          <w:szCs w:val="20"/>
        </w:rPr>
        <w:t>)</w:t>
      </w:r>
      <w:r w:rsidR="00855C70">
        <w:rPr>
          <w:sz w:val="20"/>
          <w:szCs w:val="20"/>
        </w:rPr>
        <w:t xml:space="preserve"> and</w:t>
      </w:r>
      <w:r w:rsidRPr="00095336">
        <w:rPr>
          <w:sz w:val="20"/>
          <w:szCs w:val="20"/>
        </w:rPr>
        <w:t xml:space="preserve"> defined priority populations</w:t>
      </w:r>
      <w:r w:rsidR="00855C70">
        <w:rPr>
          <w:sz w:val="20"/>
          <w:szCs w:val="20"/>
        </w:rPr>
        <w:t>. Also, a</w:t>
      </w:r>
      <w:r w:rsidR="00855C70" w:rsidRPr="009767D7">
        <w:rPr>
          <w:sz w:val="20"/>
          <w:szCs w:val="20"/>
        </w:rPr>
        <w:t xml:space="preserve">ll </w:t>
      </w:r>
      <w:r w:rsidR="00855C70" w:rsidRPr="00042B53">
        <w:rPr>
          <w:sz w:val="20"/>
          <w:szCs w:val="20"/>
        </w:rPr>
        <w:t>five national BBV and STI strategies</w:t>
      </w:r>
      <w:r w:rsidR="00855C70" w:rsidRPr="009767D7">
        <w:rPr>
          <w:sz w:val="20"/>
          <w:szCs w:val="20"/>
        </w:rPr>
        <w:t xml:space="preserve"> </w:t>
      </w:r>
      <w:r w:rsidR="00855C70">
        <w:rPr>
          <w:sz w:val="20"/>
          <w:szCs w:val="20"/>
        </w:rPr>
        <w:t xml:space="preserve">have key priority areas for action, </w:t>
      </w:r>
      <w:r w:rsidR="001A7A78">
        <w:rPr>
          <w:sz w:val="20"/>
          <w:szCs w:val="20"/>
        </w:rPr>
        <w:t>including</w:t>
      </w:r>
      <w:r w:rsidR="00855C70">
        <w:rPr>
          <w:sz w:val="20"/>
          <w:szCs w:val="20"/>
        </w:rPr>
        <w:t xml:space="preserve"> education and </w:t>
      </w:r>
      <w:r w:rsidR="00855C70" w:rsidRPr="009767D7">
        <w:rPr>
          <w:sz w:val="20"/>
          <w:szCs w:val="20"/>
        </w:rPr>
        <w:t>prevention, testing, treatment</w:t>
      </w:r>
      <w:r w:rsidR="00855C70">
        <w:rPr>
          <w:sz w:val="20"/>
          <w:szCs w:val="20"/>
        </w:rPr>
        <w:t xml:space="preserve"> and management</w:t>
      </w:r>
      <w:r w:rsidR="00855C70" w:rsidRPr="009767D7">
        <w:rPr>
          <w:sz w:val="20"/>
          <w:szCs w:val="20"/>
        </w:rPr>
        <w:t>, equitable access and coordination of care, workforce, improving data and surveillance</w:t>
      </w:r>
      <w:r w:rsidR="00855C70">
        <w:rPr>
          <w:sz w:val="20"/>
          <w:szCs w:val="20"/>
        </w:rPr>
        <w:t>,</w:t>
      </w:r>
      <w:r w:rsidR="00855C70" w:rsidRPr="009767D7">
        <w:rPr>
          <w:sz w:val="20"/>
          <w:szCs w:val="20"/>
        </w:rPr>
        <w:t xml:space="preserve"> and stigma and discrimination.</w:t>
      </w:r>
    </w:p>
    <w:p w:rsidR="003B4062" w:rsidRPr="00095336" w:rsidRDefault="003B4062" w:rsidP="003B4062">
      <w:pPr>
        <w:rPr>
          <w:sz w:val="20"/>
          <w:szCs w:val="20"/>
        </w:rPr>
      </w:pPr>
      <w:r w:rsidRPr="00095336">
        <w:rPr>
          <w:sz w:val="20"/>
          <w:szCs w:val="20"/>
          <w:lang w:eastAsia="en-AU"/>
        </w:rPr>
        <w:t xml:space="preserve">The </w:t>
      </w:r>
      <w:r w:rsidRPr="00EA7D18">
        <w:rPr>
          <w:sz w:val="20"/>
          <w:szCs w:val="20"/>
        </w:rPr>
        <w:t>Fourth National STI Strategy</w:t>
      </w:r>
      <w:r w:rsidRPr="00095336">
        <w:rPr>
          <w:sz w:val="20"/>
          <w:szCs w:val="20"/>
          <w:lang w:eastAsia="en-AU"/>
        </w:rPr>
        <w:t xml:space="preserve"> aims to provide a framework for the efforts of all partners in the response to STI, guide reso</w:t>
      </w:r>
      <w:r w:rsidR="00002917" w:rsidRPr="00095336">
        <w:rPr>
          <w:sz w:val="20"/>
          <w:szCs w:val="20"/>
          <w:lang w:eastAsia="en-AU"/>
        </w:rPr>
        <w:t>urcing decisions and monitor</w:t>
      </w:r>
      <w:r w:rsidRPr="00095336">
        <w:rPr>
          <w:sz w:val="20"/>
          <w:szCs w:val="20"/>
          <w:lang w:eastAsia="en-AU"/>
        </w:rPr>
        <w:t xml:space="preserve"> progress. It is informed by </w:t>
      </w:r>
      <w:r w:rsidRPr="00095336">
        <w:rPr>
          <w:sz w:val="20"/>
          <w:szCs w:val="20"/>
        </w:rPr>
        <w:t>p</w:t>
      </w:r>
      <w:r w:rsidRPr="00095336">
        <w:rPr>
          <w:sz w:val="20"/>
          <w:szCs w:val="20"/>
          <w:lang w:eastAsia="en-AU"/>
        </w:rPr>
        <w:t xml:space="preserve">rogress made under the </w:t>
      </w:r>
      <w:r w:rsidR="002A4611" w:rsidRPr="00EA7D18">
        <w:rPr>
          <w:sz w:val="20"/>
          <w:szCs w:val="20"/>
          <w:lang w:eastAsia="en-AU"/>
        </w:rPr>
        <w:t>Third National STI</w:t>
      </w:r>
      <w:r w:rsidRPr="00EA7D18">
        <w:rPr>
          <w:sz w:val="20"/>
          <w:szCs w:val="20"/>
          <w:lang w:eastAsia="en-AU"/>
        </w:rPr>
        <w:t xml:space="preserve"> Strategy 2014</w:t>
      </w:r>
      <w:r w:rsidR="00EA7D18">
        <w:rPr>
          <w:sz w:val="20"/>
          <w:szCs w:val="20"/>
          <w:lang w:eastAsia="en-AU"/>
        </w:rPr>
        <w:t>–</w:t>
      </w:r>
      <w:r w:rsidRPr="00EA7D18">
        <w:rPr>
          <w:sz w:val="20"/>
          <w:szCs w:val="20"/>
          <w:lang w:eastAsia="en-AU"/>
        </w:rPr>
        <w:t>2017;</w:t>
      </w:r>
      <w:r w:rsidRPr="00095336">
        <w:rPr>
          <w:i/>
          <w:sz w:val="20"/>
          <w:szCs w:val="20"/>
          <w:lang w:eastAsia="en-AU"/>
        </w:rPr>
        <w:t xml:space="preserve"> </w:t>
      </w:r>
      <w:r w:rsidRPr="00095336">
        <w:rPr>
          <w:sz w:val="20"/>
          <w:szCs w:val="20"/>
          <w:lang w:eastAsia="en-AU"/>
        </w:rPr>
        <w:t xml:space="preserve">the effectiveness of current and past responses to STI in Australia and internationally; the identification of gaps and opportunities; and consultation with governments, community organisations, researchers, </w:t>
      </w:r>
      <w:r w:rsidR="00002917" w:rsidRPr="00095336">
        <w:rPr>
          <w:sz w:val="20"/>
          <w:szCs w:val="20"/>
          <w:lang w:eastAsia="en-AU"/>
        </w:rPr>
        <w:t xml:space="preserve">health professionals </w:t>
      </w:r>
      <w:r w:rsidRPr="00095336">
        <w:rPr>
          <w:sz w:val="20"/>
          <w:szCs w:val="20"/>
          <w:lang w:eastAsia="en-AU"/>
        </w:rPr>
        <w:t xml:space="preserve">and other stakeholders across the country. </w:t>
      </w:r>
      <w:r w:rsidRPr="00095336">
        <w:rPr>
          <w:sz w:val="20"/>
          <w:szCs w:val="20"/>
        </w:rPr>
        <w:t xml:space="preserve">This </w:t>
      </w:r>
      <w:r w:rsidR="00507E92">
        <w:rPr>
          <w:sz w:val="20"/>
          <w:szCs w:val="20"/>
        </w:rPr>
        <w:t>s</w:t>
      </w:r>
      <w:r w:rsidRPr="00095336">
        <w:rPr>
          <w:sz w:val="20"/>
          <w:szCs w:val="20"/>
        </w:rPr>
        <w:t>trategy is also informed by a range of surveillance data and research on STI in Australia</w:t>
      </w:r>
      <w:r w:rsidR="00BA7E6A">
        <w:rPr>
          <w:sz w:val="20"/>
          <w:szCs w:val="20"/>
        </w:rPr>
        <w:t>, including the</w:t>
      </w:r>
      <w:r w:rsidRPr="00095336">
        <w:rPr>
          <w:sz w:val="20"/>
          <w:szCs w:val="20"/>
        </w:rPr>
        <w:t xml:space="preserve"> impact </w:t>
      </w:r>
      <w:r w:rsidR="00BA7E6A">
        <w:rPr>
          <w:sz w:val="20"/>
          <w:szCs w:val="20"/>
        </w:rPr>
        <w:t xml:space="preserve">of STI </w:t>
      </w:r>
      <w:r w:rsidRPr="00095336">
        <w:rPr>
          <w:sz w:val="20"/>
          <w:szCs w:val="20"/>
        </w:rPr>
        <w:t>on priority populations.</w:t>
      </w:r>
    </w:p>
    <w:p w:rsidR="003B4062" w:rsidRPr="00095336" w:rsidRDefault="003B4062" w:rsidP="003B4062">
      <w:pPr>
        <w:rPr>
          <w:sz w:val="20"/>
          <w:szCs w:val="20"/>
        </w:rPr>
      </w:pPr>
      <w:r w:rsidRPr="004B3457">
        <w:rPr>
          <w:sz w:val="20"/>
          <w:szCs w:val="20"/>
        </w:rPr>
        <w:t>Th</w:t>
      </w:r>
      <w:r w:rsidR="00EA7D18" w:rsidRPr="004B3457">
        <w:rPr>
          <w:sz w:val="20"/>
          <w:szCs w:val="20"/>
        </w:rPr>
        <w:t>is</w:t>
      </w:r>
      <w:r w:rsidRPr="004B3457">
        <w:rPr>
          <w:sz w:val="20"/>
          <w:szCs w:val="20"/>
        </w:rPr>
        <w:t xml:space="preserve"> </w:t>
      </w:r>
      <w:r w:rsidR="00507E92" w:rsidRPr="004B3457">
        <w:rPr>
          <w:sz w:val="20"/>
          <w:szCs w:val="20"/>
        </w:rPr>
        <w:t>s</w:t>
      </w:r>
      <w:r w:rsidRPr="004B3457">
        <w:rPr>
          <w:sz w:val="20"/>
          <w:szCs w:val="20"/>
        </w:rPr>
        <w:t>trategy</w:t>
      </w:r>
      <w:r w:rsidRPr="00507E92">
        <w:rPr>
          <w:sz w:val="20"/>
          <w:szCs w:val="20"/>
        </w:rPr>
        <w:t xml:space="preserve"> complements</w:t>
      </w:r>
      <w:r w:rsidRPr="00095336">
        <w:rPr>
          <w:sz w:val="20"/>
          <w:szCs w:val="20"/>
        </w:rPr>
        <w:t xml:space="preserve"> other jurisdictional, national and international policy documents that contribute to the national STI response and supports the achievement of existing commitments. These include: </w:t>
      </w:r>
    </w:p>
    <w:p w:rsidR="003B4062" w:rsidRPr="00095336" w:rsidRDefault="00EA7D18" w:rsidP="002809B4">
      <w:pPr>
        <w:numPr>
          <w:ilvl w:val="0"/>
          <w:numId w:val="15"/>
        </w:numPr>
        <w:spacing w:after="0"/>
        <w:rPr>
          <w:sz w:val="20"/>
          <w:szCs w:val="20"/>
        </w:rPr>
      </w:pPr>
      <w:r>
        <w:rPr>
          <w:sz w:val="20"/>
          <w:szCs w:val="20"/>
        </w:rPr>
        <w:t>s</w:t>
      </w:r>
      <w:r w:rsidR="003B4062" w:rsidRPr="00095336">
        <w:rPr>
          <w:sz w:val="20"/>
          <w:szCs w:val="20"/>
        </w:rPr>
        <w:t>tate and territory STI strategies and action plans</w:t>
      </w:r>
    </w:p>
    <w:p w:rsidR="00FC0BEC" w:rsidRPr="00EA7D18" w:rsidRDefault="00FC0BEC" w:rsidP="002809B4">
      <w:pPr>
        <w:numPr>
          <w:ilvl w:val="0"/>
          <w:numId w:val="15"/>
        </w:numPr>
        <w:spacing w:after="0"/>
        <w:rPr>
          <w:sz w:val="20"/>
          <w:szCs w:val="20"/>
        </w:rPr>
      </w:pPr>
      <w:r w:rsidRPr="00EA7D18">
        <w:rPr>
          <w:sz w:val="20"/>
          <w:szCs w:val="20"/>
        </w:rPr>
        <w:t>National Antimicrobial Resistance Strategy 2015</w:t>
      </w:r>
      <w:r w:rsidR="00EA7D18">
        <w:rPr>
          <w:sz w:val="20"/>
          <w:szCs w:val="20"/>
        </w:rPr>
        <w:t>–</w:t>
      </w:r>
      <w:r w:rsidRPr="00EA7D18">
        <w:rPr>
          <w:sz w:val="20"/>
          <w:szCs w:val="20"/>
        </w:rPr>
        <w:t>2019</w:t>
      </w:r>
    </w:p>
    <w:p w:rsidR="003B4062" w:rsidRPr="00EA7D18" w:rsidRDefault="003B4062" w:rsidP="002809B4">
      <w:pPr>
        <w:numPr>
          <w:ilvl w:val="0"/>
          <w:numId w:val="15"/>
        </w:numPr>
        <w:spacing w:after="0"/>
        <w:rPr>
          <w:sz w:val="20"/>
          <w:szCs w:val="20"/>
        </w:rPr>
      </w:pPr>
      <w:r w:rsidRPr="00EA7D18">
        <w:rPr>
          <w:sz w:val="20"/>
          <w:szCs w:val="20"/>
        </w:rPr>
        <w:t>National Drug Strategy 2017</w:t>
      </w:r>
      <w:r w:rsidR="00EA7D18">
        <w:rPr>
          <w:sz w:val="20"/>
          <w:szCs w:val="20"/>
        </w:rPr>
        <w:t>–</w:t>
      </w:r>
      <w:r w:rsidRPr="00EA7D18">
        <w:rPr>
          <w:sz w:val="20"/>
          <w:szCs w:val="20"/>
        </w:rPr>
        <w:t>2026</w:t>
      </w:r>
    </w:p>
    <w:p w:rsidR="003B4062" w:rsidRPr="00EA7D18" w:rsidRDefault="003B4062" w:rsidP="002809B4">
      <w:pPr>
        <w:pStyle w:val="ColorfulList-Accent11"/>
        <w:numPr>
          <w:ilvl w:val="0"/>
          <w:numId w:val="15"/>
        </w:numPr>
        <w:spacing w:after="0"/>
        <w:rPr>
          <w:sz w:val="20"/>
        </w:rPr>
      </w:pPr>
      <w:r w:rsidRPr="00EA7D18">
        <w:rPr>
          <w:sz w:val="20"/>
        </w:rPr>
        <w:t>Nat</w:t>
      </w:r>
      <w:r w:rsidR="002A4611" w:rsidRPr="00EA7D18">
        <w:rPr>
          <w:sz w:val="20"/>
        </w:rPr>
        <w:t>ional Immunisation Strateg</w:t>
      </w:r>
      <w:r w:rsidR="004E4223" w:rsidRPr="00EA7D18">
        <w:rPr>
          <w:sz w:val="20"/>
        </w:rPr>
        <w:t>ies</w:t>
      </w:r>
      <w:r w:rsidR="002A4611" w:rsidRPr="00EA7D18">
        <w:rPr>
          <w:sz w:val="20"/>
        </w:rPr>
        <w:t xml:space="preserve"> </w:t>
      </w:r>
      <w:r w:rsidR="004E4223" w:rsidRPr="00EA7D18">
        <w:rPr>
          <w:sz w:val="20"/>
        </w:rPr>
        <w:t>2013</w:t>
      </w:r>
      <w:r w:rsidR="00EA7D18">
        <w:rPr>
          <w:sz w:val="20"/>
        </w:rPr>
        <w:t>–</w:t>
      </w:r>
      <w:r w:rsidR="004E4223" w:rsidRPr="00EA7D18">
        <w:rPr>
          <w:sz w:val="20"/>
        </w:rPr>
        <w:t xml:space="preserve">2018 and </w:t>
      </w:r>
      <w:r w:rsidR="002A4611" w:rsidRPr="00EA7D18">
        <w:rPr>
          <w:sz w:val="20"/>
        </w:rPr>
        <w:t>2019</w:t>
      </w:r>
      <w:r w:rsidR="00EA7D18">
        <w:rPr>
          <w:sz w:val="20"/>
        </w:rPr>
        <w:t>–</w:t>
      </w:r>
      <w:r w:rsidR="002A4611" w:rsidRPr="00EA7D18">
        <w:rPr>
          <w:sz w:val="20"/>
        </w:rPr>
        <w:t>202</w:t>
      </w:r>
      <w:r w:rsidR="004E4223" w:rsidRPr="00EA7D18">
        <w:rPr>
          <w:sz w:val="20"/>
        </w:rPr>
        <w:t>4</w:t>
      </w:r>
    </w:p>
    <w:p w:rsidR="003B4062" w:rsidRPr="00EA7D18" w:rsidRDefault="00002917" w:rsidP="002809B4">
      <w:pPr>
        <w:numPr>
          <w:ilvl w:val="0"/>
          <w:numId w:val="15"/>
        </w:numPr>
        <w:spacing w:after="0"/>
        <w:rPr>
          <w:sz w:val="20"/>
          <w:szCs w:val="20"/>
        </w:rPr>
      </w:pPr>
      <w:r w:rsidRPr="00EA7D18">
        <w:rPr>
          <w:sz w:val="20"/>
          <w:szCs w:val="20"/>
        </w:rPr>
        <w:t>National Strategic Framework for Aboriginal and Torres Strait Health Plan 2013</w:t>
      </w:r>
      <w:r w:rsidR="00EA7D18">
        <w:rPr>
          <w:sz w:val="20"/>
          <w:szCs w:val="20"/>
        </w:rPr>
        <w:t>–</w:t>
      </w:r>
      <w:r w:rsidRPr="00EA7D18">
        <w:rPr>
          <w:sz w:val="20"/>
          <w:szCs w:val="20"/>
        </w:rPr>
        <w:t>202</w:t>
      </w:r>
      <w:r w:rsidR="003B4062" w:rsidRPr="00EA7D18">
        <w:rPr>
          <w:sz w:val="20"/>
          <w:szCs w:val="20"/>
        </w:rPr>
        <w:t>3</w:t>
      </w:r>
    </w:p>
    <w:p w:rsidR="003B4062" w:rsidRPr="004B3457" w:rsidRDefault="003B4062" w:rsidP="002809B4">
      <w:pPr>
        <w:numPr>
          <w:ilvl w:val="0"/>
          <w:numId w:val="15"/>
        </w:numPr>
        <w:spacing w:after="0"/>
        <w:rPr>
          <w:sz w:val="20"/>
          <w:szCs w:val="20"/>
        </w:rPr>
      </w:pPr>
      <w:r w:rsidRPr="004B3457">
        <w:rPr>
          <w:sz w:val="20"/>
          <w:szCs w:val="20"/>
        </w:rPr>
        <w:t>Action Plan: Enhanced response to addressing sexually transmissible infections (and blood borne viruses) in Indigenous populations</w:t>
      </w:r>
    </w:p>
    <w:p w:rsidR="003B4062" w:rsidRPr="00095336" w:rsidRDefault="003B4062" w:rsidP="002809B4">
      <w:pPr>
        <w:numPr>
          <w:ilvl w:val="0"/>
          <w:numId w:val="15"/>
        </w:numPr>
        <w:spacing w:after="0"/>
        <w:rPr>
          <w:sz w:val="20"/>
          <w:szCs w:val="20"/>
        </w:rPr>
      </w:pPr>
      <w:r w:rsidRPr="00095336">
        <w:rPr>
          <w:sz w:val="20"/>
          <w:szCs w:val="20"/>
        </w:rPr>
        <w:t xml:space="preserve">World Health Organization (WHO) </w:t>
      </w:r>
      <w:r w:rsidRPr="00EA7D18">
        <w:rPr>
          <w:sz w:val="20"/>
          <w:szCs w:val="20"/>
        </w:rPr>
        <w:t>Global Health Sector Strategy on Sexually Transmitted Infections 2016</w:t>
      </w:r>
      <w:r w:rsidR="00EA7D18">
        <w:rPr>
          <w:sz w:val="20"/>
          <w:szCs w:val="20"/>
        </w:rPr>
        <w:t>–</w:t>
      </w:r>
      <w:r w:rsidRPr="00EA7D18">
        <w:rPr>
          <w:sz w:val="20"/>
          <w:szCs w:val="20"/>
        </w:rPr>
        <w:t>2021</w:t>
      </w:r>
    </w:p>
    <w:p w:rsidR="003B4062" w:rsidRPr="00EA7D18" w:rsidRDefault="003B4062" w:rsidP="002809B4">
      <w:pPr>
        <w:pStyle w:val="ColorfulList-Accent11"/>
        <w:numPr>
          <w:ilvl w:val="0"/>
          <w:numId w:val="15"/>
        </w:numPr>
        <w:spacing w:after="0"/>
        <w:rPr>
          <w:sz w:val="20"/>
        </w:rPr>
      </w:pPr>
      <w:r w:rsidRPr="00EA7D18">
        <w:rPr>
          <w:sz w:val="20"/>
        </w:rPr>
        <w:t xml:space="preserve">Regional Action Plan on the Triple Elimination of </w:t>
      </w:r>
      <w:r w:rsidR="004B3457">
        <w:rPr>
          <w:sz w:val="20"/>
        </w:rPr>
        <w:t>m</w:t>
      </w:r>
      <w:r w:rsidRPr="00EA7D18">
        <w:rPr>
          <w:sz w:val="20"/>
        </w:rPr>
        <w:t>other-to-</w:t>
      </w:r>
      <w:r w:rsidR="004B3457">
        <w:rPr>
          <w:sz w:val="20"/>
        </w:rPr>
        <w:t>c</w:t>
      </w:r>
      <w:r w:rsidRPr="00EA7D18">
        <w:rPr>
          <w:sz w:val="20"/>
        </w:rPr>
        <w:t xml:space="preserve">hild </w:t>
      </w:r>
      <w:r w:rsidR="004B3457">
        <w:rPr>
          <w:sz w:val="20"/>
        </w:rPr>
        <w:t>t</w:t>
      </w:r>
      <w:r w:rsidRPr="00EA7D18">
        <w:rPr>
          <w:sz w:val="20"/>
        </w:rPr>
        <w:t>ransmission of HIV</w:t>
      </w:r>
      <w:r w:rsidR="00002917" w:rsidRPr="00EA7D18">
        <w:rPr>
          <w:sz w:val="20"/>
        </w:rPr>
        <w:t>, Hepatitis B and Syphilis.</w:t>
      </w:r>
    </w:p>
    <w:p w:rsidR="00635467" w:rsidRPr="00095336" w:rsidRDefault="00635467" w:rsidP="00635467">
      <w:pPr>
        <w:spacing w:before="120"/>
        <w:rPr>
          <w:sz w:val="20"/>
          <w:szCs w:val="20"/>
        </w:rPr>
      </w:pPr>
      <w:r w:rsidRPr="00635467">
        <w:rPr>
          <w:sz w:val="20"/>
          <w:szCs w:val="20"/>
        </w:rPr>
        <w:t xml:space="preserve">This </w:t>
      </w:r>
      <w:r w:rsidR="00D93921">
        <w:rPr>
          <w:sz w:val="20"/>
          <w:szCs w:val="20"/>
        </w:rPr>
        <w:t>s</w:t>
      </w:r>
      <w:r w:rsidRPr="00635467">
        <w:rPr>
          <w:sz w:val="20"/>
          <w:szCs w:val="20"/>
        </w:rPr>
        <w:t>trategy also supports progress towards Sustainable Development Goal 3 (</w:t>
      </w:r>
      <w:r w:rsidR="00D93921">
        <w:rPr>
          <w:sz w:val="20"/>
          <w:szCs w:val="20"/>
        </w:rPr>
        <w:t>‘</w:t>
      </w:r>
      <w:r w:rsidRPr="00635467">
        <w:rPr>
          <w:iCs/>
          <w:sz w:val="20"/>
          <w:szCs w:val="20"/>
        </w:rPr>
        <w:t>Ensure healthy lives and promote well</w:t>
      </w:r>
      <w:r w:rsidR="00D93921">
        <w:rPr>
          <w:iCs/>
          <w:sz w:val="20"/>
          <w:szCs w:val="20"/>
        </w:rPr>
        <w:t>-</w:t>
      </w:r>
      <w:r w:rsidRPr="00635467">
        <w:rPr>
          <w:iCs/>
          <w:sz w:val="20"/>
          <w:szCs w:val="20"/>
        </w:rPr>
        <w:t>being for all at all ages</w:t>
      </w:r>
      <w:r w:rsidR="00D93921">
        <w:rPr>
          <w:iCs/>
          <w:sz w:val="20"/>
          <w:szCs w:val="20"/>
        </w:rPr>
        <w:t>’</w:t>
      </w:r>
      <w:r w:rsidRPr="00635467">
        <w:rPr>
          <w:sz w:val="20"/>
          <w:szCs w:val="20"/>
        </w:rPr>
        <w:t xml:space="preserve">) of </w:t>
      </w:r>
      <w:r w:rsidRPr="004B3457">
        <w:rPr>
          <w:sz w:val="20"/>
          <w:szCs w:val="20"/>
        </w:rPr>
        <w:t>the</w:t>
      </w:r>
      <w:r w:rsidRPr="00635467">
        <w:rPr>
          <w:i/>
          <w:sz w:val="20"/>
          <w:szCs w:val="20"/>
        </w:rPr>
        <w:t xml:space="preserve"> </w:t>
      </w:r>
      <w:r w:rsidRPr="00EA7D18">
        <w:rPr>
          <w:sz w:val="20"/>
          <w:szCs w:val="20"/>
        </w:rPr>
        <w:t>United Nations 2030 Agenda for Sustainable Development</w:t>
      </w:r>
      <w:r w:rsidRPr="00095336">
        <w:rPr>
          <w:i/>
          <w:sz w:val="20"/>
          <w:szCs w:val="20"/>
        </w:rPr>
        <w:t>.</w:t>
      </w:r>
    </w:p>
    <w:p w:rsidR="003B4062" w:rsidRDefault="003B4062" w:rsidP="003B4062">
      <w:pPr>
        <w:rPr>
          <w:sz w:val="20"/>
          <w:szCs w:val="20"/>
          <w:lang w:eastAsia="en-AU"/>
        </w:rPr>
      </w:pPr>
      <w:r w:rsidRPr="00095336">
        <w:rPr>
          <w:sz w:val="20"/>
          <w:szCs w:val="20"/>
          <w:lang w:eastAsia="en-AU"/>
        </w:rPr>
        <w:t xml:space="preserve">This </w:t>
      </w:r>
      <w:r w:rsidR="00D93921">
        <w:rPr>
          <w:sz w:val="20"/>
          <w:szCs w:val="20"/>
          <w:lang w:eastAsia="en-AU"/>
        </w:rPr>
        <w:t>s</w:t>
      </w:r>
      <w:r w:rsidRPr="00095336">
        <w:rPr>
          <w:sz w:val="20"/>
          <w:szCs w:val="20"/>
          <w:lang w:eastAsia="en-AU"/>
        </w:rPr>
        <w:t xml:space="preserve">trategy acknowledges that some </w:t>
      </w:r>
      <w:r w:rsidR="00EA7D18">
        <w:rPr>
          <w:sz w:val="20"/>
          <w:szCs w:val="20"/>
          <w:lang w:eastAsia="en-AU"/>
        </w:rPr>
        <w:t>s</w:t>
      </w:r>
      <w:r w:rsidRPr="00095336">
        <w:rPr>
          <w:sz w:val="20"/>
          <w:szCs w:val="20"/>
          <w:lang w:eastAsia="en-AU"/>
        </w:rPr>
        <w:t>tates</w:t>
      </w:r>
      <w:r w:rsidR="00EA7D18">
        <w:rPr>
          <w:sz w:val="20"/>
          <w:szCs w:val="20"/>
          <w:lang w:eastAsia="en-AU"/>
        </w:rPr>
        <w:t xml:space="preserve"> and t</w:t>
      </w:r>
      <w:r w:rsidRPr="00095336">
        <w:rPr>
          <w:sz w:val="20"/>
          <w:szCs w:val="20"/>
          <w:lang w:eastAsia="en-AU"/>
        </w:rPr>
        <w:t xml:space="preserve">erritories have set or may set different targets to drive progress and that the goals and targets of this </w:t>
      </w:r>
      <w:r w:rsidR="00D93921">
        <w:rPr>
          <w:sz w:val="20"/>
          <w:szCs w:val="20"/>
          <w:lang w:eastAsia="en-AU"/>
        </w:rPr>
        <w:t>s</w:t>
      </w:r>
      <w:r w:rsidRPr="00095336">
        <w:rPr>
          <w:sz w:val="20"/>
          <w:szCs w:val="20"/>
          <w:lang w:eastAsia="en-AU"/>
        </w:rPr>
        <w:t xml:space="preserve">trategy are intended to </w:t>
      </w:r>
      <w:r w:rsidR="004B3457">
        <w:rPr>
          <w:sz w:val="20"/>
          <w:szCs w:val="20"/>
          <w:lang w:eastAsia="en-AU"/>
        </w:rPr>
        <w:t xml:space="preserve">facilitate jurisdictional efforts. </w:t>
      </w:r>
      <w:r w:rsidRPr="00095336">
        <w:rPr>
          <w:sz w:val="20"/>
          <w:szCs w:val="20"/>
          <w:lang w:eastAsia="en-AU"/>
        </w:rPr>
        <w:t xml:space="preserve"> Wherever possible, other jurisdictions are encouraged to match or exceed the targets of this </w:t>
      </w:r>
      <w:r w:rsidR="00D93921">
        <w:rPr>
          <w:sz w:val="20"/>
          <w:szCs w:val="20"/>
          <w:lang w:eastAsia="en-AU"/>
        </w:rPr>
        <w:t>s</w:t>
      </w:r>
      <w:r w:rsidRPr="00095336">
        <w:rPr>
          <w:sz w:val="20"/>
          <w:szCs w:val="20"/>
          <w:lang w:eastAsia="en-AU"/>
        </w:rPr>
        <w:t>trategy.</w:t>
      </w:r>
    </w:p>
    <w:p w:rsidR="004B3457" w:rsidRDefault="00D92E90" w:rsidP="00D92E90">
      <w:pPr>
        <w:spacing w:after="160" w:line="259" w:lineRule="auto"/>
        <w:rPr>
          <w:sz w:val="20"/>
          <w:szCs w:val="20"/>
        </w:rPr>
      </w:pPr>
      <w:r w:rsidRPr="00F81BE1">
        <w:rPr>
          <w:sz w:val="20"/>
          <w:szCs w:val="20"/>
        </w:rPr>
        <w:t xml:space="preserve">Further </w:t>
      </w:r>
      <w:r w:rsidRPr="004B3457">
        <w:rPr>
          <w:sz w:val="20"/>
          <w:szCs w:val="20"/>
        </w:rPr>
        <w:t xml:space="preserve">detail on the implementation of this </w:t>
      </w:r>
      <w:r w:rsidR="00D93921" w:rsidRPr="004B3457">
        <w:rPr>
          <w:sz w:val="20"/>
          <w:szCs w:val="20"/>
        </w:rPr>
        <w:t>s</w:t>
      </w:r>
      <w:r w:rsidRPr="004B3457">
        <w:rPr>
          <w:sz w:val="20"/>
          <w:szCs w:val="20"/>
        </w:rPr>
        <w:t xml:space="preserve">trategy, including the associated </w:t>
      </w:r>
      <w:r w:rsidR="00EA7D18" w:rsidRPr="004B3457">
        <w:rPr>
          <w:sz w:val="20"/>
          <w:szCs w:val="20"/>
        </w:rPr>
        <w:t>a</w:t>
      </w:r>
      <w:r w:rsidRPr="004B3457">
        <w:rPr>
          <w:sz w:val="20"/>
          <w:szCs w:val="20"/>
        </w:rPr>
        <w:t xml:space="preserve">ction </w:t>
      </w:r>
      <w:r w:rsidR="00EA7D18" w:rsidRPr="004B3457">
        <w:rPr>
          <w:sz w:val="20"/>
          <w:szCs w:val="20"/>
        </w:rPr>
        <w:t>p</w:t>
      </w:r>
      <w:r w:rsidRPr="004B3457">
        <w:rPr>
          <w:sz w:val="20"/>
          <w:szCs w:val="20"/>
        </w:rPr>
        <w:t>lan, is provided under Section 8</w:t>
      </w:r>
      <w:r w:rsidR="00EA7D18" w:rsidRPr="004B3457">
        <w:rPr>
          <w:sz w:val="20"/>
          <w:szCs w:val="20"/>
        </w:rPr>
        <w:t>,</w:t>
      </w:r>
      <w:r w:rsidRPr="004B3457">
        <w:rPr>
          <w:sz w:val="20"/>
          <w:szCs w:val="20"/>
        </w:rPr>
        <w:t xml:space="preserve"> ‘</w:t>
      </w:r>
      <w:r w:rsidR="008D46D1" w:rsidRPr="004B3457">
        <w:rPr>
          <w:sz w:val="20"/>
          <w:szCs w:val="20"/>
        </w:rPr>
        <w:fldChar w:fldCharType="begin"/>
      </w:r>
      <w:r w:rsidR="008D46D1" w:rsidRPr="004B3457">
        <w:rPr>
          <w:sz w:val="20"/>
          <w:szCs w:val="20"/>
        </w:rPr>
        <w:instrText xml:space="preserve"> REF _Ref512928172 \h </w:instrText>
      </w:r>
      <w:r w:rsidR="003B7AEB" w:rsidRPr="004B3457">
        <w:rPr>
          <w:sz w:val="20"/>
          <w:szCs w:val="20"/>
        </w:rPr>
        <w:instrText xml:space="preserve"> \* MERGEFORMAT </w:instrText>
      </w:r>
      <w:r w:rsidR="008D46D1" w:rsidRPr="004B3457">
        <w:rPr>
          <w:sz w:val="20"/>
          <w:szCs w:val="20"/>
        </w:rPr>
      </w:r>
      <w:r w:rsidR="008D46D1" w:rsidRPr="004B3457">
        <w:rPr>
          <w:sz w:val="20"/>
          <w:szCs w:val="20"/>
        </w:rPr>
        <w:fldChar w:fldCharType="separate"/>
      </w:r>
      <w:r w:rsidR="000536AD" w:rsidRPr="004B3457">
        <w:rPr>
          <w:sz w:val="20"/>
          <w:szCs w:val="20"/>
        </w:rPr>
        <w:t xml:space="preserve">Implementing this </w:t>
      </w:r>
      <w:r w:rsidR="00D93921" w:rsidRPr="004B3457">
        <w:rPr>
          <w:sz w:val="20"/>
          <w:szCs w:val="20"/>
        </w:rPr>
        <w:t>s</w:t>
      </w:r>
      <w:r w:rsidR="000536AD" w:rsidRPr="004B3457">
        <w:rPr>
          <w:sz w:val="20"/>
          <w:szCs w:val="20"/>
        </w:rPr>
        <w:t>trategy</w:t>
      </w:r>
      <w:r w:rsidR="008D46D1" w:rsidRPr="004B3457">
        <w:rPr>
          <w:sz w:val="20"/>
          <w:szCs w:val="20"/>
        </w:rPr>
        <w:fldChar w:fldCharType="end"/>
      </w:r>
      <w:r w:rsidR="003B4062" w:rsidRPr="004B3457">
        <w:rPr>
          <w:sz w:val="20"/>
          <w:szCs w:val="20"/>
        </w:rPr>
        <w:t>’.</w:t>
      </w:r>
      <w:r w:rsidR="003B4062" w:rsidRPr="00095336">
        <w:rPr>
          <w:sz w:val="20"/>
          <w:szCs w:val="20"/>
        </w:rPr>
        <w:t xml:space="preserve"> </w:t>
      </w:r>
    </w:p>
    <w:p w:rsidR="003B4062" w:rsidRPr="00095336" w:rsidRDefault="003B4062" w:rsidP="00D92E90">
      <w:pPr>
        <w:spacing w:after="160" w:line="259" w:lineRule="auto"/>
        <w:rPr>
          <w:rFonts w:eastAsia="Times New Roman"/>
          <w:b/>
          <w:color w:val="00264D"/>
          <w:sz w:val="20"/>
          <w:szCs w:val="20"/>
          <w:lang w:eastAsia="en-AU"/>
        </w:rPr>
      </w:pPr>
    </w:p>
    <w:p w:rsidR="007C26BE" w:rsidRDefault="00857545" w:rsidP="007C26BE">
      <w:pPr>
        <w:rPr>
          <w:b/>
          <w:color w:val="00264D"/>
          <w:sz w:val="24"/>
        </w:rPr>
      </w:pPr>
      <w:r>
        <w:rPr>
          <w:b/>
          <w:color w:val="00264D"/>
          <w:sz w:val="24"/>
        </w:rPr>
        <w:t>PROGRESS</w:t>
      </w:r>
      <w:r w:rsidR="007C26BE">
        <w:rPr>
          <w:b/>
          <w:color w:val="00264D"/>
          <w:sz w:val="24"/>
        </w:rPr>
        <w:t xml:space="preserve"> UNDER THE THIRD </w:t>
      </w:r>
      <w:r w:rsidR="007C26BE" w:rsidRPr="00EC4978">
        <w:rPr>
          <w:b/>
          <w:color w:val="00264D"/>
          <w:sz w:val="24"/>
        </w:rPr>
        <w:t>NATIONAL</w:t>
      </w:r>
      <w:r w:rsidR="007C26BE">
        <w:rPr>
          <w:b/>
          <w:color w:val="00264D"/>
          <w:sz w:val="24"/>
        </w:rPr>
        <w:t xml:space="preserve"> STI</w:t>
      </w:r>
      <w:r w:rsidR="007C26BE" w:rsidRPr="00EC4978">
        <w:rPr>
          <w:b/>
          <w:color w:val="00264D"/>
          <w:sz w:val="24"/>
        </w:rPr>
        <w:t xml:space="preserve"> STRATEGY 2014</w:t>
      </w:r>
      <w:r w:rsidR="00EA7D18">
        <w:rPr>
          <w:b/>
          <w:color w:val="00264D"/>
          <w:sz w:val="24"/>
        </w:rPr>
        <w:t>–</w:t>
      </w:r>
      <w:r w:rsidR="007C26BE" w:rsidRPr="00EC4978">
        <w:rPr>
          <w:b/>
          <w:color w:val="00264D"/>
          <w:sz w:val="24"/>
        </w:rPr>
        <w:t>2017</w:t>
      </w:r>
    </w:p>
    <w:bookmarkEnd w:id="2"/>
    <w:bookmarkEnd w:id="3"/>
    <w:bookmarkEnd w:id="4"/>
    <w:p w:rsidR="003B4062" w:rsidRPr="00D92E90" w:rsidRDefault="003B4062" w:rsidP="0063033D">
      <w:pPr>
        <w:spacing w:after="0"/>
        <w:rPr>
          <w:bCs/>
          <w:sz w:val="20"/>
          <w:szCs w:val="20"/>
          <w:lang w:eastAsia="en-AU"/>
        </w:rPr>
      </w:pPr>
      <w:r w:rsidRPr="00D92E90">
        <w:rPr>
          <w:sz w:val="20"/>
          <w:szCs w:val="20"/>
          <w:lang w:eastAsia="en-AU"/>
        </w:rPr>
        <w:t xml:space="preserve">Progress under the </w:t>
      </w:r>
      <w:r w:rsidRPr="00EA7D18">
        <w:rPr>
          <w:sz w:val="20"/>
          <w:szCs w:val="20"/>
          <w:lang w:eastAsia="en-AU"/>
        </w:rPr>
        <w:t>Third National STI Strategy 2014</w:t>
      </w:r>
      <w:r w:rsidR="00EA7D18">
        <w:rPr>
          <w:sz w:val="20"/>
          <w:szCs w:val="20"/>
          <w:lang w:eastAsia="en-AU"/>
        </w:rPr>
        <w:t>–</w:t>
      </w:r>
      <w:r w:rsidRPr="00EA7D18">
        <w:rPr>
          <w:sz w:val="20"/>
          <w:szCs w:val="20"/>
          <w:lang w:eastAsia="en-AU"/>
        </w:rPr>
        <w:t>2017</w:t>
      </w:r>
      <w:r w:rsidRPr="00D92E90">
        <w:rPr>
          <w:sz w:val="20"/>
          <w:szCs w:val="20"/>
          <w:lang w:eastAsia="en-AU"/>
        </w:rPr>
        <w:t xml:space="preserve"> provides a context for the achievements in Australia to date (</w:t>
      </w:r>
      <w:r w:rsidR="00EA7D18">
        <w:rPr>
          <w:sz w:val="20"/>
          <w:szCs w:val="20"/>
          <w:lang w:eastAsia="en-AU"/>
        </w:rPr>
        <w:t xml:space="preserve">see </w:t>
      </w:r>
      <w:r w:rsidR="004B3457">
        <w:rPr>
          <w:sz w:val="20"/>
          <w:szCs w:val="20"/>
          <w:lang w:eastAsia="en-AU"/>
        </w:rPr>
        <w:t>Figure 3</w:t>
      </w:r>
      <w:r w:rsidRPr="00D92E90">
        <w:rPr>
          <w:sz w:val="20"/>
          <w:szCs w:val="20"/>
          <w:lang w:eastAsia="en-AU"/>
        </w:rPr>
        <w:t xml:space="preserve">). </w:t>
      </w:r>
      <w:r w:rsidRPr="00D92E90">
        <w:rPr>
          <w:bCs/>
          <w:sz w:val="20"/>
          <w:szCs w:val="20"/>
          <w:lang w:eastAsia="en-AU"/>
        </w:rPr>
        <w:t xml:space="preserve">These achievements reflect the joint efforts of </w:t>
      </w:r>
      <w:r w:rsidR="00EA7D18">
        <w:rPr>
          <w:bCs/>
          <w:sz w:val="20"/>
          <w:szCs w:val="20"/>
          <w:lang w:eastAsia="en-AU"/>
        </w:rPr>
        <w:t>g</w:t>
      </w:r>
      <w:r w:rsidRPr="00D92E90">
        <w:rPr>
          <w:bCs/>
          <w:sz w:val="20"/>
          <w:szCs w:val="20"/>
          <w:lang w:eastAsia="en-AU"/>
        </w:rPr>
        <w:t>overnments, community organisations, affected communities, researchers and clinicians through the partnership approach.</w:t>
      </w:r>
    </w:p>
    <w:p w:rsidR="003B4062" w:rsidRPr="00672CB7" w:rsidRDefault="004B3457" w:rsidP="0063033D">
      <w:pPr>
        <w:pStyle w:val="Caption"/>
        <w:keepNext/>
        <w:spacing w:before="120"/>
        <w:rPr>
          <w:i/>
        </w:rPr>
      </w:pPr>
      <w:r>
        <w:t>Figure 3</w:t>
      </w:r>
      <w:r w:rsidR="003B4062">
        <w:t xml:space="preserve">: Key achievements under the </w:t>
      </w:r>
      <w:r w:rsidR="003B4062" w:rsidRPr="00D92E90">
        <w:t>Third National STI Strategy 2014</w:t>
      </w:r>
      <w:r w:rsidR="009029E5">
        <w:t>–</w:t>
      </w:r>
      <w:r w:rsidR="003B4062" w:rsidRPr="00D92E90">
        <w:t>2017</w:t>
      </w:r>
      <w:r w:rsidR="00683A6D" w:rsidRPr="00683A6D">
        <w:rPr>
          <w:vertAlign w:val="superscript"/>
        </w:rPr>
        <w:t>1</w:t>
      </w:r>
      <w:proofErr w:type="gramStart"/>
      <w:r w:rsidR="00683A6D" w:rsidRPr="00683A6D">
        <w:rPr>
          <w:vertAlign w:val="superscript"/>
        </w:rPr>
        <w:t>,</w:t>
      </w:r>
      <w:r w:rsidR="00B47C22">
        <w:rPr>
          <w:vertAlign w:val="superscript"/>
        </w:rPr>
        <w:t>2</w:t>
      </w:r>
      <w:r w:rsidR="00F56D47">
        <w:rPr>
          <w:vertAlign w:val="superscript"/>
        </w:rPr>
        <w:t>2</w:t>
      </w:r>
      <w:proofErr w:type="gramEnd"/>
    </w:p>
    <w:tbl>
      <w:tblPr>
        <w:tblW w:w="0" w:type="auto"/>
        <w:tblBorders>
          <w:top w:val="single" w:sz="12" w:space="0" w:color="FFFFFF"/>
          <w:left w:val="single" w:sz="12" w:space="0" w:color="FFFFFF"/>
          <w:bottom w:val="single" w:sz="12" w:space="0" w:color="FFFFFF"/>
          <w:right w:val="single" w:sz="12" w:space="0" w:color="FFFFFF"/>
          <w:insideH w:val="single" w:sz="4" w:space="0" w:color="D8D8CE"/>
          <w:insideV w:val="single" w:sz="4" w:space="0" w:color="D8D8CE"/>
        </w:tblBorders>
        <w:tblLook w:val="04A0" w:firstRow="1" w:lastRow="0" w:firstColumn="1" w:lastColumn="0" w:noHBand="0" w:noVBand="1"/>
      </w:tblPr>
      <w:tblGrid>
        <w:gridCol w:w="1101"/>
        <w:gridCol w:w="8045"/>
      </w:tblGrid>
      <w:tr w:rsidR="003B4062" w:rsidRPr="0015673A" w:rsidTr="008F522B">
        <w:trPr>
          <w:trHeight w:val="533"/>
        </w:trPr>
        <w:tc>
          <w:tcPr>
            <w:tcW w:w="1101" w:type="dxa"/>
            <w:shd w:val="clear" w:color="auto" w:fill="00264D"/>
          </w:tcPr>
          <w:p w:rsidR="003B4062" w:rsidRPr="0015673A" w:rsidRDefault="00A12566" w:rsidP="008F522B">
            <w:pPr>
              <w:rPr>
                <w:color w:val="000000"/>
                <w:sz w:val="17"/>
                <w:szCs w:val="17"/>
                <w:lang w:eastAsia="en-AU"/>
              </w:rPr>
            </w:pPr>
            <w:r>
              <w:rPr>
                <w:noProof/>
                <w:lang w:eastAsia="en-AU"/>
              </w:rPr>
              <w:drawing>
                <wp:anchor distT="0" distB="0" distL="114300" distR="114300" simplePos="0" relativeHeight="251658752" behindDoc="0" locked="0" layoutInCell="1" allowOverlap="1">
                  <wp:simplePos x="0" y="0"/>
                  <wp:positionH relativeFrom="column">
                    <wp:posOffset>144145</wp:posOffset>
                  </wp:positionH>
                  <wp:positionV relativeFrom="paragraph">
                    <wp:posOffset>47625</wp:posOffset>
                  </wp:positionV>
                  <wp:extent cx="245745" cy="240030"/>
                  <wp:effectExtent l="0" t="0" r="1905" b="7620"/>
                  <wp:wrapNone/>
                  <wp:docPr id="122" name="Picture 122" descr="Image on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Image only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5745" cy="240030"/>
                          </a:xfrm>
                          <a:prstGeom prst="rect">
                            <a:avLst/>
                          </a:prstGeom>
                          <a:noFill/>
                        </pic:spPr>
                      </pic:pic>
                    </a:graphicData>
                  </a:graphic>
                  <wp14:sizeRelH relativeFrom="page">
                    <wp14:pctWidth>0</wp14:pctWidth>
                  </wp14:sizeRelH>
                  <wp14:sizeRelV relativeFrom="page">
                    <wp14:pctHeight>0</wp14:pctHeight>
                  </wp14:sizeRelV>
                </wp:anchor>
              </w:drawing>
            </w:r>
          </w:p>
        </w:tc>
        <w:tc>
          <w:tcPr>
            <w:tcW w:w="8045" w:type="dxa"/>
            <w:shd w:val="clear" w:color="auto" w:fill="auto"/>
            <w:vAlign w:val="center"/>
          </w:tcPr>
          <w:p w:rsidR="003B4062" w:rsidRPr="0015673A" w:rsidRDefault="003D4AEA" w:rsidP="00810C93">
            <w:pPr>
              <w:spacing w:before="40" w:after="40"/>
              <w:rPr>
                <w:sz w:val="18"/>
                <w:szCs w:val="18"/>
              </w:rPr>
            </w:pPr>
            <w:r>
              <w:rPr>
                <w:color w:val="000000"/>
                <w:sz w:val="18"/>
                <w:szCs w:val="18"/>
                <w:lang w:eastAsia="en-AU"/>
              </w:rPr>
              <w:t>I</w:t>
            </w:r>
            <w:r w:rsidR="003B4062" w:rsidRPr="0015673A">
              <w:rPr>
                <w:color w:val="000000"/>
                <w:sz w:val="18"/>
                <w:szCs w:val="18"/>
                <w:lang w:eastAsia="en-AU"/>
              </w:rPr>
              <w:t>ncreases in HPV vaccination coverage for young women</w:t>
            </w:r>
            <w:r w:rsidR="00810C93">
              <w:rPr>
                <w:color w:val="000000"/>
                <w:sz w:val="18"/>
                <w:szCs w:val="18"/>
                <w:lang w:eastAsia="en-AU"/>
              </w:rPr>
              <w:t xml:space="preserve"> have </w:t>
            </w:r>
            <w:r w:rsidR="003B4062" w:rsidRPr="0015673A">
              <w:rPr>
                <w:color w:val="000000"/>
                <w:sz w:val="18"/>
                <w:szCs w:val="18"/>
                <w:lang w:eastAsia="en-AU"/>
              </w:rPr>
              <w:t>led</w:t>
            </w:r>
            <w:r w:rsidR="00D92E90">
              <w:rPr>
                <w:color w:val="000000"/>
                <w:sz w:val="18"/>
                <w:szCs w:val="18"/>
                <w:lang w:eastAsia="en-AU"/>
              </w:rPr>
              <w:t xml:space="preserve"> to </w:t>
            </w:r>
            <w:r w:rsidR="00D92E90" w:rsidRPr="00B24BC4">
              <w:rPr>
                <w:color w:val="4BACC6"/>
                <w:sz w:val="18"/>
                <w:szCs w:val="18"/>
                <w:lang w:eastAsia="en-AU"/>
              </w:rPr>
              <w:t>sustained reductions in HPV-</w:t>
            </w:r>
            <w:r w:rsidR="003B4062" w:rsidRPr="00B24BC4">
              <w:rPr>
                <w:color w:val="4BACC6"/>
                <w:sz w:val="18"/>
                <w:szCs w:val="18"/>
                <w:lang w:eastAsia="en-AU"/>
              </w:rPr>
              <w:t xml:space="preserve">related disease </w:t>
            </w:r>
            <w:r w:rsidR="003B4062" w:rsidRPr="0015673A">
              <w:rPr>
                <w:color w:val="000000"/>
                <w:sz w:val="18"/>
                <w:szCs w:val="18"/>
                <w:lang w:eastAsia="en-AU"/>
              </w:rPr>
              <w:t>(genital warts</w:t>
            </w:r>
            <w:r w:rsidR="00683A6D">
              <w:rPr>
                <w:color w:val="000000"/>
                <w:sz w:val="18"/>
                <w:szCs w:val="18"/>
                <w:lang w:eastAsia="en-AU"/>
              </w:rPr>
              <w:t xml:space="preserve"> in women and in men, due to increased herd immunity</w:t>
            </w:r>
            <w:r w:rsidR="003B4062" w:rsidRPr="0015673A">
              <w:rPr>
                <w:color w:val="000000"/>
                <w:sz w:val="18"/>
                <w:szCs w:val="18"/>
                <w:lang w:eastAsia="en-AU"/>
              </w:rPr>
              <w:t xml:space="preserve">) and </w:t>
            </w:r>
            <w:r w:rsidR="003B4062" w:rsidRPr="00B24BC4">
              <w:rPr>
                <w:color w:val="4BACC6"/>
                <w:sz w:val="18"/>
                <w:szCs w:val="18"/>
                <w:lang w:eastAsia="en-AU"/>
              </w:rPr>
              <w:t>declines in high-grade cervical abnormalities</w:t>
            </w:r>
          </w:p>
        </w:tc>
      </w:tr>
      <w:tr w:rsidR="003B4062" w:rsidRPr="0015673A" w:rsidTr="00596874">
        <w:trPr>
          <w:trHeight w:val="692"/>
        </w:trPr>
        <w:tc>
          <w:tcPr>
            <w:tcW w:w="1101" w:type="dxa"/>
            <w:shd w:val="clear" w:color="auto" w:fill="00264D"/>
          </w:tcPr>
          <w:p w:rsidR="003B4062" w:rsidRPr="0015673A" w:rsidRDefault="00A12566" w:rsidP="008F522B">
            <w:pPr>
              <w:rPr>
                <w:color w:val="000000"/>
                <w:sz w:val="17"/>
                <w:szCs w:val="17"/>
              </w:rPr>
            </w:pPr>
            <w:r>
              <w:rPr>
                <w:noProof/>
                <w:lang w:eastAsia="en-AU"/>
              </w:rPr>
              <w:drawing>
                <wp:anchor distT="0" distB="0" distL="114300" distR="114300" simplePos="0" relativeHeight="251657728" behindDoc="0" locked="0" layoutInCell="1" allowOverlap="1">
                  <wp:simplePos x="0" y="0"/>
                  <wp:positionH relativeFrom="column">
                    <wp:posOffset>150495</wp:posOffset>
                  </wp:positionH>
                  <wp:positionV relativeFrom="paragraph">
                    <wp:posOffset>32385</wp:posOffset>
                  </wp:positionV>
                  <wp:extent cx="240030" cy="240030"/>
                  <wp:effectExtent l="0" t="0" r="7620" b="7620"/>
                  <wp:wrapNone/>
                  <wp:docPr id="121" name="Picture 121" descr="Image on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Image only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0030" cy="240030"/>
                          </a:xfrm>
                          <a:prstGeom prst="rect">
                            <a:avLst/>
                          </a:prstGeom>
                          <a:noFill/>
                        </pic:spPr>
                      </pic:pic>
                    </a:graphicData>
                  </a:graphic>
                  <wp14:sizeRelH relativeFrom="page">
                    <wp14:pctWidth>0</wp14:pctWidth>
                  </wp14:sizeRelH>
                  <wp14:sizeRelV relativeFrom="page">
                    <wp14:pctHeight>0</wp14:pctHeight>
                  </wp14:sizeRelV>
                </wp:anchor>
              </w:drawing>
            </w:r>
          </w:p>
        </w:tc>
        <w:tc>
          <w:tcPr>
            <w:tcW w:w="8045" w:type="dxa"/>
            <w:shd w:val="clear" w:color="auto" w:fill="auto"/>
            <w:vAlign w:val="center"/>
          </w:tcPr>
          <w:p w:rsidR="003B4062" w:rsidRPr="0015673A" w:rsidRDefault="003B4062" w:rsidP="003D4AEA">
            <w:pPr>
              <w:spacing w:before="120"/>
              <w:rPr>
                <w:color w:val="000000"/>
                <w:sz w:val="18"/>
                <w:szCs w:val="18"/>
              </w:rPr>
            </w:pPr>
            <w:r w:rsidRPr="0015673A">
              <w:rPr>
                <w:color w:val="000000"/>
                <w:sz w:val="18"/>
                <w:szCs w:val="18"/>
                <w:lang w:eastAsia="en-AU"/>
              </w:rPr>
              <w:t xml:space="preserve">Donovanosis is </w:t>
            </w:r>
            <w:r w:rsidRPr="00B24BC4">
              <w:rPr>
                <w:color w:val="F79646"/>
                <w:sz w:val="18"/>
                <w:szCs w:val="18"/>
                <w:lang w:eastAsia="en-AU"/>
              </w:rPr>
              <w:t>close to elimination</w:t>
            </w:r>
            <w:r w:rsidRPr="0015673A">
              <w:rPr>
                <w:color w:val="000000"/>
                <w:sz w:val="18"/>
                <w:szCs w:val="18"/>
                <w:lang w:eastAsia="en-AU"/>
              </w:rPr>
              <w:t>, with two cases notified since 2011</w:t>
            </w:r>
          </w:p>
        </w:tc>
      </w:tr>
      <w:tr w:rsidR="003B4062" w:rsidRPr="0015673A" w:rsidTr="00596874">
        <w:trPr>
          <w:trHeight w:val="689"/>
        </w:trPr>
        <w:tc>
          <w:tcPr>
            <w:tcW w:w="1101" w:type="dxa"/>
            <w:shd w:val="clear" w:color="auto" w:fill="00264D"/>
          </w:tcPr>
          <w:p w:rsidR="003B4062" w:rsidRPr="0015673A" w:rsidRDefault="00A12566" w:rsidP="008F522B">
            <w:pPr>
              <w:rPr>
                <w:color w:val="000000"/>
                <w:sz w:val="17"/>
                <w:szCs w:val="17"/>
              </w:rPr>
            </w:pPr>
            <w:r>
              <w:rPr>
                <w:noProof/>
                <w:lang w:eastAsia="en-AU"/>
              </w:rPr>
              <w:drawing>
                <wp:anchor distT="0" distB="0" distL="114300" distR="114300" simplePos="0" relativeHeight="251659776" behindDoc="0" locked="0" layoutInCell="1" allowOverlap="1">
                  <wp:simplePos x="0" y="0"/>
                  <wp:positionH relativeFrom="column">
                    <wp:posOffset>144145</wp:posOffset>
                  </wp:positionH>
                  <wp:positionV relativeFrom="paragraph">
                    <wp:posOffset>49530</wp:posOffset>
                  </wp:positionV>
                  <wp:extent cx="240030" cy="240030"/>
                  <wp:effectExtent l="0" t="0" r="7620" b="7620"/>
                  <wp:wrapNone/>
                  <wp:docPr id="123" name="Picture 123" descr="Image on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Image only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0030" cy="240030"/>
                          </a:xfrm>
                          <a:prstGeom prst="rect">
                            <a:avLst/>
                          </a:prstGeom>
                          <a:noFill/>
                        </pic:spPr>
                      </pic:pic>
                    </a:graphicData>
                  </a:graphic>
                  <wp14:sizeRelH relativeFrom="page">
                    <wp14:pctWidth>0</wp14:pctWidth>
                  </wp14:sizeRelH>
                  <wp14:sizeRelV relativeFrom="page">
                    <wp14:pctHeight>0</wp14:pctHeight>
                  </wp14:sizeRelV>
                </wp:anchor>
              </w:drawing>
            </w:r>
          </w:p>
        </w:tc>
        <w:tc>
          <w:tcPr>
            <w:tcW w:w="8045" w:type="dxa"/>
            <w:shd w:val="clear" w:color="auto" w:fill="auto"/>
            <w:vAlign w:val="center"/>
          </w:tcPr>
          <w:p w:rsidR="003B4062" w:rsidRPr="0015673A" w:rsidRDefault="003B4062" w:rsidP="00810C93">
            <w:pPr>
              <w:spacing w:before="40" w:after="40"/>
              <w:rPr>
                <w:sz w:val="18"/>
                <w:szCs w:val="18"/>
              </w:rPr>
            </w:pPr>
            <w:r w:rsidRPr="0015673A">
              <w:rPr>
                <w:color w:val="000000"/>
                <w:sz w:val="18"/>
                <w:szCs w:val="18"/>
                <w:lang w:eastAsia="en-AU"/>
              </w:rPr>
              <w:t xml:space="preserve">Proportion of gay and bisexual men reporting having an </w:t>
            </w:r>
            <w:r w:rsidRPr="00B24BC4">
              <w:rPr>
                <w:color w:val="1F497D"/>
                <w:sz w:val="18"/>
                <w:szCs w:val="18"/>
                <w:lang w:eastAsia="en-AU"/>
              </w:rPr>
              <w:t>STI test</w:t>
            </w:r>
            <w:r w:rsidRPr="0015673A">
              <w:rPr>
                <w:color w:val="000000"/>
                <w:sz w:val="18"/>
                <w:szCs w:val="18"/>
                <w:lang w:eastAsia="en-AU"/>
              </w:rPr>
              <w:t xml:space="preserve"> in the past year increased </w:t>
            </w:r>
            <w:r w:rsidR="00D71BFE">
              <w:rPr>
                <w:color w:val="000000"/>
                <w:sz w:val="18"/>
                <w:szCs w:val="18"/>
                <w:lang w:eastAsia="en-AU"/>
              </w:rPr>
              <w:br/>
            </w:r>
            <w:r w:rsidR="00102E48">
              <w:rPr>
                <w:color w:val="000000"/>
                <w:sz w:val="18"/>
                <w:szCs w:val="18"/>
                <w:lang w:eastAsia="en-AU"/>
              </w:rPr>
              <w:t xml:space="preserve">from </w:t>
            </w:r>
            <w:r w:rsidR="00102E48" w:rsidRPr="00D87F2D">
              <w:rPr>
                <w:color w:val="1F497D"/>
                <w:sz w:val="18"/>
                <w:szCs w:val="18"/>
                <w:lang w:eastAsia="en-AU"/>
              </w:rPr>
              <w:t>37% in</w:t>
            </w:r>
            <w:r w:rsidRPr="00D87F2D">
              <w:rPr>
                <w:color w:val="1F497D"/>
                <w:sz w:val="18"/>
                <w:szCs w:val="18"/>
                <w:lang w:eastAsia="en-AU"/>
              </w:rPr>
              <w:t xml:space="preserve"> 2012</w:t>
            </w:r>
            <w:r w:rsidRPr="0015673A">
              <w:rPr>
                <w:color w:val="000000"/>
                <w:sz w:val="18"/>
                <w:szCs w:val="18"/>
                <w:lang w:eastAsia="en-AU"/>
              </w:rPr>
              <w:t xml:space="preserve"> </w:t>
            </w:r>
            <w:r w:rsidR="00102E48">
              <w:rPr>
                <w:color w:val="000000"/>
                <w:sz w:val="18"/>
                <w:szCs w:val="18"/>
                <w:lang w:eastAsia="en-AU"/>
              </w:rPr>
              <w:t xml:space="preserve">to </w:t>
            </w:r>
            <w:r w:rsidR="00102E48" w:rsidRPr="00B24BC4">
              <w:rPr>
                <w:color w:val="1F497D"/>
                <w:sz w:val="18"/>
                <w:szCs w:val="18"/>
                <w:lang w:eastAsia="en-AU"/>
              </w:rPr>
              <w:t xml:space="preserve">45% in </w:t>
            </w:r>
            <w:r w:rsidRPr="00B24BC4">
              <w:rPr>
                <w:color w:val="1F497D"/>
                <w:sz w:val="18"/>
                <w:szCs w:val="18"/>
                <w:lang w:eastAsia="en-AU"/>
              </w:rPr>
              <w:t>2016</w:t>
            </w:r>
          </w:p>
        </w:tc>
      </w:tr>
      <w:tr w:rsidR="00256C83" w:rsidRPr="0015673A" w:rsidTr="00596874">
        <w:trPr>
          <w:trHeight w:val="698"/>
        </w:trPr>
        <w:tc>
          <w:tcPr>
            <w:tcW w:w="1101" w:type="dxa"/>
            <w:shd w:val="clear" w:color="auto" w:fill="00264D"/>
          </w:tcPr>
          <w:p w:rsidR="00256C83" w:rsidRDefault="00A12566" w:rsidP="008F522B">
            <w:pPr>
              <w:rPr>
                <w:noProof/>
                <w:lang w:eastAsia="en-AU"/>
              </w:rPr>
            </w:pPr>
            <w:r>
              <w:rPr>
                <w:noProof/>
                <w:lang w:eastAsia="en-AU"/>
              </w:rPr>
              <w:drawing>
                <wp:inline distT="0" distB="0" distL="0" distR="0">
                  <wp:extent cx="240030" cy="240030"/>
                  <wp:effectExtent l="0" t="0" r="7620" b="7620"/>
                  <wp:docPr id="165" name="Picture 165" descr="Image on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Image only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flipV="1">
                            <a:off x="0" y="0"/>
                            <a:ext cx="240030" cy="240030"/>
                          </a:xfrm>
                          <a:prstGeom prst="rect">
                            <a:avLst/>
                          </a:prstGeom>
                          <a:noFill/>
                          <a:ln>
                            <a:noFill/>
                          </a:ln>
                        </pic:spPr>
                      </pic:pic>
                    </a:graphicData>
                  </a:graphic>
                </wp:inline>
              </w:drawing>
            </w:r>
          </w:p>
        </w:tc>
        <w:tc>
          <w:tcPr>
            <w:tcW w:w="8045" w:type="dxa"/>
            <w:shd w:val="clear" w:color="auto" w:fill="auto"/>
            <w:vAlign w:val="center"/>
          </w:tcPr>
          <w:p w:rsidR="00256C83" w:rsidRPr="0015673A" w:rsidRDefault="00256C83" w:rsidP="00596874">
            <w:pPr>
              <w:spacing w:before="40" w:after="40"/>
              <w:rPr>
                <w:color w:val="000000"/>
                <w:sz w:val="18"/>
                <w:szCs w:val="18"/>
                <w:lang w:eastAsia="en-AU"/>
              </w:rPr>
            </w:pPr>
            <w:r>
              <w:rPr>
                <w:color w:val="000000"/>
                <w:sz w:val="18"/>
                <w:szCs w:val="18"/>
                <w:lang w:eastAsia="en-AU"/>
              </w:rPr>
              <w:t xml:space="preserve">Strong and sustained health promotion programs among </w:t>
            </w:r>
            <w:r w:rsidRPr="007D0E1D">
              <w:rPr>
                <w:color w:val="FF0000"/>
                <w:sz w:val="18"/>
                <w:szCs w:val="18"/>
                <w:lang w:eastAsia="en-AU"/>
              </w:rPr>
              <w:t>sex workers</w:t>
            </w:r>
            <w:r w:rsidR="00596874">
              <w:rPr>
                <w:color w:val="000000"/>
                <w:sz w:val="18"/>
                <w:szCs w:val="18"/>
                <w:lang w:eastAsia="en-AU"/>
              </w:rPr>
              <w:t xml:space="preserve"> ha</w:t>
            </w:r>
            <w:r w:rsidR="00810C93">
              <w:rPr>
                <w:color w:val="000000"/>
                <w:sz w:val="18"/>
                <w:szCs w:val="18"/>
                <w:lang w:eastAsia="en-AU"/>
              </w:rPr>
              <w:t>ve</w:t>
            </w:r>
            <w:r w:rsidR="00596874">
              <w:rPr>
                <w:color w:val="000000"/>
                <w:sz w:val="18"/>
                <w:szCs w:val="18"/>
                <w:lang w:eastAsia="en-AU"/>
              </w:rPr>
              <w:t xml:space="preserve"> l</w:t>
            </w:r>
            <w:r>
              <w:rPr>
                <w:color w:val="000000"/>
                <w:sz w:val="18"/>
                <w:szCs w:val="18"/>
                <w:lang w:eastAsia="en-AU"/>
              </w:rPr>
              <w:t xml:space="preserve">ed to </w:t>
            </w:r>
            <w:r w:rsidRPr="007D0E1D">
              <w:rPr>
                <w:color w:val="FF0000"/>
                <w:sz w:val="18"/>
                <w:szCs w:val="18"/>
                <w:lang w:eastAsia="en-AU"/>
              </w:rPr>
              <w:t>rates of STI</w:t>
            </w:r>
            <w:r>
              <w:rPr>
                <w:color w:val="000000"/>
                <w:sz w:val="18"/>
                <w:szCs w:val="18"/>
                <w:lang w:eastAsia="en-AU"/>
              </w:rPr>
              <w:t xml:space="preserve"> in this priority population</w:t>
            </w:r>
            <w:r w:rsidRPr="007D0E1D">
              <w:rPr>
                <w:color w:val="FF0000"/>
                <w:sz w:val="18"/>
                <w:szCs w:val="18"/>
                <w:lang w:eastAsia="en-AU"/>
              </w:rPr>
              <w:t xml:space="preserve"> among the lowest</w:t>
            </w:r>
            <w:r>
              <w:rPr>
                <w:color w:val="000000"/>
                <w:sz w:val="18"/>
                <w:szCs w:val="18"/>
                <w:lang w:eastAsia="en-AU"/>
              </w:rPr>
              <w:t xml:space="preserve"> in the world</w:t>
            </w:r>
          </w:p>
        </w:tc>
      </w:tr>
    </w:tbl>
    <w:p w:rsidR="003B4062" w:rsidRPr="0063033D" w:rsidRDefault="003B4062" w:rsidP="003B4062">
      <w:pPr>
        <w:rPr>
          <w:szCs w:val="19"/>
        </w:rPr>
      </w:pPr>
    </w:p>
    <w:p w:rsidR="003B4062" w:rsidRPr="00635467" w:rsidRDefault="00990B0B" w:rsidP="003B4062">
      <w:pPr>
        <w:rPr>
          <w:i/>
          <w:sz w:val="20"/>
          <w:szCs w:val="20"/>
        </w:rPr>
      </w:pPr>
      <w:r w:rsidRPr="00635467">
        <w:rPr>
          <w:sz w:val="20"/>
          <w:szCs w:val="20"/>
        </w:rPr>
        <w:t>Whil</w:t>
      </w:r>
      <w:r w:rsidR="009029E5">
        <w:rPr>
          <w:sz w:val="20"/>
          <w:szCs w:val="20"/>
        </w:rPr>
        <w:t>e</w:t>
      </w:r>
      <w:r w:rsidRPr="00635467">
        <w:rPr>
          <w:sz w:val="20"/>
          <w:szCs w:val="20"/>
        </w:rPr>
        <w:t xml:space="preserve"> p</w:t>
      </w:r>
      <w:r w:rsidR="003B4062" w:rsidRPr="00635467">
        <w:rPr>
          <w:sz w:val="20"/>
          <w:szCs w:val="20"/>
        </w:rPr>
        <w:t xml:space="preserve">rogress </w:t>
      </w:r>
      <w:r w:rsidR="00D92E90" w:rsidRPr="00635467">
        <w:rPr>
          <w:sz w:val="20"/>
          <w:szCs w:val="20"/>
        </w:rPr>
        <w:t xml:space="preserve">has been made in some important areas </w:t>
      </w:r>
      <w:r w:rsidR="003B4062" w:rsidRPr="00635467">
        <w:rPr>
          <w:sz w:val="20"/>
          <w:szCs w:val="20"/>
        </w:rPr>
        <w:t xml:space="preserve">under the previous strategy, there </w:t>
      </w:r>
      <w:r w:rsidR="00D92E90" w:rsidRPr="00635467">
        <w:rPr>
          <w:sz w:val="20"/>
          <w:szCs w:val="20"/>
        </w:rPr>
        <w:t xml:space="preserve">are other significant </w:t>
      </w:r>
      <w:r w:rsidR="003B4062" w:rsidRPr="00635467">
        <w:rPr>
          <w:sz w:val="20"/>
          <w:szCs w:val="20"/>
        </w:rPr>
        <w:t xml:space="preserve">challenges to overcome. </w:t>
      </w:r>
    </w:p>
    <w:p w:rsidR="008209DD" w:rsidRDefault="003B4062" w:rsidP="001B780A">
      <w:pPr>
        <w:rPr>
          <w:sz w:val="20"/>
          <w:szCs w:val="20"/>
        </w:rPr>
      </w:pPr>
      <w:r w:rsidRPr="00635467">
        <w:rPr>
          <w:sz w:val="20"/>
          <w:szCs w:val="20"/>
        </w:rPr>
        <w:t xml:space="preserve">Overall, the prevalence of </w:t>
      </w:r>
      <w:r w:rsidR="001A76D3">
        <w:rPr>
          <w:sz w:val="20"/>
          <w:szCs w:val="20"/>
        </w:rPr>
        <w:t xml:space="preserve">the most common </w:t>
      </w:r>
      <w:r w:rsidRPr="00635467">
        <w:rPr>
          <w:sz w:val="20"/>
          <w:szCs w:val="20"/>
        </w:rPr>
        <w:t xml:space="preserve">STI in Australia can be </w:t>
      </w:r>
      <w:r w:rsidR="003D4AEA">
        <w:rPr>
          <w:sz w:val="20"/>
          <w:szCs w:val="20"/>
        </w:rPr>
        <w:t xml:space="preserve">predominantly </w:t>
      </w:r>
      <w:r w:rsidRPr="00635467">
        <w:rPr>
          <w:sz w:val="20"/>
          <w:szCs w:val="20"/>
        </w:rPr>
        <w:t xml:space="preserve">characterised </w:t>
      </w:r>
      <w:r w:rsidR="003D4AEA">
        <w:rPr>
          <w:sz w:val="20"/>
          <w:szCs w:val="20"/>
        </w:rPr>
        <w:t xml:space="preserve">as </w:t>
      </w:r>
      <w:r w:rsidRPr="00635467">
        <w:rPr>
          <w:sz w:val="20"/>
          <w:szCs w:val="20"/>
        </w:rPr>
        <w:t>increasing</w:t>
      </w:r>
      <w:r w:rsidR="004D3B6A">
        <w:rPr>
          <w:sz w:val="20"/>
          <w:szCs w:val="20"/>
        </w:rPr>
        <w:t>, with some notable exceptions.</w:t>
      </w:r>
      <w:r w:rsidR="008209DD">
        <w:rPr>
          <w:sz w:val="20"/>
          <w:szCs w:val="20"/>
        </w:rPr>
        <w:t xml:space="preserve"> The most concerning increases have been seen in syphilis and gonorrhoea. </w:t>
      </w:r>
    </w:p>
    <w:p w:rsidR="001B780A" w:rsidRPr="00F124AF" w:rsidRDefault="003B4062" w:rsidP="001B780A">
      <w:pPr>
        <w:rPr>
          <w:sz w:val="20"/>
          <w:szCs w:val="20"/>
        </w:rPr>
      </w:pPr>
      <w:r w:rsidRPr="00635467">
        <w:rPr>
          <w:sz w:val="20"/>
          <w:szCs w:val="20"/>
        </w:rPr>
        <w:t xml:space="preserve">Over the past five years there have been significant gains in the vaccination of </w:t>
      </w:r>
      <w:r w:rsidRPr="00AB6829">
        <w:rPr>
          <w:sz w:val="20"/>
          <w:szCs w:val="20"/>
        </w:rPr>
        <w:t xml:space="preserve">adolescents for </w:t>
      </w:r>
      <w:r w:rsidR="004D3B6A" w:rsidRPr="004B3457">
        <w:rPr>
          <w:sz w:val="20"/>
          <w:szCs w:val="20"/>
        </w:rPr>
        <w:t>HPV</w:t>
      </w:r>
      <w:r w:rsidRPr="00AB6829">
        <w:rPr>
          <w:sz w:val="20"/>
          <w:szCs w:val="20"/>
        </w:rPr>
        <w:t>, and our</w:t>
      </w:r>
      <w:r w:rsidRPr="00635467">
        <w:rPr>
          <w:sz w:val="20"/>
          <w:szCs w:val="20"/>
        </w:rPr>
        <w:t xml:space="preserve"> strong and sustained health promotion programs among sex wo</w:t>
      </w:r>
      <w:r w:rsidRPr="00F124AF">
        <w:rPr>
          <w:sz w:val="20"/>
          <w:szCs w:val="20"/>
        </w:rPr>
        <w:t xml:space="preserve">rkers </w:t>
      </w:r>
      <w:r w:rsidR="00AB6829">
        <w:rPr>
          <w:sz w:val="20"/>
          <w:szCs w:val="20"/>
        </w:rPr>
        <w:t xml:space="preserve">have </w:t>
      </w:r>
      <w:r w:rsidRPr="00F124AF">
        <w:rPr>
          <w:sz w:val="20"/>
          <w:szCs w:val="20"/>
        </w:rPr>
        <w:t>mean</w:t>
      </w:r>
      <w:r w:rsidR="00AB6829">
        <w:rPr>
          <w:sz w:val="20"/>
          <w:szCs w:val="20"/>
        </w:rPr>
        <w:t>t</w:t>
      </w:r>
      <w:r w:rsidRPr="00F124AF">
        <w:rPr>
          <w:sz w:val="20"/>
          <w:szCs w:val="20"/>
        </w:rPr>
        <w:t xml:space="preserve"> that rates of STI in this </w:t>
      </w:r>
      <w:r w:rsidR="00D92E90" w:rsidRPr="00F124AF">
        <w:rPr>
          <w:sz w:val="20"/>
          <w:szCs w:val="20"/>
        </w:rPr>
        <w:t>priority population</w:t>
      </w:r>
      <w:r w:rsidRPr="00F124AF">
        <w:rPr>
          <w:sz w:val="20"/>
          <w:szCs w:val="20"/>
        </w:rPr>
        <w:t xml:space="preserve"> continue to be among the lowest in the world</w:t>
      </w:r>
      <w:r w:rsidR="001B780A" w:rsidRPr="00F124AF">
        <w:rPr>
          <w:sz w:val="20"/>
          <w:szCs w:val="20"/>
        </w:rPr>
        <w:t>. However, the rate of new diagnoses for several STI has risen significantly</w:t>
      </w:r>
      <w:r w:rsidR="004D3B6A">
        <w:rPr>
          <w:sz w:val="20"/>
          <w:szCs w:val="20"/>
        </w:rPr>
        <w:t xml:space="preserve"> in recent years</w:t>
      </w:r>
      <w:r w:rsidR="001B780A" w:rsidRPr="00F124AF">
        <w:rPr>
          <w:sz w:val="20"/>
          <w:szCs w:val="20"/>
        </w:rPr>
        <w:t>. This partly reflects an increase in testing</w:t>
      </w:r>
      <w:r w:rsidR="009029E5">
        <w:rPr>
          <w:sz w:val="20"/>
          <w:szCs w:val="20"/>
        </w:rPr>
        <w:t>—</w:t>
      </w:r>
      <w:r w:rsidR="001B780A" w:rsidRPr="00F124AF">
        <w:rPr>
          <w:sz w:val="20"/>
          <w:szCs w:val="20"/>
        </w:rPr>
        <w:t>a key achievement of the previous strategies</w:t>
      </w:r>
      <w:r w:rsidR="009029E5">
        <w:rPr>
          <w:sz w:val="20"/>
          <w:szCs w:val="20"/>
        </w:rPr>
        <w:t>—</w:t>
      </w:r>
      <w:r w:rsidR="001B780A" w:rsidRPr="00F124AF">
        <w:rPr>
          <w:sz w:val="20"/>
          <w:szCs w:val="20"/>
        </w:rPr>
        <w:t xml:space="preserve">but is a concerning trend for several priority populations. </w:t>
      </w:r>
    </w:p>
    <w:p w:rsidR="00990B0B" w:rsidRPr="00F124AF" w:rsidRDefault="00990B0B" w:rsidP="00990B0B">
      <w:pPr>
        <w:rPr>
          <w:sz w:val="20"/>
          <w:szCs w:val="20"/>
        </w:rPr>
      </w:pPr>
      <w:r w:rsidRPr="00F124AF">
        <w:rPr>
          <w:sz w:val="20"/>
          <w:szCs w:val="20"/>
        </w:rPr>
        <w:t xml:space="preserve">The following summarises progress in relation to the specific targets set under the previous strategy: </w:t>
      </w:r>
    </w:p>
    <w:p w:rsidR="00990B0B" w:rsidRPr="00F124AF" w:rsidRDefault="00990B0B" w:rsidP="002809B4">
      <w:pPr>
        <w:numPr>
          <w:ilvl w:val="0"/>
          <w:numId w:val="15"/>
        </w:numPr>
        <w:rPr>
          <w:sz w:val="20"/>
          <w:szCs w:val="20"/>
          <w:lang w:eastAsia="en-AU"/>
        </w:rPr>
      </w:pPr>
      <w:r w:rsidRPr="00F124AF">
        <w:rPr>
          <w:sz w:val="20"/>
          <w:szCs w:val="20"/>
        </w:rPr>
        <w:t xml:space="preserve">Coverage of HPV </w:t>
      </w:r>
      <w:r w:rsidR="004145CA" w:rsidRPr="00F124AF">
        <w:rPr>
          <w:sz w:val="20"/>
          <w:szCs w:val="20"/>
        </w:rPr>
        <w:t xml:space="preserve">vaccination </w:t>
      </w:r>
      <w:r w:rsidRPr="00F124AF">
        <w:rPr>
          <w:sz w:val="20"/>
          <w:szCs w:val="20"/>
        </w:rPr>
        <w:t>reached an estimated 79 per cent and 73 per cent for females and males respectively in 2016</w:t>
      </w:r>
      <w:r w:rsidR="00AD4421">
        <w:rPr>
          <w:sz w:val="20"/>
          <w:szCs w:val="20"/>
        </w:rPr>
        <w:t>,</w:t>
      </w:r>
      <w:r w:rsidR="00F56D47">
        <w:rPr>
          <w:sz w:val="20"/>
          <w:szCs w:val="20"/>
          <w:vertAlign w:val="superscript"/>
        </w:rPr>
        <w:t>22</w:t>
      </w:r>
      <w:r w:rsidRPr="00F124AF">
        <w:rPr>
          <w:rStyle w:val="EndnoteReference"/>
          <w:sz w:val="20"/>
          <w:szCs w:val="20"/>
          <w:vertAlign w:val="baseline"/>
        </w:rPr>
        <w:t xml:space="preserve"> exc</w:t>
      </w:r>
      <w:r w:rsidR="004145CA" w:rsidRPr="00F124AF">
        <w:rPr>
          <w:rStyle w:val="EndnoteReference"/>
          <w:sz w:val="20"/>
          <w:szCs w:val="20"/>
          <w:vertAlign w:val="baseline"/>
        </w:rPr>
        <w:t>eeding the previous</w:t>
      </w:r>
      <w:r w:rsidRPr="00F124AF">
        <w:rPr>
          <w:rStyle w:val="EndnoteReference"/>
          <w:sz w:val="20"/>
          <w:szCs w:val="20"/>
          <w:vertAlign w:val="baseline"/>
        </w:rPr>
        <w:t xml:space="preserve"> target</w:t>
      </w:r>
      <w:r w:rsidR="0063033D" w:rsidRPr="00F124AF">
        <w:rPr>
          <w:rStyle w:val="EndnoteReference"/>
          <w:sz w:val="20"/>
          <w:szCs w:val="20"/>
          <w:vertAlign w:val="baseline"/>
        </w:rPr>
        <w:t xml:space="preserve"> of 70 per cent coverage nationally</w:t>
      </w:r>
      <w:r w:rsidRPr="00F124AF">
        <w:rPr>
          <w:rStyle w:val="EndnoteReference"/>
          <w:sz w:val="20"/>
          <w:szCs w:val="20"/>
          <w:vertAlign w:val="baseline"/>
        </w:rPr>
        <w:t>.</w:t>
      </w:r>
      <w:r w:rsidR="002A4611">
        <w:rPr>
          <w:sz w:val="20"/>
          <w:szCs w:val="20"/>
        </w:rPr>
        <w:t xml:space="preserve"> </w:t>
      </w:r>
      <w:r w:rsidRPr="00F124AF">
        <w:rPr>
          <w:sz w:val="20"/>
          <w:szCs w:val="20"/>
        </w:rPr>
        <w:t>Among Australian</w:t>
      </w:r>
      <w:r w:rsidR="00AD4421">
        <w:rPr>
          <w:sz w:val="20"/>
          <w:szCs w:val="20"/>
        </w:rPr>
        <w:t>-</w:t>
      </w:r>
      <w:r w:rsidRPr="00F124AF">
        <w:rPr>
          <w:sz w:val="20"/>
          <w:szCs w:val="20"/>
        </w:rPr>
        <w:t>born women and heterosexual men under 21 years attending sexual health clinics, the proportion diagnosed with genital warts fell to less than 1 per cent for both groups in 2016, and there has been a fall in the rate of detection of high-grade cervical histological abnormalities in women aged under 25 years.</w:t>
      </w:r>
      <w:r w:rsidR="00BC1C5B" w:rsidRPr="00BC1C5B">
        <w:rPr>
          <w:sz w:val="20"/>
          <w:szCs w:val="20"/>
          <w:vertAlign w:val="superscript"/>
        </w:rPr>
        <w:t>2</w:t>
      </w:r>
      <w:r w:rsidR="00F56D47">
        <w:rPr>
          <w:sz w:val="20"/>
          <w:szCs w:val="20"/>
          <w:vertAlign w:val="superscript"/>
        </w:rPr>
        <w:t>2</w:t>
      </w:r>
    </w:p>
    <w:p w:rsidR="00594251" w:rsidRPr="00102E48" w:rsidRDefault="00A34105" w:rsidP="00102E48">
      <w:pPr>
        <w:numPr>
          <w:ilvl w:val="0"/>
          <w:numId w:val="15"/>
        </w:numPr>
        <w:rPr>
          <w:sz w:val="20"/>
          <w:szCs w:val="20"/>
          <w:lang w:eastAsia="en-AU"/>
        </w:rPr>
      </w:pPr>
      <w:r>
        <w:rPr>
          <w:sz w:val="20"/>
          <w:szCs w:val="20"/>
        </w:rPr>
        <w:t xml:space="preserve">There was </w:t>
      </w:r>
      <w:r w:rsidR="00097CE8">
        <w:rPr>
          <w:sz w:val="20"/>
          <w:szCs w:val="20"/>
        </w:rPr>
        <w:t xml:space="preserve">some </w:t>
      </w:r>
      <w:r>
        <w:rPr>
          <w:sz w:val="20"/>
          <w:szCs w:val="20"/>
        </w:rPr>
        <w:t>p</w:t>
      </w:r>
      <w:r w:rsidR="00990B0B" w:rsidRPr="00F124AF">
        <w:rPr>
          <w:sz w:val="20"/>
          <w:szCs w:val="20"/>
        </w:rPr>
        <w:t xml:space="preserve">rogress towards increasing </w:t>
      </w:r>
      <w:r w:rsidR="004145CA" w:rsidRPr="00F124AF">
        <w:rPr>
          <w:sz w:val="20"/>
          <w:szCs w:val="20"/>
        </w:rPr>
        <w:t xml:space="preserve">STI </w:t>
      </w:r>
      <w:r w:rsidR="00990B0B" w:rsidRPr="00F124AF">
        <w:rPr>
          <w:sz w:val="20"/>
          <w:szCs w:val="20"/>
        </w:rPr>
        <w:t>testing coverage in priority populations</w:t>
      </w:r>
      <w:r w:rsidR="00AB6829">
        <w:rPr>
          <w:sz w:val="20"/>
          <w:szCs w:val="20"/>
        </w:rPr>
        <w:t>—</w:t>
      </w:r>
      <w:r w:rsidR="00BA7E6A" w:rsidRPr="00F124AF">
        <w:rPr>
          <w:sz w:val="20"/>
          <w:szCs w:val="20"/>
        </w:rPr>
        <w:t>a target in the previous strategy</w:t>
      </w:r>
      <w:r w:rsidR="00990B0B" w:rsidRPr="00F124AF">
        <w:rPr>
          <w:sz w:val="20"/>
          <w:szCs w:val="20"/>
        </w:rPr>
        <w:t xml:space="preserve">. There was success in boosting comprehensive STI testing </w:t>
      </w:r>
      <w:r w:rsidR="00102E48">
        <w:rPr>
          <w:sz w:val="20"/>
          <w:szCs w:val="20"/>
        </w:rPr>
        <w:t xml:space="preserve">(in the 12 months prior to the survey) </w:t>
      </w:r>
      <w:r w:rsidR="00990B0B" w:rsidRPr="00F124AF">
        <w:rPr>
          <w:sz w:val="20"/>
          <w:szCs w:val="20"/>
        </w:rPr>
        <w:t xml:space="preserve">in gay and </w:t>
      </w:r>
      <w:r w:rsidR="00635467" w:rsidRPr="00F124AF">
        <w:rPr>
          <w:sz w:val="20"/>
          <w:szCs w:val="20"/>
        </w:rPr>
        <w:t>bisexual men</w:t>
      </w:r>
      <w:r w:rsidR="00AB6829">
        <w:rPr>
          <w:sz w:val="20"/>
          <w:szCs w:val="20"/>
        </w:rPr>
        <w:t xml:space="preserve">—the rate </w:t>
      </w:r>
      <w:r w:rsidR="00635467" w:rsidRPr="00F124AF">
        <w:rPr>
          <w:sz w:val="20"/>
          <w:szCs w:val="20"/>
        </w:rPr>
        <w:t>rose from 37</w:t>
      </w:r>
      <w:r w:rsidR="00990B0B" w:rsidRPr="00F124AF">
        <w:rPr>
          <w:sz w:val="20"/>
          <w:szCs w:val="20"/>
        </w:rPr>
        <w:t xml:space="preserve"> per cent in 2012 to 45 per cent in 2016</w:t>
      </w:r>
      <w:r w:rsidR="00F56D47">
        <w:rPr>
          <w:sz w:val="20"/>
          <w:szCs w:val="20"/>
        </w:rPr>
        <w:t>.</w:t>
      </w:r>
      <w:r w:rsidR="00F527B2" w:rsidRPr="00102E48">
        <w:rPr>
          <w:sz w:val="20"/>
          <w:szCs w:val="20"/>
          <w:vertAlign w:val="superscript"/>
        </w:rPr>
        <w:t>2</w:t>
      </w:r>
      <w:r w:rsidR="00F56D47">
        <w:rPr>
          <w:sz w:val="20"/>
          <w:szCs w:val="20"/>
          <w:vertAlign w:val="superscript"/>
        </w:rPr>
        <w:t>2</w:t>
      </w:r>
      <w:r w:rsidR="00990B0B" w:rsidRPr="00102E48">
        <w:rPr>
          <w:sz w:val="20"/>
          <w:szCs w:val="20"/>
        </w:rPr>
        <w:t xml:space="preserve"> Testing and diagnoses of chla</w:t>
      </w:r>
      <w:r w:rsidR="00F527B2" w:rsidRPr="00102E48">
        <w:rPr>
          <w:sz w:val="20"/>
          <w:szCs w:val="20"/>
        </w:rPr>
        <w:t>mydia have increased since 2012</w:t>
      </w:r>
      <w:proofErr w:type="gramStart"/>
      <w:r w:rsidR="00AD4421">
        <w:rPr>
          <w:sz w:val="20"/>
          <w:szCs w:val="20"/>
        </w:rPr>
        <w:t>,</w:t>
      </w:r>
      <w:r w:rsidR="00BC1C5B" w:rsidRPr="00102E48">
        <w:rPr>
          <w:sz w:val="20"/>
          <w:szCs w:val="20"/>
          <w:vertAlign w:val="superscript"/>
        </w:rPr>
        <w:t>2</w:t>
      </w:r>
      <w:r w:rsidR="00F56D47">
        <w:rPr>
          <w:sz w:val="20"/>
          <w:szCs w:val="20"/>
          <w:vertAlign w:val="superscript"/>
        </w:rPr>
        <w:t>2</w:t>
      </w:r>
      <w:proofErr w:type="gramEnd"/>
      <w:r w:rsidR="00F527B2" w:rsidRPr="00102E48">
        <w:rPr>
          <w:sz w:val="20"/>
          <w:szCs w:val="20"/>
        </w:rPr>
        <w:t xml:space="preserve"> </w:t>
      </w:r>
      <w:r w:rsidR="00990B0B" w:rsidRPr="00102E48">
        <w:rPr>
          <w:sz w:val="20"/>
          <w:szCs w:val="20"/>
        </w:rPr>
        <w:t>with the use of dual testing for gonorrhoea and chlamydia contributing to the rise in diagnoses of both of these infections</w:t>
      </w:r>
      <w:r w:rsidR="00553171" w:rsidRPr="00102E48">
        <w:rPr>
          <w:sz w:val="20"/>
          <w:szCs w:val="20"/>
        </w:rPr>
        <w:t>.</w:t>
      </w:r>
    </w:p>
    <w:p w:rsidR="0018231C" w:rsidRDefault="008D5896" w:rsidP="002809B4">
      <w:pPr>
        <w:numPr>
          <w:ilvl w:val="0"/>
          <w:numId w:val="15"/>
        </w:numPr>
        <w:rPr>
          <w:sz w:val="20"/>
          <w:szCs w:val="20"/>
          <w:lang w:eastAsia="en-AU"/>
        </w:rPr>
      </w:pPr>
      <w:r w:rsidRPr="00F124AF">
        <w:rPr>
          <w:noProof/>
          <w:sz w:val="20"/>
          <w:szCs w:val="20"/>
        </w:rPr>
        <w:t>T</w:t>
      </w:r>
      <w:r w:rsidR="003B4062" w:rsidRPr="00F124AF">
        <w:rPr>
          <w:noProof/>
          <w:sz w:val="20"/>
          <w:szCs w:val="20"/>
        </w:rPr>
        <w:t>he notification rate for chlamydia remained stable between 2012 and 2015</w:t>
      </w:r>
      <w:r w:rsidR="00095994">
        <w:rPr>
          <w:noProof/>
          <w:sz w:val="20"/>
          <w:szCs w:val="20"/>
        </w:rPr>
        <w:t>.</w:t>
      </w:r>
      <w:r w:rsidR="00E00DA7" w:rsidRPr="00F124AF">
        <w:rPr>
          <w:noProof/>
          <w:sz w:val="20"/>
          <w:szCs w:val="20"/>
        </w:rPr>
        <w:t xml:space="preserve"> </w:t>
      </w:r>
      <w:r w:rsidR="00095994">
        <w:rPr>
          <w:noProof/>
          <w:sz w:val="20"/>
          <w:szCs w:val="20"/>
        </w:rPr>
        <w:t>H</w:t>
      </w:r>
      <w:r w:rsidR="00E00DA7" w:rsidRPr="00F124AF">
        <w:rPr>
          <w:noProof/>
          <w:sz w:val="20"/>
          <w:szCs w:val="20"/>
        </w:rPr>
        <w:t>owever, there was an increa</w:t>
      </w:r>
      <w:r w:rsidR="00990B0B" w:rsidRPr="00F124AF">
        <w:rPr>
          <w:noProof/>
          <w:sz w:val="20"/>
          <w:szCs w:val="20"/>
        </w:rPr>
        <w:t>se in 2016.</w:t>
      </w:r>
      <w:r w:rsidR="00F56D47">
        <w:rPr>
          <w:noProof/>
          <w:sz w:val="20"/>
          <w:szCs w:val="20"/>
          <w:vertAlign w:val="superscript"/>
        </w:rPr>
        <w:t>22</w:t>
      </w:r>
      <w:r w:rsidR="004145CA" w:rsidRPr="00F124AF">
        <w:rPr>
          <w:noProof/>
          <w:sz w:val="20"/>
          <w:szCs w:val="20"/>
        </w:rPr>
        <w:t xml:space="preserve"> This did not meet </w:t>
      </w:r>
      <w:r w:rsidR="002B3DBD" w:rsidRPr="00F124AF">
        <w:rPr>
          <w:noProof/>
          <w:sz w:val="20"/>
          <w:szCs w:val="20"/>
        </w:rPr>
        <w:t xml:space="preserve">the previous stated target of reducing the incidence of chlamydia. </w:t>
      </w:r>
      <w:r w:rsidR="00990B0B" w:rsidRPr="00F124AF">
        <w:rPr>
          <w:sz w:val="20"/>
          <w:szCs w:val="20"/>
        </w:rPr>
        <w:t>Of the estimated 250</w:t>
      </w:r>
      <w:r w:rsidR="00095994">
        <w:rPr>
          <w:sz w:val="20"/>
          <w:szCs w:val="20"/>
        </w:rPr>
        <w:t> </w:t>
      </w:r>
      <w:r w:rsidR="00990B0B" w:rsidRPr="00F124AF">
        <w:rPr>
          <w:sz w:val="20"/>
          <w:szCs w:val="20"/>
        </w:rPr>
        <w:t>000 people aged 15 to 29 years with new chlamydia infections in 2016, only 28 per cent were diagnosed</w:t>
      </w:r>
      <w:r w:rsidR="00ED071D">
        <w:rPr>
          <w:sz w:val="20"/>
          <w:szCs w:val="20"/>
        </w:rPr>
        <w:t>, indicating a significant and concerning gap in testing for STI in young people</w:t>
      </w:r>
      <w:r w:rsidR="00596874">
        <w:rPr>
          <w:sz w:val="20"/>
          <w:szCs w:val="20"/>
        </w:rPr>
        <w:t>.</w:t>
      </w:r>
      <w:r w:rsidR="00F56D47">
        <w:rPr>
          <w:sz w:val="20"/>
          <w:szCs w:val="20"/>
          <w:vertAlign w:val="superscript"/>
        </w:rPr>
        <w:t>22</w:t>
      </w:r>
      <w:r w:rsidR="002B3DBD" w:rsidRPr="00F124AF">
        <w:rPr>
          <w:sz w:val="20"/>
          <w:szCs w:val="20"/>
          <w:lang w:eastAsia="en-AU"/>
        </w:rPr>
        <w:t xml:space="preserve"> </w:t>
      </w:r>
    </w:p>
    <w:p w:rsidR="0018231C" w:rsidRDefault="00990B0B" w:rsidP="002809B4">
      <w:pPr>
        <w:numPr>
          <w:ilvl w:val="0"/>
          <w:numId w:val="15"/>
        </w:numPr>
        <w:rPr>
          <w:sz w:val="20"/>
          <w:szCs w:val="20"/>
          <w:lang w:eastAsia="en-AU"/>
        </w:rPr>
      </w:pPr>
      <w:r w:rsidRPr="00F124AF">
        <w:rPr>
          <w:noProof/>
          <w:sz w:val="20"/>
          <w:szCs w:val="20"/>
        </w:rPr>
        <w:t xml:space="preserve">The notification rate for gonorrhoea </w:t>
      </w:r>
      <w:r w:rsidR="00751C25" w:rsidRPr="00F124AF">
        <w:rPr>
          <w:noProof/>
          <w:sz w:val="20"/>
          <w:szCs w:val="20"/>
        </w:rPr>
        <w:t xml:space="preserve">increased by 63 per cent </w:t>
      </w:r>
      <w:r w:rsidRPr="00F124AF">
        <w:rPr>
          <w:noProof/>
          <w:sz w:val="20"/>
          <w:szCs w:val="20"/>
        </w:rPr>
        <w:t>between 2012 and 2016</w:t>
      </w:r>
      <w:r w:rsidR="00BA7E6A" w:rsidRPr="00F124AF">
        <w:rPr>
          <w:noProof/>
          <w:sz w:val="20"/>
          <w:szCs w:val="20"/>
        </w:rPr>
        <w:t xml:space="preserve"> despite the previous national target of a reduction in incidence</w:t>
      </w:r>
      <w:r w:rsidRPr="00F124AF">
        <w:rPr>
          <w:noProof/>
          <w:sz w:val="20"/>
          <w:szCs w:val="20"/>
        </w:rPr>
        <w:t>.</w:t>
      </w:r>
      <w:r w:rsidR="00F56D47">
        <w:rPr>
          <w:noProof/>
          <w:sz w:val="20"/>
          <w:szCs w:val="20"/>
          <w:vertAlign w:val="superscript"/>
        </w:rPr>
        <w:t>22</w:t>
      </w:r>
      <w:r w:rsidR="004145CA" w:rsidRPr="00F124AF">
        <w:rPr>
          <w:noProof/>
          <w:sz w:val="20"/>
          <w:szCs w:val="20"/>
        </w:rPr>
        <w:t xml:space="preserve"> </w:t>
      </w:r>
    </w:p>
    <w:p w:rsidR="00E00DA7" w:rsidRPr="00F124AF" w:rsidRDefault="002B3DBD" w:rsidP="002809B4">
      <w:pPr>
        <w:numPr>
          <w:ilvl w:val="0"/>
          <w:numId w:val="15"/>
        </w:numPr>
        <w:rPr>
          <w:sz w:val="20"/>
          <w:szCs w:val="20"/>
          <w:lang w:eastAsia="en-AU"/>
        </w:rPr>
      </w:pPr>
      <w:r w:rsidRPr="00F124AF">
        <w:rPr>
          <w:sz w:val="20"/>
          <w:szCs w:val="20"/>
        </w:rPr>
        <w:t xml:space="preserve">An analysis of </w:t>
      </w:r>
      <w:r w:rsidR="00095994">
        <w:rPr>
          <w:sz w:val="20"/>
          <w:szCs w:val="20"/>
        </w:rPr>
        <w:t>M</w:t>
      </w:r>
      <w:r w:rsidRPr="00F124AF">
        <w:rPr>
          <w:sz w:val="20"/>
          <w:szCs w:val="20"/>
        </w:rPr>
        <w:t>edicare-rebated chlamydia tests, also used as a proxy for gonorrhoea due to the introduction of dual testing, indicates that the increase in notifications of gonorrhoea</w:t>
      </w:r>
      <w:r w:rsidR="0018231C">
        <w:rPr>
          <w:sz w:val="20"/>
          <w:szCs w:val="20"/>
        </w:rPr>
        <w:t xml:space="preserve"> nationally</w:t>
      </w:r>
      <w:r w:rsidRPr="00F124AF">
        <w:rPr>
          <w:sz w:val="20"/>
          <w:szCs w:val="20"/>
        </w:rPr>
        <w:t xml:space="preserve"> is likely </w:t>
      </w:r>
      <w:r w:rsidR="00AB6829">
        <w:rPr>
          <w:sz w:val="20"/>
          <w:szCs w:val="20"/>
        </w:rPr>
        <w:t xml:space="preserve">to be </w:t>
      </w:r>
      <w:r w:rsidRPr="00F124AF">
        <w:rPr>
          <w:sz w:val="20"/>
          <w:szCs w:val="20"/>
        </w:rPr>
        <w:t>due to true increased transmission,</w:t>
      </w:r>
      <w:r w:rsidR="004902D4">
        <w:rPr>
          <w:sz w:val="20"/>
          <w:szCs w:val="20"/>
        </w:rPr>
        <w:t xml:space="preserve"> including a significant increase in women since 2007,</w:t>
      </w:r>
      <w:r w:rsidRPr="00F124AF">
        <w:rPr>
          <w:sz w:val="20"/>
          <w:szCs w:val="20"/>
        </w:rPr>
        <w:t xml:space="preserve"> while</w:t>
      </w:r>
      <w:r w:rsidR="00095994">
        <w:rPr>
          <w:sz w:val="20"/>
          <w:szCs w:val="20"/>
        </w:rPr>
        <w:t>,</w:t>
      </w:r>
      <w:r w:rsidRPr="00F124AF">
        <w:rPr>
          <w:sz w:val="20"/>
          <w:szCs w:val="20"/>
        </w:rPr>
        <w:t xml:space="preserve"> for chlamydia, the increase in 2016 may be due to an increase in testing.</w:t>
      </w:r>
      <w:r w:rsidR="00F56D47">
        <w:rPr>
          <w:sz w:val="20"/>
          <w:szCs w:val="20"/>
          <w:vertAlign w:val="superscript"/>
        </w:rPr>
        <w:t>22</w:t>
      </w:r>
      <w:r w:rsidRPr="00095994">
        <w:rPr>
          <w:rStyle w:val="EndnoteReference"/>
          <w:sz w:val="20"/>
          <w:szCs w:val="20"/>
          <w:vertAlign w:val="baseline"/>
        </w:rPr>
        <w:t> </w:t>
      </w:r>
      <w:r w:rsidR="00D44AB2" w:rsidRPr="00F124AF">
        <w:rPr>
          <w:sz w:val="20"/>
          <w:szCs w:val="20"/>
        </w:rPr>
        <w:t>However, t</w:t>
      </w:r>
      <w:r w:rsidR="003B4062" w:rsidRPr="00F124AF">
        <w:rPr>
          <w:noProof/>
          <w:sz w:val="20"/>
          <w:szCs w:val="20"/>
        </w:rPr>
        <w:t xml:space="preserve">hese are likely to </w:t>
      </w:r>
      <w:r w:rsidR="00D44AB2" w:rsidRPr="00F124AF">
        <w:rPr>
          <w:noProof/>
          <w:sz w:val="20"/>
          <w:szCs w:val="20"/>
        </w:rPr>
        <w:t xml:space="preserve">still only </w:t>
      </w:r>
      <w:r w:rsidR="003B4062" w:rsidRPr="00F124AF">
        <w:rPr>
          <w:noProof/>
          <w:sz w:val="20"/>
          <w:szCs w:val="20"/>
        </w:rPr>
        <w:t>represent</w:t>
      </w:r>
      <w:r w:rsidR="00D44AB2" w:rsidRPr="00F124AF">
        <w:rPr>
          <w:noProof/>
          <w:sz w:val="20"/>
          <w:szCs w:val="20"/>
        </w:rPr>
        <w:t xml:space="preserve"> </w:t>
      </w:r>
      <w:r w:rsidR="003B4062" w:rsidRPr="00F124AF">
        <w:rPr>
          <w:noProof/>
          <w:sz w:val="20"/>
          <w:szCs w:val="20"/>
        </w:rPr>
        <w:t xml:space="preserve">a </w:t>
      </w:r>
      <w:r w:rsidR="008B56F2">
        <w:rPr>
          <w:noProof/>
          <w:sz w:val="20"/>
          <w:szCs w:val="20"/>
        </w:rPr>
        <w:t>pro</w:t>
      </w:r>
      <w:r w:rsidR="00D71BFE" w:rsidRPr="00F124AF">
        <w:rPr>
          <w:noProof/>
          <w:sz w:val="20"/>
          <w:szCs w:val="20"/>
        </w:rPr>
        <w:t>portion of people</w:t>
      </w:r>
      <w:r w:rsidR="003B4062" w:rsidRPr="00F124AF">
        <w:rPr>
          <w:noProof/>
          <w:sz w:val="20"/>
          <w:szCs w:val="20"/>
        </w:rPr>
        <w:t xml:space="preserve"> who are currently infected with these STI. </w:t>
      </w:r>
    </w:p>
    <w:p w:rsidR="00990B0B" w:rsidRPr="00635467" w:rsidRDefault="00BA7E6A" w:rsidP="002809B4">
      <w:pPr>
        <w:numPr>
          <w:ilvl w:val="0"/>
          <w:numId w:val="15"/>
        </w:numPr>
        <w:rPr>
          <w:sz w:val="20"/>
          <w:szCs w:val="20"/>
          <w:lang w:eastAsia="en-AU"/>
        </w:rPr>
      </w:pPr>
      <w:r w:rsidRPr="00F124AF">
        <w:rPr>
          <w:sz w:val="20"/>
          <w:szCs w:val="20"/>
        </w:rPr>
        <w:t xml:space="preserve">Progress towards reducing the incidence of syphilis and elimination of congenital syphilis was not achieved. </w:t>
      </w:r>
      <w:r w:rsidR="008D5896" w:rsidRPr="00F124AF">
        <w:rPr>
          <w:sz w:val="20"/>
          <w:szCs w:val="20"/>
        </w:rPr>
        <w:t>N</w:t>
      </w:r>
      <w:r w:rsidR="00990B0B" w:rsidRPr="00F124AF">
        <w:rPr>
          <w:sz w:val="20"/>
          <w:szCs w:val="20"/>
        </w:rPr>
        <w:t xml:space="preserve">ew diagnoses of infectious </w:t>
      </w:r>
      <w:r w:rsidR="00990B0B" w:rsidRPr="00F124AF">
        <w:rPr>
          <w:bCs/>
          <w:sz w:val="20"/>
          <w:szCs w:val="20"/>
        </w:rPr>
        <w:t>syphilis</w:t>
      </w:r>
      <w:r w:rsidR="00990B0B" w:rsidRPr="00F124AF">
        <w:rPr>
          <w:sz w:val="20"/>
          <w:szCs w:val="20"/>
        </w:rPr>
        <w:t xml:space="preserve"> more tha</w:t>
      </w:r>
      <w:r w:rsidR="00E00DA7" w:rsidRPr="00F124AF">
        <w:rPr>
          <w:sz w:val="20"/>
          <w:szCs w:val="20"/>
        </w:rPr>
        <w:t>n doubled between 2012 and 2016.</w:t>
      </w:r>
      <w:r w:rsidR="00F56D47">
        <w:rPr>
          <w:sz w:val="20"/>
          <w:szCs w:val="20"/>
          <w:vertAlign w:val="superscript"/>
        </w:rPr>
        <w:t>22</w:t>
      </w:r>
      <w:r w:rsidR="00E00DA7" w:rsidRPr="00F124AF">
        <w:rPr>
          <w:sz w:val="20"/>
          <w:szCs w:val="20"/>
        </w:rPr>
        <w:t xml:space="preserve"> This </w:t>
      </w:r>
      <w:r w:rsidR="00744C13">
        <w:rPr>
          <w:sz w:val="20"/>
          <w:szCs w:val="20"/>
        </w:rPr>
        <w:t xml:space="preserve">largely </w:t>
      </w:r>
      <w:r w:rsidR="00E00DA7" w:rsidRPr="00F124AF">
        <w:rPr>
          <w:sz w:val="20"/>
          <w:szCs w:val="20"/>
        </w:rPr>
        <w:t xml:space="preserve">reflected </w:t>
      </w:r>
      <w:r w:rsidR="00990B0B" w:rsidRPr="00F124AF">
        <w:rPr>
          <w:sz w:val="20"/>
          <w:szCs w:val="20"/>
        </w:rPr>
        <w:t xml:space="preserve">a multijurisdictional </w:t>
      </w:r>
      <w:r w:rsidR="00097CE8">
        <w:rPr>
          <w:sz w:val="20"/>
          <w:szCs w:val="20"/>
        </w:rPr>
        <w:t xml:space="preserve">syphilis </w:t>
      </w:r>
      <w:r w:rsidR="00990B0B" w:rsidRPr="00F124AF">
        <w:rPr>
          <w:sz w:val="20"/>
          <w:szCs w:val="20"/>
        </w:rPr>
        <w:t xml:space="preserve">outbreak in </w:t>
      </w:r>
      <w:r w:rsidR="00990B0B" w:rsidRPr="00F124AF">
        <w:rPr>
          <w:sz w:val="20"/>
          <w:szCs w:val="20"/>
          <w:lang w:eastAsia="en-AU"/>
        </w:rPr>
        <w:t>remote Aboriginal and Torres Strait Islander communities in northern and central Australia</w:t>
      </w:r>
      <w:r w:rsidR="00097CE8">
        <w:rPr>
          <w:sz w:val="20"/>
          <w:szCs w:val="20"/>
          <w:lang w:eastAsia="en-AU"/>
        </w:rPr>
        <w:t xml:space="preserve"> and a persistent increase in syphilis diagnoses</w:t>
      </w:r>
      <w:r w:rsidR="00990B0B" w:rsidRPr="00F124AF">
        <w:rPr>
          <w:sz w:val="20"/>
          <w:szCs w:val="20"/>
          <w:lang w:eastAsia="en-AU"/>
        </w:rPr>
        <w:t xml:space="preserve"> among gay men and other MSM in urban areas</w:t>
      </w:r>
      <w:r w:rsidR="004D3B6A">
        <w:rPr>
          <w:sz w:val="20"/>
          <w:szCs w:val="20"/>
          <w:lang w:eastAsia="en-AU"/>
        </w:rPr>
        <w:t>. H</w:t>
      </w:r>
      <w:r w:rsidR="00F41D77">
        <w:rPr>
          <w:sz w:val="20"/>
          <w:szCs w:val="20"/>
          <w:lang w:eastAsia="en-AU"/>
        </w:rPr>
        <w:t>owever</w:t>
      </w:r>
      <w:r w:rsidR="00596874">
        <w:rPr>
          <w:sz w:val="20"/>
          <w:szCs w:val="20"/>
          <w:lang w:eastAsia="en-AU"/>
        </w:rPr>
        <w:t xml:space="preserve">, </w:t>
      </w:r>
      <w:r w:rsidR="00F41D77">
        <w:rPr>
          <w:sz w:val="20"/>
          <w:szCs w:val="20"/>
          <w:lang w:eastAsia="en-AU"/>
        </w:rPr>
        <w:t>increased rates were also seen in females in non-remote areas</w:t>
      </w:r>
      <w:r w:rsidR="00990B0B" w:rsidRPr="00F124AF">
        <w:rPr>
          <w:sz w:val="20"/>
          <w:szCs w:val="20"/>
          <w:lang w:eastAsia="en-AU"/>
        </w:rPr>
        <w:t>.</w:t>
      </w:r>
      <w:r w:rsidR="00F56D47">
        <w:rPr>
          <w:sz w:val="20"/>
          <w:szCs w:val="20"/>
          <w:vertAlign w:val="superscript"/>
          <w:lang w:eastAsia="en-AU"/>
        </w:rPr>
        <w:t>22</w:t>
      </w:r>
    </w:p>
    <w:p w:rsidR="00E00DA7" w:rsidRPr="00635467" w:rsidRDefault="00ED071D" w:rsidP="002809B4">
      <w:pPr>
        <w:numPr>
          <w:ilvl w:val="0"/>
          <w:numId w:val="15"/>
        </w:numPr>
        <w:rPr>
          <w:sz w:val="20"/>
          <w:szCs w:val="20"/>
        </w:rPr>
      </w:pPr>
      <w:r w:rsidRPr="00635467">
        <w:rPr>
          <w:sz w:val="20"/>
          <w:szCs w:val="20"/>
        </w:rPr>
        <w:t>The elimination of congenital syphilis in Australia remains an urgent public health priority.</w:t>
      </w:r>
      <w:r w:rsidR="004D3B6A">
        <w:rPr>
          <w:sz w:val="20"/>
          <w:szCs w:val="20"/>
        </w:rPr>
        <w:t xml:space="preserve"> </w:t>
      </w:r>
      <w:r w:rsidR="008D5896" w:rsidRPr="00635467">
        <w:rPr>
          <w:sz w:val="20"/>
          <w:szCs w:val="20"/>
        </w:rPr>
        <w:t>B</w:t>
      </w:r>
      <w:r w:rsidR="002B3DBD" w:rsidRPr="00635467">
        <w:rPr>
          <w:sz w:val="20"/>
          <w:szCs w:val="20"/>
        </w:rPr>
        <w:t>etween 2012 and 2016 there were 16 notifications of congenital syphilis nationally.</w:t>
      </w:r>
      <w:r w:rsidR="00F527B2">
        <w:rPr>
          <w:sz w:val="20"/>
          <w:szCs w:val="20"/>
          <w:vertAlign w:val="superscript"/>
        </w:rPr>
        <w:t>2</w:t>
      </w:r>
      <w:r w:rsidR="00F56D47">
        <w:rPr>
          <w:sz w:val="20"/>
          <w:szCs w:val="20"/>
          <w:vertAlign w:val="superscript"/>
        </w:rPr>
        <w:t>2</w:t>
      </w:r>
      <w:r w:rsidR="002B3DBD" w:rsidRPr="00635467">
        <w:rPr>
          <w:sz w:val="20"/>
          <w:szCs w:val="20"/>
        </w:rPr>
        <w:t xml:space="preserve"> </w:t>
      </w:r>
      <w:r>
        <w:rPr>
          <w:sz w:val="20"/>
          <w:szCs w:val="20"/>
        </w:rPr>
        <w:t xml:space="preserve">The </w:t>
      </w:r>
      <w:r w:rsidR="002B3DBD" w:rsidRPr="00635467">
        <w:rPr>
          <w:sz w:val="20"/>
          <w:szCs w:val="20"/>
        </w:rPr>
        <w:t xml:space="preserve">notification rate </w:t>
      </w:r>
      <w:r>
        <w:rPr>
          <w:sz w:val="20"/>
          <w:szCs w:val="20"/>
        </w:rPr>
        <w:t>was</w:t>
      </w:r>
      <w:r w:rsidR="004D3B6A">
        <w:rPr>
          <w:sz w:val="20"/>
          <w:szCs w:val="20"/>
        </w:rPr>
        <w:t xml:space="preserve"> </w:t>
      </w:r>
      <w:r w:rsidR="002B3DBD" w:rsidRPr="00635467">
        <w:rPr>
          <w:sz w:val="20"/>
          <w:szCs w:val="20"/>
        </w:rPr>
        <w:t xml:space="preserve">18 times higher in the Aboriginal and Torres Strait Islander population </w:t>
      </w:r>
      <w:r w:rsidR="004D3B6A">
        <w:rPr>
          <w:sz w:val="20"/>
          <w:szCs w:val="20"/>
        </w:rPr>
        <w:t>c</w:t>
      </w:r>
      <w:r w:rsidR="00596874">
        <w:rPr>
          <w:sz w:val="20"/>
          <w:szCs w:val="20"/>
        </w:rPr>
        <w:t xml:space="preserve">ompared </w:t>
      </w:r>
      <w:r w:rsidR="00095994">
        <w:rPr>
          <w:sz w:val="20"/>
          <w:szCs w:val="20"/>
        </w:rPr>
        <w:t xml:space="preserve">with </w:t>
      </w:r>
      <w:r w:rsidR="00596874">
        <w:rPr>
          <w:sz w:val="20"/>
          <w:szCs w:val="20"/>
        </w:rPr>
        <w:t>the non</w:t>
      </w:r>
      <w:r w:rsidR="00596874">
        <w:rPr>
          <w:sz w:val="20"/>
          <w:szCs w:val="20"/>
        </w:rPr>
        <w:noBreakHyphen/>
      </w:r>
      <w:r w:rsidR="002B3DBD" w:rsidRPr="00635467">
        <w:rPr>
          <w:sz w:val="20"/>
          <w:szCs w:val="20"/>
        </w:rPr>
        <w:t>Indigenous population (5.4 and 0.3 per 100</w:t>
      </w:r>
      <w:r w:rsidR="00095994">
        <w:rPr>
          <w:sz w:val="20"/>
          <w:szCs w:val="20"/>
        </w:rPr>
        <w:t> </w:t>
      </w:r>
      <w:r w:rsidR="002B3DBD" w:rsidRPr="00635467">
        <w:rPr>
          <w:sz w:val="20"/>
          <w:szCs w:val="20"/>
        </w:rPr>
        <w:t>000 live births respectively).</w:t>
      </w:r>
      <w:r w:rsidR="00BC1C5B">
        <w:rPr>
          <w:rStyle w:val="EndnoteReference"/>
          <w:sz w:val="20"/>
          <w:szCs w:val="20"/>
        </w:rPr>
        <w:endnoteReference w:id="24"/>
      </w:r>
      <w:r w:rsidR="002B3DBD" w:rsidRPr="00635467">
        <w:rPr>
          <w:sz w:val="20"/>
          <w:szCs w:val="20"/>
          <w:vertAlign w:val="superscript"/>
        </w:rPr>
        <w:t xml:space="preserve"> </w:t>
      </w:r>
    </w:p>
    <w:p w:rsidR="002B3DBD" w:rsidRPr="00635467" w:rsidRDefault="002B3DBD" w:rsidP="003B4062">
      <w:pPr>
        <w:rPr>
          <w:sz w:val="20"/>
          <w:szCs w:val="20"/>
        </w:rPr>
      </w:pPr>
      <w:r w:rsidRPr="00635467">
        <w:rPr>
          <w:noProof/>
          <w:sz w:val="20"/>
          <w:szCs w:val="20"/>
        </w:rPr>
        <w:t>Young people continue to experience a significant burden of STI in Australia. There is also a disproportionate burden of STI among Aboriginal and Torres Strait Islander people, who experience notification rates many times that of the non-Indigenous pop</w:t>
      </w:r>
      <w:r w:rsidR="00BA7E6A">
        <w:rPr>
          <w:noProof/>
          <w:sz w:val="20"/>
          <w:szCs w:val="20"/>
        </w:rPr>
        <w:t>u</w:t>
      </w:r>
      <w:r w:rsidRPr="00635467">
        <w:rPr>
          <w:noProof/>
          <w:sz w:val="20"/>
          <w:szCs w:val="20"/>
        </w:rPr>
        <w:t xml:space="preserve">lation. Other priority populations are also at increased risk of exposure to STI. </w:t>
      </w:r>
      <w:r w:rsidRPr="00635467">
        <w:rPr>
          <w:sz w:val="20"/>
          <w:szCs w:val="20"/>
        </w:rPr>
        <w:t xml:space="preserve">Further detail about the epidemiology of </w:t>
      </w:r>
      <w:r w:rsidR="00D44AB2">
        <w:rPr>
          <w:sz w:val="20"/>
          <w:szCs w:val="20"/>
        </w:rPr>
        <w:t>STI</w:t>
      </w:r>
      <w:r w:rsidRPr="00635467">
        <w:rPr>
          <w:sz w:val="20"/>
          <w:szCs w:val="20"/>
        </w:rPr>
        <w:t xml:space="preserve"> in specific priority populations is provided in </w:t>
      </w:r>
      <w:r w:rsidRPr="00095994">
        <w:rPr>
          <w:sz w:val="20"/>
          <w:szCs w:val="20"/>
        </w:rPr>
        <w:t>Section 6</w:t>
      </w:r>
      <w:r w:rsidR="00095994">
        <w:rPr>
          <w:sz w:val="20"/>
          <w:szCs w:val="20"/>
        </w:rPr>
        <w:t>,</w:t>
      </w:r>
      <w:r w:rsidRPr="00095994">
        <w:rPr>
          <w:sz w:val="20"/>
          <w:szCs w:val="20"/>
        </w:rPr>
        <w:t xml:space="preserve"> </w:t>
      </w:r>
      <w:r w:rsidR="00596874" w:rsidRPr="00095994">
        <w:rPr>
          <w:sz w:val="20"/>
          <w:szCs w:val="20"/>
        </w:rPr>
        <w:t>‘</w:t>
      </w:r>
      <w:r w:rsidR="00436D65" w:rsidRPr="00095994">
        <w:rPr>
          <w:sz w:val="20"/>
          <w:szCs w:val="20"/>
        </w:rPr>
        <w:fldChar w:fldCharType="begin"/>
      </w:r>
      <w:r w:rsidR="00436D65" w:rsidRPr="00095994">
        <w:rPr>
          <w:sz w:val="20"/>
          <w:szCs w:val="20"/>
        </w:rPr>
        <w:instrText xml:space="preserve"> REF _Ref511829463 \h  \* MERGEFORMAT </w:instrText>
      </w:r>
      <w:r w:rsidR="00436D65" w:rsidRPr="00095994">
        <w:rPr>
          <w:sz w:val="20"/>
          <w:szCs w:val="20"/>
        </w:rPr>
      </w:r>
      <w:r w:rsidR="00436D65" w:rsidRPr="00095994">
        <w:rPr>
          <w:sz w:val="20"/>
          <w:szCs w:val="20"/>
        </w:rPr>
        <w:fldChar w:fldCharType="separate"/>
      </w:r>
      <w:r w:rsidR="000536AD" w:rsidRPr="00095994">
        <w:rPr>
          <w:sz w:val="20"/>
          <w:szCs w:val="20"/>
        </w:rPr>
        <w:t>Priority populations</w:t>
      </w:r>
      <w:r w:rsidR="00436D65" w:rsidRPr="00095994">
        <w:rPr>
          <w:sz w:val="20"/>
          <w:szCs w:val="20"/>
        </w:rPr>
        <w:fldChar w:fldCharType="end"/>
      </w:r>
      <w:r w:rsidR="00596874" w:rsidRPr="00095994">
        <w:rPr>
          <w:sz w:val="20"/>
          <w:szCs w:val="20"/>
        </w:rPr>
        <w:t>’</w:t>
      </w:r>
      <w:r w:rsidR="00436D65" w:rsidRPr="00095994">
        <w:rPr>
          <w:sz w:val="20"/>
          <w:szCs w:val="20"/>
        </w:rPr>
        <w:t>.</w:t>
      </w:r>
    </w:p>
    <w:p w:rsidR="003B4062" w:rsidRPr="00635467" w:rsidRDefault="003B4062" w:rsidP="003B4062">
      <w:pPr>
        <w:rPr>
          <w:sz w:val="20"/>
          <w:szCs w:val="20"/>
          <w:lang w:eastAsia="en-AU"/>
        </w:rPr>
      </w:pPr>
      <w:r w:rsidRPr="00635467">
        <w:rPr>
          <w:sz w:val="20"/>
          <w:szCs w:val="20"/>
          <w:lang w:eastAsia="en-AU"/>
        </w:rPr>
        <w:t xml:space="preserve">The limited progress against some of the targets of the previous national </w:t>
      </w:r>
      <w:r w:rsidR="00D44AB2" w:rsidRPr="00635467">
        <w:rPr>
          <w:sz w:val="20"/>
          <w:szCs w:val="20"/>
          <w:lang w:eastAsia="en-AU"/>
        </w:rPr>
        <w:t>strategy</w:t>
      </w:r>
      <w:r w:rsidRPr="00635467">
        <w:rPr>
          <w:sz w:val="20"/>
          <w:szCs w:val="20"/>
          <w:lang w:eastAsia="en-AU"/>
        </w:rPr>
        <w:t xml:space="preserve"> indicate</w:t>
      </w:r>
      <w:r w:rsidR="00D44AB2">
        <w:rPr>
          <w:sz w:val="20"/>
          <w:szCs w:val="20"/>
          <w:lang w:eastAsia="en-AU"/>
        </w:rPr>
        <w:t>s</w:t>
      </w:r>
      <w:r w:rsidRPr="00635467">
        <w:rPr>
          <w:sz w:val="20"/>
          <w:szCs w:val="20"/>
          <w:lang w:eastAsia="en-AU"/>
        </w:rPr>
        <w:t xml:space="preserve"> that a </w:t>
      </w:r>
      <w:r w:rsidR="002E5978" w:rsidRPr="00635467">
        <w:rPr>
          <w:sz w:val="20"/>
          <w:szCs w:val="20"/>
          <w:lang w:eastAsia="en-AU"/>
        </w:rPr>
        <w:t xml:space="preserve">significantly </w:t>
      </w:r>
      <w:r w:rsidRPr="00635467">
        <w:rPr>
          <w:sz w:val="20"/>
          <w:szCs w:val="20"/>
          <w:lang w:eastAsia="en-AU"/>
        </w:rPr>
        <w:t xml:space="preserve">revitalised response </w:t>
      </w:r>
      <w:r w:rsidR="002B3DBD" w:rsidRPr="00635467">
        <w:rPr>
          <w:sz w:val="20"/>
          <w:szCs w:val="20"/>
          <w:lang w:eastAsia="en-AU"/>
        </w:rPr>
        <w:t xml:space="preserve">to these challenges is needed. </w:t>
      </w:r>
    </w:p>
    <w:p w:rsidR="000E7851" w:rsidRDefault="000E7851" w:rsidP="0078482B"/>
    <w:p w:rsidR="00436D65" w:rsidRDefault="00436D65" w:rsidP="0078482B">
      <w:pPr>
        <w:sectPr w:rsidR="00436D65" w:rsidSect="005D6336">
          <w:footnotePr>
            <w:numFmt w:val="lowerLetter"/>
          </w:footnotePr>
          <w:endnotePr>
            <w:numFmt w:val="decimal"/>
          </w:endnotePr>
          <w:pgSz w:w="11907" w:h="16839" w:code="9"/>
          <w:pgMar w:top="1440" w:right="1080" w:bottom="1440" w:left="1080" w:header="720" w:footer="720" w:gutter="0"/>
          <w:cols w:space="720"/>
          <w:docGrid w:linePitch="360"/>
        </w:sectPr>
      </w:pPr>
    </w:p>
    <w:p w:rsidR="00002917" w:rsidRPr="00002917" w:rsidRDefault="00002917" w:rsidP="00002917">
      <w:pPr>
        <w:pStyle w:val="Heading1"/>
        <w:numPr>
          <w:ilvl w:val="0"/>
          <w:numId w:val="6"/>
        </w:numPr>
      </w:pPr>
      <w:bookmarkStart w:id="9" w:name="_Ref511116446"/>
      <w:bookmarkStart w:id="10" w:name="_Toc529473033"/>
      <w:bookmarkStart w:id="11" w:name="_Toc495612719"/>
      <w:bookmarkStart w:id="12" w:name="_Toc495651597"/>
      <w:bookmarkStart w:id="13" w:name="_Toc495681030"/>
      <w:r>
        <w:t xml:space="preserve">Measuring </w:t>
      </w:r>
      <w:r w:rsidR="00095994">
        <w:t>p</w:t>
      </w:r>
      <w:r>
        <w:t>rogress</w:t>
      </w:r>
      <w:bookmarkEnd w:id="9"/>
      <w:bookmarkEnd w:id="10"/>
    </w:p>
    <w:p w:rsidR="00DF7EB5" w:rsidRDefault="00E20A35" w:rsidP="00D44AB2">
      <w:pPr>
        <w:rPr>
          <w:sz w:val="17"/>
          <w:szCs w:val="17"/>
          <w:lang w:val="en-US"/>
        </w:rPr>
      </w:pPr>
      <w:r w:rsidRPr="00D44AB2">
        <w:rPr>
          <w:sz w:val="20"/>
          <w:szCs w:val="20"/>
          <w:lang w:eastAsia="en-AU"/>
        </w:rPr>
        <w:t xml:space="preserve">This </w:t>
      </w:r>
      <w:r w:rsidR="00D93921">
        <w:rPr>
          <w:sz w:val="20"/>
          <w:szCs w:val="20"/>
          <w:lang w:eastAsia="en-AU"/>
        </w:rPr>
        <w:t>s</w:t>
      </w:r>
      <w:r w:rsidRPr="00D44AB2">
        <w:rPr>
          <w:sz w:val="20"/>
          <w:szCs w:val="20"/>
          <w:lang w:eastAsia="en-AU"/>
        </w:rPr>
        <w:t xml:space="preserve">trategy has overarching goals, targets and priority areas which will guide the national response to </w:t>
      </w:r>
      <w:r w:rsidR="006F3F72" w:rsidRPr="00D44AB2">
        <w:rPr>
          <w:sz w:val="20"/>
          <w:szCs w:val="20"/>
          <w:lang w:eastAsia="en-AU"/>
        </w:rPr>
        <w:t xml:space="preserve">STI </w:t>
      </w:r>
      <w:r w:rsidRPr="00D44AB2">
        <w:rPr>
          <w:sz w:val="20"/>
          <w:szCs w:val="20"/>
          <w:lang w:eastAsia="en-AU"/>
        </w:rPr>
        <w:t>for 2018</w:t>
      </w:r>
      <w:r w:rsidR="00095994">
        <w:rPr>
          <w:sz w:val="20"/>
          <w:szCs w:val="20"/>
          <w:lang w:eastAsia="en-AU"/>
        </w:rPr>
        <w:t>–</w:t>
      </w:r>
      <w:r w:rsidRPr="00D44AB2">
        <w:rPr>
          <w:sz w:val="20"/>
          <w:szCs w:val="20"/>
          <w:lang w:eastAsia="en-AU"/>
        </w:rPr>
        <w:t xml:space="preserve">2022. Indicators and </w:t>
      </w:r>
      <w:r w:rsidRPr="00AB6829">
        <w:rPr>
          <w:sz w:val="20"/>
          <w:szCs w:val="20"/>
          <w:lang w:eastAsia="en-AU"/>
        </w:rPr>
        <w:t xml:space="preserve">associated data sources for </w:t>
      </w:r>
      <w:r w:rsidR="002B3DBD" w:rsidRPr="00AB6829">
        <w:rPr>
          <w:sz w:val="20"/>
          <w:szCs w:val="20"/>
          <w:lang w:eastAsia="en-AU"/>
        </w:rPr>
        <w:t xml:space="preserve">measuring progress towards </w:t>
      </w:r>
      <w:r w:rsidRPr="00AB6829">
        <w:rPr>
          <w:sz w:val="20"/>
          <w:szCs w:val="20"/>
          <w:lang w:eastAsia="en-AU"/>
        </w:rPr>
        <w:t xml:space="preserve">each target are included </w:t>
      </w:r>
      <w:r w:rsidR="00863212" w:rsidRPr="00AB6829">
        <w:rPr>
          <w:sz w:val="20"/>
          <w:szCs w:val="20"/>
          <w:lang w:eastAsia="en-AU"/>
        </w:rPr>
        <w:t xml:space="preserve">in the </w:t>
      </w:r>
      <w:r w:rsidR="00AA30A2">
        <w:rPr>
          <w:sz w:val="20"/>
          <w:szCs w:val="20"/>
          <w:lang w:eastAsia="en-AU"/>
        </w:rPr>
        <w:t>S</w:t>
      </w:r>
      <w:r w:rsidR="00863212" w:rsidRPr="00AA30A2">
        <w:rPr>
          <w:sz w:val="20"/>
          <w:szCs w:val="20"/>
          <w:lang w:eastAsia="en-AU"/>
        </w:rPr>
        <w:t xml:space="preserve">urveillance and </w:t>
      </w:r>
      <w:r w:rsidR="00AA30A2">
        <w:rPr>
          <w:sz w:val="20"/>
          <w:szCs w:val="20"/>
          <w:lang w:eastAsia="en-AU"/>
        </w:rPr>
        <w:t>M</w:t>
      </w:r>
      <w:r w:rsidR="00863212" w:rsidRPr="00AA30A2">
        <w:rPr>
          <w:sz w:val="20"/>
          <w:szCs w:val="20"/>
          <w:lang w:eastAsia="en-AU"/>
        </w:rPr>
        <w:t xml:space="preserve">onitoring </w:t>
      </w:r>
      <w:r w:rsidR="00AA30A2">
        <w:rPr>
          <w:sz w:val="20"/>
          <w:szCs w:val="20"/>
          <w:lang w:eastAsia="en-AU"/>
        </w:rPr>
        <w:t>P</w:t>
      </w:r>
      <w:r w:rsidR="00863212" w:rsidRPr="00AA30A2">
        <w:rPr>
          <w:sz w:val="20"/>
          <w:szCs w:val="20"/>
          <w:lang w:eastAsia="en-AU"/>
        </w:rPr>
        <w:t>lan</w:t>
      </w:r>
      <w:r w:rsidR="00863212" w:rsidRPr="00AB6829">
        <w:rPr>
          <w:sz w:val="20"/>
          <w:szCs w:val="20"/>
          <w:lang w:eastAsia="en-AU"/>
        </w:rPr>
        <w:t xml:space="preserve"> for the</w:t>
      </w:r>
      <w:r w:rsidRPr="00D44AB2">
        <w:rPr>
          <w:sz w:val="20"/>
          <w:szCs w:val="20"/>
          <w:lang w:eastAsia="en-AU"/>
        </w:rPr>
        <w:t xml:space="preserve"> </w:t>
      </w:r>
      <w:r w:rsidR="00D93921">
        <w:rPr>
          <w:sz w:val="20"/>
          <w:szCs w:val="20"/>
          <w:lang w:eastAsia="en-AU"/>
        </w:rPr>
        <w:t xml:space="preserve">five national BBS and STI </w:t>
      </w:r>
      <w:r w:rsidRPr="00D44AB2">
        <w:rPr>
          <w:sz w:val="20"/>
          <w:szCs w:val="20"/>
          <w:lang w:eastAsia="en-AU"/>
        </w:rPr>
        <w:t>strategies.</w:t>
      </w:r>
      <w:r w:rsidRPr="00D44AB2">
        <w:rPr>
          <w:sz w:val="17"/>
          <w:szCs w:val="17"/>
          <w:lang w:val="en-US"/>
        </w:rPr>
        <w:t xml:space="preserve"> </w:t>
      </w:r>
    </w:p>
    <w:tbl>
      <w:tblPr>
        <w:tblW w:w="9372" w:type="dxa"/>
        <w:tblBorders>
          <w:insideH w:val="single" w:sz="4" w:space="0" w:color="auto"/>
          <w:insideV w:val="single" w:sz="4" w:space="0" w:color="auto"/>
        </w:tblBorders>
        <w:tblCellMar>
          <w:top w:w="57" w:type="dxa"/>
          <w:left w:w="85" w:type="dxa"/>
          <w:bottom w:w="57" w:type="dxa"/>
          <w:right w:w="85" w:type="dxa"/>
        </w:tblCellMar>
        <w:tblLook w:val="0600" w:firstRow="0" w:lastRow="0" w:firstColumn="0" w:lastColumn="0" w:noHBand="1" w:noVBand="1"/>
      </w:tblPr>
      <w:tblGrid>
        <w:gridCol w:w="9372"/>
      </w:tblGrid>
      <w:tr w:rsidR="00DF7EB5" w:rsidRPr="004A21FF" w:rsidTr="002809B4">
        <w:trPr>
          <w:trHeight w:val="340"/>
        </w:trPr>
        <w:tc>
          <w:tcPr>
            <w:tcW w:w="9287" w:type="dxa"/>
            <w:tcBorders>
              <w:top w:val="nil"/>
              <w:bottom w:val="single" w:sz="4" w:space="0" w:color="F8981D"/>
            </w:tcBorders>
            <w:shd w:val="clear" w:color="auto" w:fill="EDEDE8"/>
            <w:vAlign w:val="bottom"/>
          </w:tcPr>
          <w:p w:rsidR="00DF7EB5" w:rsidRPr="00C80678" w:rsidRDefault="00DF7EB5" w:rsidP="002809B4">
            <w:pPr>
              <w:jc w:val="center"/>
              <w:rPr>
                <w:b/>
                <w:color w:val="00264D"/>
                <w:sz w:val="20"/>
              </w:rPr>
            </w:pPr>
            <w:r w:rsidRPr="00C80678">
              <w:rPr>
                <w:b/>
                <w:color w:val="00264D"/>
                <w:sz w:val="20"/>
              </w:rPr>
              <w:t>Goal</w:t>
            </w:r>
            <w:r>
              <w:rPr>
                <w:b/>
                <w:color w:val="00264D"/>
                <w:sz w:val="20"/>
              </w:rPr>
              <w:t>s</w:t>
            </w:r>
          </w:p>
        </w:tc>
      </w:tr>
    </w:tbl>
    <w:p w:rsidR="00DF7EB5" w:rsidRPr="00DF7EB5" w:rsidRDefault="00DF7EB5" w:rsidP="002809B4">
      <w:pPr>
        <w:pStyle w:val="ColorfulList-Accent11"/>
        <w:numPr>
          <w:ilvl w:val="0"/>
          <w:numId w:val="18"/>
        </w:numPr>
        <w:spacing w:before="80" w:after="60"/>
        <w:jc w:val="center"/>
        <w:rPr>
          <w:b/>
          <w:sz w:val="20"/>
          <w:lang w:eastAsia="en-AU"/>
        </w:rPr>
      </w:pPr>
      <w:r w:rsidRPr="00DF7EB5">
        <w:rPr>
          <w:b/>
          <w:sz w:val="20"/>
          <w:lang w:eastAsia="en-AU"/>
        </w:rPr>
        <w:t>Reduce transmission of, and morbidity and mortality associated with</w:t>
      </w:r>
      <w:r w:rsidR="00AB6829">
        <w:rPr>
          <w:b/>
          <w:sz w:val="20"/>
          <w:lang w:eastAsia="en-AU"/>
        </w:rPr>
        <w:t>,</w:t>
      </w:r>
      <w:r w:rsidRPr="00DF7EB5">
        <w:rPr>
          <w:b/>
          <w:sz w:val="20"/>
          <w:lang w:eastAsia="en-AU"/>
        </w:rPr>
        <w:t xml:space="preserve"> STI in Australia </w:t>
      </w:r>
    </w:p>
    <w:p w:rsidR="00DF7EB5" w:rsidRDefault="00DF7EB5" w:rsidP="002809B4">
      <w:pPr>
        <w:numPr>
          <w:ilvl w:val="0"/>
          <w:numId w:val="18"/>
        </w:numPr>
        <w:jc w:val="center"/>
        <w:rPr>
          <w:b/>
          <w:sz w:val="20"/>
          <w:szCs w:val="20"/>
          <w:lang w:eastAsia="en-AU"/>
        </w:rPr>
      </w:pPr>
      <w:r w:rsidRPr="00DF7EB5">
        <w:rPr>
          <w:b/>
          <w:sz w:val="20"/>
          <w:szCs w:val="20"/>
          <w:lang w:eastAsia="en-AU"/>
        </w:rPr>
        <w:t xml:space="preserve">Eliminate the negative impact of stigma, discrimination and legal and </w:t>
      </w:r>
      <w:r w:rsidRPr="00DF7EB5">
        <w:rPr>
          <w:b/>
          <w:sz w:val="20"/>
          <w:szCs w:val="20"/>
          <w:lang w:eastAsia="en-AU"/>
        </w:rPr>
        <w:br/>
        <w:t>human rights issues on people’s health</w:t>
      </w:r>
    </w:p>
    <w:p w:rsidR="00DF7EB5" w:rsidRPr="00DF7EB5" w:rsidRDefault="00DF7EB5" w:rsidP="002809B4">
      <w:pPr>
        <w:numPr>
          <w:ilvl w:val="0"/>
          <w:numId w:val="18"/>
        </w:numPr>
        <w:jc w:val="center"/>
        <w:rPr>
          <w:b/>
          <w:sz w:val="20"/>
          <w:szCs w:val="20"/>
          <w:lang w:eastAsia="en-AU"/>
        </w:rPr>
      </w:pPr>
      <w:r w:rsidRPr="00DF7EB5">
        <w:rPr>
          <w:b/>
          <w:sz w:val="20"/>
          <w:szCs w:val="20"/>
          <w:lang w:eastAsia="en-AU"/>
        </w:rPr>
        <w:t>Minimise the personal and social impact of STI</w:t>
      </w:r>
    </w:p>
    <w:p w:rsidR="00DF7EB5" w:rsidRDefault="00DF7EB5" w:rsidP="00DF7EB5">
      <w:pPr>
        <w:pStyle w:val="CommentText"/>
        <w:spacing w:after="40"/>
        <w:rPr>
          <w:lang w:val="en-AU"/>
        </w:rPr>
      </w:pPr>
    </w:p>
    <w:tbl>
      <w:tblPr>
        <w:tblW w:w="9372" w:type="dxa"/>
        <w:tblBorders>
          <w:insideH w:val="single" w:sz="4" w:space="0" w:color="auto"/>
          <w:insideV w:val="single" w:sz="4" w:space="0" w:color="auto"/>
        </w:tblBorders>
        <w:tblCellMar>
          <w:top w:w="57" w:type="dxa"/>
          <w:left w:w="85" w:type="dxa"/>
          <w:bottom w:w="57" w:type="dxa"/>
          <w:right w:w="85" w:type="dxa"/>
        </w:tblCellMar>
        <w:tblLook w:val="0600" w:firstRow="0" w:lastRow="0" w:firstColumn="0" w:lastColumn="0" w:noHBand="1" w:noVBand="1"/>
      </w:tblPr>
      <w:tblGrid>
        <w:gridCol w:w="9372"/>
      </w:tblGrid>
      <w:tr w:rsidR="00DF7EB5" w:rsidRPr="00673D1F" w:rsidTr="002809B4">
        <w:trPr>
          <w:trHeight w:val="332"/>
        </w:trPr>
        <w:tc>
          <w:tcPr>
            <w:tcW w:w="9287" w:type="dxa"/>
            <w:tcBorders>
              <w:top w:val="nil"/>
              <w:bottom w:val="single" w:sz="4" w:space="0" w:color="F8981D"/>
            </w:tcBorders>
            <w:shd w:val="clear" w:color="auto" w:fill="EDEDE8"/>
            <w:vAlign w:val="bottom"/>
          </w:tcPr>
          <w:p w:rsidR="00DF7EB5" w:rsidRPr="00C80678" w:rsidRDefault="00DF7EB5" w:rsidP="002809B4">
            <w:pPr>
              <w:jc w:val="center"/>
              <w:rPr>
                <w:b/>
                <w:color w:val="00264D"/>
                <w:sz w:val="20"/>
              </w:rPr>
            </w:pPr>
            <w:r w:rsidRPr="00C80678">
              <w:rPr>
                <w:b/>
                <w:color w:val="00264D"/>
                <w:sz w:val="20"/>
              </w:rPr>
              <w:t xml:space="preserve">Targets </w:t>
            </w:r>
          </w:p>
        </w:tc>
      </w:tr>
    </w:tbl>
    <w:p w:rsidR="00DF7EB5" w:rsidRPr="00DF7EB5" w:rsidRDefault="00DF7EB5" w:rsidP="00DF7EB5">
      <w:pPr>
        <w:pStyle w:val="CommentText"/>
        <w:spacing w:before="80" w:after="40"/>
      </w:pPr>
      <w:r w:rsidRPr="00DF7EB5">
        <w:t xml:space="preserve">By </w:t>
      </w:r>
      <w:r w:rsidR="008B56F2">
        <w:rPr>
          <w:lang w:val="en-AU"/>
        </w:rPr>
        <w:t xml:space="preserve">the end of </w:t>
      </w:r>
      <w:r w:rsidRPr="00DF7EB5">
        <w:t>2022:</w:t>
      </w:r>
    </w:p>
    <w:p w:rsidR="00DF7EB5" w:rsidRPr="00DF7EB5" w:rsidRDefault="00DF7EB5" w:rsidP="002809B4">
      <w:pPr>
        <w:numPr>
          <w:ilvl w:val="0"/>
          <w:numId w:val="19"/>
        </w:numPr>
        <w:rPr>
          <w:sz w:val="20"/>
          <w:szCs w:val="20"/>
          <w:lang w:eastAsia="en-AU"/>
        </w:rPr>
      </w:pPr>
      <w:r w:rsidRPr="00DF7EB5">
        <w:rPr>
          <w:sz w:val="20"/>
          <w:szCs w:val="20"/>
          <w:lang w:eastAsia="en-AU"/>
        </w:rPr>
        <w:t xml:space="preserve">Achieve </w:t>
      </w:r>
      <w:r w:rsidR="00F0009B">
        <w:rPr>
          <w:sz w:val="20"/>
          <w:szCs w:val="20"/>
          <w:lang w:eastAsia="en-AU"/>
        </w:rPr>
        <w:t xml:space="preserve">and maintain </w:t>
      </w:r>
      <w:r w:rsidRPr="00DF7EB5">
        <w:rPr>
          <w:sz w:val="20"/>
          <w:szCs w:val="20"/>
          <w:lang w:eastAsia="en-AU"/>
        </w:rPr>
        <w:t>HPV adolescent vaccination coverage of 80</w:t>
      </w:r>
      <w:r w:rsidR="00B35E80">
        <w:rPr>
          <w:sz w:val="20"/>
          <w:szCs w:val="20"/>
          <w:lang w:eastAsia="en-AU"/>
        </w:rPr>
        <w:t xml:space="preserve"> per cent</w:t>
      </w:r>
      <w:r w:rsidRPr="00DF7EB5">
        <w:rPr>
          <w:sz w:val="20"/>
          <w:szCs w:val="20"/>
          <w:lang w:eastAsia="en-AU"/>
        </w:rPr>
        <w:t xml:space="preserve"> </w:t>
      </w:r>
    </w:p>
    <w:p w:rsidR="00DF7EB5" w:rsidRPr="00DF7EB5" w:rsidRDefault="00DF7EB5" w:rsidP="002809B4">
      <w:pPr>
        <w:numPr>
          <w:ilvl w:val="0"/>
          <w:numId w:val="19"/>
        </w:numPr>
        <w:rPr>
          <w:sz w:val="20"/>
          <w:szCs w:val="20"/>
          <w:lang w:eastAsia="en-AU"/>
        </w:rPr>
      </w:pPr>
      <w:r w:rsidRPr="00DF7EB5">
        <w:rPr>
          <w:sz w:val="20"/>
          <w:szCs w:val="20"/>
          <w:lang w:eastAsia="en-AU"/>
        </w:rPr>
        <w:t>Increase</w:t>
      </w:r>
      <w:r w:rsidR="00867AE0">
        <w:rPr>
          <w:sz w:val="20"/>
          <w:szCs w:val="20"/>
          <w:lang w:eastAsia="en-AU"/>
        </w:rPr>
        <w:t xml:space="preserve"> STI</w:t>
      </w:r>
      <w:r w:rsidRPr="00DF7EB5">
        <w:rPr>
          <w:sz w:val="20"/>
          <w:szCs w:val="20"/>
          <w:lang w:eastAsia="en-AU"/>
        </w:rPr>
        <w:t xml:space="preserve"> testing coverage in priority populations</w:t>
      </w:r>
      <w:r w:rsidRPr="00DF7EB5">
        <w:rPr>
          <w:rStyle w:val="FootnoteReference"/>
          <w:sz w:val="20"/>
          <w:szCs w:val="20"/>
          <w:lang w:eastAsia="en-AU"/>
        </w:rPr>
        <w:footnoteReference w:id="4"/>
      </w:r>
    </w:p>
    <w:p w:rsidR="00DF7EB5" w:rsidRPr="00DF7EB5" w:rsidRDefault="00DF7EB5" w:rsidP="002809B4">
      <w:pPr>
        <w:numPr>
          <w:ilvl w:val="0"/>
          <w:numId w:val="19"/>
        </w:numPr>
        <w:rPr>
          <w:sz w:val="20"/>
          <w:szCs w:val="20"/>
          <w:lang w:eastAsia="en-AU"/>
        </w:rPr>
      </w:pPr>
      <w:r w:rsidRPr="00DF7EB5">
        <w:rPr>
          <w:sz w:val="20"/>
          <w:szCs w:val="20"/>
          <w:lang w:eastAsia="en-AU"/>
        </w:rPr>
        <w:t>Reduce the prevalence of gonorrhoea, chlamydia and infectious syphilis</w:t>
      </w:r>
      <w:r w:rsidRPr="00DF7EB5">
        <w:rPr>
          <w:rStyle w:val="FootnoteReference"/>
          <w:sz w:val="20"/>
          <w:szCs w:val="20"/>
          <w:lang w:eastAsia="en-AU"/>
        </w:rPr>
        <w:footnoteReference w:id="5"/>
      </w:r>
    </w:p>
    <w:p w:rsidR="00DF7EB5" w:rsidRDefault="00DF7EB5" w:rsidP="002809B4">
      <w:pPr>
        <w:numPr>
          <w:ilvl w:val="0"/>
          <w:numId w:val="19"/>
        </w:numPr>
        <w:rPr>
          <w:sz w:val="20"/>
          <w:szCs w:val="20"/>
          <w:lang w:eastAsia="en-AU"/>
        </w:rPr>
      </w:pPr>
      <w:r w:rsidRPr="00DF7EB5">
        <w:rPr>
          <w:sz w:val="20"/>
          <w:szCs w:val="20"/>
          <w:lang w:eastAsia="en-AU"/>
        </w:rPr>
        <w:t>Eliminate congenital syphilis</w:t>
      </w:r>
      <w:r w:rsidRPr="00DF7EB5">
        <w:rPr>
          <w:sz w:val="20"/>
          <w:szCs w:val="20"/>
          <w:vertAlign w:val="superscript"/>
        </w:rPr>
        <w:footnoteReference w:id="6"/>
      </w:r>
    </w:p>
    <w:p w:rsidR="00DF7EB5" w:rsidRPr="00DF7EB5" w:rsidRDefault="00DF7EB5" w:rsidP="002809B4">
      <w:pPr>
        <w:numPr>
          <w:ilvl w:val="0"/>
          <w:numId w:val="19"/>
        </w:numPr>
        <w:rPr>
          <w:sz w:val="20"/>
          <w:szCs w:val="20"/>
          <w:lang w:eastAsia="en-AU"/>
        </w:rPr>
      </w:pPr>
      <w:r w:rsidRPr="00DF7EB5">
        <w:rPr>
          <w:sz w:val="20"/>
          <w:szCs w:val="20"/>
        </w:rPr>
        <w:t>Minimise the reported experience and expression of stigma in relation to STI</w:t>
      </w:r>
    </w:p>
    <w:p w:rsidR="00DF7EB5" w:rsidRDefault="00DF7EB5" w:rsidP="0078482B">
      <w:pPr>
        <w:pStyle w:val="Listnumbered"/>
        <w:numPr>
          <w:ilvl w:val="0"/>
          <w:numId w:val="0"/>
        </w:numPr>
        <w:spacing w:after="0"/>
        <w:ind w:left="397"/>
        <w:rPr>
          <w:sz w:val="17"/>
          <w:szCs w:val="17"/>
          <w:lang w:val="en-US"/>
        </w:rPr>
      </w:pPr>
    </w:p>
    <w:tbl>
      <w:tblPr>
        <w:tblW w:w="9452" w:type="dxa"/>
        <w:tblBorders>
          <w:insideH w:val="single" w:sz="4" w:space="0" w:color="auto"/>
          <w:insideV w:val="single" w:sz="4" w:space="0" w:color="auto"/>
        </w:tblBorders>
        <w:tblCellMar>
          <w:top w:w="57" w:type="dxa"/>
          <w:left w:w="85" w:type="dxa"/>
          <w:bottom w:w="57" w:type="dxa"/>
          <w:right w:w="85" w:type="dxa"/>
        </w:tblCellMar>
        <w:tblLook w:val="0600" w:firstRow="0" w:lastRow="0" w:firstColumn="0" w:lastColumn="0" w:noHBand="1" w:noVBand="1"/>
      </w:tblPr>
      <w:tblGrid>
        <w:gridCol w:w="9452"/>
      </w:tblGrid>
      <w:tr w:rsidR="00DF7EB5" w:rsidRPr="00673D1F" w:rsidTr="00922F34">
        <w:trPr>
          <w:trHeight w:val="19"/>
        </w:trPr>
        <w:tc>
          <w:tcPr>
            <w:tcW w:w="9452" w:type="dxa"/>
            <w:tcBorders>
              <w:top w:val="nil"/>
              <w:bottom w:val="single" w:sz="4" w:space="0" w:color="F8981D"/>
            </w:tcBorders>
            <w:shd w:val="clear" w:color="auto" w:fill="EDEDE8"/>
            <w:vAlign w:val="bottom"/>
          </w:tcPr>
          <w:p w:rsidR="00DF7EB5" w:rsidRPr="00C80678" w:rsidRDefault="00DF7EB5" w:rsidP="00922F34">
            <w:pPr>
              <w:jc w:val="center"/>
              <w:rPr>
                <w:b/>
                <w:color w:val="00264D"/>
                <w:sz w:val="20"/>
              </w:rPr>
            </w:pPr>
            <w:r w:rsidRPr="00C80678">
              <w:rPr>
                <w:b/>
                <w:color w:val="00264D"/>
                <w:sz w:val="20"/>
              </w:rPr>
              <w:t xml:space="preserve">Priority </w:t>
            </w:r>
            <w:r w:rsidR="00922F34">
              <w:rPr>
                <w:b/>
                <w:color w:val="00264D"/>
                <w:sz w:val="20"/>
              </w:rPr>
              <w:t>a</w:t>
            </w:r>
            <w:r w:rsidR="00922F34" w:rsidRPr="00C80678">
              <w:rPr>
                <w:b/>
                <w:color w:val="00264D"/>
                <w:sz w:val="20"/>
              </w:rPr>
              <w:t>reas</w:t>
            </w:r>
            <w:r>
              <w:rPr>
                <w:rStyle w:val="FootnoteReference"/>
                <w:b/>
                <w:color w:val="00264D"/>
                <w:sz w:val="20"/>
              </w:rPr>
              <w:footnoteReference w:id="7"/>
            </w:r>
          </w:p>
        </w:tc>
      </w:tr>
    </w:tbl>
    <w:p w:rsidR="00C66DD5" w:rsidRPr="002A4611" w:rsidRDefault="00C66DD5" w:rsidP="00C66DD5">
      <w:pPr>
        <w:pStyle w:val="CommentText"/>
        <w:numPr>
          <w:ilvl w:val="0"/>
          <w:numId w:val="13"/>
        </w:numPr>
        <w:spacing w:after="60"/>
        <w:rPr>
          <w:lang w:val="en-AU" w:eastAsia="en-US"/>
        </w:rPr>
      </w:pPr>
      <w:r w:rsidRPr="002A4611">
        <w:rPr>
          <w:rFonts w:cs="Segoe UI"/>
          <w:color w:val="000000"/>
          <w:lang w:eastAsia="en-US"/>
        </w:rPr>
        <w:t xml:space="preserve">Implement prevention education and other initiatives, including </w:t>
      </w:r>
      <w:r w:rsidR="00EA2797">
        <w:rPr>
          <w:rFonts w:cs="Segoe UI"/>
          <w:color w:val="000000"/>
          <w:lang w:val="en-AU" w:eastAsia="en-US"/>
        </w:rPr>
        <w:t xml:space="preserve">supporting </w:t>
      </w:r>
      <w:r w:rsidRPr="002A4611">
        <w:rPr>
          <w:rFonts w:cs="Segoe UI"/>
          <w:color w:val="000000"/>
          <w:lang w:eastAsia="en-US"/>
        </w:rPr>
        <w:t>sex</w:t>
      </w:r>
      <w:r w:rsidR="00596874">
        <w:rPr>
          <w:rFonts w:cs="Segoe UI"/>
          <w:color w:val="000000"/>
          <w:lang w:eastAsia="en-US"/>
        </w:rPr>
        <w:t>ual health education in schools</w:t>
      </w:r>
      <w:r w:rsidR="00C45B05">
        <w:rPr>
          <w:rFonts w:cs="Segoe UI"/>
          <w:color w:val="000000"/>
          <w:lang w:val="en-AU" w:eastAsia="en-US"/>
        </w:rPr>
        <w:t xml:space="preserve"> and in community settings where people live, work and socialise,</w:t>
      </w:r>
      <w:r w:rsidRPr="002A4611">
        <w:rPr>
          <w:rFonts w:cs="Segoe UI"/>
          <w:color w:val="000000"/>
          <w:lang w:eastAsia="en-US"/>
        </w:rPr>
        <w:t xml:space="preserve"> to improve knowledge and awareness of </w:t>
      </w:r>
      <w:r w:rsidR="004D3B6A">
        <w:rPr>
          <w:rFonts w:cs="Segoe UI"/>
          <w:color w:val="000000"/>
          <w:lang w:val="en-AU" w:eastAsia="en-US"/>
        </w:rPr>
        <w:t xml:space="preserve">healthy relationships and </w:t>
      </w:r>
      <w:r w:rsidRPr="002A4611">
        <w:rPr>
          <w:rFonts w:cs="Segoe UI"/>
          <w:color w:val="000000"/>
          <w:lang w:eastAsia="en-US"/>
        </w:rPr>
        <w:t>STI and reduce risk behaviours associated with the transmission of STI</w:t>
      </w:r>
    </w:p>
    <w:p w:rsidR="00DF7EB5" w:rsidRPr="002A4611" w:rsidRDefault="00DF7EB5" w:rsidP="002809B4">
      <w:pPr>
        <w:pStyle w:val="CommentText"/>
        <w:numPr>
          <w:ilvl w:val="0"/>
          <w:numId w:val="13"/>
        </w:numPr>
        <w:spacing w:after="60"/>
        <w:rPr>
          <w:lang w:val="en-AU" w:eastAsia="en-US"/>
        </w:rPr>
      </w:pPr>
      <w:r w:rsidRPr="002A4611">
        <w:rPr>
          <w:lang w:val="en-AU" w:eastAsia="en-US"/>
        </w:rPr>
        <w:t>Reinforce the central role of condoms in preventing the transmission of STI</w:t>
      </w:r>
    </w:p>
    <w:p w:rsidR="005D5A39" w:rsidRPr="00AB6829" w:rsidRDefault="005D5A39" w:rsidP="005D5A39">
      <w:pPr>
        <w:pStyle w:val="CommentText"/>
        <w:numPr>
          <w:ilvl w:val="0"/>
          <w:numId w:val="13"/>
        </w:numPr>
        <w:spacing w:after="60"/>
        <w:rPr>
          <w:lang w:val="en-AU" w:eastAsia="en-US"/>
        </w:rPr>
      </w:pPr>
      <w:r w:rsidRPr="002A4611">
        <w:rPr>
          <w:lang w:val="en-AU" w:eastAsia="en-US"/>
        </w:rPr>
        <w:t xml:space="preserve">Support further increases in HPV vaccination coverage in adolescents in line with the </w:t>
      </w:r>
      <w:r w:rsidRPr="00AA30A2">
        <w:rPr>
          <w:lang w:val="en-AU" w:eastAsia="en-US"/>
        </w:rPr>
        <w:t>National Immunisation Strategy</w:t>
      </w:r>
      <w:r w:rsidRPr="00AB6829">
        <w:rPr>
          <w:lang w:val="en-AU" w:eastAsia="en-US"/>
        </w:rPr>
        <w:t xml:space="preserve"> </w:t>
      </w:r>
    </w:p>
    <w:p w:rsidR="00C66DD5" w:rsidRPr="002A4611" w:rsidRDefault="00C66DD5" w:rsidP="00C66DD5">
      <w:pPr>
        <w:pStyle w:val="CommentText"/>
        <w:numPr>
          <w:ilvl w:val="0"/>
          <w:numId w:val="13"/>
        </w:numPr>
        <w:spacing w:after="60"/>
        <w:rPr>
          <w:lang w:val="en-AU" w:eastAsia="en-US"/>
        </w:rPr>
      </w:pPr>
      <w:r w:rsidRPr="002A4611">
        <w:rPr>
          <w:lang w:val="en-AU" w:eastAsia="en-US"/>
        </w:rPr>
        <w:t>Incr</w:t>
      </w:r>
      <w:r w:rsidR="002A4611" w:rsidRPr="002A4611">
        <w:rPr>
          <w:lang w:val="en-AU" w:eastAsia="en-US"/>
        </w:rPr>
        <w:t xml:space="preserve">ease comprehensive STI testing </w:t>
      </w:r>
      <w:r w:rsidRPr="002A4611">
        <w:rPr>
          <w:lang w:val="en-AU" w:eastAsia="en-US"/>
        </w:rPr>
        <w:t>to reduce the number of undiagnosed STI in the community</w:t>
      </w:r>
    </w:p>
    <w:p w:rsidR="00F724E7" w:rsidRPr="002A4611" w:rsidRDefault="00F724E7" w:rsidP="00F724E7">
      <w:pPr>
        <w:pStyle w:val="CommentText"/>
        <w:numPr>
          <w:ilvl w:val="0"/>
          <w:numId w:val="13"/>
        </w:numPr>
        <w:spacing w:after="60"/>
        <w:rPr>
          <w:lang w:val="en-AU" w:eastAsia="en-US"/>
        </w:rPr>
      </w:pPr>
      <w:r w:rsidRPr="002A4611">
        <w:rPr>
          <w:lang w:val="en-AU" w:eastAsia="en-US"/>
        </w:rPr>
        <w:t>Increase early and appropriate treatment of STI to reduce further transmission and improve health outcomes</w:t>
      </w:r>
    </w:p>
    <w:p w:rsidR="00D44AB2" w:rsidRDefault="00D44AB2" w:rsidP="00D44AB2">
      <w:pPr>
        <w:pStyle w:val="CommentText"/>
        <w:numPr>
          <w:ilvl w:val="0"/>
          <w:numId w:val="13"/>
        </w:numPr>
        <w:spacing w:after="60"/>
        <w:rPr>
          <w:lang w:val="en-AU" w:eastAsia="en-US"/>
        </w:rPr>
      </w:pPr>
      <w:r w:rsidRPr="002A4611">
        <w:rPr>
          <w:lang w:val="en-AU" w:eastAsia="en-US"/>
        </w:rPr>
        <w:t xml:space="preserve">Ensure equitable access to prevention programs and resources, testing and treatment in a variety of settings, including </w:t>
      </w:r>
      <w:r w:rsidR="00E0512B">
        <w:rPr>
          <w:lang w:val="en-AU" w:eastAsia="en-US"/>
        </w:rPr>
        <w:t xml:space="preserve">sexual health, </w:t>
      </w:r>
      <w:r w:rsidRPr="002A4611">
        <w:rPr>
          <w:lang w:val="en-AU" w:eastAsia="en-US"/>
        </w:rPr>
        <w:t xml:space="preserve">primary </w:t>
      </w:r>
      <w:r w:rsidR="00E0512B">
        <w:rPr>
          <w:lang w:val="en-AU" w:eastAsia="en-US"/>
        </w:rPr>
        <w:t>care</w:t>
      </w:r>
      <w:r w:rsidR="00C256AB">
        <w:rPr>
          <w:lang w:val="en-AU" w:eastAsia="en-US"/>
        </w:rPr>
        <w:t>,</w:t>
      </w:r>
      <w:r w:rsidRPr="002A4611">
        <w:rPr>
          <w:lang w:val="en-AU" w:eastAsia="en-US"/>
        </w:rPr>
        <w:t xml:space="preserve"> community health</w:t>
      </w:r>
      <w:r w:rsidR="00597C6E">
        <w:rPr>
          <w:lang w:val="en-AU" w:eastAsia="en-US"/>
        </w:rPr>
        <w:t xml:space="preserve"> and antenatal </w:t>
      </w:r>
      <w:r w:rsidR="00E0512B">
        <w:rPr>
          <w:lang w:val="en-AU" w:eastAsia="en-US"/>
        </w:rPr>
        <w:t>care services</w:t>
      </w:r>
      <w:r w:rsidRPr="002A4611">
        <w:rPr>
          <w:lang w:val="en-AU" w:eastAsia="en-US"/>
        </w:rPr>
        <w:t xml:space="preserve">, with a focus on innovative and emerging models of service delivery </w:t>
      </w:r>
    </w:p>
    <w:p w:rsidR="00DF7EB5" w:rsidRPr="002A4611" w:rsidRDefault="00DF7EB5" w:rsidP="00F724E7">
      <w:pPr>
        <w:pStyle w:val="CommentText"/>
        <w:numPr>
          <w:ilvl w:val="0"/>
          <w:numId w:val="13"/>
        </w:numPr>
        <w:spacing w:after="60"/>
        <w:rPr>
          <w:lang w:val="en-AU" w:eastAsia="en-US"/>
        </w:rPr>
      </w:pPr>
      <w:r w:rsidRPr="002A4611">
        <w:rPr>
          <w:lang w:val="en-AU" w:eastAsia="en-US"/>
        </w:rPr>
        <w:t xml:space="preserve">Increase </w:t>
      </w:r>
      <w:r w:rsidR="00793291">
        <w:rPr>
          <w:lang w:val="en-AU" w:eastAsia="en-US"/>
        </w:rPr>
        <w:t xml:space="preserve">health </w:t>
      </w:r>
      <w:r w:rsidRPr="002A4611">
        <w:rPr>
          <w:lang w:val="en-AU" w:eastAsia="en-US"/>
        </w:rPr>
        <w:t>workforce and peer-based capability and capacity for STI prevention, treatment and support</w:t>
      </w:r>
    </w:p>
    <w:p w:rsidR="00F724E7" w:rsidRPr="002A4611" w:rsidRDefault="00F724E7" w:rsidP="00F724E7">
      <w:pPr>
        <w:pStyle w:val="CommentText"/>
        <w:numPr>
          <w:ilvl w:val="0"/>
          <w:numId w:val="13"/>
        </w:numPr>
        <w:spacing w:after="60"/>
        <w:rPr>
          <w:lang w:val="en-AU" w:eastAsia="en-US"/>
        </w:rPr>
      </w:pPr>
      <w:r w:rsidRPr="002A4611">
        <w:rPr>
          <w:lang w:val="en-AU" w:eastAsia="en-US"/>
        </w:rPr>
        <w:t>Implement a range of initiatives to address STI-related stigma and discrimination and minimise the impact on people’s health</w:t>
      </w:r>
      <w:r w:rsidR="00922F34">
        <w:rPr>
          <w:lang w:val="en-AU" w:eastAsia="en-US"/>
        </w:rPr>
        <w:t>-</w:t>
      </w:r>
      <w:r w:rsidRPr="002A4611">
        <w:rPr>
          <w:lang w:val="en-AU" w:eastAsia="en-US"/>
        </w:rPr>
        <w:t>seeking behaviour and health outcomes</w:t>
      </w:r>
    </w:p>
    <w:p w:rsidR="00F724E7" w:rsidRPr="002A4611" w:rsidRDefault="00F724E7" w:rsidP="00F724E7">
      <w:pPr>
        <w:pStyle w:val="CommentText"/>
        <w:numPr>
          <w:ilvl w:val="0"/>
          <w:numId w:val="13"/>
        </w:numPr>
        <w:spacing w:after="60"/>
        <w:rPr>
          <w:lang w:val="en-AU" w:eastAsia="en-US"/>
        </w:rPr>
      </w:pPr>
      <w:r w:rsidRPr="002A4611">
        <w:rPr>
          <w:lang w:val="en-AU" w:eastAsia="en-US"/>
        </w:rPr>
        <w:t xml:space="preserve">Continue to work towards addressing the legal, regulatory and policy barriers which affect priority populations and influence their </w:t>
      </w:r>
      <w:r w:rsidR="00922F34" w:rsidRPr="002A4611">
        <w:rPr>
          <w:lang w:val="en-AU" w:eastAsia="en-US"/>
        </w:rPr>
        <w:t>health</w:t>
      </w:r>
      <w:r w:rsidR="00922F34">
        <w:rPr>
          <w:lang w:val="en-AU" w:eastAsia="en-US"/>
        </w:rPr>
        <w:t>-</w:t>
      </w:r>
      <w:r w:rsidRPr="002A4611">
        <w:rPr>
          <w:lang w:val="en-AU" w:eastAsia="en-US"/>
        </w:rPr>
        <w:t xml:space="preserve">seeking behaviours </w:t>
      </w:r>
    </w:p>
    <w:p w:rsidR="00F724E7" w:rsidRPr="002A4611" w:rsidRDefault="00F724E7" w:rsidP="00F724E7">
      <w:pPr>
        <w:pStyle w:val="CommentText"/>
        <w:numPr>
          <w:ilvl w:val="0"/>
          <w:numId w:val="13"/>
        </w:numPr>
        <w:spacing w:after="60"/>
        <w:rPr>
          <w:lang w:val="en-AU" w:eastAsia="en-US"/>
        </w:rPr>
      </w:pPr>
      <w:r w:rsidRPr="002A4611">
        <w:rPr>
          <w:lang w:val="en-AU" w:eastAsia="en-US"/>
        </w:rPr>
        <w:t>Continue to build a strong evidence base for responding to STI</w:t>
      </w:r>
      <w:r w:rsidR="00505001">
        <w:rPr>
          <w:lang w:val="en-AU" w:eastAsia="en-US"/>
        </w:rPr>
        <w:t xml:space="preserve"> and associated new and emerging challenges</w:t>
      </w:r>
      <w:r w:rsidRPr="002A4611">
        <w:rPr>
          <w:lang w:val="en-AU" w:eastAsia="en-US"/>
        </w:rPr>
        <w:t>, informed by high-quality, timely data and surveillance systems</w:t>
      </w:r>
    </w:p>
    <w:p w:rsidR="00315462" w:rsidRPr="0078482B" w:rsidRDefault="006640C9" w:rsidP="0078482B">
      <w:pPr>
        <w:pStyle w:val="Listnumbered"/>
        <w:numPr>
          <w:ilvl w:val="0"/>
          <w:numId w:val="0"/>
        </w:numPr>
        <w:spacing w:after="0"/>
        <w:ind w:left="397"/>
        <w:rPr>
          <w:sz w:val="17"/>
          <w:szCs w:val="17"/>
          <w:lang w:val="en-US"/>
        </w:rPr>
      </w:pPr>
      <w:r>
        <w:rPr>
          <w:sz w:val="17"/>
          <w:szCs w:val="17"/>
          <w:lang w:val="en-US"/>
        </w:rPr>
        <w:br w:type="page"/>
      </w:r>
    </w:p>
    <w:p w:rsidR="0078482B" w:rsidRDefault="0078482B" w:rsidP="0078482B">
      <w:pPr>
        <w:pStyle w:val="Heading1"/>
        <w:numPr>
          <w:ilvl w:val="0"/>
          <w:numId w:val="6"/>
        </w:numPr>
      </w:pPr>
      <w:bookmarkStart w:id="14" w:name="_Ref511829463"/>
      <w:bookmarkStart w:id="15" w:name="_Toc529473034"/>
      <w:r>
        <w:t>Priority populations</w:t>
      </w:r>
      <w:bookmarkEnd w:id="14"/>
      <w:r w:rsidR="008941FD">
        <w:t xml:space="preserve"> and </w:t>
      </w:r>
      <w:r w:rsidR="00922F34">
        <w:t>s</w:t>
      </w:r>
      <w:r w:rsidR="008941FD">
        <w:t>ettings</w:t>
      </w:r>
      <w:bookmarkEnd w:id="15"/>
    </w:p>
    <w:p w:rsidR="001072C4" w:rsidRPr="0031351E" w:rsidRDefault="0078482B" w:rsidP="00D87E03">
      <w:pPr>
        <w:rPr>
          <w:iCs/>
          <w:sz w:val="20"/>
          <w:szCs w:val="20"/>
        </w:rPr>
      </w:pPr>
      <w:r w:rsidRPr="0031351E">
        <w:rPr>
          <w:sz w:val="20"/>
          <w:szCs w:val="20"/>
          <w:lang w:eastAsia="en-AU"/>
        </w:rPr>
        <w:t xml:space="preserve">STI </w:t>
      </w:r>
      <w:r w:rsidR="00D87E03" w:rsidRPr="00D93921">
        <w:rPr>
          <w:sz w:val="20"/>
          <w:szCs w:val="20"/>
          <w:lang w:eastAsia="en-AU"/>
        </w:rPr>
        <w:t xml:space="preserve">disproportionately </w:t>
      </w:r>
      <w:r w:rsidR="00D87E03" w:rsidRPr="00AA30A2">
        <w:rPr>
          <w:sz w:val="20"/>
          <w:szCs w:val="20"/>
          <w:lang w:eastAsia="en-AU"/>
        </w:rPr>
        <w:t xml:space="preserve">impacts </w:t>
      </w:r>
      <w:r w:rsidR="00922F34" w:rsidRPr="00AA30A2">
        <w:rPr>
          <w:sz w:val="20"/>
          <w:szCs w:val="20"/>
          <w:lang w:eastAsia="en-AU"/>
        </w:rPr>
        <w:t>on</w:t>
      </w:r>
      <w:r w:rsidR="00922F34" w:rsidRPr="00D93921">
        <w:rPr>
          <w:sz w:val="20"/>
          <w:szCs w:val="20"/>
          <w:lang w:eastAsia="en-AU"/>
        </w:rPr>
        <w:t xml:space="preserve"> </w:t>
      </w:r>
      <w:r w:rsidR="00D87E03" w:rsidRPr="00D93921">
        <w:rPr>
          <w:sz w:val="20"/>
          <w:szCs w:val="20"/>
          <w:lang w:eastAsia="en-AU"/>
        </w:rPr>
        <w:t>a number of</w:t>
      </w:r>
      <w:r w:rsidR="00D87E03" w:rsidRPr="0031351E">
        <w:rPr>
          <w:sz w:val="20"/>
          <w:szCs w:val="20"/>
          <w:lang w:eastAsia="en-AU"/>
        </w:rPr>
        <w:t xml:space="preserve"> key populations</w:t>
      </w:r>
      <w:r w:rsidR="001072C4" w:rsidRPr="0031351E">
        <w:rPr>
          <w:sz w:val="20"/>
          <w:szCs w:val="20"/>
          <w:lang w:eastAsia="en-AU"/>
        </w:rPr>
        <w:t>.</w:t>
      </w:r>
      <w:r w:rsidRPr="0031351E">
        <w:rPr>
          <w:sz w:val="20"/>
          <w:szCs w:val="20"/>
          <w:lang w:eastAsia="en-AU"/>
        </w:rPr>
        <w:t xml:space="preserve"> This </w:t>
      </w:r>
      <w:r w:rsidR="00D93921">
        <w:rPr>
          <w:sz w:val="20"/>
          <w:szCs w:val="20"/>
          <w:lang w:eastAsia="en-AU"/>
        </w:rPr>
        <w:t>s</w:t>
      </w:r>
      <w:r w:rsidRPr="0031351E">
        <w:rPr>
          <w:sz w:val="20"/>
          <w:szCs w:val="20"/>
          <w:lang w:eastAsia="en-AU"/>
        </w:rPr>
        <w:t xml:space="preserve">trategy </w:t>
      </w:r>
      <w:r w:rsidR="00D87E03" w:rsidRPr="0031351E">
        <w:rPr>
          <w:sz w:val="20"/>
          <w:szCs w:val="20"/>
          <w:lang w:eastAsia="en-AU"/>
        </w:rPr>
        <w:t xml:space="preserve">identifies priority populations and settings </w:t>
      </w:r>
      <w:r w:rsidRPr="0031351E">
        <w:rPr>
          <w:sz w:val="20"/>
          <w:szCs w:val="20"/>
          <w:lang w:eastAsia="en-AU"/>
        </w:rPr>
        <w:t>(</w:t>
      </w:r>
      <w:r w:rsidR="00922F34">
        <w:rPr>
          <w:sz w:val="20"/>
          <w:szCs w:val="20"/>
          <w:lang w:eastAsia="en-AU"/>
        </w:rPr>
        <w:t xml:space="preserve">see </w:t>
      </w:r>
      <w:r w:rsidRPr="0031351E">
        <w:rPr>
          <w:sz w:val="20"/>
          <w:szCs w:val="20"/>
          <w:lang w:eastAsia="en-AU"/>
        </w:rPr>
        <w:t xml:space="preserve">Figure </w:t>
      </w:r>
      <w:r w:rsidR="002955F5">
        <w:rPr>
          <w:sz w:val="20"/>
          <w:szCs w:val="20"/>
          <w:lang w:eastAsia="en-AU"/>
        </w:rPr>
        <w:t>4</w:t>
      </w:r>
      <w:r w:rsidRPr="0031351E">
        <w:rPr>
          <w:sz w:val="20"/>
          <w:szCs w:val="20"/>
          <w:lang w:eastAsia="en-AU"/>
        </w:rPr>
        <w:t xml:space="preserve">) </w:t>
      </w:r>
      <w:r w:rsidR="00D87E03" w:rsidRPr="0031351E">
        <w:rPr>
          <w:sz w:val="20"/>
          <w:szCs w:val="20"/>
          <w:lang w:eastAsia="en-AU"/>
        </w:rPr>
        <w:t>and acknowledges</w:t>
      </w:r>
      <w:r w:rsidR="00E133D0" w:rsidRPr="0031351E">
        <w:rPr>
          <w:sz w:val="20"/>
          <w:szCs w:val="20"/>
          <w:lang w:eastAsia="en-AU"/>
        </w:rPr>
        <w:t xml:space="preserve"> that many </w:t>
      </w:r>
      <w:r w:rsidR="00D87E03" w:rsidRPr="0031351E">
        <w:rPr>
          <w:sz w:val="20"/>
          <w:szCs w:val="20"/>
          <w:lang w:eastAsia="en-AU"/>
        </w:rPr>
        <w:t xml:space="preserve">individuals may identify with multiple priority populations and settings. </w:t>
      </w:r>
      <w:r w:rsidR="00AA30A2">
        <w:rPr>
          <w:iCs/>
          <w:sz w:val="20"/>
          <w:szCs w:val="20"/>
        </w:rPr>
        <w:t>This results in a diverse variety</w:t>
      </w:r>
      <w:r w:rsidR="00D87E03" w:rsidRPr="0031351E">
        <w:rPr>
          <w:iCs/>
          <w:sz w:val="20"/>
          <w:szCs w:val="20"/>
        </w:rPr>
        <w:t xml:space="preserve"> of intersecting characteristics and risk factors unique to each individual. In accordance with the guiding principle of access and equity, the unique challenges and experiences within all priority populations need to be considered in the response</w:t>
      </w:r>
      <w:r w:rsidR="00D87E03" w:rsidRPr="00D93921">
        <w:rPr>
          <w:iCs/>
          <w:sz w:val="20"/>
          <w:szCs w:val="20"/>
        </w:rPr>
        <w:t xml:space="preserve">. </w:t>
      </w:r>
      <w:r w:rsidR="00D87E03" w:rsidRPr="00AA30A2">
        <w:rPr>
          <w:iCs/>
          <w:sz w:val="20"/>
          <w:szCs w:val="20"/>
        </w:rPr>
        <w:t>This includes</w:t>
      </w:r>
      <w:r w:rsidR="00D87E03" w:rsidRPr="00D93921">
        <w:rPr>
          <w:iCs/>
          <w:sz w:val="20"/>
          <w:szCs w:val="20"/>
        </w:rPr>
        <w:t>, but is not limited</w:t>
      </w:r>
      <w:r w:rsidR="00D87E03" w:rsidRPr="0031351E">
        <w:rPr>
          <w:iCs/>
          <w:sz w:val="20"/>
          <w:szCs w:val="20"/>
        </w:rPr>
        <w:t xml:space="preserve"> to, all gender expressions and experiences, disabilities, cultural and ethnic identities, different geographic settings, sexual orientations and religious affiliations. </w:t>
      </w:r>
    </w:p>
    <w:p w:rsidR="00D87E03" w:rsidRDefault="00D87E03" w:rsidP="00D87E03">
      <w:pPr>
        <w:rPr>
          <w:iCs/>
          <w:sz w:val="20"/>
          <w:szCs w:val="20"/>
        </w:rPr>
      </w:pPr>
      <w:r w:rsidRPr="0031351E">
        <w:rPr>
          <w:iCs/>
          <w:sz w:val="20"/>
          <w:szCs w:val="20"/>
        </w:rPr>
        <w:t xml:space="preserve">While women are not represented </w:t>
      </w:r>
      <w:r w:rsidR="001072C4" w:rsidRPr="0031351E">
        <w:rPr>
          <w:iCs/>
          <w:sz w:val="20"/>
          <w:szCs w:val="20"/>
        </w:rPr>
        <w:t xml:space="preserve">in this </w:t>
      </w:r>
      <w:r w:rsidR="00D93921">
        <w:rPr>
          <w:iCs/>
          <w:sz w:val="20"/>
          <w:szCs w:val="20"/>
        </w:rPr>
        <w:t>s</w:t>
      </w:r>
      <w:r w:rsidR="001072C4" w:rsidRPr="0031351E">
        <w:rPr>
          <w:iCs/>
          <w:sz w:val="20"/>
          <w:szCs w:val="20"/>
        </w:rPr>
        <w:t xml:space="preserve">trategy </w:t>
      </w:r>
      <w:r w:rsidRPr="0031351E">
        <w:rPr>
          <w:iCs/>
          <w:sz w:val="20"/>
          <w:szCs w:val="20"/>
        </w:rPr>
        <w:t>a</w:t>
      </w:r>
      <w:r w:rsidR="00D96CE3">
        <w:rPr>
          <w:iCs/>
          <w:sz w:val="20"/>
          <w:szCs w:val="20"/>
        </w:rPr>
        <w:t>s a distinct priority population</w:t>
      </w:r>
      <w:r w:rsidRPr="0031351E">
        <w:rPr>
          <w:iCs/>
          <w:sz w:val="20"/>
          <w:szCs w:val="20"/>
        </w:rPr>
        <w:t xml:space="preserve">, women are recognised across most </w:t>
      </w:r>
      <w:r w:rsidR="00D96CE3">
        <w:rPr>
          <w:iCs/>
          <w:sz w:val="20"/>
          <w:szCs w:val="20"/>
        </w:rPr>
        <w:t xml:space="preserve">of the </w:t>
      </w:r>
      <w:r w:rsidRPr="0031351E">
        <w:rPr>
          <w:iCs/>
          <w:sz w:val="20"/>
          <w:szCs w:val="20"/>
        </w:rPr>
        <w:t>priority populations. Women</w:t>
      </w:r>
      <w:r w:rsidR="001072C4" w:rsidRPr="0031351E">
        <w:rPr>
          <w:iCs/>
          <w:sz w:val="20"/>
          <w:szCs w:val="20"/>
        </w:rPr>
        <w:t xml:space="preserve"> </w:t>
      </w:r>
      <w:r w:rsidR="008F33B6">
        <w:rPr>
          <w:iCs/>
          <w:sz w:val="20"/>
          <w:szCs w:val="20"/>
        </w:rPr>
        <w:t xml:space="preserve">are impacted by STI differently </w:t>
      </w:r>
      <w:r w:rsidR="00922F34">
        <w:rPr>
          <w:iCs/>
          <w:sz w:val="20"/>
          <w:szCs w:val="20"/>
        </w:rPr>
        <w:t xml:space="preserve">from </w:t>
      </w:r>
      <w:r w:rsidR="008F33B6">
        <w:rPr>
          <w:iCs/>
          <w:sz w:val="20"/>
          <w:szCs w:val="20"/>
        </w:rPr>
        <w:t>men</w:t>
      </w:r>
      <w:r w:rsidR="00922F34">
        <w:rPr>
          <w:iCs/>
          <w:sz w:val="20"/>
          <w:szCs w:val="20"/>
        </w:rPr>
        <w:t>—</w:t>
      </w:r>
      <w:r w:rsidR="008F33B6">
        <w:rPr>
          <w:iCs/>
          <w:sz w:val="20"/>
          <w:szCs w:val="20"/>
        </w:rPr>
        <w:t>they</w:t>
      </w:r>
      <w:r w:rsidR="0016255A">
        <w:rPr>
          <w:iCs/>
          <w:sz w:val="20"/>
          <w:szCs w:val="20"/>
        </w:rPr>
        <w:t xml:space="preserve"> are more like</w:t>
      </w:r>
      <w:r w:rsidR="00A93B5D">
        <w:rPr>
          <w:iCs/>
          <w:sz w:val="20"/>
          <w:szCs w:val="20"/>
        </w:rPr>
        <w:t>ly</w:t>
      </w:r>
      <w:r w:rsidR="0016255A">
        <w:rPr>
          <w:iCs/>
          <w:sz w:val="20"/>
          <w:szCs w:val="20"/>
        </w:rPr>
        <w:t xml:space="preserve"> to be asymptomatic</w:t>
      </w:r>
      <w:r w:rsidR="00C42A3E">
        <w:rPr>
          <w:iCs/>
          <w:sz w:val="20"/>
          <w:szCs w:val="20"/>
        </w:rPr>
        <w:t>,</w:t>
      </w:r>
      <w:r w:rsidR="008F33B6">
        <w:rPr>
          <w:iCs/>
          <w:sz w:val="20"/>
          <w:szCs w:val="20"/>
        </w:rPr>
        <w:t xml:space="preserve"> their anatomy is a </w:t>
      </w:r>
      <w:proofErr w:type="gramStart"/>
      <w:r w:rsidR="008F33B6">
        <w:rPr>
          <w:iCs/>
          <w:sz w:val="20"/>
          <w:szCs w:val="20"/>
        </w:rPr>
        <w:t>conducive</w:t>
      </w:r>
      <w:proofErr w:type="gramEnd"/>
      <w:r w:rsidR="008F33B6">
        <w:rPr>
          <w:iCs/>
          <w:sz w:val="20"/>
          <w:szCs w:val="20"/>
        </w:rPr>
        <w:t xml:space="preserve"> environment for the sexual transmission of bacteria and viruses,</w:t>
      </w:r>
      <w:r w:rsidR="00C42A3E">
        <w:rPr>
          <w:iCs/>
          <w:sz w:val="20"/>
          <w:szCs w:val="20"/>
        </w:rPr>
        <w:t xml:space="preserve"> and </w:t>
      </w:r>
      <w:r w:rsidR="008F33B6">
        <w:rPr>
          <w:iCs/>
          <w:sz w:val="20"/>
          <w:szCs w:val="20"/>
        </w:rPr>
        <w:t xml:space="preserve">they </w:t>
      </w:r>
      <w:r w:rsidR="0016255A">
        <w:rPr>
          <w:iCs/>
          <w:sz w:val="20"/>
          <w:szCs w:val="20"/>
        </w:rPr>
        <w:t>disproportionately bear the long</w:t>
      </w:r>
      <w:r w:rsidR="00922F34">
        <w:rPr>
          <w:iCs/>
          <w:sz w:val="20"/>
          <w:szCs w:val="20"/>
        </w:rPr>
        <w:t>-</w:t>
      </w:r>
      <w:r w:rsidR="0016255A">
        <w:rPr>
          <w:iCs/>
          <w:sz w:val="20"/>
          <w:szCs w:val="20"/>
        </w:rPr>
        <w:t xml:space="preserve">term </w:t>
      </w:r>
      <w:r w:rsidR="00C42A3E">
        <w:rPr>
          <w:iCs/>
          <w:sz w:val="20"/>
          <w:szCs w:val="20"/>
        </w:rPr>
        <w:t>impacts</w:t>
      </w:r>
      <w:r w:rsidR="0016255A">
        <w:rPr>
          <w:iCs/>
          <w:sz w:val="20"/>
          <w:szCs w:val="20"/>
        </w:rPr>
        <w:t xml:space="preserve"> of STI</w:t>
      </w:r>
      <w:r w:rsidR="00C42A3E">
        <w:rPr>
          <w:iCs/>
          <w:sz w:val="20"/>
          <w:szCs w:val="20"/>
        </w:rPr>
        <w:t>, including serious reproductive consequences and mother-to-child transmission</w:t>
      </w:r>
      <w:r w:rsidR="0099153D">
        <w:rPr>
          <w:iCs/>
          <w:sz w:val="20"/>
          <w:szCs w:val="20"/>
        </w:rPr>
        <w:t>.</w:t>
      </w:r>
      <w:r w:rsidR="0099153D">
        <w:rPr>
          <w:rStyle w:val="EndnoteReference"/>
          <w:iCs/>
          <w:sz w:val="20"/>
          <w:szCs w:val="20"/>
        </w:rPr>
        <w:endnoteReference w:id="25"/>
      </w:r>
      <w:r w:rsidR="0099153D">
        <w:rPr>
          <w:iCs/>
          <w:sz w:val="20"/>
          <w:szCs w:val="20"/>
        </w:rPr>
        <w:t xml:space="preserve"> Rates of </w:t>
      </w:r>
      <w:r w:rsidR="009B23D8">
        <w:rPr>
          <w:iCs/>
          <w:sz w:val="20"/>
          <w:szCs w:val="20"/>
        </w:rPr>
        <w:t xml:space="preserve">all notifiable </w:t>
      </w:r>
      <w:r w:rsidR="0099153D">
        <w:rPr>
          <w:iCs/>
          <w:sz w:val="20"/>
          <w:szCs w:val="20"/>
        </w:rPr>
        <w:t xml:space="preserve">STI in females </w:t>
      </w:r>
      <w:r w:rsidR="00316E7C">
        <w:rPr>
          <w:iCs/>
          <w:sz w:val="20"/>
          <w:szCs w:val="20"/>
        </w:rPr>
        <w:t xml:space="preserve">in Australia </w:t>
      </w:r>
      <w:r w:rsidR="0099153D">
        <w:rPr>
          <w:iCs/>
          <w:sz w:val="20"/>
          <w:szCs w:val="20"/>
        </w:rPr>
        <w:t>have increased</w:t>
      </w:r>
      <w:r w:rsidR="00DC2138">
        <w:rPr>
          <w:iCs/>
          <w:sz w:val="20"/>
          <w:szCs w:val="20"/>
        </w:rPr>
        <w:t xml:space="preserve"> since 2012, </w:t>
      </w:r>
      <w:r w:rsidR="0099153D">
        <w:rPr>
          <w:iCs/>
          <w:sz w:val="20"/>
          <w:szCs w:val="20"/>
        </w:rPr>
        <w:t>particularly</w:t>
      </w:r>
      <w:r w:rsidR="00DC2138">
        <w:rPr>
          <w:iCs/>
          <w:sz w:val="20"/>
          <w:szCs w:val="20"/>
        </w:rPr>
        <w:t xml:space="preserve"> for</w:t>
      </w:r>
      <w:r w:rsidR="0099153D">
        <w:rPr>
          <w:iCs/>
          <w:sz w:val="20"/>
          <w:szCs w:val="20"/>
        </w:rPr>
        <w:t xml:space="preserve"> gonorrhoea and syphilis.</w:t>
      </w:r>
      <w:r w:rsidR="00316E7C" w:rsidRPr="00316E7C">
        <w:rPr>
          <w:iCs/>
          <w:sz w:val="20"/>
          <w:szCs w:val="20"/>
          <w:vertAlign w:val="superscript"/>
        </w:rPr>
        <w:t>2</w:t>
      </w:r>
      <w:r w:rsidR="00F56D47">
        <w:rPr>
          <w:iCs/>
          <w:sz w:val="20"/>
          <w:szCs w:val="20"/>
          <w:vertAlign w:val="superscript"/>
        </w:rPr>
        <w:t>2</w:t>
      </w:r>
      <w:r w:rsidR="0099153D">
        <w:rPr>
          <w:iCs/>
          <w:sz w:val="20"/>
          <w:szCs w:val="20"/>
        </w:rPr>
        <w:t xml:space="preserve"> </w:t>
      </w:r>
      <w:proofErr w:type="gramStart"/>
      <w:r w:rsidR="004333D5">
        <w:rPr>
          <w:iCs/>
          <w:sz w:val="20"/>
          <w:szCs w:val="20"/>
        </w:rPr>
        <w:t>It</w:t>
      </w:r>
      <w:proofErr w:type="gramEnd"/>
      <w:r w:rsidR="004333D5">
        <w:rPr>
          <w:iCs/>
          <w:sz w:val="20"/>
          <w:szCs w:val="20"/>
        </w:rPr>
        <w:t xml:space="preserve"> is important the unique </w:t>
      </w:r>
      <w:r w:rsidR="00D96CE3">
        <w:rPr>
          <w:iCs/>
          <w:sz w:val="20"/>
          <w:szCs w:val="20"/>
        </w:rPr>
        <w:t xml:space="preserve">experiences and </w:t>
      </w:r>
      <w:r w:rsidR="004333D5">
        <w:rPr>
          <w:iCs/>
          <w:sz w:val="20"/>
          <w:szCs w:val="20"/>
        </w:rPr>
        <w:t xml:space="preserve">needs of women are considered and addressed in the response. </w:t>
      </w:r>
    </w:p>
    <w:p w:rsidR="00D01831" w:rsidRDefault="002D20AE" w:rsidP="00D01831">
      <w:pPr>
        <w:rPr>
          <w:sz w:val="20"/>
          <w:szCs w:val="20"/>
          <w:lang w:eastAsia="en-AU"/>
        </w:rPr>
      </w:pPr>
      <w:r w:rsidRPr="007F3D15">
        <w:rPr>
          <w:sz w:val="20"/>
          <w:szCs w:val="20"/>
          <w:lang w:eastAsia="en-AU"/>
        </w:rPr>
        <w:t xml:space="preserve">People who use drugs are not represented as a distinct priority population in this </w:t>
      </w:r>
      <w:r w:rsidR="00AB6829">
        <w:rPr>
          <w:sz w:val="20"/>
          <w:szCs w:val="20"/>
          <w:lang w:eastAsia="en-AU"/>
        </w:rPr>
        <w:t>s</w:t>
      </w:r>
      <w:r w:rsidRPr="007F3D15">
        <w:rPr>
          <w:sz w:val="20"/>
          <w:szCs w:val="20"/>
          <w:lang w:eastAsia="en-AU"/>
        </w:rPr>
        <w:t xml:space="preserve">trategy but are represented across the priority populations. </w:t>
      </w:r>
      <w:r w:rsidR="007C77B9" w:rsidRPr="007F3D15">
        <w:rPr>
          <w:sz w:val="20"/>
          <w:szCs w:val="20"/>
          <w:lang w:eastAsia="en-AU"/>
        </w:rPr>
        <w:t xml:space="preserve">Research </w:t>
      </w:r>
      <w:r w:rsidR="00537EA2">
        <w:rPr>
          <w:sz w:val="20"/>
          <w:szCs w:val="20"/>
          <w:lang w:eastAsia="en-AU"/>
        </w:rPr>
        <w:t>suggests</w:t>
      </w:r>
      <w:r w:rsidR="007C77B9" w:rsidRPr="007F3D15">
        <w:rPr>
          <w:sz w:val="20"/>
          <w:szCs w:val="20"/>
          <w:lang w:eastAsia="en-AU"/>
        </w:rPr>
        <w:t xml:space="preserve"> that</w:t>
      </w:r>
      <w:r w:rsidR="001E2CFB">
        <w:rPr>
          <w:sz w:val="20"/>
          <w:szCs w:val="20"/>
          <w:lang w:eastAsia="en-AU"/>
        </w:rPr>
        <w:t xml:space="preserve"> the use and misuse of </w:t>
      </w:r>
      <w:r w:rsidR="00537EA2">
        <w:rPr>
          <w:sz w:val="20"/>
          <w:szCs w:val="20"/>
          <w:lang w:eastAsia="en-AU"/>
        </w:rPr>
        <w:t xml:space="preserve">some </w:t>
      </w:r>
      <w:r w:rsidR="001E2CFB">
        <w:rPr>
          <w:sz w:val="20"/>
          <w:szCs w:val="20"/>
          <w:lang w:eastAsia="en-AU"/>
        </w:rPr>
        <w:t>illicit and licit drugs</w:t>
      </w:r>
      <w:r w:rsidR="008D46D1">
        <w:rPr>
          <w:sz w:val="20"/>
          <w:szCs w:val="20"/>
          <w:lang w:eastAsia="en-AU"/>
        </w:rPr>
        <w:t xml:space="preserve"> and risky alcohol consumption </w:t>
      </w:r>
      <w:r w:rsidR="001E2CFB">
        <w:rPr>
          <w:sz w:val="20"/>
          <w:szCs w:val="20"/>
          <w:lang w:eastAsia="en-AU"/>
        </w:rPr>
        <w:t>may</w:t>
      </w:r>
      <w:r w:rsidR="007C77B9" w:rsidRPr="007F3D15">
        <w:rPr>
          <w:sz w:val="20"/>
          <w:szCs w:val="20"/>
          <w:lang w:eastAsia="en-AU"/>
        </w:rPr>
        <w:t xml:space="preserve"> increase</w:t>
      </w:r>
      <w:r w:rsidRPr="007F3D15">
        <w:rPr>
          <w:sz w:val="20"/>
          <w:szCs w:val="20"/>
          <w:lang w:eastAsia="en-AU"/>
        </w:rPr>
        <w:t xml:space="preserve"> the likelihood of high</w:t>
      </w:r>
      <w:r w:rsidR="00922F34">
        <w:rPr>
          <w:sz w:val="20"/>
          <w:szCs w:val="20"/>
          <w:lang w:eastAsia="en-AU"/>
        </w:rPr>
        <w:t>-</w:t>
      </w:r>
      <w:r w:rsidRPr="007F3D15">
        <w:rPr>
          <w:sz w:val="20"/>
          <w:szCs w:val="20"/>
          <w:lang w:eastAsia="en-AU"/>
        </w:rPr>
        <w:t xml:space="preserve">risk sexual </w:t>
      </w:r>
      <w:r w:rsidR="008D46D1">
        <w:rPr>
          <w:sz w:val="20"/>
          <w:szCs w:val="20"/>
          <w:lang w:eastAsia="en-AU"/>
        </w:rPr>
        <w:t>contact</w:t>
      </w:r>
      <w:r w:rsidR="008D46D1" w:rsidRPr="007F3D15">
        <w:rPr>
          <w:sz w:val="20"/>
          <w:szCs w:val="20"/>
          <w:lang w:eastAsia="en-AU"/>
        </w:rPr>
        <w:t xml:space="preserve"> </w:t>
      </w:r>
      <w:r w:rsidRPr="007F3D15">
        <w:rPr>
          <w:sz w:val="20"/>
          <w:szCs w:val="20"/>
          <w:lang w:eastAsia="en-AU"/>
        </w:rPr>
        <w:t>and</w:t>
      </w:r>
      <w:r w:rsidR="007C77B9" w:rsidRPr="007F3D15">
        <w:rPr>
          <w:sz w:val="20"/>
          <w:szCs w:val="20"/>
          <w:lang w:eastAsia="en-AU"/>
        </w:rPr>
        <w:t xml:space="preserve"> STI tran</w:t>
      </w:r>
      <w:r w:rsidR="007C77B9" w:rsidRPr="00025E04">
        <w:rPr>
          <w:sz w:val="20"/>
          <w:szCs w:val="20"/>
          <w:lang w:eastAsia="en-AU"/>
        </w:rPr>
        <w:t>smission</w:t>
      </w:r>
      <w:r w:rsidR="001E2CFB" w:rsidRPr="00025E04">
        <w:rPr>
          <w:sz w:val="20"/>
          <w:szCs w:val="20"/>
          <w:lang w:eastAsia="en-AU"/>
        </w:rPr>
        <w:t>.</w:t>
      </w:r>
      <w:r w:rsidRPr="00025E04">
        <w:rPr>
          <w:rStyle w:val="EndnoteReference"/>
          <w:sz w:val="20"/>
          <w:szCs w:val="20"/>
          <w:lang w:eastAsia="en-AU"/>
        </w:rPr>
        <w:endnoteReference w:id="26"/>
      </w:r>
      <w:r w:rsidR="0086497F" w:rsidRPr="00025E04">
        <w:rPr>
          <w:sz w:val="20"/>
          <w:szCs w:val="20"/>
          <w:vertAlign w:val="superscript"/>
          <w:lang w:eastAsia="en-AU"/>
        </w:rPr>
        <w:t>,</w:t>
      </w:r>
      <w:r w:rsidR="0086497F" w:rsidRPr="00025E04">
        <w:rPr>
          <w:rStyle w:val="EndnoteReference"/>
          <w:sz w:val="20"/>
          <w:szCs w:val="20"/>
          <w:lang w:eastAsia="en-AU"/>
        </w:rPr>
        <w:endnoteReference w:id="27"/>
      </w:r>
      <w:r w:rsidR="00B43B19" w:rsidRPr="00025E04">
        <w:rPr>
          <w:sz w:val="20"/>
          <w:szCs w:val="20"/>
          <w:vertAlign w:val="superscript"/>
          <w:lang w:eastAsia="en-AU"/>
        </w:rPr>
        <w:t>,</w:t>
      </w:r>
      <w:r w:rsidR="00B43B19" w:rsidRPr="00025E04">
        <w:rPr>
          <w:rStyle w:val="EndnoteReference"/>
          <w:sz w:val="20"/>
          <w:szCs w:val="20"/>
          <w:lang w:eastAsia="en-AU"/>
        </w:rPr>
        <w:endnoteReference w:id="28"/>
      </w:r>
      <w:r w:rsidR="008D46D1" w:rsidRPr="00025E04">
        <w:rPr>
          <w:sz w:val="20"/>
          <w:szCs w:val="20"/>
          <w:vertAlign w:val="superscript"/>
          <w:lang w:eastAsia="en-AU"/>
        </w:rPr>
        <w:t>,</w:t>
      </w:r>
      <w:r w:rsidR="008D46D1" w:rsidRPr="00025E04">
        <w:rPr>
          <w:rStyle w:val="EndnoteReference"/>
          <w:sz w:val="20"/>
          <w:szCs w:val="20"/>
          <w:lang w:eastAsia="en-AU"/>
        </w:rPr>
        <w:endnoteReference w:id="29"/>
      </w:r>
      <w:r w:rsidR="00A877AF" w:rsidRPr="00025E04">
        <w:rPr>
          <w:sz w:val="20"/>
          <w:szCs w:val="20"/>
          <w:lang w:eastAsia="en-AU"/>
        </w:rPr>
        <w:t xml:space="preserve"> </w:t>
      </w:r>
      <w:r w:rsidR="00537EA2" w:rsidRPr="00025E04">
        <w:rPr>
          <w:sz w:val="20"/>
          <w:szCs w:val="20"/>
          <w:lang w:eastAsia="en-AU"/>
        </w:rPr>
        <w:t>The corr</w:t>
      </w:r>
      <w:r w:rsidR="00BC1C5B" w:rsidRPr="00025E04">
        <w:rPr>
          <w:sz w:val="20"/>
          <w:szCs w:val="20"/>
          <w:lang w:eastAsia="en-AU"/>
        </w:rPr>
        <w:t xml:space="preserve">elation between methamphetamine </w:t>
      </w:r>
      <w:r w:rsidR="00537EA2" w:rsidRPr="00025E04">
        <w:rPr>
          <w:sz w:val="20"/>
          <w:szCs w:val="20"/>
          <w:lang w:eastAsia="en-AU"/>
        </w:rPr>
        <w:t>use and incr</w:t>
      </w:r>
      <w:r w:rsidR="002A4611" w:rsidRPr="00025E04">
        <w:rPr>
          <w:sz w:val="20"/>
          <w:szCs w:val="20"/>
          <w:lang w:eastAsia="en-AU"/>
        </w:rPr>
        <w:t>eased risk of STI has been well</w:t>
      </w:r>
      <w:r w:rsidR="00922F34">
        <w:rPr>
          <w:sz w:val="20"/>
          <w:szCs w:val="20"/>
          <w:lang w:eastAsia="en-AU"/>
        </w:rPr>
        <w:t xml:space="preserve"> </w:t>
      </w:r>
      <w:r w:rsidR="00537EA2" w:rsidRPr="00025E04">
        <w:rPr>
          <w:sz w:val="20"/>
          <w:szCs w:val="20"/>
          <w:lang w:eastAsia="en-AU"/>
        </w:rPr>
        <w:t>documented, and there is increasing evidence that this may also apply more wi</w:t>
      </w:r>
      <w:r w:rsidR="00BC1C5B" w:rsidRPr="00025E04">
        <w:rPr>
          <w:sz w:val="20"/>
          <w:szCs w:val="20"/>
          <w:lang w:eastAsia="en-AU"/>
        </w:rPr>
        <w:t>dely to injecting drug use, non</w:t>
      </w:r>
      <w:r w:rsidR="00BC1C5B" w:rsidRPr="00025E04">
        <w:rPr>
          <w:sz w:val="20"/>
          <w:szCs w:val="20"/>
          <w:lang w:eastAsia="en-AU"/>
        </w:rPr>
        <w:noBreakHyphen/>
      </w:r>
      <w:r w:rsidR="00537EA2" w:rsidRPr="00025E04">
        <w:rPr>
          <w:sz w:val="20"/>
          <w:szCs w:val="20"/>
          <w:lang w:eastAsia="en-AU"/>
        </w:rPr>
        <w:t>medical use of prescription drugs and other illicit drug use.</w:t>
      </w:r>
      <w:r w:rsidR="00142AFC" w:rsidRPr="00025E04">
        <w:rPr>
          <w:rStyle w:val="EndnoteReference"/>
          <w:sz w:val="20"/>
          <w:szCs w:val="20"/>
          <w:lang w:eastAsia="en-AU"/>
        </w:rPr>
        <w:endnoteReference w:id="30"/>
      </w:r>
      <w:r w:rsidR="006B18D0" w:rsidRPr="00025E04">
        <w:rPr>
          <w:sz w:val="20"/>
          <w:szCs w:val="20"/>
          <w:vertAlign w:val="superscript"/>
          <w:lang w:eastAsia="en-AU"/>
        </w:rPr>
        <w:t>,</w:t>
      </w:r>
      <w:r w:rsidR="006B18D0" w:rsidRPr="00025E04">
        <w:rPr>
          <w:rStyle w:val="EndnoteReference"/>
          <w:sz w:val="20"/>
          <w:szCs w:val="20"/>
          <w:lang w:eastAsia="en-AU"/>
        </w:rPr>
        <w:endnoteReference w:id="31"/>
      </w:r>
      <w:r w:rsidR="006B18D0" w:rsidRPr="00025E04">
        <w:rPr>
          <w:sz w:val="20"/>
          <w:szCs w:val="20"/>
          <w:vertAlign w:val="superscript"/>
          <w:lang w:eastAsia="en-AU"/>
        </w:rPr>
        <w:t>,</w:t>
      </w:r>
      <w:r w:rsidR="006B18D0" w:rsidRPr="00025E04">
        <w:rPr>
          <w:rStyle w:val="EndnoteReference"/>
          <w:sz w:val="20"/>
          <w:szCs w:val="20"/>
          <w:lang w:eastAsia="en-AU"/>
        </w:rPr>
        <w:endnoteReference w:id="32"/>
      </w:r>
      <w:r w:rsidR="00537EA2" w:rsidRPr="00025E04">
        <w:rPr>
          <w:sz w:val="20"/>
          <w:szCs w:val="20"/>
          <w:lang w:eastAsia="en-AU"/>
        </w:rPr>
        <w:t xml:space="preserve"> </w:t>
      </w:r>
      <w:r w:rsidR="00BB74CB" w:rsidRPr="00025E04">
        <w:rPr>
          <w:sz w:val="20"/>
          <w:szCs w:val="20"/>
          <w:lang w:eastAsia="en-AU"/>
        </w:rPr>
        <w:t>The priorit</w:t>
      </w:r>
      <w:r w:rsidR="00BB74CB" w:rsidRPr="007F3D15">
        <w:rPr>
          <w:sz w:val="20"/>
          <w:szCs w:val="20"/>
          <w:lang w:eastAsia="en-AU"/>
        </w:rPr>
        <w:t xml:space="preserve">y populations outlined in the </w:t>
      </w:r>
      <w:r w:rsidR="00BB74CB" w:rsidRPr="00922F34">
        <w:rPr>
          <w:sz w:val="20"/>
          <w:szCs w:val="20"/>
          <w:lang w:eastAsia="en-AU"/>
        </w:rPr>
        <w:t>National Drug Strategy 2017</w:t>
      </w:r>
      <w:r w:rsidR="00922F34">
        <w:rPr>
          <w:sz w:val="20"/>
          <w:szCs w:val="20"/>
          <w:lang w:eastAsia="en-AU"/>
        </w:rPr>
        <w:t>–</w:t>
      </w:r>
      <w:r w:rsidR="00BB74CB" w:rsidRPr="00922F34">
        <w:rPr>
          <w:sz w:val="20"/>
          <w:szCs w:val="20"/>
          <w:lang w:eastAsia="en-AU"/>
        </w:rPr>
        <w:t>2026</w:t>
      </w:r>
      <w:r w:rsidR="00BB74CB" w:rsidRPr="007F3D15">
        <w:rPr>
          <w:sz w:val="20"/>
          <w:szCs w:val="20"/>
          <w:lang w:eastAsia="en-AU"/>
        </w:rPr>
        <w:t xml:space="preserve"> </w:t>
      </w:r>
      <w:r w:rsidR="00F97531">
        <w:rPr>
          <w:sz w:val="20"/>
          <w:szCs w:val="20"/>
          <w:lang w:eastAsia="en-AU"/>
        </w:rPr>
        <w:t xml:space="preserve">also </w:t>
      </w:r>
      <w:r w:rsidR="00BB74CB" w:rsidRPr="007F3D15">
        <w:rPr>
          <w:sz w:val="20"/>
          <w:szCs w:val="20"/>
          <w:lang w:eastAsia="en-AU"/>
        </w:rPr>
        <w:t xml:space="preserve">align </w:t>
      </w:r>
      <w:r w:rsidR="00A17F90" w:rsidRPr="007F3D15">
        <w:rPr>
          <w:sz w:val="20"/>
          <w:szCs w:val="20"/>
          <w:lang w:eastAsia="en-AU"/>
        </w:rPr>
        <w:t>closely</w:t>
      </w:r>
      <w:r w:rsidR="00F97531">
        <w:rPr>
          <w:sz w:val="20"/>
          <w:szCs w:val="20"/>
          <w:lang w:eastAsia="en-AU"/>
        </w:rPr>
        <w:t xml:space="preserve"> </w:t>
      </w:r>
      <w:r w:rsidR="00922F34">
        <w:rPr>
          <w:sz w:val="20"/>
          <w:szCs w:val="20"/>
          <w:lang w:eastAsia="en-AU"/>
        </w:rPr>
        <w:t xml:space="preserve">with </w:t>
      </w:r>
      <w:r w:rsidR="00F97531">
        <w:rPr>
          <w:sz w:val="20"/>
          <w:szCs w:val="20"/>
          <w:lang w:eastAsia="en-AU"/>
        </w:rPr>
        <w:t>those in</w:t>
      </w:r>
      <w:r w:rsidR="00F039EC" w:rsidRPr="007F3D15">
        <w:rPr>
          <w:sz w:val="20"/>
          <w:szCs w:val="20"/>
          <w:lang w:eastAsia="en-AU"/>
        </w:rPr>
        <w:t xml:space="preserve"> this </w:t>
      </w:r>
      <w:r w:rsidR="00AB6829">
        <w:rPr>
          <w:sz w:val="20"/>
          <w:szCs w:val="20"/>
          <w:lang w:eastAsia="en-AU"/>
        </w:rPr>
        <w:t>s</w:t>
      </w:r>
      <w:r w:rsidR="00BB74CB" w:rsidRPr="007F3D15">
        <w:rPr>
          <w:sz w:val="20"/>
          <w:szCs w:val="20"/>
          <w:lang w:eastAsia="en-AU"/>
        </w:rPr>
        <w:t>trategy.</w:t>
      </w:r>
      <w:r w:rsidR="00F039EC" w:rsidRPr="007F3D15">
        <w:rPr>
          <w:sz w:val="20"/>
          <w:szCs w:val="20"/>
          <w:lang w:eastAsia="en-AU"/>
        </w:rPr>
        <w:t xml:space="preserve"> It is important that </w:t>
      </w:r>
      <w:r w:rsidR="00A17F90" w:rsidRPr="007F3D15">
        <w:rPr>
          <w:sz w:val="20"/>
          <w:szCs w:val="20"/>
          <w:lang w:eastAsia="en-AU"/>
        </w:rPr>
        <w:t>the respo</w:t>
      </w:r>
      <w:r w:rsidR="007C77B9" w:rsidRPr="007F3D15">
        <w:rPr>
          <w:sz w:val="20"/>
          <w:szCs w:val="20"/>
          <w:lang w:eastAsia="en-AU"/>
        </w:rPr>
        <w:t>nse considers and addresses</w:t>
      </w:r>
      <w:r w:rsidR="00A17F90" w:rsidRPr="007F3D15">
        <w:rPr>
          <w:sz w:val="20"/>
          <w:szCs w:val="20"/>
          <w:lang w:eastAsia="en-AU"/>
        </w:rPr>
        <w:t xml:space="preserve"> </w:t>
      </w:r>
      <w:r w:rsidR="00F039EC" w:rsidRPr="007F3D15">
        <w:rPr>
          <w:sz w:val="20"/>
          <w:szCs w:val="20"/>
          <w:lang w:eastAsia="en-AU"/>
        </w:rPr>
        <w:t xml:space="preserve">the unique challenges and experiences of </w:t>
      </w:r>
      <w:r w:rsidR="00A17F90" w:rsidRPr="007F3D15">
        <w:rPr>
          <w:sz w:val="20"/>
          <w:szCs w:val="20"/>
          <w:lang w:eastAsia="en-AU"/>
        </w:rPr>
        <w:t xml:space="preserve">people within </w:t>
      </w:r>
      <w:r w:rsidR="00F039EC" w:rsidRPr="007F3D15">
        <w:rPr>
          <w:sz w:val="20"/>
          <w:szCs w:val="20"/>
          <w:lang w:eastAsia="en-AU"/>
        </w:rPr>
        <w:t>this group in relation to STI</w:t>
      </w:r>
      <w:r w:rsidR="007C77B9" w:rsidRPr="007F3D15">
        <w:rPr>
          <w:sz w:val="20"/>
          <w:szCs w:val="20"/>
          <w:lang w:eastAsia="en-AU"/>
        </w:rPr>
        <w:t>.</w:t>
      </w:r>
    </w:p>
    <w:p w:rsidR="007D0E1D" w:rsidRDefault="007D0E1D" w:rsidP="007D0E1D">
      <w:pPr>
        <w:rPr>
          <w:sz w:val="20"/>
          <w:szCs w:val="20"/>
        </w:rPr>
      </w:pPr>
      <w:r>
        <w:rPr>
          <w:sz w:val="20"/>
          <w:szCs w:val="20"/>
        </w:rPr>
        <w:t>While not a represented as a distinct priority population in this strategy</w:t>
      </w:r>
      <w:r w:rsidR="00014A66">
        <w:rPr>
          <w:sz w:val="20"/>
          <w:szCs w:val="20"/>
        </w:rPr>
        <w:t>,</w:t>
      </w:r>
      <w:r>
        <w:rPr>
          <w:sz w:val="20"/>
          <w:szCs w:val="20"/>
        </w:rPr>
        <w:t xml:space="preserve"> </w:t>
      </w:r>
      <w:r w:rsidR="00014A66">
        <w:rPr>
          <w:sz w:val="20"/>
          <w:szCs w:val="20"/>
        </w:rPr>
        <w:t>p</w:t>
      </w:r>
      <w:r>
        <w:rPr>
          <w:sz w:val="20"/>
          <w:szCs w:val="20"/>
        </w:rPr>
        <w:t>eople with HIV are an important sub-population of all the listed priority populations. P</w:t>
      </w:r>
      <w:r w:rsidR="00014A66">
        <w:rPr>
          <w:sz w:val="20"/>
          <w:szCs w:val="20"/>
        </w:rPr>
        <w:t>eople who live with HIV</w:t>
      </w:r>
      <w:r>
        <w:rPr>
          <w:sz w:val="20"/>
          <w:szCs w:val="20"/>
        </w:rPr>
        <w:t xml:space="preserve"> are at a higher risk of other STI</w:t>
      </w:r>
      <w:r w:rsidRPr="0072640F">
        <w:rPr>
          <w:sz w:val="20"/>
          <w:szCs w:val="20"/>
        </w:rPr>
        <w:t xml:space="preserve"> </w:t>
      </w:r>
      <w:r>
        <w:rPr>
          <w:sz w:val="20"/>
          <w:szCs w:val="20"/>
        </w:rPr>
        <w:t xml:space="preserve">as a result of increased susceptibility to infection due to lowered immunity and increased vulnerability due to the presence of other existing infections. They have a unique set of needs in relation to STI which can complicate diagnosis, treatment and management </w:t>
      </w:r>
      <w:r w:rsidR="00922F34">
        <w:rPr>
          <w:sz w:val="20"/>
          <w:szCs w:val="20"/>
        </w:rPr>
        <w:t xml:space="preserve">and </w:t>
      </w:r>
      <w:r>
        <w:rPr>
          <w:sz w:val="20"/>
          <w:szCs w:val="20"/>
        </w:rPr>
        <w:t xml:space="preserve">which need to be addressed. </w:t>
      </w:r>
    </w:p>
    <w:p w:rsidR="00E133D0" w:rsidRPr="002955F5" w:rsidRDefault="00D01831" w:rsidP="00E133D0">
      <w:pPr>
        <w:spacing w:after="60"/>
        <w:rPr>
          <w:i/>
          <w:sz w:val="20"/>
          <w:szCs w:val="20"/>
        </w:rPr>
      </w:pPr>
      <w:r w:rsidRPr="00D01831">
        <w:rPr>
          <w:sz w:val="20"/>
          <w:szCs w:val="20"/>
        </w:rPr>
        <w:t xml:space="preserve">STI prevalence among </w:t>
      </w:r>
      <w:proofErr w:type="gramStart"/>
      <w:r w:rsidRPr="00D01831">
        <w:rPr>
          <w:sz w:val="20"/>
          <w:szCs w:val="20"/>
        </w:rPr>
        <w:t>trans</w:t>
      </w:r>
      <w:proofErr w:type="gramEnd"/>
      <w:r w:rsidRPr="00D01831">
        <w:rPr>
          <w:sz w:val="20"/>
          <w:szCs w:val="20"/>
        </w:rPr>
        <w:t xml:space="preserve"> and gender</w:t>
      </w:r>
      <w:r w:rsidR="00922F34">
        <w:rPr>
          <w:sz w:val="20"/>
          <w:szCs w:val="20"/>
        </w:rPr>
        <w:t>-</w:t>
      </w:r>
      <w:r w:rsidRPr="00D01831">
        <w:rPr>
          <w:sz w:val="20"/>
          <w:szCs w:val="20"/>
        </w:rPr>
        <w:t>diverse people is unknown in Australia due to a paucity of data. However, international studies in low</w:t>
      </w:r>
      <w:r w:rsidR="00922F34">
        <w:rPr>
          <w:sz w:val="20"/>
          <w:szCs w:val="20"/>
        </w:rPr>
        <w:t>-</w:t>
      </w:r>
      <w:r w:rsidRPr="00D01831">
        <w:rPr>
          <w:sz w:val="20"/>
          <w:szCs w:val="20"/>
        </w:rPr>
        <w:t xml:space="preserve"> and high</w:t>
      </w:r>
      <w:r w:rsidR="00922F34">
        <w:rPr>
          <w:sz w:val="20"/>
          <w:szCs w:val="20"/>
        </w:rPr>
        <w:t>-</w:t>
      </w:r>
      <w:r w:rsidRPr="00D01831">
        <w:rPr>
          <w:sz w:val="20"/>
          <w:szCs w:val="20"/>
        </w:rPr>
        <w:t xml:space="preserve">income countries have found that </w:t>
      </w:r>
      <w:r>
        <w:rPr>
          <w:sz w:val="20"/>
          <w:szCs w:val="20"/>
        </w:rPr>
        <w:t>STI</w:t>
      </w:r>
      <w:r w:rsidRPr="00D01831">
        <w:rPr>
          <w:sz w:val="20"/>
          <w:szCs w:val="20"/>
        </w:rPr>
        <w:t xml:space="preserve"> prevalence among </w:t>
      </w:r>
      <w:proofErr w:type="gramStart"/>
      <w:r w:rsidRPr="00D01831">
        <w:rPr>
          <w:sz w:val="20"/>
          <w:szCs w:val="20"/>
        </w:rPr>
        <w:t>trans</w:t>
      </w:r>
      <w:proofErr w:type="gramEnd"/>
      <w:r w:rsidRPr="00D01831">
        <w:rPr>
          <w:sz w:val="20"/>
          <w:szCs w:val="20"/>
        </w:rPr>
        <w:t xml:space="preserve"> and gender</w:t>
      </w:r>
      <w:r w:rsidR="00922F34">
        <w:rPr>
          <w:sz w:val="20"/>
          <w:szCs w:val="20"/>
        </w:rPr>
        <w:t>-</w:t>
      </w:r>
      <w:r w:rsidRPr="00D01831">
        <w:rPr>
          <w:sz w:val="20"/>
          <w:szCs w:val="20"/>
        </w:rPr>
        <w:t xml:space="preserve">diverse people is </w:t>
      </w:r>
      <w:r w:rsidR="008D2381">
        <w:rPr>
          <w:sz w:val="20"/>
          <w:szCs w:val="20"/>
        </w:rPr>
        <w:t>greater than</w:t>
      </w:r>
      <w:r w:rsidR="002214DD">
        <w:rPr>
          <w:sz w:val="20"/>
          <w:szCs w:val="20"/>
        </w:rPr>
        <w:t xml:space="preserve"> that of the general population</w:t>
      </w:r>
      <w:r w:rsidR="00316E7C">
        <w:rPr>
          <w:sz w:val="20"/>
          <w:szCs w:val="20"/>
        </w:rPr>
        <w:t>.</w:t>
      </w:r>
      <w:r w:rsidRPr="00D01831">
        <w:rPr>
          <w:rStyle w:val="EndnoteReference"/>
          <w:sz w:val="20"/>
          <w:szCs w:val="20"/>
        </w:rPr>
        <w:endnoteReference w:id="33"/>
      </w:r>
      <w:r w:rsidR="00014A66">
        <w:rPr>
          <w:sz w:val="20"/>
          <w:szCs w:val="20"/>
        </w:rPr>
        <w:t xml:space="preserve"> </w:t>
      </w:r>
      <w:r w:rsidRPr="00D01831">
        <w:rPr>
          <w:sz w:val="20"/>
          <w:szCs w:val="20"/>
        </w:rPr>
        <w:t xml:space="preserve">Many </w:t>
      </w:r>
      <w:proofErr w:type="gramStart"/>
      <w:r w:rsidRPr="00D01831">
        <w:rPr>
          <w:sz w:val="20"/>
          <w:szCs w:val="20"/>
        </w:rPr>
        <w:t>trans</w:t>
      </w:r>
      <w:proofErr w:type="gramEnd"/>
      <w:r w:rsidRPr="00D01831">
        <w:rPr>
          <w:sz w:val="20"/>
          <w:szCs w:val="20"/>
        </w:rPr>
        <w:t xml:space="preserve"> and gender</w:t>
      </w:r>
      <w:r w:rsidR="00922F34">
        <w:rPr>
          <w:sz w:val="20"/>
          <w:szCs w:val="20"/>
        </w:rPr>
        <w:t>-</w:t>
      </w:r>
      <w:r w:rsidRPr="00D01831">
        <w:rPr>
          <w:sz w:val="20"/>
          <w:szCs w:val="20"/>
        </w:rPr>
        <w:t xml:space="preserve">diverse people are already part of existing priority populations such as </w:t>
      </w:r>
      <w:r w:rsidRPr="00AA30A2">
        <w:rPr>
          <w:sz w:val="20"/>
          <w:szCs w:val="20"/>
        </w:rPr>
        <w:t>trans MSM</w:t>
      </w:r>
      <w:r w:rsidRPr="00AB6829">
        <w:rPr>
          <w:sz w:val="20"/>
          <w:szCs w:val="20"/>
        </w:rPr>
        <w:t>; non</w:t>
      </w:r>
      <w:r w:rsidRPr="00D01831">
        <w:rPr>
          <w:sz w:val="20"/>
          <w:szCs w:val="20"/>
        </w:rPr>
        <w:t xml:space="preserve">-binary sex workers; </w:t>
      </w:r>
      <w:r w:rsidR="00ED071D">
        <w:rPr>
          <w:sz w:val="20"/>
          <w:szCs w:val="20"/>
        </w:rPr>
        <w:t xml:space="preserve">Aboriginal and Torres </w:t>
      </w:r>
      <w:r w:rsidR="00ED071D" w:rsidRPr="00AB6829">
        <w:rPr>
          <w:sz w:val="20"/>
          <w:szCs w:val="20"/>
        </w:rPr>
        <w:t xml:space="preserve">Strait </w:t>
      </w:r>
      <w:proofErr w:type="spellStart"/>
      <w:r w:rsidR="00ED071D" w:rsidRPr="00AA30A2">
        <w:rPr>
          <w:sz w:val="20"/>
          <w:szCs w:val="20"/>
        </w:rPr>
        <w:t>Brotherboys</w:t>
      </w:r>
      <w:proofErr w:type="spellEnd"/>
      <w:r w:rsidR="00ED071D" w:rsidRPr="00AA30A2">
        <w:rPr>
          <w:sz w:val="20"/>
          <w:szCs w:val="20"/>
        </w:rPr>
        <w:t xml:space="preserve"> and </w:t>
      </w:r>
      <w:proofErr w:type="spellStart"/>
      <w:r w:rsidR="00ED071D" w:rsidRPr="00AA30A2">
        <w:rPr>
          <w:sz w:val="20"/>
          <w:szCs w:val="20"/>
        </w:rPr>
        <w:t>Sistagirls</w:t>
      </w:r>
      <w:proofErr w:type="spellEnd"/>
      <w:r w:rsidR="00AB6829" w:rsidRPr="00AB6829">
        <w:rPr>
          <w:sz w:val="20"/>
          <w:szCs w:val="20"/>
        </w:rPr>
        <w:t>/</w:t>
      </w:r>
      <w:proofErr w:type="spellStart"/>
      <w:r w:rsidR="00AB6829" w:rsidRPr="00AB6829">
        <w:rPr>
          <w:sz w:val="20"/>
          <w:szCs w:val="20"/>
        </w:rPr>
        <w:t>Sistergirls</w:t>
      </w:r>
      <w:proofErr w:type="spellEnd"/>
      <w:r w:rsidR="00ED071D">
        <w:rPr>
          <w:sz w:val="20"/>
          <w:szCs w:val="20"/>
        </w:rPr>
        <w:t xml:space="preserve">; </w:t>
      </w:r>
      <w:r w:rsidR="00316E7C">
        <w:rPr>
          <w:sz w:val="20"/>
          <w:szCs w:val="20"/>
        </w:rPr>
        <w:t xml:space="preserve">and </w:t>
      </w:r>
      <w:r w:rsidRPr="00D01831">
        <w:rPr>
          <w:sz w:val="20"/>
          <w:szCs w:val="20"/>
        </w:rPr>
        <w:t>people who inject drugs</w:t>
      </w:r>
      <w:r w:rsidR="00AA30A2">
        <w:rPr>
          <w:sz w:val="20"/>
          <w:szCs w:val="20"/>
        </w:rPr>
        <w:t xml:space="preserve"> and may</w:t>
      </w:r>
      <w:r w:rsidR="00922F34">
        <w:rPr>
          <w:sz w:val="20"/>
          <w:szCs w:val="20"/>
        </w:rPr>
        <w:t xml:space="preserve"> </w:t>
      </w:r>
      <w:r w:rsidRPr="00D01831">
        <w:rPr>
          <w:sz w:val="20"/>
          <w:szCs w:val="20"/>
        </w:rPr>
        <w:t>share some of the same risk exposures of other priority populations. However</w:t>
      </w:r>
      <w:r w:rsidR="00922F34">
        <w:rPr>
          <w:sz w:val="20"/>
          <w:szCs w:val="20"/>
        </w:rPr>
        <w:t>,</w:t>
      </w:r>
      <w:r w:rsidRPr="00D01831">
        <w:rPr>
          <w:sz w:val="20"/>
          <w:szCs w:val="20"/>
        </w:rPr>
        <w:t xml:space="preserve"> </w:t>
      </w:r>
      <w:proofErr w:type="gramStart"/>
      <w:r w:rsidRPr="00D01831">
        <w:rPr>
          <w:sz w:val="20"/>
          <w:szCs w:val="20"/>
        </w:rPr>
        <w:t>trans</w:t>
      </w:r>
      <w:proofErr w:type="gramEnd"/>
      <w:r w:rsidRPr="00D01831">
        <w:rPr>
          <w:sz w:val="20"/>
          <w:szCs w:val="20"/>
        </w:rPr>
        <w:t xml:space="preserve"> and gender</w:t>
      </w:r>
      <w:r w:rsidR="00922F34">
        <w:rPr>
          <w:sz w:val="20"/>
          <w:szCs w:val="20"/>
        </w:rPr>
        <w:t>-</w:t>
      </w:r>
      <w:r w:rsidRPr="00D01831">
        <w:rPr>
          <w:sz w:val="20"/>
          <w:szCs w:val="20"/>
        </w:rPr>
        <w:t>diverse people may</w:t>
      </w:r>
      <w:r w:rsidR="005B6E8B">
        <w:rPr>
          <w:sz w:val="20"/>
          <w:szCs w:val="20"/>
        </w:rPr>
        <w:t xml:space="preserve"> also</w:t>
      </w:r>
      <w:r w:rsidRPr="00D01831">
        <w:rPr>
          <w:sz w:val="20"/>
          <w:szCs w:val="20"/>
        </w:rPr>
        <w:t xml:space="preserve"> have specific sexual health needs and barriers to prevention, treatment and care that need to be taken into consideration in the response to STI.</w:t>
      </w:r>
      <w:r w:rsidR="004C6E53">
        <w:rPr>
          <w:rStyle w:val="EndnoteReference"/>
          <w:sz w:val="20"/>
          <w:szCs w:val="20"/>
        </w:rPr>
        <w:endnoteReference w:id="34"/>
      </w:r>
      <w:r w:rsidRPr="00D01831">
        <w:rPr>
          <w:sz w:val="20"/>
          <w:szCs w:val="20"/>
          <w:lang w:eastAsia="en-AU"/>
        </w:rPr>
        <w:t xml:space="preserve"> Improved data and research is needed to better understand how </w:t>
      </w:r>
      <w:r w:rsidR="002A4611" w:rsidRPr="00AB6829">
        <w:rPr>
          <w:sz w:val="20"/>
          <w:szCs w:val="20"/>
          <w:lang w:eastAsia="en-AU"/>
        </w:rPr>
        <w:t xml:space="preserve">STI </w:t>
      </w:r>
      <w:r w:rsidRPr="00AA30A2">
        <w:rPr>
          <w:sz w:val="20"/>
          <w:szCs w:val="20"/>
          <w:lang w:eastAsia="en-AU"/>
        </w:rPr>
        <w:t xml:space="preserve">impacts </w:t>
      </w:r>
      <w:r w:rsidR="00922F34" w:rsidRPr="00AA30A2">
        <w:rPr>
          <w:sz w:val="20"/>
          <w:szCs w:val="20"/>
          <w:lang w:eastAsia="en-AU"/>
        </w:rPr>
        <w:t>on</w:t>
      </w:r>
      <w:r w:rsidR="00922F34">
        <w:rPr>
          <w:sz w:val="20"/>
          <w:szCs w:val="20"/>
          <w:lang w:eastAsia="en-AU"/>
        </w:rPr>
        <w:t xml:space="preserve"> </w:t>
      </w:r>
      <w:r w:rsidRPr="00D01831">
        <w:rPr>
          <w:sz w:val="20"/>
          <w:szCs w:val="20"/>
        </w:rPr>
        <w:t>this population.</w:t>
      </w:r>
      <w:r w:rsidR="00227A9B">
        <w:t xml:space="preserve"> </w:t>
      </w:r>
      <w:r w:rsidR="00794F53">
        <w:br w:type="page"/>
      </w:r>
      <w:r w:rsidR="0078482B" w:rsidRPr="002955F5">
        <w:rPr>
          <w:sz w:val="20"/>
          <w:szCs w:val="20"/>
        </w:rPr>
        <w:t xml:space="preserve">Figure </w:t>
      </w:r>
      <w:r w:rsidR="002955F5" w:rsidRPr="002955F5">
        <w:rPr>
          <w:sz w:val="20"/>
          <w:szCs w:val="20"/>
        </w:rPr>
        <w:t>4</w:t>
      </w:r>
      <w:r w:rsidR="00D93921" w:rsidRPr="002955F5">
        <w:rPr>
          <w:sz w:val="20"/>
          <w:szCs w:val="20"/>
        </w:rPr>
        <w:t>:</w:t>
      </w:r>
      <w:r w:rsidR="0078482B" w:rsidRPr="002955F5">
        <w:rPr>
          <w:sz w:val="20"/>
          <w:szCs w:val="20"/>
        </w:rPr>
        <w:t xml:space="preserve"> Priority populations for the Fourth National STI Strategy 2018</w:t>
      </w:r>
      <w:r w:rsidR="00922F34" w:rsidRPr="002955F5">
        <w:rPr>
          <w:sz w:val="20"/>
          <w:szCs w:val="20"/>
        </w:rPr>
        <w:t>–</w:t>
      </w:r>
      <w:r w:rsidR="0078482B" w:rsidRPr="002955F5">
        <w:rPr>
          <w:sz w:val="20"/>
          <w:szCs w:val="20"/>
        </w:rPr>
        <w:t>2022</w:t>
      </w:r>
      <w:r w:rsidR="00E133D0" w:rsidRPr="002955F5">
        <w:rPr>
          <w:i/>
          <w:sz w:val="20"/>
          <w:szCs w:val="20"/>
        </w:rPr>
        <w:t xml:space="preserve"> </w:t>
      </w:r>
    </w:p>
    <w:p w:rsidR="00A93B5D" w:rsidRDefault="00A12566" w:rsidP="00A93B5D">
      <w:pPr>
        <w:spacing w:after="60"/>
        <w:rPr>
          <w:i/>
          <w:color w:val="00264D"/>
          <w:sz w:val="22"/>
        </w:rPr>
      </w:pPr>
      <w:r>
        <w:rPr>
          <w:i/>
          <w:noProof/>
          <w:color w:val="00264D"/>
          <w:sz w:val="22"/>
          <w:lang w:eastAsia="en-AU"/>
        </w:rPr>
        <w:drawing>
          <wp:inline distT="0" distB="0" distL="0" distR="0">
            <wp:extent cx="5788025" cy="6189345"/>
            <wp:effectExtent l="0" t="0" r="3175" b="1905"/>
            <wp:docPr id="156" name="Picture 156" descr="Priority populations for the Fourth National STI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Priority populations for the Fourth National STI Strategy"/>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88025" cy="6189345"/>
                    </a:xfrm>
                    <a:prstGeom prst="rect">
                      <a:avLst/>
                    </a:prstGeom>
                    <a:noFill/>
                  </pic:spPr>
                </pic:pic>
              </a:graphicData>
            </a:graphic>
          </wp:inline>
        </w:drawing>
      </w:r>
    </w:p>
    <w:p w:rsidR="002955F5" w:rsidRPr="002955F5" w:rsidRDefault="002955F5" w:rsidP="002955F5">
      <w:pPr>
        <w:pStyle w:val="Caption"/>
        <w:spacing w:before="120" w:after="0"/>
        <w:rPr>
          <w:noProof/>
          <w:color w:val="auto"/>
          <w:szCs w:val="20"/>
          <w:lang w:eastAsia="en-AU"/>
        </w:rPr>
      </w:pPr>
      <w:r w:rsidRPr="002955F5">
        <w:rPr>
          <w:noProof/>
          <w:color w:val="auto"/>
          <w:szCs w:val="20"/>
          <w:lang w:eastAsia="en-AU"/>
        </w:rPr>
        <w:t>NOTE: This graphic is not intended to reflect equal priority or prevalence among groups</w:t>
      </w:r>
    </w:p>
    <w:p w:rsidR="00BC4001" w:rsidRDefault="00BC4001" w:rsidP="00A93B5D">
      <w:pPr>
        <w:spacing w:after="60"/>
        <w:rPr>
          <w:i/>
          <w:color w:val="00264D"/>
          <w:sz w:val="22"/>
        </w:rPr>
      </w:pPr>
    </w:p>
    <w:p w:rsidR="00A93B5D" w:rsidRDefault="00F124AF" w:rsidP="00A93B5D">
      <w:pPr>
        <w:spacing w:after="60"/>
        <w:rPr>
          <w:i/>
          <w:color w:val="00264D"/>
          <w:sz w:val="22"/>
        </w:rPr>
      </w:pPr>
      <w:r>
        <w:rPr>
          <w:i/>
          <w:color w:val="00264D"/>
          <w:sz w:val="22"/>
        </w:rPr>
        <w:t xml:space="preserve">Young </w:t>
      </w:r>
      <w:r w:rsidR="00922F34">
        <w:rPr>
          <w:i/>
          <w:color w:val="00264D"/>
          <w:sz w:val="22"/>
        </w:rPr>
        <w:t>p</w:t>
      </w:r>
      <w:r>
        <w:rPr>
          <w:i/>
          <w:color w:val="00264D"/>
          <w:sz w:val="22"/>
        </w:rPr>
        <w:t>e</w:t>
      </w:r>
      <w:r w:rsidR="00A93B5D">
        <w:rPr>
          <w:i/>
          <w:color w:val="00264D"/>
          <w:sz w:val="22"/>
        </w:rPr>
        <w:t>ople</w:t>
      </w:r>
    </w:p>
    <w:p w:rsidR="00794F53" w:rsidRPr="00CD0526" w:rsidRDefault="00794F53" w:rsidP="00A93B5D">
      <w:pPr>
        <w:spacing w:after="60"/>
        <w:rPr>
          <w:sz w:val="20"/>
          <w:szCs w:val="20"/>
          <w:vertAlign w:val="superscript"/>
          <w:lang w:eastAsia="en-AU"/>
        </w:rPr>
      </w:pPr>
      <w:r w:rsidRPr="0031351E">
        <w:rPr>
          <w:sz w:val="20"/>
          <w:szCs w:val="20"/>
          <w:lang w:eastAsia="en-AU"/>
        </w:rPr>
        <w:t xml:space="preserve">Young people </w:t>
      </w:r>
      <w:r w:rsidR="0018231C">
        <w:rPr>
          <w:sz w:val="20"/>
          <w:szCs w:val="20"/>
          <w:lang w:eastAsia="en-AU"/>
        </w:rPr>
        <w:t xml:space="preserve">aged between 15 and 29 years </w:t>
      </w:r>
      <w:r w:rsidRPr="0031351E">
        <w:rPr>
          <w:sz w:val="20"/>
          <w:szCs w:val="20"/>
          <w:lang w:eastAsia="en-AU"/>
        </w:rPr>
        <w:t xml:space="preserve">continue to </w:t>
      </w:r>
      <w:r w:rsidR="00F0735E">
        <w:rPr>
          <w:sz w:val="20"/>
          <w:szCs w:val="20"/>
          <w:lang w:eastAsia="en-AU"/>
        </w:rPr>
        <w:t xml:space="preserve">be </w:t>
      </w:r>
      <w:r w:rsidR="0018231C" w:rsidRPr="00AB6829">
        <w:rPr>
          <w:sz w:val="20"/>
          <w:szCs w:val="20"/>
          <w:lang w:eastAsia="en-AU"/>
        </w:rPr>
        <w:t xml:space="preserve">significantly </w:t>
      </w:r>
      <w:r w:rsidR="00F0735E" w:rsidRPr="002955F5">
        <w:rPr>
          <w:sz w:val="20"/>
          <w:szCs w:val="20"/>
          <w:lang w:eastAsia="en-AU"/>
        </w:rPr>
        <w:t xml:space="preserve">impacted </w:t>
      </w:r>
      <w:r w:rsidR="00F0735E" w:rsidRPr="00AB6829">
        <w:rPr>
          <w:sz w:val="20"/>
          <w:szCs w:val="20"/>
          <w:lang w:eastAsia="en-AU"/>
        </w:rPr>
        <w:t>by STI</w:t>
      </w:r>
      <w:r w:rsidR="00316E7C" w:rsidRPr="00AB6829">
        <w:rPr>
          <w:sz w:val="20"/>
          <w:szCs w:val="20"/>
          <w:lang w:eastAsia="en-AU"/>
        </w:rPr>
        <w:t>,</w:t>
      </w:r>
      <w:r w:rsidR="00F0735E">
        <w:rPr>
          <w:sz w:val="20"/>
          <w:szCs w:val="20"/>
          <w:lang w:eastAsia="en-AU"/>
        </w:rPr>
        <w:t xml:space="preserve"> and effectively engaging them </w:t>
      </w:r>
      <w:r w:rsidR="008D46D1">
        <w:rPr>
          <w:sz w:val="20"/>
          <w:szCs w:val="20"/>
          <w:lang w:eastAsia="en-AU"/>
        </w:rPr>
        <w:t>in</w:t>
      </w:r>
      <w:r w:rsidR="00F0735E">
        <w:rPr>
          <w:sz w:val="20"/>
          <w:szCs w:val="20"/>
          <w:lang w:eastAsia="en-AU"/>
        </w:rPr>
        <w:t xml:space="preserve"> prevention, testing and treatment </w:t>
      </w:r>
      <w:r w:rsidRPr="0031351E">
        <w:rPr>
          <w:sz w:val="20"/>
          <w:szCs w:val="20"/>
          <w:lang w:eastAsia="en-AU"/>
        </w:rPr>
        <w:t>present</w:t>
      </w:r>
      <w:r w:rsidR="00F0735E">
        <w:rPr>
          <w:sz w:val="20"/>
          <w:szCs w:val="20"/>
          <w:lang w:eastAsia="en-AU"/>
        </w:rPr>
        <w:t>s</w:t>
      </w:r>
      <w:r w:rsidRPr="0031351E">
        <w:rPr>
          <w:sz w:val="20"/>
          <w:szCs w:val="20"/>
          <w:lang w:eastAsia="en-AU"/>
        </w:rPr>
        <w:t xml:space="preserve"> </w:t>
      </w:r>
      <w:r w:rsidR="00F0735E">
        <w:rPr>
          <w:sz w:val="20"/>
          <w:szCs w:val="20"/>
          <w:lang w:eastAsia="en-AU"/>
        </w:rPr>
        <w:t>a</w:t>
      </w:r>
      <w:r w:rsidR="00F0735E" w:rsidRPr="0031351E">
        <w:rPr>
          <w:sz w:val="20"/>
          <w:szCs w:val="20"/>
          <w:lang w:eastAsia="en-AU"/>
        </w:rPr>
        <w:t xml:space="preserve"> </w:t>
      </w:r>
      <w:r w:rsidR="00F0735E">
        <w:rPr>
          <w:sz w:val="20"/>
          <w:szCs w:val="20"/>
          <w:lang w:eastAsia="en-AU"/>
        </w:rPr>
        <w:t xml:space="preserve">significant </w:t>
      </w:r>
      <w:r w:rsidRPr="0031351E">
        <w:rPr>
          <w:sz w:val="20"/>
          <w:szCs w:val="20"/>
          <w:lang w:eastAsia="en-AU"/>
        </w:rPr>
        <w:t xml:space="preserve">challenge. Collectively, the majority </w:t>
      </w:r>
      <w:r w:rsidR="00F97531">
        <w:rPr>
          <w:sz w:val="20"/>
          <w:szCs w:val="20"/>
          <w:lang w:eastAsia="en-AU"/>
        </w:rPr>
        <w:t xml:space="preserve">of cases of infection with </w:t>
      </w:r>
      <w:r w:rsidRPr="0031351E">
        <w:rPr>
          <w:sz w:val="20"/>
          <w:szCs w:val="20"/>
          <w:lang w:eastAsia="en-AU"/>
        </w:rPr>
        <w:t>STI in young people remain undiagnosed and untreated.</w:t>
      </w:r>
      <w:r w:rsidR="00F527B2">
        <w:rPr>
          <w:sz w:val="20"/>
          <w:szCs w:val="20"/>
          <w:vertAlign w:val="superscript"/>
          <w:lang w:eastAsia="en-AU"/>
        </w:rPr>
        <w:t>2</w:t>
      </w:r>
      <w:r w:rsidR="00F56D47">
        <w:rPr>
          <w:sz w:val="20"/>
          <w:szCs w:val="20"/>
          <w:vertAlign w:val="superscript"/>
          <w:lang w:eastAsia="en-AU"/>
        </w:rPr>
        <w:t>2</w:t>
      </w:r>
      <w:r w:rsidRPr="0031351E">
        <w:rPr>
          <w:sz w:val="20"/>
          <w:szCs w:val="20"/>
          <w:lang w:eastAsia="en-AU"/>
        </w:rPr>
        <w:t xml:space="preserve"> </w:t>
      </w:r>
      <w:r w:rsidR="0018231C">
        <w:rPr>
          <w:sz w:val="20"/>
          <w:szCs w:val="20"/>
          <w:lang w:eastAsia="en-AU"/>
        </w:rPr>
        <w:t xml:space="preserve">Greater exposure of young people to risk factors </w:t>
      </w:r>
      <w:r w:rsidR="0018231C" w:rsidRPr="00CD0526">
        <w:rPr>
          <w:sz w:val="20"/>
          <w:szCs w:val="20"/>
          <w:lang w:eastAsia="en-AU"/>
        </w:rPr>
        <w:t xml:space="preserve">for </w:t>
      </w:r>
      <w:r w:rsidR="0018231C" w:rsidRPr="002955F5">
        <w:rPr>
          <w:sz w:val="20"/>
          <w:szCs w:val="20"/>
          <w:lang w:eastAsia="en-AU"/>
        </w:rPr>
        <w:t>STI</w:t>
      </w:r>
      <w:r w:rsidR="00922F34" w:rsidRPr="002955F5">
        <w:rPr>
          <w:sz w:val="20"/>
          <w:szCs w:val="20"/>
          <w:lang w:eastAsia="en-AU"/>
        </w:rPr>
        <w:t xml:space="preserve"> when</w:t>
      </w:r>
      <w:r w:rsidR="0018231C" w:rsidRPr="002955F5">
        <w:rPr>
          <w:sz w:val="20"/>
          <w:szCs w:val="20"/>
          <w:lang w:eastAsia="en-AU"/>
        </w:rPr>
        <w:t xml:space="preserve"> compared </w:t>
      </w:r>
      <w:r w:rsidR="00922F34" w:rsidRPr="002955F5">
        <w:rPr>
          <w:sz w:val="20"/>
          <w:szCs w:val="20"/>
          <w:lang w:eastAsia="en-AU"/>
        </w:rPr>
        <w:t>with</w:t>
      </w:r>
      <w:r w:rsidR="0018231C" w:rsidRPr="002955F5">
        <w:rPr>
          <w:sz w:val="20"/>
          <w:szCs w:val="20"/>
          <w:lang w:eastAsia="en-AU"/>
        </w:rPr>
        <w:t xml:space="preserve"> older adults</w:t>
      </w:r>
      <w:r w:rsidR="00922F34" w:rsidRPr="002955F5">
        <w:rPr>
          <w:sz w:val="20"/>
          <w:szCs w:val="20"/>
          <w:lang w:eastAsia="en-AU"/>
        </w:rPr>
        <w:t xml:space="preserve">—for example, </w:t>
      </w:r>
      <w:r w:rsidR="0018231C" w:rsidRPr="002955F5">
        <w:rPr>
          <w:sz w:val="20"/>
          <w:szCs w:val="20"/>
          <w:lang w:eastAsia="en-AU"/>
        </w:rPr>
        <w:t>high risk sexual contact</w:t>
      </w:r>
      <w:r w:rsidR="00014A66" w:rsidRPr="002955F5">
        <w:rPr>
          <w:sz w:val="20"/>
          <w:szCs w:val="20"/>
          <w:lang w:eastAsia="en-AU"/>
        </w:rPr>
        <w:t>,</w:t>
      </w:r>
      <w:r w:rsidR="0018231C" w:rsidRPr="002955F5">
        <w:rPr>
          <w:sz w:val="20"/>
          <w:szCs w:val="20"/>
          <w:lang w:eastAsia="en-AU"/>
        </w:rPr>
        <w:t xml:space="preserve"> misuse of some illicit and licit drugs and risky alcohol consumption</w:t>
      </w:r>
      <w:r w:rsidR="00922F34" w:rsidRPr="002955F5">
        <w:rPr>
          <w:sz w:val="20"/>
          <w:szCs w:val="20"/>
          <w:lang w:eastAsia="en-AU"/>
        </w:rPr>
        <w:t>—</w:t>
      </w:r>
      <w:r w:rsidR="0018231C" w:rsidRPr="002955F5">
        <w:rPr>
          <w:sz w:val="20"/>
          <w:szCs w:val="20"/>
          <w:lang w:eastAsia="en-AU"/>
        </w:rPr>
        <w:t xml:space="preserve">is likely </w:t>
      </w:r>
      <w:r w:rsidR="00922F34" w:rsidRPr="002955F5">
        <w:rPr>
          <w:sz w:val="20"/>
          <w:szCs w:val="20"/>
          <w:lang w:eastAsia="en-AU"/>
        </w:rPr>
        <w:t xml:space="preserve">to be </w:t>
      </w:r>
      <w:r w:rsidR="0018231C" w:rsidRPr="002955F5">
        <w:rPr>
          <w:sz w:val="20"/>
          <w:szCs w:val="20"/>
          <w:lang w:eastAsia="en-AU"/>
        </w:rPr>
        <w:t>contributing</w:t>
      </w:r>
      <w:r w:rsidR="0018231C" w:rsidRPr="00CD0526">
        <w:rPr>
          <w:sz w:val="20"/>
          <w:szCs w:val="20"/>
          <w:lang w:eastAsia="en-AU"/>
        </w:rPr>
        <w:t xml:space="preserve"> to the disproportionate burden.</w:t>
      </w:r>
      <w:r w:rsidR="0018231C" w:rsidRPr="00CD0526">
        <w:rPr>
          <w:rStyle w:val="EndnoteReference"/>
          <w:sz w:val="20"/>
          <w:szCs w:val="20"/>
          <w:lang w:eastAsia="en-AU"/>
        </w:rPr>
        <w:endnoteReference w:id="35"/>
      </w:r>
      <w:r w:rsidR="00B430B6" w:rsidRPr="00CD0526">
        <w:rPr>
          <w:sz w:val="20"/>
          <w:szCs w:val="20"/>
          <w:vertAlign w:val="superscript"/>
          <w:lang w:eastAsia="en-AU"/>
        </w:rPr>
        <w:t>,</w:t>
      </w:r>
      <w:r w:rsidR="00B430B6" w:rsidRPr="00CD0526">
        <w:rPr>
          <w:rStyle w:val="EndnoteReference"/>
          <w:sz w:val="20"/>
          <w:szCs w:val="20"/>
          <w:lang w:eastAsia="en-AU"/>
        </w:rPr>
        <w:endnoteReference w:id="36"/>
      </w:r>
      <w:r w:rsidR="00B430B6" w:rsidRPr="00CD0526">
        <w:rPr>
          <w:sz w:val="20"/>
          <w:szCs w:val="20"/>
          <w:vertAlign w:val="superscript"/>
          <w:lang w:eastAsia="en-AU"/>
        </w:rPr>
        <w:t>,</w:t>
      </w:r>
      <w:r w:rsidR="00B430B6" w:rsidRPr="00CD0526">
        <w:rPr>
          <w:rStyle w:val="EndnoteReference"/>
          <w:sz w:val="20"/>
          <w:szCs w:val="20"/>
          <w:lang w:eastAsia="en-AU"/>
        </w:rPr>
        <w:endnoteReference w:id="37"/>
      </w:r>
      <w:r w:rsidR="00B430B6" w:rsidRPr="00CD0526">
        <w:rPr>
          <w:sz w:val="20"/>
          <w:szCs w:val="20"/>
          <w:vertAlign w:val="superscript"/>
          <w:lang w:eastAsia="en-AU"/>
        </w:rPr>
        <w:t>,</w:t>
      </w:r>
      <w:r w:rsidR="00B430B6" w:rsidRPr="00CD0526">
        <w:rPr>
          <w:rStyle w:val="EndnoteReference"/>
          <w:sz w:val="20"/>
          <w:szCs w:val="20"/>
          <w:lang w:eastAsia="en-AU"/>
        </w:rPr>
        <w:endnoteReference w:id="38"/>
      </w:r>
    </w:p>
    <w:p w:rsidR="0018231C" w:rsidRPr="0018231C" w:rsidRDefault="0018231C" w:rsidP="00316E7C">
      <w:pPr>
        <w:spacing w:after="60"/>
        <w:rPr>
          <w:sz w:val="20"/>
          <w:szCs w:val="20"/>
          <w:lang w:eastAsia="en-AU"/>
        </w:rPr>
      </w:pPr>
      <w:r w:rsidRPr="00CD0526">
        <w:rPr>
          <w:sz w:val="20"/>
          <w:szCs w:val="20"/>
          <w:lang w:eastAsia="en-AU"/>
        </w:rPr>
        <w:t>A range of factors have been identified that place young people at increased risk</w:t>
      </w:r>
      <w:r w:rsidRPr="0005098E">
        <w:rPr>
          <w:sz w:val="20"/>
          <w:szCs w:val="20"/>
          <w:lang w:eastAsia="en-AU"/>
        </w:rPr>
        <w:t xml:space="preserve"> of STI and act as potential barriers to STI testing and treatment.</w:t>
      </w:r>
      <w:r w:rsidRPr="0005098E">
        <w:rPr>
          <w:rStyle w:val="EndnoteReference"/>
          <w:sz w:val="20"/>
          <w:szCs w:val="20"/>
          <w:lang w:eastAsia="en-AU"/>
        </w:rPr>
        <w:endnoteReference w:id="39"/>
      </w:r>
      <w:r w:rsidRPr="0005098E">
        <w:rPr>
          <w:sz w:val="20"/>
          <w:szCs w:val="20"/>
          <w:lang w:eastAsia="en-AU"/>
        </w:rPr>
        <w:t xml:space="preserve"> </w:t>
      </w:r>
      <w:r>
        <w:rPr>
          <w:sz w:val="20"/>
          <w:szCs w:val="20"/>
          <w:lang w:eastAsia="en-AU"/>
        </w:rPr>
        <w:t>These include personal barriers, such as underestimating risk or seriousness of STI; structural</w:t>
      </w:r>
      <w:r w:rsidR="00C256AB">
        <w:rPr>
          <w:sz w:val="20"/>
          <w:szCs w:val="20"/>
          <w:lang w:eastAsia="en-AU"/>
        </w:rPr>
        <w:t xml:space="preserve"> barriers</w:t>
      </w:r>
      <w:r>
        <w:rPr>
          <w:sz w:val="20"/>
          <w:szCs w:val="20"/>
          <w:lang w:eastAsia="en-AU"/>
        </w:rPr>
        <w:t>, including financial costs; and social</w:t>
      </w:r>
      <w:r w:rsidR="00C256AB">
        <w:rPr>
          <w:sz w:val="20"/>
          <w:szCs w:val="20"/>
          <w:lang w:eastAsia="en-AU"/>
        </w:rPr>
        <w:t xml:space="preserve"> barriers</w:t>
      </w:r>
      <w:r>
        <w:rPr>
          <w:sz w:val="20"/>
          <w:szCs w:val="20"/>
          <w:lang w:eastAsia="en-AU"/>
        </w:rPr>
        <w:t>, including fear of stigmatisation.</w:t>
      </w:r>
      <w:r w:rsidR="00F56D47">
        <w:rPr>
          <w:sz w:val="20"/>
          <w:szCs w:val="20"/>
          <w:vertAlign w:val="superscript"/>
          <w:lang w:eastAsia="en-AU"/>
        </w:rPr>
        <w:t>38</w:t>
      </w:r>
      <w:r w:rsidRPr="00922F34">
        <w:rPr>
          <w:sz w:val="20"/>
          <w:szCs w:val="20"/>
          <w:lang w:eastAsia="en-AU"/>
        </w:rPr>
        <w:t xml:space="preserve"> </w:t>
      </w:r>
      <w:r w:rsidRPr="0005098E">
        <w:rPr>
          <w:sz w:val="20"/>
          <w:szCs w:val="20"/>
          <w:lang w:eastAsia="en-AU"/>
        </w:rPr>
        <w:t>A sustained effort is needed to engage with each generation using approaches that address these risks and barriers</w:t>
      </w:r>
      <w:r w:rsidR="008209DD">
        <w:rPr>
          <w:sz w:val="20"/>
          <w:szCs w:val="20"/>
          <w:lang w:eastAsia="en-AU"/>
        </w:rPr>
        <w:t xml:space="preserve"> and </w:t>
      </w:r>
      <w:r w:rsidR="00922F34">
        <w:rPr>
          <w:sz w:val="20"/>
          <w:szCs w:val="20"/>
          <w:lang w:eastAsia="en-AU"/>
        </w:rPr>
        <w:t xml:space="preserve">to </w:t>
      </w:r>
      <w:r w:rsidR="008209DD">
        <w:rPr>
          <w:sz w:val="20"/>
          <w:szCs w:val="20"/>
          <w:lang w:eastAsia="en-AU"/>
        </w:rPr>
        <w:t>provide young people with services which are acceptable to them and meet their needs</w:t>
      </w:r>
      <w:r w:rsidR="00014A66">
        <w:rPr>
          <w:sz w:val="20"/>
          <w:szCs w:val="20"/>
          <w:lang w:eastAsia="en-AU"/>
        </w:rPr>
        <w:t>.</w:t>
      </w:r>
    </w:p>
    <w:p w:rsidR="00794F53" w:rsidRDefault="00D01831" w:rsidP="00794F53">
      <w:pPr>
        <w:rPr>
          <w:sz w:val="20"/>
          <w:szCs w:val="20"/>
          <w:lang w:eastAsia="en-AU"/>
        </w:rPr>
      </w:pPr>
      <w:r w:rsidRPr="00CB7049">
        <w:rPr>
          <w:sz w:val="20"/>
          <w:szCs w:val="20"/>
          <w:lang w:eastAsia="en-AU"/>
        </w:rPr>
        <w:t>Y</w:t>
      </w:r>
      <w:r w:rsidR="00794F53" w:rsidRPr="00CB7049">
        <w:rPr>
          <w:sz w:val="20"/>
          <w:szCs w:val="20"/>
          <w:lang w:eastAsia="en-AU"/>
        </w:rPr>
        <w:t>oung people aged 15 to 29 accounted for 75 per cent of chlamydia notifications in 2016.</w:t>
      </w:r>
      <w:r w:rsidR="00F56D47">
        <w:rPr>
          <w:sz w:val="20"/>
          <w:szCs w:val="20"/>
          <w:vertAlign w:val="superscript"/>
          <w:lang w:eastAsia="en-AU"/>
        </w:rPr>
        <w:t>22</w:t>
      </w:r>
      <w:r w:rsidRPr="00922F34">
        <w:rPr>
          <w:sz w:val="20"/>
          <w:szCs w:val="20"/>
          <w:lang w:eastAsia="en-AU"/>
        </w:rPr>
        <w:t xml:space="preserve"> </w:t>
      </w:r>
      <w:r w:rsidRPr="00CB7049">
        <w:rPr>
          <w:sz w:val="20"/>
          <w:szCs w:val="20"/>
          <w:lang w:eastAsia="en-AU"/>
        </w:rPr>
        <w:t>While there has been a</w:t>
      </w:r>
      <w:r w:rsidRPr="00CB7049">
        <w:rPr>
          <w:sz w:val="20"/>
          <w:szCs w:val="20"/>
          <w:vertAlign w:val="superscript"/>
          <w:lang w:eastAsia="en-AU"/>
        </w:rPr>
        <w:t xml:space="preserve"> </w:t>
      </w:r>
      <w:r w:rsidRPr="00CB7049">
        <w:rPr>
          <w:sz w:val="20"/>
          <w:szCs w:val="20"/>
          <w:lang w:eastAsia="en-AU"/>
        </w:rPr>
        <w:t xml:space="preserve">decline in notifications of chlamydia in young people aged 15 to 19 years since 2012, notification rates in the </w:t>
      </w:r>
      <w:r w:rsidR="00430B0E">
        <w:rPr>
          <w:sz w:val="20"/>
          <w:szCs w:val="20"/>
          <w:lang w:eastAsia="en-AU"/>
        </w:rPr>
        <w:t xml:space="preserve">20 to 24 and </w:t>
      </w:r>
      <w:r w:rsidRPr="00CB7049">
        <w:rPr>
          <w:sz w:val="20"/>
          <w:szCs w:val="20"/>
          <w:lang w:eastAsia="en-AU"/>
        </w:rPr>
        <w:t>25 to 29 years age group</w:t>
      </w:r>
      <w:r w:rsidR="002769BB">
        <w:rPr>
          <w:sz w:val="20"/>
          <w:szCs w:val="20"/>
          <w:lang w:eastAsia="en-AU"/>
        </w:rPr>
        <w:t>s</w:t>
      </w:r>
      <w:r w:rsidRPr="00CB7049">
        <w:rPr>
          <w:sz w:val="20"/>
          <w:szCs w:val="20"/>
          <w:lang w:eastAsia="en-AU"/>
        </w:rPr>
        <w:t xml:space="preserve"> have increased since 2007.</w:t>
      </w:r>
      <w:r w:rsidR="00F56D47">
        <w:rPr>
          <w:sz w:val="20"/>
          <w:szCs w:val="20"/>
          <w:vertAlign w:val="superscript"/>
          <w:lang w:eastAsia="en-AU"/>
        </w:rPr>
        <w:t>22</w:t>
      </w:r>
      <w:r w:rsidR="00794F53" w:rsidRPr="00CB7049">
        <w:rPr>
          <w:sz w:val="20"/>
          <w:szCs w:val="20"/>
          <w:lang w:eastAsia="en-AU"/>
        </w:rPr>
        <w:t xml:space="preserve"> </w:t>
      </w:r>
      <w:r w:rsidR="00430B0E">
        <w:rPr>
          <w:sz w:val="20"/>
          <w:szCs w:val="20"/>
          <w:lang w:eastAsia="en-AU"/>
        </w:rPr>
        <w:t>However, o</w:t>
      </w:r>
      <w:r w:rsidR="00794F53" w:rsidRPr="00CB7049">
        <w:rPr>
          <w:sz w:val="20"/>
          <w:szCs w:val="20"/>
          <w:lang w:eastAsia="en-AU"/>
        </w:rPr>
        <w:t>f the total number of people att</w:t>
      </w:r>
      <w:r w:rsidR="00794F53" w:rsidRPr="0031351E">
        <w:rPr>
          <w:sz w:val="20"/>
          <w:szCs w:val="20"/>
          <w:lang w:eastAsia="en-AU"/>
        </w:rPr>
        <w:t>ending general practices who had a Medicare-rebated chlamydia test</w:t>
      </w:r>
      <w:r w:rsidR="002769BB">
        <w:rPr>
          <w:sz w:val="20"/>
          <w:szCs w:val="20"/>
          <w:lang w:eastAsia="en-AU"/>
        </w:rPr>
        <w:t>,</w:t>
      </w:r>
      <w:r w:rsidR="00A07A46">
        <w:rPr>
          <w:rStyle w:val="FootnoteReference"/>
          <w:sz w:val="20"/>
          <w:szCs w:val="20"/>
          <w:lang w:eastAsia="en-AU"/>
        </w:rPr>
        <w:footnoteReference w:id="8"/>
      </w:r>
      <w:r w:rsidR="00794F53" w:rsidRPr="0031351E">
        <w:rPr>
          <w:sz w:val="20"/>
          <w:szCs w:val="20"/>
          <w:lang w:eastAsia="en-AU"/>
        </w:rPr>
        <w:t xml:space="preserve"> </w:t>
      </w:r>
      <w:r w:rsidR="00430B0E">
        <w:rPr>
          <w:sz w:val="20"/>
          <w:szCs w:val="20"/>
          <w:lang w:eastAsia="en-AU"/>
        </w:rPr>
        <w:t>testing in 15</w:t>
      </w:r>
      <w:r w:rsidR="002769BB">
        <w:rPr>
          <w:sz w:val="20"/>
          <w:szCs w:val="20"/>
          <w:lang w:eastAsia="en-AU"/>
        </w:rPr>
        <w:t>-</w:t>
      </w:r>
      <w:r w:rsidR="00430B0E">
        <w:rPr>
          <w:sz w:val="20"/>
          <w:szCs w:val="20"/>
          <w:lang w:eastAsia="en-AU"/>
        </w:rPr>
        <w:t xml:space="preserve"> to 29</w:t>
      </w:r>
      <w:r w:rsidR="002769BB">
        <w:rPr>
          <w:sz w:val="20"/>
          <w:szCs w:val="20"/>
          <w:lang w:eastAsia="en-AU"/>
        </w:rPr>
        <w:t>-</w:t>
      </w:r>
      <w:r w:rsidR="00430B0E">
        <w:rPr>
          <w:sz w:val="20"/>
          <w:szCs w:val="20"/>
          <w:lang w:eastAsia="en-AU"/>
        </w:rPr>
        <w:t>year</w:t>
      </w:r>
      <w:r w:rsidR="002769BB">
        <w:rPr>
          <w:sz w:val="20"/>
          <w:szCs w:val="20"/>
          <w:lang w:eastAsia="en-AU"/>
        </w:rPr>
        <w:t>-</w:t>
      </w:r>
      <w:r w:rsidR="00430B0E">
        <w:rPr>
          <w:sz w:val="20"/>
          <w:szCs w:val="20"/>
          <w:lang w:eastAsia="en-AU"/>
        </w:rPr>
        <w:t>olds</w:t>
      </w:r>
      <w:r w:rsidR="00794F53" w:rsidRPr="0031351E">
        <w:rPr>
          <w:sz w:val="20"/>
          <w:szCs w:val="20"/>
          <w:lang w:eastAsia="en-AU"/>
        </w:rPr>
        <w:t xml:space="preserve"> only accounted for 15 per cent</w:t>
      </w:r>
      <w:r w:rsidR="00430B0E">
        <w:rPr>
          <w:sz w:val="20"/>
          <w:szCs w:val="20"/>
          <w:lang w:eastAsia="en-AU"/>
        </w:rPr>
        <w:t>, indicating low overall testing in this age group</w:t>
      </w:r>
      <w:r w:rsidR="00794F53" w:rsidRPr="0031351E">
        <w:rPr>
          <w:sz w:val="20"/>
          <w:szCs w:val="20"/>
          <w:lang w:eastAsia="en-AU"/>
        </w:rPr>
        <w:t>.</w:t>
      </w:r>
      <w:r w:rsidR="00F56D47">
        <w:rPr>
          <w:sz w:val="20"/>
          <w:szCs w:val="20"/>
          <w:vertAlign w:val="superscript"/>
          <w:lang w:eastAsia="en-AU"/>
        </w:rPr>
        <w:t>22</w:t>
      </w:r>
      <w:r w:rsidR="00327768">
        <w:rPr>
          <w:sz w:val="20"/>
          <w:szCs w:val="20"/>
          <w:lang w:eastAsia="en-AU"/>
        </w:rPr>
        <w:t xml:space="preserve"> </w:t>
      </w:r>
    </w:p>
    <w:p w:rsidR="00762C7A" w:rsidRDefault="00795DED" w:rsidP="0078482B">
      <w:pPr>
        <w:rPr>
          <w:sz w:val="20"/>
          <w:szCs w:val="20"/>
          <w:vertAlign w:val="superscript"/>
          <w:lang w:eastAsia="en-AU"/>
        </w:rPr>
      </w:pPr>
      <w:r w:rsidRPr="0005098E">
        <w:rPr>
          <w:sz w:val="20"/>
          <w:szCs w:val="20"/>
          <w:lang w:eastAsia="en-AU"/>
        </w:rPr>
        <w:t>Notification rates of gonorrhoea and syphilis continue to increase in young people</w:t>
      </w:r>
      <w:r w:rsidR="00874BAF">
        <w:rPr>
          <w:sz w:val="20"/>
          <w:szCs w:val="20"/>
          <w:lang w:eastAsia="en-AU"/>
        </w:rPr>
        <w:t xml:space="preserve">, </w:t>
      </w:r>
      <w:r w:rsidR="00874BAF" w:rsidRPr="0005098E">
        <w:rPr>
          <w:sz w:val="20"/>
          <w:szCs w:val="20"/>
          <w:lang w:eastAsia="en-AU"/>
        </w:rPr>
        <w:t>with over half and more than a third of new gonorrhoea and syphilis diagnoses respectively occurring in people aged less than 29 years</w:t>
      </w:r>
      <w:r w:rsidR="00014A66">
        <w:rPr>
          <w:sz w:val="20"/>
          <w:szCs w:val="20"/>
          <w:lang w:eastAsia="en-AU"/>
        </w:rPr>
        <w:t xml:space="preserve"> in 2016</w:t>
      </w:r>
      <w:r w:rsidR="00874BAF" w:rsidRPr="0005098E">
        <w:rPr>
          <w:sz w:val="20"/>
          <w:szCs w:val="20"/>
          <w:lang w:eastAsia="en-AU"/>
        </w:rPr>
        <w:t>.</w:t>
      </w:r>
      <w:r w:rsidR="00F56D47">
        <w:rPr>
          <w:sz w:val="20"/>
          <w:szCs w:val="20"/>
          <w:vertAlign w:val="superscript"/>
          <w:lang w:eastAsia="en-AU"/>
        </w:rPr>
        <w:t>22</w:t>
      </w:r>
      <w:r w:rsidR="00794F53" w:rsidRPr="0005098E">
        <w:rPr>
          <w:sz w:val="20"/>
          <w:szCs w:val="20"/>
          <w:lang w:eastAsia="en-AU"/>
        </w:rPr>
        <w:t xml:space="preserve"> The notification rate for infectious syphilis has increased over the past five years, with the highest rate in people aged 25 to 29 years in 2016.</w:t>
      </w:r>
      <w:r w:rsidR="00F56D47">
        <w:rPr>
          <w:sz w:val="20"/>
          <w:szCs w:val="20"/>
          <w:vertAlign w:val="superscript"/>
          <w:lang w:eastAsia="en-AU"/>
        </w:rPr>
        <w:t>22</w:t>
      </w:r>
      <w:r w:rsidR="00794F53" w:rsidRPr="0005098E">
        <w:rPr>
          <w:sz w:val="20"/>
          <w:szCs w:val="20"/>
          <w:lang w:eastAsia="en-AU"/>
        </w:rPr>
        <w:t xml:space="preserve"> The rate of syphilis in young people is of particular concern given the risk </w:t>
      </w:r>
      <w:r w:rsidR="00BF35AF">
        <w:rPr>
          <w:sz w:val="20"/>
          <w:szCs w:val="20"/>
          <w:lang w:eastAsia="en-AU"/>
        </w:rPr>
        <w:t>of mother-to-child transmission</w:t>
      </w:r>
      <w:r w:rsidR="00794F53" w:rsidRPr="0005098E">
        <w:rPr>
          <w:sz w:val="20"/>
          <w:szCs w:val="20"/>
          <w:lang w:eastAsia="en-AU"/>
        </w:rPr>
        <w:t xml:space="preserve"> and the morbidity and mortality associated with congenital syphilis. The notification rate of syphilis in females is highest in the 15</w:t>
      </w:r>
      <w:r w:rsidR="002769BB">
        <w:rPr>
          <w:sz w:val="20"/>
          <w:szCs w:val="20"/>
          <w:lang w:eastAsia="en-AU"/>
        </w:rPr>
        <w:t>-</w:t>
      </w:r>
      <w:r w:rsidR="00794F53" w:rsidRPr="0005098E">
        <w:rPr>
          <w:sz w:val="20"/>
          <w:szCs w:val="20"/>
          <w:lang w:eastAsia="en-AU"/>
        </w:rPr>
        <w:t xml:space="preserve"> to 19</w:t>
      </w:r>
      <w:r w:rsidR="002769BB">
        <w:rPr>
          <w:sz w:val="20"/>
          <w:szCs w:val="20"/>
          <w:lang w:eastAsia="en-AU"/>
        </w:rPr>
        <w:t>-</w:t>
      </w:r>
      <w:r w:rsidR="00794F53" w:rsidRPr="0005098E">
        <w:rPr>
          <w:sz w:val="20"/>
          <w:szCs w:val="20"/>
          <w:lang w:eastAsia="en-AU"/>
        </w:rPr>
        <w:t>year</w:t>
      </w:r>
      <w:r w:rsidR="002769BB">
        <w:rPr>
          <w:sz w:val="20"/>
          <w:szCs w:val="20"/>
          <w:lang w:eastAsia="en-AU"/>
        </w:rPr>
        <w:t>-</w:t>
      </w:r>
      <w:r w:rsidR="00794F53" w:rsidRPr="0005098E">
        <w:rPr>
          <w:sz w:val="20"/>
          <w:szCs w:val="20"/>
          <w:lang w:eastAsia="en-AU"/>
        </w:rPr>
        <w:t>old age group, followed by those between 20 and 29 years.</w:t>
      </w:r>
      <w:r w:rsidR="00F56D47">
        <w:rPr>
          <w:sz w:val="20"/>
          <w:szCs w:val="20"/>
          <w:vertAlign w:val="superscript"/>
          <w:lang w:eastAsia="en-AU"/>
        </w:rPr>
        <w:t>22</w:t>
      </w:r>
    </w:p>
    <w:p w:rsidR="0078482B" w:rsidRPr="00847E38" w:rsidRDefault="0078482B" w:rsidP="0078482B">
      <w:pPr>
        <w:rPr>
          <w:i/>
          <w:color w:val="00264D"/>
          <w:sz w:val="22"/>
        </w:rPr>
      </w:pPr>
      <w:r w:rsidRPr="00847E38">
        <w:rPr>
          <w:i/>
          <w:color w:val="00264D"/>
          <w:sz w:val="22"/>
        </w:rPr>
        <w:t>Aboriginal and Torres Strait Islander people</w:t>
      </w:r>
    </w:p>
    <w:p w:rsidR="00310B20" w:rsidRDefault="00310B20" w:rsidP="0075320F">
      <w:pPr>
        <w:rPr>
          <w:sz w:val="20"/>
          <w:szCs w:val="20"/>
        </w:rPr>
      </w:pPr>
      <w:r>
        <w:rPr>
          <w:sz w:val="20"/>
          <w:szCs w:val="20"/>
        </w:rPr>
        <w:t xml:space="preserve">As a population, </w:t>
      </w:r>
      <w:r w:rsidRPr="000F7A20">
        <w:rPr>
          <w:sz w:val="20"/>
          <w:szCs w:val="20"/>
        </w:rPr>
        <w:t xml:space="preserve">Aboriginal and Torres Strait Islander people are </w:t>
      </w:r>
      <w:r w:rsidRPr="001F36EC">
        <w:rPr>
          <w:sz w:val="20"/>
          <w:szCs w:val="20"/>
        </w:rPr>
        <w:t xml:space="preserve">disproportionately </w:t>
      </w:r>
      <w:r w:rsidRPr="002955F5">
        <w:rPr>
          <w:sz w:val="20"/>
          <w:szCs w:val="20"/>
        </w:rPr>
        <w:t xml:space="preserve">impacted </w:t>
      </w:r>
      <w:r w:rsidRPr="001F36EC">
        <w:rPr>
          <w:sz w:val="20"/>
          <w:szCs w:val="20"/>
        </w:rPr>
        <w:t xml:space="preserve">by STI compared </w:t>
      </w:r>
      <w:r w:rsidR="001F36EC">
        <w:rPr>
          <w:sz w:val="20"/>
          <w:szCs w:val="20"/>
        </w:rPr>
        <w:t xml:space="preserve">with </w:t>
      </w:r>
      <w:r w:rsidRPr="001F36EC">
        <w:rPr>
          <w:sz w:val="20"/>
          <w:szCs w:val="20"/>
        </w:rPr>
        <w:t>the non-Indigenous population.</w:t>
      </w:r>
      <w:r w:rsidRPr="001F36EC">
        <w:rPr>
          <w:sz w:val="20"/>
          <w:szCs w:val="20"/>
          <w:vertAlign w:val="superscript"/>
        </w:rPr>
        <w:t>2</w:t>
      </w:r>
      <w:r w:rsidR="00F56D47" w:rsidRPr="001F36EC">
        <w:rPr>
          <w:sz w:val="20"/>
          <w:szCs w:val="20"/>
          <w:vertAlign w:val="superscript"/>
        </w:rPr>
        <w:t>3</w:t>
      </w:r>
      <w:r w:rsidRPr="001F36EC">
        <w:rPr>
          <w:sz w:val="20"/>
          <w:szCs w:val="20"/>
        </w:rPr>
        <w:t xml:space="preserve"> </w:t>
      </w:r>
      <w:r w:rsidR="00ED071D" w:rsidRPr="001F36EC">
        <w:rPr>
          <w:sz w:val="20"/>
          <w:szCs w:val="20"/>
        </w:rPr>
        <w:t xml:space="preserve">Lack of access to testing and treatment and complex social and medical factors mean that Aboriginal and Torres Strait Islander people are more frequently exposed to environments and situations where there is an increased risk of exposure to STI and are therefore disproportionately </w:t>
      </w:r>
      <w:r w:rsidR="00ED071D" w:rsidRPr="002955F5">
        <w:rPr>
          <w:sz w:val="20"/>
          <w:szCs w:val="20"/>
        </w:rPr>
        <w:t xml:space="preserve">impacted </w:t>
      </w:r>
      <w:r w:rsidR="00ED071D" w:rsidRPr="001F36EC">
        <w:rPr>
          <w:sz w:val="20"/>
          <w:szCs w:val="20"/>
        </w:rPr>
        <w:t>compared</w:t>
      </w:r>
      <w:r w:rsidR="00ED071D" w:rsidRPr="00EA1123">
        <w:rPr>
          <w:sz w:val="20"/>
          <w:szCs w:val="20"/>
        </w:rPr>
        <w:t xml:space="preserve"> </w:t>
      </w:r>
      <w:r w:rsidR="002C57EA">
        <w:rPr>
          <w:sz w:val="20"/>
          <w:szCs w:val="20"/>
        </w:rPr>
        <w:t>with</w:t>
      </w:r>
      <w:r w:rsidR="00ED071D" w:rsidRPr="00EA1123">
        <w:rPr>
          <w:sz w:val="20"/>
          <w:szCs w:val="20"/>
        </w:rPr>
        <w:t xml:space="preserve"> the non</w:t>
      </w:r>
      <w:r w:rsidR="00316E7C">
        <w:rPr>
          <w:sz w:val="20"/>
          <w:szCs w:val="20"/>
        </w:rPr>
        <w:noBreakHyphen/>
      </w:r>
      <w:r w:rsidR="00ED071D" w:rsidRPr="00EA1123">
        <w:rPr>
          <w:sz w:val="20"/>
          <w:szCs w:val="20"/>
        </w:rPr>
        <w:t>Indigenous population.</w:t>
      </w:r>
      <w:r w:rsidR="00F56D47">
        <w:rPr>
          <w:sz w:val="20"/>
          <w:szCs w:val="20"/>
          <w:vertAlign w:val="superscript"/>
        </w:rPr>
        <w:t>23</w:t>
      </w:r>
      <w:r w:rsidR="00ED071D" w:rsidRPr="00EA1123">
        <w:rPr>
          <w:sz w:val="20"/>
          <w:szCs w:val="20"/>
        </w:rPr>
        <w:t xml:space="preserve"> </w:t>
      </w:r>
    </w:p>
    <w:p w:rsidR="00D13526" w:rsidRPr="000F7A20" w:rsidRDefault="006C1B0B" w:rsidP="0075320F">
      <w:pPr>
        <w:rPr>
          <w:sz w:val="20"/>
          <w:szCs w:val="20"/>
        </w:rPr>
      </w:pPr>
      <w:r w:rsidRPr="000F7A20">
        <w:rPr>
          <w:sz w:val="20"/>
          <w:szCs w:val="20"/>
        </w:rPr>
        <w:t>There is a</w:t>
      </w:r>
      <w:r w:rsidR="0075320F" w:rsidRPr="000F7A20">
        <w:rPr>
          <w:sz w:val="20"/>
          <w:szCs w:val="20"/>
        </w:rPr>
        <w:t xml:space="preserve"> critical </w:t>
      </w:r>
      <w:r w:rsidRPr="000F7A20">
        <w:rPr>
          <w:sz w:val="20"/>
          <w:szCs w:val="20"/>
        </w:rPr>
        <w:t xml:space="preserve">and ongoing </w:t>
      </w:r>
      <w:r w:rsidR="0075320F" w:rsidRPr="000F7A20">
        <w:rPr>
          <w:sz w:val="20"/>
          <w:szCs w:val="20"/>
        </w:rPr>
        <w:t xml:space="preserve">need to </w:t>
      </w:r>
      <w:r w:rsidRPr="000F7A20">
        <w:rPr>
          <w:sz w:val="20"/>
          <w:szCs w:val="20"/>
        </w:rPr>
        <w:t xml:space="preserve">identify and address the barriers experienced by Aboriginal and Torres Strait Islander people in accessing STI prevention, testing, </w:t>
      </w:r>
      <w:proofErr w:type="gramStart"/>
      <w:r w:rsidRPr="000F7A20">
        <w:rPr>
          <w:sz w:val="20"/>
          <w:szCs w:val="20"/>
        </w:rPr>
        <w:t>t</w:t>
      </w:r>
      <w:r w:rsidR="00310B20">
        <w:rPr>
          <w:sz w:val="20"/>
          <w:szCs w:val="20"/>
        </w:rPr>
        <w:t>reatment</w:t>
      </w:r>
      <w:proofErr w:type="gramEnd"/>
      <w:r w:rsidR="00310B20">
        <w:rPr>
          <w:sz w:val="20"/>
          <w:szCs w:val="20"/>
        </w:rPr>
        <w:t xml:space="preserve"> and support services. </w:t>
      </w:r>
      <w:r w:rsidR="00310B20" w:rsidRPr="00EA1123">
        <w:rPr>
          <w:sz w:val="20"/>
          <w:szCs w:val="20"/>
        </w:rPr>
        <w:t xml:space="preserve">The development of enhanced programs to close this gap is facilitated by culturally appropriate education, prevention, testing, treatment and care programs being delivered through </w:t>
      </w:r>
      <w:r w:rsidR="00310B20" w:rsidRPr="00AF4935">
        <w:rPr>
          <w:sz w:val="20"/>
          <w:szCs w:val="20"/>
        </w:rPr>
        <w:t xml:space="preserve">Aboriginal Community Controlled Health Services (ACCHS), </w:t>
      </w:r>
      <w:r w:rsidR="00310B20" w:rsidRPr="002955F5">
        <w:rPr>
          <w:sz w:val="20"/>
          <w:szCs w:val="20"/>
        </w:rPr>
        <w:t>Aboriginal Medical Services</w:t>
      </w:r>
      <w:r w:rsidR="00310B20" w:rsidRPr="00AF4935">
        <w:rPr>
          <w:sz w:val="20"/>
          <w:szCs w:val="20"/>
        </w:rPr>
        <w:t xml:space="preserve"> and mainstream services.</w:t>
      </w:r>
      <w:r w:rsidR="00310B20" w:rsidRPr="00EA1123">
        <w:rPr>
          <w:sz w:val="20"/>
          <w:szCs w:val="20"/>
        </w:rPr>
        <w:t xml:space="preserve">  </w:t>
      </w:r>
    </w:p>
    <w:p w:rsidR="0078482B" w:rsidRPr="000F7A20" w:rsidRDefault="0078482B" w:rsidP="0078482B">
      <w:pPr>
        <w:pStyle w:val="Bullet"/>
        <w:rPr>
          <w:sz w:val="20"/>
          <w:szCs w:val="20"/>
        </w:rPr>
      </w:pPr>
      <w:r w:rsidRPr="000F7A20">
        <w:rPr>
          <w:sz w:val="20"/>
          <w:szCs w:val="20"/>
        </w:rPr>
        <w:t>Notification rates of chlamydia, gonorrhoea and syphilis are significantly higher in the Aboriginal and Torres Strait Islander population</w:t>
      </w:r>
      <w:r w:rsidR="00316E7C">
        <w:rPr>
          <w:sz w:val="20"/>
          <w:szCs w:val="20"/>
        </w:rPr>
        <w:t xml:space="preserve"> and are particularly focused in young people in this population</w:t>
      </w:r>
      <w:r w:rsidRPr="000F7A20">
        <w:rPr>
          <w:sz w:val="20"/>
          <w:szCs w:val="20"/>
        </w:rPr>
        <w:t xml:space="preserve">. Despite a </w:t>
      </w:r>
      <w:r w:rsidR="00C9108E" w:rsidRPr="000F7A20">
        <w:rPr>
          <w:sz w:val="20"/>
          <w:szCs w:val="20"/>
        </w:rPr>
        <w:t>1</w:t>
      </w:r>
      <w:r w:rsidRPr="000F7A20">
        <w:rPr>
          <w:sz w:val="20"/>
          <w:szCs w:val="20"/>
        </w:rPr>
        <w:t xml:space="preserve">7 per cent decrease in </w:t>
      </w:r>
      <w:r w:rsidR="004648B8" w:rsidRPr="000F7A20">
        <w:rPr>
          <w:sz w:val="20"/>
          <w:szCs w:val="20"/>
        </w:rPr>
        <w:t xml:space="preserve">notification rates for gonorrhoea in the Aboriginal and Torres Strait Islander </w:t>
      </w:r>
      <w:r w:rsidRPr="000F7A20">
        <w:rPr>
          <w:sz w:val="20"/>
          <w:szCs w:val="20"/>
        </w:rPr>
        <w:t>population</w:t>
      </w:r>
      <w:r w:rsidR="00C9108E" w:rsidRPr="000F7A20">
        <w:rPr>
          <w:sz w:val="20"/>
          <w:szCs w:val="20"/>
        </w:rPr>
        <w:t xml:space="preserve"> since 2012</w:t>
      </w:r>
      <w:r w:rsidRPr="000F7A20">
        <w:rPr>
          <w:sz w:val="20"/>
          <w:szCs w:val="20"/>
        </w:rPr>
        <w:t xml:space="preserve">, </w:t>
      </w:r>
      <w:r w:rsidR="00F8370E">
        <w:rPr>
          <w:sz w:val="20"/>
          <w:szCs w:val="20"/>
        </w:rPr>
        <w:t xml:space="preserve">in 2016 </w:t>
      </w:r>
      <w:r w:rsidR="00C9108E" w:rsidRPr="000F7A20">
        <w:rPr>
          <w:sz w:val="20"/>
          <w:szCs w:val="20"/>
        </w:rPr>
        <w:t xml:space="preserve">the rate was </w:t>
      </w:r>
      <w:r w:rsidR="00F8370E">
        <w:rPr>
          <w:sz w:val="20"/>
          <w:szCs w:val="20"/>
        </w:rPr>
        <w:t xml:space="preserve">still </w:t>
      </w:r>
      <w:r w:rsidR="00C9108E" w:rsidRPr="000F7A20">
        <w:rPr>
          <w:sz w:val="20"/>
          <w:szCs w:val="20"/>
        </w:rPr>
        <w:t xml:space="preserve">almost seven </w:t>
      </w:r>
      <w:r w:rsidRPr="000F7A20">
        <w:rPr>
          <w:sz w:val="20"/>
          <w:szCs w:val="20"/>
        </w:rPr>
        <w:t xml:space="preserve">times higher than </w:t>
      </w:r>
      <w:r w:rsidR="004648B8" w:rsidRPr="000F7A20">
        <w:rPr>
          <w:sz w:val="20"/>
          <w:szCs w:val="20"/>
        </w:rPr>
        <w:t>in the</w:t>
      </w:r>
      <w:r w:rsidRPr="000F7A20">
        <w:rPr>
          <w:sz w:val="20"/>
          <w:szCs w:val="20"/>
        </w:rPr>
        <w:t xml:space="preserve"> non-Indigenous population.</w:t>
      </w:r>
      <w:r w:rsidRPr="000F7A20">
        <w:rPr>
          <w:sz w:val="20"/>
          <w:szCs w:val="20"/>
          <w:vertAlign w:val="superscript"/>
        </w:rPr>
        <w:t>2</w:t>
      </w:r>
      <w:r w:rsidR="00F56D47">
        <w:rPr>
          <w:sz w:val="20"/>
          <w:szCs w:val="20"/>
          <w:vertAlign w:val="superscript"/>
        </w:rPr>
        <w:t>3</w:t>
      </w:r>
      <w:r w:rsidR="00316E7C">
        <w:rPr>
          <w:sz w:val="20"/>
          <w:szCs w:val="20"/>
          <w:vertAlign w:val="superscript"/>
        </w:rPr>
        <w:t xml:space="preserve"> </w:t>
      </w:r>
      <w:r w:rsidR="00316E7C" w:rsidRPr="0005098E">
        <w:rPr>
          <w:sz w:val="20"/>
          <w:szCs w:val="20"/>
        </w:rPr>
        <w:t>Among Aboriginal and Torres Strait Islander people</w:t>
      </w:r>
      <w:r w:rsidR="001F36EC">
        <w:rPr>
          <w:sz w:val="20"/>
          <w:szCs w:val="20"/>
        </w:rPr>
        <w:t>,</w:t>
      </w:r>
      <w:r w:rsidR="00316E7C" w:rsidRPr="0005098E">
        <w:rPr>
          <w:sz w:val="20"/>
          <w:szCs w:val="20"/>
        </w:rPr>
        <w:t xml:space="preserve"> almost a third of notifications were in people aged 15 to 19 years, compared </w:t>
      </w:r>
      <w:r w:rsidR="000F0B5C">
        <w:rPr>
          <w:sz w:val="20"/>
          <w:szCs w:val="20"/>
        </w:rPr>
        <w:t xml:space="preserve">with </w:t>
      </w:r>
      <w:r w:rsidR="00316E7C" w:rsidRPr="0005098E">
        <w:rPr>
          <w:sz w:val="20"/>
          <w:szCs w:val="20"/>
        </w:rPr>
        <w:t>7 per cent in the non-Indigenous population.</w:t>
      </w:r>
      <w:r w:rsidR="00316E7C" w:rsidRPr="0005098E">
        <w:rPr>
          <w:sz w:val="20"/>
          <w:szCs w:val="20"/>
          <w:vertAlign w:val="superscript"/>
        </w:rPr>
        <w:t>2</w:t>
      </w:r>
      <w:r w:rsidR="00F56D47">
        <w:rPr>
          <w:sz w:val="20"/>
          <w:szCs w:val="20"/>
          <w:vertAlign w:val="superscript"/>
        </w:rPr>
        <w:t>3</w:t>
      </w:r>
    </w:p>
    <w:p w:rsidR="0078482B" w:rsidRPr="000F7A20" w:rsidRDefault="0078482B" w:rsidP="0078482B">
      <w:pPr>
        <w:pStyle w:val="Bullet"/>
        <w:rPr>
          <w:sz w:val="20"/>
          <w:szCs w:val="20"/>
          <w:vertAlign w:val="superscript"/>
        </w:rPr>
      </w:pPr>
      <w:r w:rsidRPr="000F7A20">
        <w:rPr>
          <w:sz w:val="20"/>
          <w:szCs w:val="20"/>
        </w:rPr>
        <w:t xml:space="preserve">The pattern of </w:t>
      </w:r>
      <w:r w:rsidR="00F8370E">
        <w:rPr>
          <w:sz w:val="20"/>
          <w:szCs w:val="20"/>
        </w:rPr>
        <w:t xml:space="preserve">positive tests for </w:t>
      </w:r>
      <w:r w:rsidRPr="000F7A20">
        <w:rPr>
          <w:sz w:val="20"/>
          <w:szCs w:val="20"/>
        </w:rPr>
        <w:t xml:space="preserve">STI in Aboriginal and Torres Strait Islander people also differs </w:t>
      </w:r>
      <w:r w:rsidR="000F0B5C">
        <w:rPr>
          <w:sz w:val="20"/>
          <w:szCs w:val="20"/>
        </w:rPr>
        <w:t xml:space="preserve">from </w:t>
      </w:r>
      <w:r w:rsidRPr="000F7A20">
        <w:rPr>
          <w:sz w:val="20"/>
          <w:szCs w:val="20"/>
        </w:rPr>
        <w:t xml:space="preserve">that in the non-Indigenous population, with a greater proportion of </w:t>
      </w:r>
      <w:r w:rsidR="00C43D91" w:rsidRPr="000F7A20">
        <w:rPr>
          <w:sz w:val="20"/>
          <w:szCs w:val="20"/>
        </w:rPr>
        <w:t xml:space="preserve">new </w:t>
      </w:r>
      <w:r w:rsidRPr="000F7A20">
        <w:rPr>
          <w:sz w:val="20"/>
          <w:szCs w:val="20"/>
        </w:rPr>
        <w:t xml:space="preserve">notifications </w:t>
      </w:r>
      <w:r w:rsidR="00C43D91" w:rsidRPr="000F7A20">
        <w:rPr>
          <w:sz w:val="20"/>
          <w:szCs w:val="20"/>
        </w:rPr>
        <w:t xml:space="preserve">for gonorrhoea, chlamydia and syphilis </w:t>
      </w:r>
      <w:r w:rsidRPr="000F7A20">
        <w:rPr>
          <w:sz w:val="20"/>
          <w:szCs w:val="20"/>
        </w:rPr>
        <w:t xml:space="preserve">in young people aged 15 to 29 years </w:t>
      </w:r>
      <w:r w:rsidR="00C43D91" w:rsidRPr="000F7A20">
        <w:rPr>
          <w:sz w:val="20"/>
          <w:szCs w:val="20"/>
        </w:rPr>
        <w:t>in 2016</w:t>
      </w:r>
      <w:r w:rsidRPr="000F7A20">
        <w:rPr>
          <w:sz w:val="20"/>
          <w:szCs w:val="20"/>
        </w:rPr>
        <w:t>.</w:t>
      </w:r>
      <w:r w:rsidRPr="000F7A20">
        <w:rPr>
          <w:sz w:val="20"/>
          <w:szCs w:val="20"/>
          <w:vertAlign w:val="superscript"/>
        </w:rPr>
        <w:t>2</w:t>
      </w:r>
      <w:r w:rsidR="00F56D47">
        <w:rPr>
          <w:sz w:val="20"/>
          <w:szCs w:val="20"/>
          <w:vertAlign w:val="superscript"/>
        </w:rPr>
        <w:t>3</w:t>
      </w:r>
      <w:r w:rsidR="00F8370E" w:rsidRPr="000F0B5C">
        <w:rPr>
          <w:sz w:val="20"/>
          <w:szCs w:val="20"/>
        </w:rPr>
        <w:t xml:space="preserve"> </w:t>
      </w:r>
      <w:r w:rsidRPr="000F7A20">
        <w:rPr>
          <w:sz w:val="20"/>
          <w:szCs w:val="20"/>
        </w:rPr>
        <w:t xml:space="preserve">In 2016, there was near equal representation of gonorrhoea in men and women in the Aboriginal and Torres Strait Islander population compared </w:t>
      </w:r>
      <w:r w:rsidR="000F0B5C">
        <w:rPr>
          <w:sz w:val="20"/>
          <w:szCs w:val="20"/>
        </w:rPr>
        <w:t xml:space="preserve">with </w:t>
      </w:r>
      <w:r w:rsidR="00C43D91" w:rsidRPr="000F7A20">
        <w:rPr>
          <w:sz w:val="20"/>
          <w:szCs w:val="20"/>
        </w:rPr>
        <w:t xml:space="preserve">the </w:t>
      </w:r>
      <w:r w:rsidRPr="000F7A20">
        <w:rPr>
          <w:sz w:val="20"/>
          <w:szCs w:val="20"/>
        </w:rPr>
        <w:t>non</w:t>
      </w:r>
      <w:r w:rsidR="00D807D3">
        <w:rPr>
          <w:sz w:val="20"/>
          <w:szCs w:val="20"/>
        </w:rPr>
        <w:noBreakHyphen/>
      </w:r>
      <w:r w:rsidRPr="000F7A20">
        <w:rPr>
          <w:sz w:val="20"/>
          <w:szCs w:val="20"/>
        </w:rPr>
        <w:t xml:space="preserve">Indigenous </w:t>
      </w:r>
      <w:r w:rsidR="00C43D91" w:rsidRPr="000F7A20">
        <w:rPr>
          <w:sz w:val="20"/>
          <w:szCs w:val="20"/>
        </w:rPr>
        <w:t>population</w:t>
      </w:r>
      <w:r w:rsidR="00014A66">
        <w:rPr>
          <w:sz w:val="20"/>
          <w:szCs w:val="20"/>
        </w:rPr>
        <w:t>,</w:t>
      </w:r>
      <w:r w:rsidR="00C43D91" w:rsidRPr="000F7A20">
        <w:rPr>
          <w:sz w:val="20"/>
          <w:szCs w:val="20"/>
        </w:rPr>
        <w:t xml:space="preserve"> </w:t>
      </w:r>
      <w:r w:rsidRPr="000F7A20">
        <w:rPr>
          <w:sz w:val="20"/>
          <w:szCs w:val="20"/>
        </w:rPr>
        <w:t xml:space="preserve">where diagnoses are predominantly in </w:t>
      </w:r>
      <w:r w:rsidR="00EE75B7">
        <w:rPr>
          <w:sz w:val="20"/>
          <w:szCs w:val="20"/>
        </w:rPr>
        <w:t xml:space="preserve">gay men and </w:t>
      </w:r>
      <w:r w:rsidR="00EE75B7" w:rsidRPr="001F36EC">
        <w:rPr>
          <w:sz w:val="20"/>
          <w:szCs w:val="20"/>
        </w:rPr>
        <w:t xml:space="preserve">other </w:t>
      </w:r>
      <w:r w:rsidR="00EE75B7" w:rsidRPr="002955F5">
        <w:rPr>
          <w:sz w:val="20"/>
          <w:szCs w:val="20"/>
        </w:rPr>
        <w:t>MSM</w:t>
      </w:r>
      <w:r w:rsidRPr="001F36EC">
        <w:rPr>
          <w:sz w:val="20"/>
          <w:szCs w:val="20"/>
        </w:rPr>
        <w:t xml:space="preserve"> in urban settings</w:t>
      </w:r>
      <w:r w:rsidRPr="000F7A20">
        <w:rPr>
          <w:sz w:val="20"/>
          <w:szCs w:val="20"/>
        </w:rPr>
        <w:t>.</w:t>
      </w:r>
      <w:r w:rsidRPr="000F7A20">
        <w:rPr>
          <w:sz w:val="20"/>
          <w:szCs w:val="20"/>
          <w:vertAlign w:val="superscript"/>
        </w:rPr>
        <w:t>2</w:t>
      </w:r>
      <w:r w:rsidR="00F56D47">
        <w:rPr>
          <w:sz w:val="20"/>
          <w:szCs w:val="20"/>
          <w:vertAlign w:val="superscript"/>
        </w:rPr>
        <w:t>3</w:t>
      </w:r>
    </w:p>
    <w:p w:rsidR="00316E7C" w:rsidRPr="0005098E" w:rsidRDefault="00E91D36" w:rsidP="00316E7C">
      <w:pPr>
        <w:rPr>
          <w:sz w:val="20"/>
          <w:szCs w:val="20"/>
          <w:vertAlign w:val="superscript"/>
          <w:lang w:eastAsia="en-AU"/>
        </w:rPr>
      </w:pPr>
      <w:r w:rsidRPr="000F7A20">
        <w:rPr>
          <w:sz w:val="20"/>
          <w:szCs w:val="20"/>
        </w:rPr>
        <w:t>An ongoing outbreak of s</w:t>
      </w:r>
      <w:r w:rsidR="0078482B" w:rsidRPr="000F7A20">
        <w:rPr>
          <w:sz w:val="20"/>
          <w:szCs w:val="20"/>
        </w:rPr>
        <w:t>yphilis</w:t>
      </w:r>
      <w:r w:rsidR="000D310E" w:rsidRPr="000F7A20">
        <w:rPr>
          <w:sz w:val="20"/>
          <w:szCs w:val="20"/>
        </w:rPr>
        <w:t xml:space="preserve"> concentrated among Aboriginal and Torres Strait Islander communities is of significant concern. In 2016, 16 per cent of all syphilis notifications were among the Aboriginal and Torres Strait Islander population</w:t>
      </w:r>
      <w:r w:rsidR="00F56D47">
        <w:rPr>
          <w:sz w:val="20"/>
          <w:szCs w:val="20"/>
          <w:vertAlign w:val="superscript"/>
        </w:rPr>
        <w:t>21</w:t>
      </w:r>
      <w:r w:rsidR="000D310E" w:rsidRPr="000F7A20">
        <w:rPr>
          <w:sz w:val="20"/>
          <w:szCs w:val="20"/>
        </w:rPr>
        <w:t xml:space="preserve"> with n</w:t>
      </w:r>
      <w:r w:rsidR="0078482B" w:rsidRPr="000F7A20">
        <w:rPr>
          <w:sz w:val="20"/>
          <w:szCs w:val="20"/>
        </w:rPr>
        <w:t>ew diagnoses concentrated among communities</w:t>
      </w:r>
      <w:r w:rsidR="00F46A75" w:rsidRPr="000F7A20">
        <w:rPr>
          <w:sz w:val="20"/>
          <w:szCs w:val="20"/>
        </w:rPr>
        <w:t xml:space="preserve"> </w:t>
      </w:r>
      <w:r w:rsidR="0078482B" w:rsidRPr="000F7A20">
        <w:rPr>
          <w:sz w:val="20"/>
          <w:szCs w:val="20"/>
        </w:rPr>
        <w:t xml:space="preserve">in northern and central </w:t>
      </w:r>
      <w:r w:rsidR="000D310E" w:rsidRPr="000F7A20">
        <w:rPr>
          <w:sz w:val="20"/>
          <w:szCs w:val="20"/>
        </w:rPr>
        <w:t>Australia.</w:t>
      </w:r>
      <w:r w:rsidRPr="000F7A20">
        <w:rPr>
          <w:sz w:val="20"/>
          <w:szCs w:val="20"/>
        </w:rPr>
        <w:t xml:space="preserve"> </w:t>
      </w:r>
      <w:r w:rsidR="0078482B" w:rsidRPr="000F7A20">
        <w:rPr>
          <w:sz w:val="20"/>
          <w:szCs w:val="20"/>
        </w:rPr>
        <w:t xml:space="preserve">The </w:t>
      </w:r>
      <w:r w:rsidR="00DA5EE3" w:rsidRPr="000F7A20">
        <w:rPr>
          <w:sz w:val="20"/>
          <w:szCs w:val="20"/>
        </w:rPr>
        <w:t xml:space="preserve">rate of </w:t>
      </w:r>
      <w:r w:rsidR="000D310E" w:rsidRPr="000F7A20">
        <w:rPr>
          <w:sz w:val="20"/>
          <w:szCs w:val="20"/>
        </w:rPr>
        <w:t xml:space="preserve">notification of </w:t>
      </w:r>
      <w:r w:rsidR="0078482B" w:rsidRPr="000F7A20">
        <w:rPr>
          <w:sz w:val="20"/>
          <w:szCs w:val="20"/>
        </w:rPr>
        <w:t xml:space="preserve">infectious syphilis </w:t>
      </w:r>
      <w:r w:rsidR="00DA5EE3" w:rsidRPr="000F7A20">
        <w:rPr>
          <w:sz w:val="20"/>
          <w:szCs w:val="20"/>
        </w:rPr>
        <w:t xml:space="preserve">in Aboriginal and Torres Strait Islander people </w:t>
      </w:r>
      <w:r w:rsidR="0078482B" w:rsidRPr="000F7A20">
        <w:rPr>
          <w:sz w:val="20"/>
          <w:szCs w:val="20"/>
        </w:rPr>
        <w:t xml:space="preserve">was 5.4 times </w:t>
      </w:r>
      <w:r w:rsidR="000D310E" w:rsidRPr="000F7A20">
        <w:rPr>
          <w:sz w:val="20"/>
          <w:szCs w:val="20"/>
        </w:rPr>
        <w:t>as high as</w:t>
      </w:r>
      <w:r w:rsidR="0078482B" w:rsidRPr="000F7A20">
        <w:rPr>
          <w:sz w:val="20"/>
          <w:szCs w:val="20"/>
        </w:rPr>
        <w:t xml:space="preserve"> </w:t>
      </w:r>
      <w:r w:rsidR="00DA5EE3" w:rsidRPr="000F7A20">
        <w:rPr>
          <w:sz w:val="20"/>
          <w:szCs w:val="20"/>
        </w:rPr>
        <w:t xml:space="preserve">in </w:t>
      </w:r>
      <w:r w:rsidR="0078482B" w:rsidRPr="000F7A20">
        <w:rPr>
          <w:sz w:val="20"/>
          <w:szCs w:val="20"/>
        </w:rPr>
        <w:t>the non-Indigenous population, increasing by 193 per cent between 2012 and 2016.</w:t>
      </w:r>
      <w:r w:rsidR="0078482B" w:rsidRPr="000F7A20">
        <w:rPr>
          <w:sz w:val="20"/>
          <w:szCs w:val="20"/>
          <w:vertAlign w:val="superscript"/>
        </w:rPr>
        <w:t>2</w:t>
      </w:r>
      <w:r w:rsidR="00F56D47">
        <w:rPr>
          <w:sz w:val="20"/>
          <w:szCs w:val="20"/>
          <w:vertAlign w:val="superscript"/>
        </w:rPr>
        <w:t>3</w:t>
      </w:r>
      <w:r w:rsidR="0078482B" w:rsidRPr="000F7A20">
        <w:rPr>
          <w:sz w:val="20"/>
          <w:szCs w:val="20"/>
        </w:rPr>
        <w:t xml:space="preserve"> </w:t>
      </w:r>
      <w:r w:rsidR="00316E7C" w:rsidRPr="000F7A20">
        <w:rPr>
          <w:sz w:val="20"/>
          <w:szCs w:val="20"/>
        </w:rPr>
        <w:t>In remote and very remote areas, the rate of syphilis is 50 times higher than in the non-Indigenous population nationally.</w:t>
      </w:r>
      <w:r w:rsidR="00F56D47" w:rsidRPr="00F56D47">
        <w:rPr>
          <w:sz w:val="20"/>
          <w:vertAlign w:val="superscript"/>
        </w:rPr>
        <w:t>23</w:t>
      </w:r>
      <w:r w:rsidR="00316E7C" w:rsidRPr="000F7A20">
        <w:rPr>
          <w:sz w:val="20"/>
          <w:szCs w:val="20"/>
        </w:rPr>
        <w:t xml:space="preserve"> </w:t>
      </w:r>
      <w:r w:rsidR="00316E7C" w:rsidRPr="0005098E">
        <w:rPr>
          <w:sz w:val="20"/>
          <w:szCs w:val="20"/>
          <w:lang w:eastAsia="en-AU"/>
        </w:rPr>
        <w:t>In 2016,</w:t>
      </w:r>
      <w:r w:rsidR="00316E7C">
        <w:rPr>
          <w:sz w:val="20"/>
          <w:szCs w:val="20"/>
          <w:lang w:eastAsia="en-AU"/>
        </w:rPr>
        <w:t xml:space="preserve"> the proportion of</w:t>
      </w:r>
      <w:r w:rsidR="00316E7C" w:rsidRPr="0005098E">
        <w:rPr>
          <w:sz w:val="20"/>
          <w:szCs w:val="20"/>
          <w:lang w:eastAsia="en-AU"/>
        </w:rPr>
        <w:t xml:space="preserve"> </w:t>
      </w:r>
      <w:r w:rsidR="00316E7C">
        <w:rPr>
          <w:sz w:val="20"/>
          <w:szCs w:val="20"/>
          <w:lang w:eastAsia="en-AU"/>
        </w:rPr>
        <w:t xml:space="preserve">infectious </w:t>
      </w:r>
      <w:r w:rsidR="00316E7C" w:rsidRPr="0005098E">
        <w:rPr>
          <w:sz w:val="20"/>
          <w:szCs w:val="20"/>
          <w:lang w:eastAsia="en-AU"/>
        </w:rPr>
        <w:t>syphilis notifications in 15</w:t>
      </w:r>
      <w:r w:rsidR="000F0B5C">
        <w:rPr>
          <w:sz w:val="20"/>
          <w:szCs w:val="20"/>
          <w:lang w:eastAsia="en-AU"/>
        </w:rPr>
        <w:t>-</w:t>
      </w:r>
      <w:r w:rsidR="00316E7C" w:rsidRPr="0005098E">
        <w:rPr>
          <w:sz w:val="20"/>
          <w:szCs w:val="20"/>
          <w:lang w:eastAsia="en-AU"/>
        </w:rPr>
        <w:t xml:space="preserve"> to 19</w:t>
      </w:r>
      <w:r w:rsidR="000F0B5C">
        <w:rPr>
          <w:sz w:val="20"/>
          <w:szCs w:val="20"/>
          <w:lang w:eastAsia="en-AU"/>
        </w:rPr>
        <w:t>-</w:t>
      </w:r>
      <w:r w:rsidR="00316E7C" w:rsidRPr="0005098E">
        <w:rPr>
          <w:sz w:val="20"/>
          <w:szCs w:val="20"/>
          <w:lang w:eastAsia="en-AU"/>
        </w:rPr>
        <w:t>year</w:t>
      </w:r>
      <w:r w:rsidR="000F0B5C">
        <w:rPr>
          <w:sz w:val="20"/>
          <w:szCs w:val="20"/>
          <w:lang w:eastAsia="en-AU"/>
        </w:rPr>
        <w:t>-</w:t>
      </w:r>
      <w:r w:rsidR="00316E7C" w:rsidRPr="0005098E">
        <w:rPr>
          <w:sz w:val="20"/>
          <w:szCs w:val="20"/>
          <w:lang w:eastAsia="en-AU"/>
        </w:rPr>
        <w:t>old Aboriginal and Torres Strait Islander people w</w:t>
      </w:r>
      <w:r w:rsidR="00316E7C">
        <w:rPr>
          <w:sz w:val="20"/>
          <w:szCs w:val="20"/>
          <w:lang w:eastAsia="en-AU"/>
        </w:rPr>
        <w:t>as</w:t>
      </w:r>
      <w:r w:rsidR="00316E7C" w:rsidRPr="0005098E">
        <w:rPr>
          <w:sz w:val="20"/>
          <w:szCs w:val="20"/>
          <w:lang w:eastAsia="en-AU"/>
        </w:rPr>
        <w:t xml:space="preserve"> </w:t>
      </w:r>
      <w:r w:rsidR="00316E7C">
        <w:rPr>
          <w:sz w:val="20"/>
          <w:szCs w:val="20"/>
          <w:lang w:eastAsia="en-AU"/>
        </w:rPr>
        <w:t>more than</w:t>
      </w:r>
      <w:r w:rsidR="00316E7C" w:rsidRPr="0005098E">
        <w:rPr>
          <w:sz w:val="20"/>
          <w:szCs w:val="20"/>
          <w:lang w:eastAsia="en-AU"/>
        </w:rPr>
        <w:t xml:space="preserve"> </w:t>
      </w:r>
      <w:r w:rsidR="000F0B5C">
        <w:rPr>
          <w:sz w:val="20"/>
          <w:szCs w:val="20"/>
          <w:lang w:eastAsia="en-AU"/>
        </w:rPr>
        <w:t xml:space="preserve">10 </w:t>
      </w:r>
      <w:r w:rsidR="00316E7C" w:rsidRPr="0005098E">
        <w:rPr>
          <w:sz w:val="20"/>
          <w:szCs w:val="20"/>
          <w:lang w:eastAsia="en-AU"/>
        </w:rPr>
        <w:t>times higher</w:t>
      </w:r>
      <w:r w:rsidR="00316E7C">
        <w:rPr>
          <w:sz w:val="20"/>
          <w:szCs w:val="20"/>
          <w:lang w:eastAsia="en-AU"/>
        </w:rPr>
        <w:t xml:space="preserve"> </w:t>
      </w:r>
      <w:r w:rsidR="00316E7C" w:rsidRPr="0005098E">
        <w:rPr>
          <w:sz w:val="20"/>
          <w:szCs w:val="20"/>
          <w:lang w:eastAsia="en-AU"/>
        </w:rPr>
        <w:t>than in the non-indigenous population (21 per cent compared to 2 per cent).</w:t>
      </w:r>
      <w:r w:rsidR="00F56D47" w:rsidRPr="00F56D47">
        <w:rPr>
          <w:sz w:val="20"/>
          <w:szCs w:val="20"/>
          <w:vertAlign w:val="superscript"/>
          <w:lang w:eastAsia="en-AU"/>
        </w:rPr>
        <w:t>23</w:t>
      </w:r>
      <w:r w:rsidR="00316E7C" w:rsidRPr="0005098E">
        <w:rPr>
          <w:sz w:val="20"/>
          <w:szCs w:val="20"/>
          <w:vertAlign w:val="superscript"/>
          <w:lang w:eastAsia="en-AU"/>
        </w:rPr>
        <w:t xml:space="preserve"> </w:t>
      </w:r>
    </w:p>
    <w:p w:rsidR="0078482B" w:rsidRPr="000F7A20" w:rsidRDefault="00DA5EE3" w:rsidP="0078482B">
      <w:pPr>
        <w:rPr>
          <w:sz w:val="20"/>
          <w:szCs w:val="20"/>
          <w:vertAlign w:val="superscript"/>
        </w:rPr>
      </w:pPr>
      <w:r w:rsidRPr="000F7A20">
        <w:rPr>
          <w:sz w:val="20"/>
          <w:szCs w:val="20"/>
        </w:rPr>
        <w:t>O</w:t>
      </w:r>
      <w:r w:rsidR="0078482B" w:rsidRPr="000F7A20">
        <w:rPr>
          <w:sz w:val="20"/>
          <w:szCs w:val="20"/>
        </w:rPr>
        <w:t xml:space="preserve">f the 16 cases </w:t>
      </w:r>
      <w:r w:rsidR="005A2C0A" w:rsidRPr="000F7A20">
        <w:rPr>
          <w:sz w:val="20"/>
          <w:szCs w:val="20"/>
        </w:rPr>
        <w:t>of congenital syphilis reported from</w:t>
      </w:r>
      <w:r w:rsidRPr="000F7A20">
        <w:rPr>
          <w:sz w:val="20"/>
          <w:szCs w:val="20"/>
        </w:rPr>
        <w:t xml:space="preserve"> </w:t>
      </w:r>
      <w:r w:rsidR="005A2C0A" w:rsidRPr="000F7A20">
        <w:rPr>
          <w:sz w:val="20"/>
          <w:szCs w:val="20"/>
        </w:rPr>
        <w:t xml:space="preserve">2012 to 2016, </w:t>
      </w:r>
      <w:r w:rsidR="000F0B5C">
        <w:rPr>
          <w:sz w:val="20"/>
          <w:szCs w:val="20"/>
        </w:rPr>
        <w:t xml:space="preserve">10 </w:t>
      </w:r>
      <w:r w:rsidR="0078482B" w:rsidRPr="000F7A20">
        <w:rPr>
          <w:sz w:val="20"/>
          <w:szCs w:val="20"/>
        </w:rPr>
        <w:t>were in the Aboriginal and Torres Strait Islander population.</w:t>
      </w:r>
      <w:r w:rsidR="00F56D47">
        <w:rPr>
          <w:sz w:val="20"/>
          <w:szCs w:val="20"/>
          <w:vertAlign w:val="superscript"/>
        </w:rPr>
        <w:t>22</w:t>
      </w:r>
    </w:p>
    <w:p w:rsidR="0078482B" w:rsidRPr="000F7A20" w:rsidRDefault="0078482B" w:rsidP="0078482B">
      <w:pPr>
        <w:rPr>
          <w:sz w:val="20"/>
          <w:szCs w:val="20"/>
        </w:rPr>
      </w:pPr>
      <w:r w:rsidRPr="000F7A20">
        <w:rPr>
          <w:sz w:val="20"/>
          <w:szCs w:val="20"/>
        </w:rPr>
        <w:t xml:space="preserve">For the non-notifiable STI, rates of </w:t>
      </w:r>
      <w:proofErr w:type="spellStart"/>
      <w:r w:rsidR="00D73F85" w:rsidRPr="000F7A20">
        <w:rPr>
          <w:sz w:val="20"/>
          <w:szCs w:val="20"/>
        </w:rPr>
        <w:t>trichomoniasis</w:t>
      </w:r>
      <w:proofErr w:type="spellEnd"/>
      <w:r w:rsidRPr="000F7A20">
        <w:rPr>
          <w:sz w:val="20"/>
          <w:szCs w:val="20"/>
        </w:rPr>
        <w:t xml:space="preserve"> remained high in many remote Aboriginal communities despite being very low overall.</w:t>
      </w:r>
      <w:r w:rsidR="00F56D47" w:rsidRPr="00F56D47">
        <w:rPr>
          <w:sz w:val="20"/>
          <w:vertAlign w:val="superscript"/>
        </w:rPr>
        <w:t>23</w:t>
      </w:r>
      <w:r w:rsidRPr="000F7A20">
        <w:rPr>
          <w:sz w:val="20"/>
          <w:szCs w:val="20"/>
        </w:rPr>
        <w:t xml:space="preserve"> Human T-cell </w:t>
      </w:r>
      <w:proofErr w:type="spellStart"/>
      <w:r w:rsidRPr="000F7A20">
        <w:rPr>
          <w:sz w:val="20"/>
          <w:szCs w:val="20"/>
        </w:rPr>
        <w:t>lymphotropic</w:t>
      </w:r>
      <w:proofErr w:type="spellEnd"/>
      <w:r w:rsidRPr="000F7A20">
        <w:rPr>
          <w:sz w:val="20"/>
          <w:szCs w:val="20"/>
        </w:rPr>
        <w:t xml:space="preserve"> virus type 1 (HTLV-1) remains endemic in many remote Aboriginal communities.</w:t>
      </w:r>
      <w:r w:rsidRPr="000F7A20">
        <w:rPr>
          <w:rStyle w:val="EndnoteReference"/>
          <w:sz w:val="20"/>
          <w:szCs w:val="20"/>
        </w:rPr>
        <w:endnoteReference w:id="40"/>
      </w:r>
      <w:r w:rsidRPr="000F7A20">
        <w:rPr>
          <w:sz w:val="20"/>
          <w:szCs w:val="20"/>
        </w:rPr>
        <w:t xml:space="preserve"> </w:t>
      </w:r>
    </w:p>
    <w:p w:rsidR="0075320F" w:rsidRPr="000F7A20" w:rsidRDefault="00D13526" w:rsidP="0075320F">
      <w:pPr>
        <w:rPr>
          <w:sz w:val="20"/>
          <w:szCs w:val="20"/>
        </w:rPr>
      </w:pPr>
      <w:r w:rsidRPr="001F36EC">
        <w:rPr>
          <w:sz w:val="20"/>
          <w:szCs w:val="20"/>
        </w:rPr>
        <w:t>The implementation of targeted approaches using culturally appropriate education, prevention, testing, treatment and care programs are imperative.</w:t>
      </w:r>
      <w:bookmarkStart w:id="16" w:name="m_-991079458059465889__ednref1"/>
      <w:bookmarkEnd w:id="16"/>
      <w:r w:rsidR="005B775B" w:rsidRPr="001F36EC">
        <w:rPr>
          <w:sz w:val="20"/>
          <w:szCs w:val="20"/>
        </w:rPr>
        <w:t xml:space="preserve"> </w:t>
      </w:r>
      <w:r w:rsidR="005B775B" w:rsidRPr="002955F5">
        <w:rPr>
          <w:sz w:val="20"/>
          <w:szCs w:val="20"/>
        </w:rPr>
        <w:t>This includes c</w:t>
      </w:r>
      <w:r w:rsidR="0075320F" w:rsidRPr="002955F5">
        <w:rPr>
          <w:sz w:val="20"/>
          <w:szCs w:val="20"/>
        </w:rPr>
        <w:t xml:space="preserve">ulturally inclusive and safe approaches </w:t>
      </w:r>
      <w:r w:rsidR="005B775B" w:rsidRPr="002955F5">
        <w:rPr>
          <w:sz w:val="20"/>
          <w:szCs w:val="20"/>
        </w:rPr>
        <w:t>which are tailored</w:t>
      </w:r>
      <w:r w:rsidR="0075320F" w:rsidRPr="002955F5">
        <w:rPr>
          <w:sz w:val="20"/>
          <w:szCs w:val="20"/>
        </w:rPr>
        <w:t xml:space="preserve"> for people from remote, rural, regional and urban areas</w:t>
      </w:r>
      <w:r w:rsidR="000F0B5C" w:rsidRPr="002955F5">
        <w:rPr>
          <w:sz w:val="20"/>
          <w:szCs w:val="20"/>
        </w:rPr>
        <w:t>,</w:t>
      </w:r>
      <w:r w:rsidR="0075320F" w:rsidRPr="002955F5">
        <w:rPr>
          <w:sz w:val="20"/>
          <w:szCs w:val="20"/>
        </w:rPr>
        <w:t xml:space="preserve"> women</w:t>
      </w:r>
      <w:r w:rsidR="000F0B5C" w:rsidRPr="002955F5">
        <w:rPr>
          <w:sz w:val="20"/>
          <w:szCs w:val="20"/>
        </w:rPr>
        <w:t>,</w:t>
      </w:r>
      <w:r w:rsidR="0075320F" w:rsidRPr="002955F5">
        <w:rPr>
          <w:sz w:val="20"/>
          <w:szCs w:val="20"/>
        </w:rPr>
        <w:t xml:space="preserve"> people who are highly mobile</w:t>
      </w:r>
      <w:r w:rsidR="000F0B5C" w:rsidRPr="002955F5">
        <w:rPr>
          <w:sz w:val="20"/>
          <w:szCs w:val="20"/>
        </w:rPr>
        <w:t>,</w:t>
      </w:r>
      <w:r w:rsidR="0075320F" w:rsidRPr="002955F5">
        <w:rPr>
          <w:sz w:val="20"/>
          <w:szCs w:val="20"/>
        </w:rPr>
        <w:t xml:space="preserve"> people who </w:t>
      </w:r>
      <w:r w:rsidR="002A4611" w:rsidRPr="002955F5">
        <w:rPr>
          <w:sz w:val="20"/>
          <w:szCs w:val="20"/>
        </w:rPr>
        <w:t xml:space="preserve">use </w:t>
      </w:r>
      <w:r w:rsidR="0075320F" w:rsidRPr="002955F5">
        <w:rPr>
          <w:sz w:val="20"/>
          <w:szCs w:val="20"/>
        </w:rPr>
        <w:t>drugs</w:t>
      </w:r>
      <w:r w:rsidR="000F0B5C" w:rsidRPr="002955F5">
        <w:rPr>
          <w:sz w:val="20"/>
          <w:szCs w:val="20"/>
        </w:rPr>
        <w:t>,</w:t>
      </w:r>
      <w:r w:rsidR="0075320F" w:rsidRPr="002955F5">
        <w:rPr>
          <w:sz w:val="20"/>
          <w:szCs w:val="20"/>
        </w:rPr>
        <w:t xml:space="preserve"> people with complex needs and people in custodial settings</w:t>
      </w:r>
      <w:r w:rsidR="00ED071D" w:rsidRPr="002955F5">
        <w:rPr>
          <w:sz w:val="20"/>
          <w:szCs w:val="20"/>
        </w:rPr>
        <w:t>; and expansion of existing culturally appropriate programs and services.</w:t>
      </w:r>
      <w:r w:rsidR="0032782F" w:rsidRPr="001F36EC">
        <w:rPr>
          <w:sz w:val="20"/>
          <w:szCs w:val="20"/>
        </w:rPr>
        <w:t xml:space="preserve"> </w:t>
      </w:r>
      <w:r w:rsidR="008209DD" w:rsidRPr="001F36EC">
        <w:rPr>
          <w:sz w:val="20"/>
          <w:szCs w:val="20"/>
        </w:rPr>
        <w:t>Where possible</w:t>
      </w:r>
      <w:r w:rsidR="000F0B5C" w:rsidRPr="001F36EC">
        <w:rPr>
          <w:sz w:val="20"/>
          <w:szCs w:val="20"/>
        </w:rPr>
        <w:t>,</w:t>
      </w:r>
      <w:r w:rsidR="008209DD" w:rsidRPr="001F36EC">
        <w:rPr>
          <w:sz w:val="20"/>
          <w:szCs w:val="20"/>
        </w:rPr>
        <w:t xml:space="preserve"> responses developed within, by and for the community will best account for cultural complexities which might be otherwise overlooked.</w:t>
      </w:r>
      <w:r w:rsidR="008209DD">
        <w:rPr>
          <w:sz w:val="20"/>
          <w:szCs w:val="20"/>
        </w:rPr>
        <w:t xml:space="preserve"> </w:t>
      </w:r>
    </w:p>
    <w:p w:rsidR="0075320F" w:rsidRPr="000F0B5C" w:rsidRDefault="0075320F" w:rsidP="0078482B">
      <w:pPr>
        <w:rPr>
          <w:iCs/>
          <w:sz w:val="20"/>
          <w:szCs w:val="20"/>
        </w:rPr>
      </w:pPr>
      <w:r w:rsidRPr="000F7A20">
        <w:rPr>
          <w:sz w:val="20"/>
          <w:szCs w:val="20"/>
        </w:rPr>
        <w:t xml:space="preserve">Epidemiology, policy context and priority areas for action in relation to </w:t>
      </w:r>
      <w:r w:rsidR="005B775B" w:rsidRPr="000F7A20">
        <w:rPr>
          <w:sz w:val="20"/>
          <w:szCs w:val="20"/>
        </w:rPr>
        <w:t>STI</w:t>
      </w:r>
      <w:r w:rsidR="001A39E7">
        <w:rPr>
          <w:sz w:val="20"/>
          <w:szCs w:val="20"/>
        </w:rPr>
        <w:t xml:space="preserve">, including syphilis </w:t>
      </w:r>
      <w:r w:rsidR="001A39E7" w:rsidRPr="001F36EC">
        <w:rPr>
          <w:sz w:val="20"/>
          <w:szCs w:val="20"/>
        </w:rPr>
        <w:t xml:space="preserve">and </w:t>
      </w:r>
      <w:r w:rsidR="001A39E7" w:rsidRPr="002955F5">
        <w:rPr>
          <w:sz w:val="20"/>
          <w:szCs w:val="20"/>
        </w:rPr>
        <w:t>HTLV-1</w:t>
      </w:r>
      <w:r w:rsidR="001A39E7" w:rsidRPr="001F36EC">
        <w:rPr>
          <w:sz w:val="20"/>
          <w:szCs w:val="20"/>
        </w:rPr>
        <w:t>,</w:t>
      </w:r>
      <w:r w:rsidRPr="001F36EC">
        <w:rPr>
          <w:sz w:val="20"/>
          <w:szCs w:val="20"/>
        </w:rPr>
        <w:t xml:space="preserve"> in Aboriginal</w:t>
      </w:r>
      <w:r w:rsidRPr="000F7A20">
        <w:rPr>
          <w:sz w:val="20"/>
          <w:szCs w:val="20"/>
        </w:rPr>
        <w:t xml:space="preserve"> and Torres Strait Islander people are more specifically addressed in the </w:t>
      </w:r>
      <w:r w:rsidRPr="000F0B5C">
        <w:rPr>
          <w:sz w:val="20"/>
          <w:szCs w:val="20"/>
        </w:rPr>
        <w:t>Fifth National Aboriginal and Torres Strait Islander Blood Borne Viruses and Sexually Transmissible Infections Strategy.</w:t>
      </w:r>
      <w:r w:rsidR="005A2C0A" w:rsidRPr="000F7A20">
        <w:rPr>
          <w:sz w:val="20"/>
          <w:szCs w:val="20"/>
        </w:rPr>
        <w:t xml:space="preserve"> Controlling the syphilis outbreak in northern and central Australia is a primary objective of the</w:t>
      </w:r>
      <w:r w:rsidR="000729A2" w:rsidRPr="000F7A20">
        <w:rPr>
          <w:sz w:val="20"/>
          <w:szCs w:val="20"/>
        </w:rPr>
        <w:t xml:space="preserve"> </w:t>
      </w:r>
      <w:r w:rsidR="000A39CE">
        <w:rPr>
          <w:sz w:val="20"/>
          <w:szCs w:val="20"/>
        </w:rPr>
        <w:t>‘national s</w:t>
      </w:r>
      <w:r w:rsidR="000729A2" w:rsidRPr="000F0B5C">
        <w:rPr>
          <w:sz w:val="20"/>
          <w:szCs w:val="20"/>
        </w:rPr>
        <w:t>trategic approach for an enhanced response to the disproportionately high rates of STI and BBV in Aboriginal and Torres Strait Islander people</w:t>
      </w:r>
      <w:r w:rsidR="000A39CE">
        <w:rPr>
          <w:sz w:val="20"/>
          <w:szCs w:val="20"/>
        </w:rPr>
        <w:t>’</w:t>
      </w:r>
      <w:r w:rsidR="005A2C0A" w:rsidRPr="000F0B5C">
        <w:rPr>
          <w:sz w:val="20"/>
          <w:szCs w:val="20"/>
        </w:rPr>
        <w:t>.</w:t>
      </w:r>
    </w:p>
    <w:p w:rsidR="00D24044" w:rsidRPr="00847E38" w:rsidRDefault="00D24044" w:rsidP="00D24044">
      <w:pPr>
        <w:spacing w:before="240"/>
        <w:rPr>
          <w:i/>
          <w:color w:val="00264D"/>
          <w:sz w:val="22"/>
        </w:rPr>
      </w:pPr>
      <w:r w:rsidRPr="00847E38">
        <w:rPr>
          <w:i/>
          <w:color w:val="00264D"/>
          <w:sz w:val="22"/>
        </w:rPr>
        <w:t>Gay men and other men who have sex with men</w:t>
      </w:r>
      <w:r>
        <w:rPr>
          <w:i/>
          <w:color w:val="00264D"/>
          <w:sz w:val="22"/>
        </w:rPr>
        <w:t xml:space="preserve"> </w:t>
      </w:r>
    </w:p>
    <w:p w:rsidR="0072640F" w:rsidRDefault="005A0021" w:rsidP="00B1001B">
      <w:pPr>
        <w:rPr>
          <w:sz w:val="20"/>
          <w:szCs w:val="20"/>
        </w:rPr>
      </w:pPr>
      <w:r w:rsidRPr="000F7A20">
        <w:rPr>
          <w:sz w:val="20"/>
          <w:szCs w:val="20"/>
        </w:rPr>
        <w:t>Gay men and MSM are disproportionately affected by STI</w:t>
      </w:r>
      <w:r w:rsidR="00F8370E">
        <w:rPr>
          <w:sz w:val="20"/>
          <w:szCs w:val="20"/>
        </w:rPr>
        <w:t xml:space="preserve"> compared </w:t>
      </w:r>
      <w:r w:rsidR="000F0B5C">
        <w:rPr>
          <w:sz w:val="20"/>
          <w:szCs w:val="20"/>
        </w:rPr>
        <w:t xml:space="preserve">with </w:t>
      </w:r>
      <w:r w:rsidR="00F8370E">
        <w:rPr>
          <w:sz w:val="20"/>
          <w:szCs w:val="20"/>
        </w:rPr>
        <w:t xml:space="preserve">the </w:t>
      </w:r>
      <w:r w:rsidR="002E0FD8">
        <w:rPr>
          <w:sz w:val="20"/>
          <w:szCs w:val="20"/>
        </w:rPr>
        <w:t xml:space="preserve">general </w:t>
      </w:r>
      <w:r w:rsidR="00F8370E">
        <w:rPr>
          <w:sz w:val="20"/>
          <w:szCs w:val="20"/>
        </w:rPr>
        <w:t>population</w:t>
      </w:r>
      <w:r w:rsidR="0072640F">
        <w:rPr>
          <w:sz w:val="20"/>
          <w:szCs w:val="20"/>
        </w:rPr>
        <w:t>; there is a high prevalence and incidence of almost all STI in this priority population</w:t>
      </w:r>
      <w:r w:rsidR="00C97EC4">
        <w:rPr>
          <w:sz w:val="20"/>
          <w:szCs w:val="20"/>
        </w:rPr>
        <w:t>.</w:t>
      </w:r>
      <w:r w:rsidR="0072640F">
        <w:rPr>
          <w:rStyle w:val="EndnoteReference"/>
          <w:sz w:val="20"/>
          <w:szCs w:val="20"/>
        </w:rPr>
        <w:endnoteReference w:id="41"/>
      </w:r>
      <w:r w:rsidRPr="000F7A20">
        <w:rPr>
          <w:sz w:val="20"/>
          <w:szCs w:val="20"/>
        </w:rPr>
        <w:t xml:space="preserve"> </w:t>
      </w:r>
    </w:p>
    <w:p w:rsidR="006B37D5" w:rsidRPr="0072640F" w:rsidRDefault="00A37916" w:rsidP="0072640F">
      <w:pPr>
        <w:rPr>
          <w:sz w:val="20"/>
          <w:szCs w:val="20"/>
        </w:rPr>
      </w:pPr>
      <w:r>
        <w:rPr>
          <w:sz w:val="20"/>
          <w:szCs w:val="20"/>
        </w:rPr>
        <w:t>T</w:t>
      </w:r>
      <w:r w:rsidR="00D24044" w:rsidRPr="000F7A20">
        <w:rPr>
          <w:sz w:val="20"/>
          <w:szCs w:val="20"/>
        </w:rPr>
        <w:t xml:space="preserve">here has been an increase in the </w:t>
      </w:r>
      <w:r>
        <w:rPr>
          <w:sz w:val="20"/>
          <w:szCs w:val="20"/>
        </w:rPr>
        <w:t xml:space="preserve">number of new </w:t>
      </w:r>
      <w:r w:rsidR="00D24044" w:rsidRPr="000F7A20">
        <w:rPr>
          <w:sz w:val="20"/>
          <w:szCs w:val="20"/>
        </w:rPr>
        <w:t xml:space="preserve">chlamydia and gonorrhoea </w:t>
      </w:r>
      <w:r>
        <w:rPr>
          <w:sz w:val="20"/>
          <w:szCs w:val="20"/>
        </w:rPr>
        <w:t xml:space="preserve">infections each year </w:t>
      </w:r>
      <w:r w:rsidR="00D24044" w:rsidRPr="000F7A20">
        <w:rPr>
          <w:sz w:val="20"/>
          <w:szCs w:val="20"/>
        </w:rPr>
        <w:t>amongst gay and bisexual men since 2012, with a greater rate of both in HIV-positive gay and bisexual men.</w:t>
      </w:r>
      <w:r w:rsidR="00F56D47">
        <w:rPr>
          <w:sz w:val="20"/>
          <w:szCs w:val="20"/>
          <w:vertAlign w:val="superscript"/>
        </w:rPr>
        <w:t>22</w:t>
      </w:r>
      <w:r w:rsidR="00D24044" w:rsidRPr="000F7A20">
        <w:rPr>
          <w:sz w:val="20"/>
          <w:szCs w:val="20"/>
        </w:rPr>
        <w:t xml:space="preserve"> The </w:t>
      </w:r>
      <w:r>
        <w:rPr>
          <w:sz w:val="20"/>
          <w:szCs w:val="20"/>
        </w:rPr>
        <w:t xml:space="preserve">number of new </w:t>
      </w:r>
      <w:r w:rsidR="00D24044" w:rsidRPr="000F7A20">
        <w:rPr>
          <w:sz w:val="20"/>
          <w:szCs w:val="20"/>
        </w:rPr>
        <w:t xml:space="preserve">syphilis </w:t>
      </w:r>
      <w:r>
        <w:rPr>
          <w:sz w:val="20"/>
          <w:szCs w:val="20"/>
        </w:rPr>
        <w:t xml:space="preserve">infections each year </w:t>
      </w:r>
      <w:r w:rsidR="00D24044" w:rsidRPr="000F7A20">
        <w:rPr>
          <w:sz w:val="20"/>
          <w:szCs w:val="20"/>
        </w:rPr>
        <w:t xml:space="preserve">in these groups fluctuated between 2012 and 2016 but remained higher in HIV-positive gay and bisexual men compared </w:t>
      </w:r>
      <w:r w:rsidR="000F0B5C">
        <w:rPr>
          <w:sz w:val="20"/>
          <w:szCs w:val="20"/>
        </w:rPr>
        <w:t xml:space="preserve">with </w:t>
      </w:r>
      <w:r w:rsidR="00D24044" w:rsidRPr="000F7A20">
        <w:rPr>
          <w:sz w:val="20"/>
          <w:szCs w:val="20"/>
        </w:rPr>
        <w:t>HIV-negative gay and bisexual men</w:t>
      </w:r>
      <w:r w:rsidR="00F56D47">
        <w:rPr>
          <w:sz w:val="20"/>
          <w:szCs w:val="20"/>
          <w:vertAlign w:val="superscript"/>
        </w:rPr>
        <w:t>22</w:t>
      </w:r>
      <w:r w:rsidR="00B9680D">
        <w:rPr>
          <w:sz w:val="20"/>
          <w:szCs w:val="20"/>
        </w:rPr>
        <w:t xml:space="preserve"> and </w:t>
      </w:r>
      <w:r w:rsidR="0072640F">
        <w:rPr>
          <w:sz w:val="20"/>
          <w:szCs w:val="20"/>
        </w:rPr>
        <w:t xml:space="preserve">was </w:t>
      </w:r>
      <w:r w:rsidR="00B9680D">
        <w:rPr>
          <w:sz w:val="20"/>
          <w:szCs w:val="20"/>
        </w:rPr>
        <w:t>concentrated in urban settings.</w:t>
      </w:r>
      <w:r w:rsidR="00F56D47">
        <w:rPr>
          <w:sz w:val="20"/>
          <w:szCs w:val="20"/>
          <w:vertAlign w:val="superscript"/>
        </w:rPr>
        <w:t>22</w:t>
      </w:r>
      <w:r w:rsidR="002214DD" w:rsidRPr="002214DD">
        <w:rPr>
          <w:sz w:val="20"/>
          <w:szCs w:val="20"/>
          <w:vertAlign w:val="superscript"/>
        </w:rPr>
        <w:t>,</w:t>
      </w:r>
      <w:r w:rsidR="00DC21C6" w:rsidRPr="00C66DD5">
        <w:rPr>
          <w:rStyle w:val="EndnoteReference"/>
          <w:sz w:val="20"/>
          <w:szCs w:val="20"/>
        </w:rPr>
        <w:endnoteReference w:id="42"/>
      </w:r>
      <w:r w:rsidR="00DC21C6" w:rsidRPr="00C66DD5">
        <w:rPr>
          <w:sz w:val="20"/>
          <w:szCs w:val="20"/>
          <w:vertAlign w:val="superscript"/>
        </w:rPr>
        <w:t>,</w:t>
      </w:r>
      <w:r w:rsidR="00DC21C6">
        <w:rPr>
          <w:rStyle w:val="EndnoteReference"/>
          <w:sz w:val="20"/>
          <w:szCs w:val="20"/>
        </w:rPr>
        <w:endnoteReference w:id="43"/>
      </w:r>
      <w:r w:rsidR="00D24044" w:rsidRPr="000F7A20">
        <w:rPr>
          <w:sz w:val="20"/>
          <w:szCs w:val="20"/>
        </w:rPr>
        <w:t xml:space="preserve"> </w:t>
      </w:r>
      <w:r w:rsidR="006B37D5" w:rsidRPr="0072640F">
        <w:rPr>
          <w:sz w:val="20"/>
          <w:szCs w:val="20"/>
        </w:rPr>
        <w:t>HIV</w:t>
      </w:r>
      <w:r w:rsidR="000F0B5C">
        <w:rPr>
          <w:sz w:val="20"/>
          <w:szCs w:val="20"/>
        </w:rPr>
        <w:t>-</w:t>
      </w:r>
      <w:r w:rsidR="006B37D5" w:rsidRPr="0072640F">
        <w:rPr>
          <w:sz w:val="20"/>
          <w:szCs w:val="20"/>
        </w:rPr>
        <w:t xml:space="preserve">positive </w:t>
      </w:r>
      <w:r w:rsidR="006B37D5">
        <w:rPr>
          <w:sz w:val="20"/>
          <w:szCs w:val="20"/>
        </w:rPr>
        <w:t>gay men and other MSM are at risk of other STI</w:t>
      </w:r>
      <w:r w:rsidR="006B37D5" w:rsidRPr="0072640F">
        <w:rPr>
          <w:sz w:val="20"/>
          <w:szCs w:val="20"/>
        </w:rPr>
        <w:t xml:space="preserve"> </w:t>
      </w:r>
      <w:r w:rsidR="006B37D5">
        <w:rPr>
          <w:sz w:val="20"/>
          <w:szCs w:val="20"/>
        </w:rPr>
        <w:t>as a result of a number of factors, including</w:t>
      </w:r>
      <w:r w:rsidR="00FB0D99">
        <w:rPr>
          <w:sz w:val="20"/>
          <w:szCs w:val="20"/>
        </w:rPr>
        <w:t xml:space="preserve"> increased rates of asymptomatic </w:t>
      </w:r>
      <w:r w:rsidR="00FB0D99" w:rsidRPr="000F4898">
        <w:rPr>
          <w:sz w:val="20"/>
          <w:szCs w:val="20"/>
        </w:rPr>
        <w:t>infection,</w:t>
      </w:r>
      <w:r w:rsidR="006B37D5" w:rsidRPr="000F4898">
        <w:rPr>
          <w:sz w:val="20"/>
          <w:szCs w:val="20"/>
        </w:rPr>
        <w:t xml:space="preserve"> increased vulnerability due to the presence of existing infections, and unprotected anal intercourse with casual partners.</w:t>
      </w:r>
      <w:r w:rsidR="006B37D5" w:rsidRPr="000F4898">
        <w:rPr>
          <w:rStyle w:val="EndnoteReference"/>
          <w:sz w:val="20"/>
          <w:szCs w:val="20"/>
        </w:rPr>
        <w:endnoteReference w:id="44"/>
      </w:r>
    </w:p>
    <w:p w:rsidR="00234F0C" w:rsidRDefault="00742309" w:rsidP="00234F0C">
      <w:pPr>
        <w:rPr>
          <w:sz w:val="20"/>
          <w:szCs w:val="20"/>
        </w:rPr>
      </w:pPr>
      <w:r w:rsidRPr="000F7A20">
        <w:rPr>
          <w:sz w:val="20"/>
          <w:szCs w:val="20"/>
        </w:rPr>
        <w:t>An increased number of h</w:t>
      </w:r>
      <w:r w:rsidR="00234F0C" w:rsidRPr="000F7A20">
        <w:rPr>
          <w:sz w:val="20"/>
          <w:szCs w:val="20"/>
        </w:rPr>
        <w:t xml:space="preserve">epatitis A </w:t>
      </w:r>
      <w:r w:rsidRPr="000F7A20">
        <w:rPr>
          <w:sz w:val="20"/>
          <w:szCs w:val="20"/>
        </w:rPr>
        <w:t xml:space="preserve">cases </w:t>
      </w:r>
      <w:r w:rsidR="000F0B5C">
        <w:rPr>
          <w:sz w:val="20"/>
          <w:szCs w:val="20"/>
        </w:rPr>
        <w:t xml:space="preserve">was </w:t>
      </w:r>
      <w:r w:rsidRPr="000F7A20">
        <w:rPr>
          <w:sz w:val="20"/>
          <w:szCs w:val="20"/>
        </w:rPr>
        <w:t xml:space="preserve">reported </w:t>
      </w:r>
      <w:r w:rsidR="00234F0C" w:rsidRPr="000F7A20">
        <w:rPr>
          <w:sz w:val="20"/>
          <w:szCs w:val="20"/>
        </w:rPr>
        <w:t xml:space="preserve">in gay men and other MSM in Australia and internationally </w:t>
      </w:r>
      <w:r w:rsidR="0069714E">
        <w:rPr>
          <w:sz w:val="20"/>
          <w:szCs w:val="20"/>
        </w:rPr>
        <w:t>in</w:t>
      </w:r>
      <w:r w:rsidRPr="000F7A20">
        <w:rPr>
          <w:sz w:val="20"/>
          <w:szCs w:val="20"/>
        </w:rPr>
        <w:t xml:space="preserve"> 2017 and 2018.</w:t>
      </w:r>
      <w:r w:rsidR="00C97EC4">
        <w:rPr>
          <w:sz w:val="20"/>
          <w:szCs w:val="20"/>
          <w:vertAlign w:val="superscript"/>
        </w:rPr>
        <w:t>16,</w:t>
      </w:r>
      <w:r w:rsidR="00F56D47">
        <w:rPr>
          <w:sz w:val="20"/>
          <w:szCs w:val="20"/>
          <w:vertAlign w:val="superscript"/>
        </w:rPr>
        <w:t>17,</w:t>
      </w:r>
      <w:r w:rsidR="00713144" w:rsidRPr="000F7A20">
        <w:rPr>
          <w:rStyle w:val="EndnoteReference"/>
          <w:sz w:val="20"/>
          <w:szCs w:val="20"/>
        </w:rPr>
        <w:endnoteReference w:id="45"/>
      </w:r>
      <w:r w:rsidRPr="000F7A20">
        <w:rPr>
          <w:sz w:val="20"/>
          <w:szCs w:val="20"/>
        </w:rPr>
        <w:t xml:space="preserve"> Hepatitis A is transmitted through the faecal</w:t>
      </w:r>
      <w:r w:rsidR="000F0B5C">
        <w:rPr>
          <w:sz w:val="20"/>
          <w:szCs w:val="20"/>
        </w:rPr>
        <w:t>–</w:t>
      </w:r>
      <w:r w:rsidRPr="000F7A20">
        <w:rPr>
          <w:sz w:val="20"/>
          <w:szCs w:val="20"/>
        </w:rPr>
        <w:t>oral route, including</w:t>
      </w:r>
      <w:r w:rsidR="005A0021" w:rsidRPr="000F7A20">
        <w:rPr>
          <w:sz w:val="20"/>
          <w:szCs w:val="20"/>
        </w:rPr>
        <w:t xml:space="preserve"> through sexual contact. </w:t>
      </w:r>
      <w:r w:rsidR="00EF3D42">
        <w:rPr>
          <w:sz w:val="20"/>
          <w:szCs w:val="20"/>
        </w:rPr>
        <w:t>All affected jurisdictions are currently offering free vaccination to individuals at</w:t>
      </w:r>
      <w:r w:rsidR="00EF3D42">
        <w:rPr>
          <w:sz w:val="20"/>
          <w:szCs w:val="20"/>
        </w:rPr>
        <w:noBreakHyphen/>
        <w:t>risk, including MSM, as part of the outbreak response, and several states are working with peak organisation</w:t>
      </w:r>
      <w:r w:rsidR="00014A66">
        <w:rPr>
          <w:sz w:val="20"/>
          <w:szCs w:val="20"/>
        </w:rPr>
        <w:t>s</w:t>
      </w:r>
      <w:r w:rsidR="00EF3D42">
        <w:rPr>
          <w:sz w:val="20"/>
          <w:szCs w:val="20"/>
        </w:rPr>
        <w:t xml:space="preserve"> to raise awareness of the outbreaks and encourage vaccination amongst gay men and MSM. </w:t>
      </w:r>
      <w:r w:rsidR="002E0FD8">
        <w:rPr>
          <w:sz w:val="20"/>
          <w:szCs w:val="20"/>
        </w:rPr>
        <w:t xml:space="preserve">Outbreaks of </w:t>
      </w:r>
      <w:r w:rsidR="002E0FD8" w:rsidRPr="002955F5">
        <w:rPr>
          <w:sz w:val="20"/>
          <w:szCs w:val="20"/>
        </w:rPr>
        <w:t>shigellosis</w:t>
      </w:r>
      <w:r w:rsidR="002E0FD8">
        <w:rPr>
          <w:sz w:val="20"/>
          <w:szCs w:val="20"/>
        </w:rPr>
        <w:t xml:space="preserve"> in gay men and other MSM have been occurring overseas, with an outbreak i</w:t>
      </w:r>
      <w:r w:rsidR="00316E7C">
        <w:rPr>
          <w:sz w:val="20"/>
          <w:szCs w:val="20"/>
        </w:rPr>
        <w:t>dentified</w:t>
      </w:r>
      <w:r w:rsidR="002E0FD8">
        <w:rPr>
          <w:sz w:val="20"/>
          <w:szCs w:val="20"/>
        </w:rPr>
        <w:t xml:space="preserve"> </w:t>
      </w:r>
      <w:r w:rsidR="00014A66">
        <w:rPr>
          <w:sz w:val="20"/>
          <w:szCs w:val="20"/>
        </w:rPr>
        <w:t xml:space="preserve">in </w:t>
      </w:r>
      <w:r w:rsidR="002E0FD8">
        <w:rPr>
          <w:sz w:val="20"/>
          <w:szCs w:val="20"/>
        </w:rPr>
        <w:t>N</w:t>
      </w:r>
      <w:r w:rsidR="000F0B5C">
        <w:rPr>
          <w:sz w:val="20"/>
          <w:szCs w:val="20"/>
        </w:rPr>
        <w:t>ew South Wales</w:t>
      </w:r>
      <w:r w:rsidR="002E0FD8">
        <w:rPr>
          <w:sz w:val="20"/>
          <w:szCs w:val="20"/>
        </w:rPr>
        <w:t xml:space="preserve"> in 2016.</w:t>
      </w:r>
      <w:r w:rsidR="00F56D47">
        <w:rPr>
          <w:sz w:val="20"/>
          <w:szCs w:val="20"/>
          <w:vertAlign w:val="superscript"/>
        </w:rPr>
        <w:t>19</w:t>
      </w:r>
      <w:r w:rsidR="002E0FD8">
        <w:rPr>
          <w:sz w:val="20"/>
          <w:szCs w:val="20"/>
        </w:rPr>
        <w:t xml:space="preserve"> Evidence of antibiotic </w:t>
      </w:r>
      <w:r w:rsidR="00FB1229">
        <w:rPr>
          <w:sz w:val="20"/>
          <w:szCs w:val="20"/>
        </w:rPr>
        <w:t>resistance</w:t>
      </w:r>
      <w:r w:rsidR="002E0FD8">
        <w:rPr>
          <w:sz w:val="20"/>
          <w:szCs w:val="20"/>
        </w:rPr>
        <w:t xml:space="preserve"> was also found in a number of isolates tested in </w:t>
      </w:r>
      <w:r w:rsidR="000F0B5C">
        <w:rPr>
          <w:sz w:val="20"/>
          <w:szCs w:val="20"/>
        </w:rPr>
        <w:t xml:space="preserve">New South Wales </w:t>
      </w:r>
      <w:r w:rsidR="002E0FD8">
        <w:rPr>
          <w:sz w:val="20"/>
          <w:szCs w:val="20"/>
        </w:rPr>
        <w:t>in 2013 and 2014.</w:t>
      </w:r>
      <w:r w:rsidR="00F56D47">
        <w:rPr>
          <w:sz w:val="20"/>
          <w:szCs w:val="20"/>
          <w:vertAlign w:val="superscript"/>
        </w:rPr>
        <w:t>19</w:t>
      </w:r>
      <w:r w:rsidR="002E0FD8">
        <w:rPr>
          <w:sz w:val="20"/>
          <w:szCs w:val="20"/>
        </w:rPr>
        <w:t xml:space="preserve"> </w:t>
      </w:r>
      <w:r w:rsidR="00EF3D42">
        <w:rPr>
          <w:sz w:val="20"/>
          <w:szCs w:val="20"/>
        </w:rPr>
        <w:t>Continued effort</w:t>
      </w:r>
      <w:r w:rsidR="00014A66">
        <w:rPr>
          <w:sz w:val="20"/>
          <w:szCs w:val="20"/>
        </w:rPr>
        <w:t>s</w:t>
      </w:r>
      <w:r w:rsidR="00EF3D42">
        <w:rPr>
          <w:sz w:val="20"/>
          <w:szCs w:val="20"/>
        </w:rPr>
        <w:t xml:space="preserve"> to raise awareness of</w:t>
      </w:r>
      <w:r w:rsidR="00072D7B">
        <w:rPr>
          <w:sz w:val="20"/>
          <w:szCs w:val="20"/>
        </w:rPr>
        <w:t xml:space="preserve"> hepatitis A</w:t>
      </w:r>
      <w:r w:rsidR="002E0FD8">
        <w:rPr>
          <w:sz w:val="20"/>
          <w:szCs w:val="20"/>
        </w:rPr>
        <w:t xml:space="preserve"> and shigellosis</w:t>
      </w:r>
      <w:r w:rsidR="00EF3D42">
        <w:rPr>
          <w:sz w:val="20"/>
          <w:szCs w:val="20"/>
        </w:rPr>
        <w:t>, including transmission risks and</w:t>
      </w:r>
      <w:r w:rsidR="00072D7B">
        <w:rPr>
          <w:sz w:val="20"/>
          <w:szCs w:val="20"/>
        </w:rPr>
        <w:t xml:space="preserve"> prevention</w:t>
      </w:r>
      <w:r w:rsidR="00014A66">
        <w:rPr>
          <w:sz w:val="20"/>
          <w:szCs w:val="20"/>
        </w:rPr>
        <w:t>, are</w:t>
      </w:r>
      <w:r w:rsidR="005A0021" w:rsidRPr="000F7A20">
        <w:rPr>
          <w:sz w:val="20"/>
          <w:szCs w:val="20"/>
        </w:rPr>
        <w:t xml:space="preserve"> </w:t>
      </w:r>
      <w:r w:rsidR="00EF3D42">
        <w:rPr>
          <w:sz w:val="20"/>
          <w:szCs w:val="20"/>
        </w:rPr>
        <w:t xml:space="preserve">crucial </w:t>
      </w:r>
      <w:r w:rsidR="00234F0C" w:rsidRPr="000F7A20">
        <w:rPr>
          <w:sz w:val="20"/>
          <w:szCs w:val="20"/>
        </w:rPr>
        <w:t xml:space="preserve">for this </w:t>
      </w:r>
      <w:r w:rsidR="005A0021" w:rsidRPr="000F7A20">
        <w:rPr>
          <w:sz w:val="20"/>
          <w:szCs w:val="20"/>
        </w:rPr>
        <w:t xml:space="preserve">priority </w:t>
      </w:r>
      <w:r w:rsidR="00234F0C" w:rsidRPr="000F7A20">
        <w:rPr>
          <w:sz w:val="20"/>
          <w:szCs w:val="20"/>
        </w:rPr>
        <w:t>population.</w:t>
      </w:r>
    </w:p>
    <w:p w:rsidR="00D0059B" w:rsidRDefault="00316E7C" w:rsidP="00E05C2E">
      <w:pPr>
        <w:rPr>
          <w:sz w:val="20"/>
          <w:szCs w:val="20"/>
        </w:rPr>
      </w:pPr>
      <w:r w:rsidRPr="000F7A20">
        <w:rPr>
          <w:sz w:val="20"/>
          <w:szCs w:val="20"/>
        </w:rPr>
        <w:t xml:space="preserve">The Gay Community Periodic Surveys found that comprehensive STI testing increased over this period, which may have contributed to higher rates of diagnosis. Among gay and bisexual men attending sexual health clinics in the ACCESS network, the average number of syphilis tests per person has increased </w:t>
      </w:r>
      <w:r>
        <w:rPr>
          <w:sz w:val="20"/>
          <w:szCs w:val="20"/>
        </w:rPr>
        <w:t>between 2012 and</w:t>
      </w:r>
      <w:r w:rsidRPr="000F7A20">
        <w:rPr>
          <w:sz w:val="20"/>
          <w:szCs w:val="20"/>
        </w:rPr>
        <w:t xml:space="preserve"> 2016.</w:t>
      </w:r>
      <w:r>
        <w:rPr>
          <w:sz w:val="20"/>
          <w:szCs w:val="20"/>
          <w:vertAlign w:val="superscript"/>
        </w:rPr>
        <w:t>20</w:t>
      </w:r>
      <w:r w:rsidR="00014A66">
        <w:rPr>
          <w:sz w:val="20"/>
          <w:szCs w:val="20"/>
        </w:rPr>
        <w:t xml:space="preserve"> </w:t>
      </w:r>
      <w:r w:rsidR="00B1001B" w:rsidRPr="000F7A20">
        <w:rPr>
          <w:sz w:val="20"/>
          <w:szCs w:val="20"/>
        </w:rPr>
        <w:t>Prevention education, with an</w:t>
      </w:r>
      <w:r w:rsidR="00B1001B" w:rsidRPr="000F7A20">
        <w:rPr>
          <w:sz w:val="20"/>
          <w:szCs w:val="20"/>
          <w:vertAlign w:val="superscript"/>
        </w:rPr>
        <w:t xml:space="preserve"> </w:t>
      </w:r>
      <w:r w:rsidR="00B1001B" w:rsidRPr="000F7A20">
        <w:rPr>
          <w:sz w:val="20"/>
          <w:szCs w:val="20"/>
        </w:rPr>
        <w:t xml:space="preserve">emphasis on the importance of </w:t>
      </w:r>
      <w:r w:rsidR="00742309" w:rsidRPr="000F7A20">
        <w:rPr>
          <w:sz w:val="20"/>
          <w:szCs w:val="20"/>
        </w:rPr>
        <w:t xml:space="preserve">safer sex practices and </w:t>
      </w:r>
      <w:r w:rsidR="00B1001B" w:rsidRPr="000F7A20">
        <w:rPr>
          <w:sz w:val="20"/>
          <w:szCs w:val="20"/>
        </w:rPr>
        <w:t xml:space="preserve">condom use, </w:t>
      </w:r>
      <w:r w:rsidR="00742309" w:rsidRPr="000F7A20">
        <w:rPr>
          <w:sz w:val="20"/>
          <w:szCs w:val="20"/>
        </w:rPr>
        <w:t>along with</w:t>
      </w:r>
      <w:r w:rsidR="00234F0C" w:rsidRPr="000F7A20">
        <w:rPr>
          <w:sz w:val="20"/>
          <w:szCs w:val="20"/>
        </w:rPr>
        <w:t xml:space="preserve"> regular STI testing</w:t>
      </w:r>
      <w:r w:rsidR="00014A66">
        <w:rPr>
          <w:sz w:val="20"/>
          <w:szCs w:val="20"/>
        </w:rPr>
        <w:t>,</w:t>
      </w:r>
      <w:r w:rsidR="00234F0C" w:rsidRPr="000F7A20">
        <w:rPr>
          <w:sz w:val="20"/>
          <w:szCs w:val="20"/>
        </w:rPr>
        <w:t xml:space="preserve"> are</w:t>
      </w:r>
      <w:r w:rsidR="00B1001B" w:rsidRPr="000F7A20">
        <w:rPr>
          <w:sz w:val="20"/>
          <w:szCs w:val="20"/>
        </w:rPr>
        <w:t xml:space="preserve"> critical</w:t>
      </w:r>
      <w:r w:rsidR="00D0059B" w:rsidRPr="000F7A20">
        <w:rPr>
          <w:sz w:val="20"/>
          <w:szCs w:val="20"/>
        </w:rPr>
        <w:t xml:space="preserve"> in reducing STI transmission and supporting early diagnosis and treatment. </w:t>
      </w:r>
      <w:r w:rsidR="00F77154" w:rsidRPr="000F7A20">
        <w:rPr>
          <w:sz w:val="20"/>
          <w:szCs w:val="20"/>
        </w:rPr>
        <w:t xml:space="preserve">This is </w:t>
      </w:r>
      <w:r w:rsidR="005A0021" w:rsidRPr="000F7A20">
        <w:rPr>
          <w:sz w:val="20"/>
          <w:szCs w:val="20"/>
        </w:rPr>
        <w:t xml:space="preserve">also </w:t>
      </w:r>
      <w:r w:rsidR="00F77154" w:rsidRPr="000F7A20">
        <w:rPr>
          <w:sz w:val="20"/>
          <w:szCs w:val="20"/>
        </w:rPr>
        <w:t xml:space="preserve">important in the </w:t>
      </w:r>
      <w:r w:rsidR="00B1001B" w:rsidRPr="000F7A20">
        <w:rPr>
          <w:sz w:val="20"/>
          <w:szCs w:val="20"/>
        </w:rPr>
        <w:t xml:space="preserve">context of </w:t>
      </w:r>
      <w:r w:rsidR="008F33B6">
        <w:rPr>
          <w:sz w:val="20"/>
          <w:szCs w:val="20"/>
        </w:rPr>
        <w:t xml:space="preserve">the use of </w:t>
      </w:r>
      <w:r w:rsidR="00B1001B" w:rsidRPr="000F7A20">
        <w:rPr>
          <w:sz w:val="20"/>
          <w:szCs w:val="20"/>
        </w:rPr>
        <w:t xml:space="preserve">pre-exposure </w:t>
      </w:r>
      <w:r w:rsidR="00F124AF" w:rsidRPr="000F7A20">
        <w:rPr>
          <w:sz w:val="20"/>
          <w:szCs w:val="20"/>
        </w:rPr>
        <w:t>prophylaxis</w:t>
      </w:r>
      <w:r w:rsidR="00B1001B" w:rsidRPr="000F7A20">
        <w:rPr>
          <w:sz w:val="20"/>
          <w:szCs w:val="20"/>
        </w:rPr>
        <w:t xml:space="preserve"> (</w:t>
      </w:r>
      <w:proofErr w:type="spellStart"/>
      <w:r w:rsidR="00B1001B" w:rsidRPr="000F7A20">
        <w:rPr>
          <w:sz w:val="20"/>
          <w:szCs w:val="20"/>
        </w:rPr>
        <w:t>PrEP</w:t>
      </w:r>
      <w:proofErr w:type="spellEnd"/>
      <w:r w:rsidR="00B1001B" w:rsidRPr="000F7A20">
        <w:rPr>
          <w:sz w:val="20"/>
          <w:szCs w:val="20"/>
        </w:rPr>
        <w:t>) for HIV</w:t>
      </w:r>
      <w:r w:rsidR="005A0021" w:rsidRPr="000F7A20">
        <w:rPr>
          <w:sz w:val="20"/>
          <w:szCs w:val="20"/>
        </w:rPr>
        <w:t xml:space="preserve"> prevention</w:t>
      </w:r>
      <w:r w:rsidR="00B1001B" w:rsidRPr="000F7A20">
        <w:rPr>
          <w:sz w:val="20"/>
          <w:szCs w:val="20"/>
        </w:rPr>
        <w:t xml:space="preserve">. </w:t>
      </w:r>
      <w:r w:rsidR="00D24044" w:rsidRPr="000F7A20">
        <w:rPr>
          <w:sz w:val="20"/>
          <w:szCs w:val="20"/>
        </w:rPr>
        <w:t>STI risk</w:t>
      </w:r>
      <w:r w:rsidR="008F33B6">
        <w:rPr>
          <w:sz w:val="20"/>
          <w:szCs w:val="20"/>
        </w:rPr>
        <w:t xml:space="preserve"> factors are</w:t>
      </w:r>
      <w:r w:rsidR="00D24044" w:rsidRPr="000F7A20">
        <w:rPr>
          <w:sz w:val="20"/>
          <w:szCs w:val="20"/>
        </w:rPr>
        <w:t xml:space="preserve"> </w:t>
      </w:r>
      <w:r w:rsidR="00D0059B" w:rsidRPr="000F7A20">
        <w:rPr>
          <w:sz w:val="20"/>
          <w:szCs w:val="20"/>
        </w:rPr>
        <w:t xml:space="preserve">not </w:t>
      </w:r>
      <w:r w:rsidR="008F33B6">
        <w:rPr>
          <w:sz w:val="20"/>
          <w:szCs w:val="20"/>
        </w:rPr>
        <w:t xml:space="preserve">equivalent </w:t>
      </w:r>
      <w:r w:rsidR="00D24044" w:rsidRPr="000F7A20">
        <w:rPr>
          <w:sz w:val="20"/>
          <w:szCs w:val="20"/>
        </w:rPr>
        <w:t xml:space="preserve">across </w:t>
      </w:r>
      <w:r w:rsidR="00D0059B" w:rsidRPr="000F7A20">
        <w:rPr>
          <w:sz w:val="20"/>
          <w:szCs w:val="20"/>
        </w:rPr>
        <w:t xml:space="preserve">this </w:t>
      </w:r>
      <w:r w:rsidR="008F33B6">
        <w:rPr>
          <w:sz w:val="20"/>
          <w:szCs w:val="20"/>
        </w:rPr>
        <w:t xml:space="preserve">priority </w:t>
      </w:r>
      <w:r w:rsidR="00D0059B" w:rsidRPr="000F7A20">
        <w:rPr>
          <w:sz w:val="20"/>
          <w:szCs w:val="20"/>
        </w:rPr>
        <w:t>population</w:t>
      </w:r>
      <w:r w:rsidR="000F0B5C">
        <w:rPr>
          <w:sz w:val="20"/>
          <w:szCs w:val="20"/>
        </w:rPr>
        <w:t>,</w:t>
      </w:r>
      <w:r w:rsidR="00D0059B" w:rsidRPr="000F7A20">
        <w:rPr>
          <w:sz w:val="20"/>
          <w:szCs w:val="20"/>
        </w:rPr>
        <w:t xml:space="preserve"> and </w:t>
      </w:r>
      <w:r w:rsidR="00D24044" w:rsidRPr="000F7A20">
        <w:rPr>
          <w:sz w:val="20"/>
          <w:szCs w:val="20"/>
        </w:rPr>
        <w:t>tailored interventions</w:t>
      </w:r>
      <w:r w:rsidR="00D0059B" w:rsidRPr="000F7A20">
        <w:rPr>
          <w:sz w:val="20"/>
          <w:szCs w:val="20"/>
        </w:rPr>
        <w:t xml:space="preserve"> are required</w:t>
      </w:r>
      <w:r w:rsidR="0072640F">
        <w:rPr>
          <w:sz w:val="20"/>
          <w:szCs w:val="20"/>
        </w:rPr>
        <w:t>.</w:t>
      </w:r>
    </w:p>
    <w:p w:rsidR="00436D65" w:rsidRPr="00847E38" w:rsidRDefault="00436D65" w:rsidP="00436D65">
      <w:pPr>
        <w:spacing w:before="240"/>
        <w:rPr>
          <w:i/>
          <w:color w:val="00264D"/>
          <w:sz w:val="22"/>
        </w:rPr>
      </w:pPr>
      <w:r w:rsidRPr="00847E38">
        <w:rPr>
          <w:i/>
          <w:color w:val="00264D"/>
          <w:sz w:val="22"/>
        </w:rPr>
        <w:t xml:space="preserve">Sex workers </w:t>
      </w:r>
    </w:p>
    <w:p w:rsidR="000C6E17" w:rsidRDefault="00E05C2E" w:rsidP="008941FD">
      <w:pPr>
        <w:rPr>
          <w:sz w:val="20"/>
          <w:szCs w:val="20"/>
        </w:rPr>
      </w:pPr>
      <w:r w:rsidRPr="000F7A20">
        <w:rPr>
          <w:sz w:val="20"/>
          <w:szCs w:val="20"/>
        </w:rPr>
        <w:t>Australia’s</w:t>
      </w:r>
      <w:r w:rsidR="00436D65" w:rsidRPr="000F7A20">
        <w:rPr>
          <w:sz w:val="20"/>
          <w:szCs w:val="20"/>
        </w:rPr>
        <w:t xml:space="preserve"> strong and sustained health promotion programs among sex workers mean that rates of STI in this group continue to be among the </w:t>
      </w:r>
      <w:r w:rsidR="00436D65" w:rsidRPr="002955F5">
        <w:rPr>
          <w:sz w:val="20"/>
          <w:szCs w:val="20"/>
        </w:rPr>
        <w:t>lowest in the world</w:t>
      </w:r>
      <w:r w:rsidR="00A37916" w:rsidRPr="002955F5">
        <w:rPr>
          <w:sz w:val="20"/>
          <w:szCs w:val="20"/>
        </w:rPr>
        <w:t xml:space="preserve"> compared with sex workers in other countries</w:t>
      </w:r>
      <w:r w:rsidR="00436D65" w:rsidRPr="001F36EC">
        <w:rPr>
          <w:sz w:val="20"/>
          <w:szCs w:val="20"/>
        </w:rPr>
        <w:t>. However, there</w:t>
      </w:r>
      <w:r w:rsidR="00436D65" w:rsidRPr="000F7A20">
        <w:rPr>
          <w:sz w:val="20"/>
          <w:szCs w:val="20"/>
        </w:rPr>
        <w:t xml:space="preserve"> has been an increase in the incidence of chlamydia and gonorrhoea in this population in recent years.</w:t>
      </w:r>
      <w:r w:rsidR="00F56D47">
        <w:rPr>
          <w:sz w:val="20"/>
          <w:szCs w:val="20"/>
          <w:vertAlign w:val="superscript"/>
        </w:rPr>
        <w:t>22</w:t>
      </w:r>
      <w:r w:rsidR="00436D65" w:rsidRPr="000F7A20">
        <w:rPr>
          <w:sz w:val="20"/>
          <w:szCs w:val="20"/>
        </w:rPr>
        <w:t xml:space="preserve"> Chlamydia incidence for female sex workers attending sexual health clinics increased by 35 per cent from 2012 to 2016.</w:t>
      </w:r>
      <w:r w:rsidR="00F56D47">
        <w:rPr>
          <w:sz w:val="20"/>
          <w:szCs w:val="20"/>
          <w:vertAlign w:val="superscript"/>
        </w:rPr>
        <w:t>22</w:t>
      </w:r>
      <w:r w:rsidR="00436D65" w:rsidRPr="000F7A20">
        <w:rPr>
          <w:sz w:val="20"/>
          <w:szCs w:val="20"/>
        </w:rPr>
        <w:t xml:space="preserve"> Over the same period, gonorrhoea incidence</w:t>
      </w:r>
      <w:r w:rsidR="00316E7C">
        <w:rPr>
          <w:sz w:val="20"/>
          <w:szCs w:val="20"/>
        </w:rPr>
        <w:t xml:space="preserve"> also increased</w:t>
      </w:r>
      <w:r w:rsidR="000F0B5C">
        <w:rPr>
          <w:sz w:val="20"/>
          <w:szCs w:val="20"/>
        </w:rPr>
        <w:t>;</w:t>
      </w:r>
      <w:r w:rsidR="00316E7C">
        <w:rPr>
          <w:sz w:val="20"/>
          <w:szCs w:val="20"/>
        </w:rPr>
        <w:t xml:space="preserve"> however, </w:t>
      </w:r>
      <w:r w:rsidR="00014A66">
        <w:rPr>
          <w:sz w:val="20"/>
          <w:szCs w:val="20"/>
        </w:rPr>
        <w:t>t</w:t>
      </w:r>
      <w:r w:rsidR="00436D65" w:rsidRPr="000F7A20">
        <w:rPr>
          <w:sz w:val="20"/>
          <w:szCs w:val="20"/>
        </w:rPr>
        <w:t>he incidence of syphilis in female sex workers has remained low.</w:t>
      </w:r>
      <w:r w:rsidR="00F56D47">
        <w:rPr>
          <w:sz w:val="20"/>
          <w:szCs w:val="20"/>
          <w:vertAlign w:val="superscript"/>
        </w:rPr>
        <w:t>22</w:t>
      </w:r>
      <w:r w:rsidR="00795B01" w:rsidRPr="002214DD">
        <w:rPr>
          <w:sz w:val="20"/>
          <w:szCs w:val="20"/>
          <w:vertAlign w:val="superscript"/>
        </w:rPr>
        <w:t xml:space="preserve"> </w:t>
      </w:r>
    </w:p>
    <w:p w:rsidR="008941FD" w:rsidRPr="000F7A20" w:rsidRDefault="008941FD" w:rsidP="008941FD">
      <w:pPr>
        <w:rPr>
          <w:sz w:val="20"/>
          <w:szCs w:val="20"/>
        </w:rPr>
      </w:pPr>
      <w:r w:rsidRPr="000F7A20">
        <w:rPr>
          <w:sz w:val="20"/>
          <w:szCs w:val="20"/>
        </w:rPr>
        <w:t xml:space="preserve">Sex workers experience specific barriers to accessing health services, including stigma and discrimination and regulatory and legal </w:t>
      </w:r>
      <w:r w:rsidR="00A93B5D">
        <w:rPr>
          <w:sz w:val="20"/>
          <w:szCs w:val="20"/>
        </w:rPr>
        <w:t>issues</w:t>
      </w:r>
      <w:r w:rsidR="000F0B5C">
        <w:rPr>
          <w:sz w:val="20"/>
          <w:szCs w:val="20"/>
        </w:rPr>
        <w:t>—</w:t>
      </w:r>
      <w:r w:rsidR="00A93B5D">
        <w:rPr>
          <w:sz w:val="20"/>
          <w:szCs w:val="20"/>
        </w:rPr>
        <w:t>criminalisation, licens</w:t>
      </w:r>
      <w:r w:rsidRPr="000F7A20">
        <w:rPr>
          <w:sz w:val="20"/>
          <w:szCs w:val="20"/>
        </w:rPr>
        <w:t>ing, registration and mandatory testing in some jurisdictions.</w:t>
      </w:r>
      <w:r w:rsidRPr="000F7A20">
        <w:rPr>
          <w:rStyle w:val="EndnoteReference"/>
          <w:sz w:val="20"/>
          <w:szCs w:val="20"/>
        </w:rPr>
        <w:endnoteReference w:id="46"/>
      </w:r>
      <w:r w:rsidRPr="000F7A20">
        <w:rPr>
          <w:sz w:val="20"/>
          <w:szCs w:val="20"/>
        </w:rPr>
        <w:t xml:space="preserve"> These can </w:t>
      </w:r>
      <w:r w:rsidR="00014A66">
        <w:rPr>
          <w:sz w:val="20"/>
          <w:szCs w:val="20"/>
        </w:rPr>
        <w:t>impede access to evidence-</w:t>
      </w:r>
      <w:r w:rsidRPr="000F7A20">
        <w:rPr>
          <w:sz w:val="20"/>
          <w:szCs w:val="20"/>
        </w:rPr>
        <w:t>based prevention, testing, treatment and support services and can result in increased risk of STI, loss of livelihood, and risk to personal and physical safety.</w:t>
      </w:r>
      <w:r w:rsidRPr="000F7A20">
        <w:rPr>
          <w:rStyle w:val="EndnoteReference"/>
          <w:sz w:val="20"/>
          <w:szCs w:val="20"/>
        </w:rPr>
        <w:endnoteReference w:id="47"/>
      </w:r>
    </w:p>
    <w:p w:rsidR="00436D65" w:rsidRPr="000F7A20" w:rsidRDefault="00436D65" w:rsidP="00436D65">
      <w:pPr>
        <w:rPr>
          <w:sz w:val="20"/>
          <w:szCs w:val="20"/>
          <w:lang w:eastAsia="en-AU"/>
        </w:rPr>
      </w:pPr>
      <w:r w:rsidRPr="000F7A20">
        <w:rPr>
          <w:sz w:val="20"/>
          <w:szCs w:val="20"/>
          <w:lang w:eastAsia="en-AU"/>
        </w:rPr>
        <w:t>Within this population, tailored approaches are needed for sub-populations of sex workers</w:t>
      </w:r>
      <w:r w:rsidR="000F0B5C">
        <w:rPr>
          <w:sz w:val="20"/>
          <w:szCs w:val="20"/>
          <w:lang w:eastAsia="en-AU"/>
        </w:rPr>
        <w:t>,</w:t>
      </w:r>
      <w:r w:rsidRPr="000F7A20">
        <w:rPr>
          <w:sz w:val="20"/>
          <w:szCs w:val="20"/>
          <w:lang w:eastAsia="en-AU"/>
        </w:rPr>
        <w:t xml:space="preserve"> including street</w:t>
      </w:r>
      <w:r w:rsidR="001A39E7">
        <w:rPr>
          <w:sz w:val="20"/>
          <w:szCs w:val="20"/>
          <w:lang w:eastAsia="en-AU"/>
        </w:rPr>
        <w:noBreakHyphen/>
      </w:r>
      <w:r w:rsidRPr="000F7A20">
        <w:rPr>
          <w:sz w:val="20"/>
          <w:szCs w:val="20"/>
          <w:lang w:eastAsia="en-AU"/>
        </w:rPr>
        <w:t xml:space="preserve">based sex workers, sex workers who work in isolation, </w:t>
      </w:r>
      <w:r w:rsidR="003846F4">
        <w:rPr>
          <w:sz w:val="20"/>
          <w:szCs w:val="20"/>
          <w:lang w:eastAsia="en-AU"/>
        </w:rPr>
        <w:t xml:space="preserve">mobile sex workers, </w:t>
      </w:r>
      <w:r w:rsidRPr="000F7A20">
        <w:rPr>
          <w:sz w:val="20"/>
          <w:szCs w:val="20"/>
          <w:lang w:eastAsia="en-AU"/>
        </w:rPr>
        <w:t xml:space="preserve">sex workers in rural and remote areas, migrant and </w:t>
      </w:r>
      <w:r w:rsidR="00737C8F">
        <w:rPr>
          <w:sz w:val="20"/>
          <w:szCs w:val="20"/>
          <w:lang w:eastAsia="en-AU"/>
        </w:rPr>
        <w:t xml:space="preserve">culturally and linguistically diverse (CALD) </w:t>
      </w:r>
      <w:r w:rsidRPr="000F7A20">
        <w:rPr>
          <w:sz w:val="20"/>
          <w:szCs w:val="20"/>
          <w:lang w:eastAsia="en-AU"/>
        </w:rPr>
        <w:t>sex workers, Aborig</w:t>
      </w:r>
      <w:r w:rsidR="00014A66">
        <w:rPr>
          <w:sz w:val="20"/>
          <w:szCs w:val="20"/>
          <w:lang w:eastAsia="en-AU"/>
        </w:rPr>
        <w:t>inal and Torres Strait Islander</w:t>
      </w:r>
      <w:r w:rsidR="00316E7C">
        <w:rPr>
          <w:sz w:val="20"/>
          <w:szCs w:val="20"/>
          <w:lang w:eastAsia="en-AU"/>
        </w:rPr>
        <w:t xml:space="preserve"> people engaged in sex work</w:t>
      </w:r>
      <w:r w:rsidRPr="000F7A20">
        <w:rPr>
          <w:sz w:val="20"/>
          <w:szCs w:val="20"/>
          <w:lang w:eastAsia="en-AU"/>
        </w:rPr>
        <w:t>, male sex workers, trans and gender</w:t>
      </w:r>
      <w:r w:rsidR="000F0B5C">
        <w:rPr>
          <w:sz w:val="20"/>
          <w:szCs w:val="20"/>
          <w:lang w:eastAsia="en-AU"/>
        </w:rPr>
        <w:t>-</w:t>
      </w:r>
      <w:r w:rsidRPr="000F7A20">
        <w:rPr>
          <w:sz w:val="20"/>
          <w:szCs w:val="20"/>
          <w:lang w:eastAsia="en-AU"/>
        </w:rPr>
        <w:t xml:space="preserve">diverse sex workers, sex workers with HIV, people with complex needs and people from other priority populations. </w:t>
      </w:r>
    </w:p>
    <w:p w:rsidR="0078482B" w:rsidRPr="00847E38" w:rsidRDefault="000F0B5C" w:rsidP="0078482B">
      <w:pPr>
        <w:spacing w:before="240"/>
        <w:rPr>
          <w:i/>
          <w:color w:val="00264D"/>
          <w:sz w:val="22"/>
        </w:rPr>
      </w:pPr>
      <w:r>
        <w:rPr>
          <w:i/>
          <w:color w:val="00264D"/>
          <w:sz w:val="22"/>
        </w:rPr>
        <w:t>People with c</w:t>
      </w:r>
      <w:r w:rsidR="0078482B" w:rsidRPr="000834EF">
        <w:rPr>
          <w:i/>
          <w:color w:val="00264D"/>
          <w:sz w:val="22"/>
        </w:rPr>
        <w:t xml:space="preserve">ulturally and </w:t>
      </w:r>
      <w:r>
        <w:rPr>
          <w:i/>
          <w:color w:val="00264D"/>
          <w:sz w:val="22"/>
        </w:rPr>
        <w:t>l</w:t>
      </w:r>
      <w:r w:rsidR="0078482B" w:rsidRPr="000834EF">
        <w:rPr>
          <w:i/>
          <w:color w:val="00264D"/>
          <w:sz w:val="22"/>
        </w:rPr>
        <w:t xml:space="preserve">inguistically </w:t>
      </w:r>
      <w:r>
        <w:rPr>
          <w:i/>
          <w:color w:val="00264D"/>
          <w:sz w:val="22"/>
        </w:rPr>
        <w:t>d</w:t>
      </w:r>
      <w:r w:rsidR="0078482B" w:rsidRPr="000834EF">
        <w:rPr>
          <w:i/>
          <w:color w:val="00264D"/>
          <w:sz w:val="22"/>
        </w:rPr>
        <w:t xml:space="preserve">iverse </w:t>
      </w:r>
      <w:r>
        <w:rPr>
          <w:i/>
          <w:color w:val="00264D"/>
          <w:sz w:val="22"/>
        </w:rPr>
        <w:t>backgrounds</w:t>
      </w:r>
    </w:p>
    <w:p w:rsidR="0078482B" w:rsidRPr="000F7A20" w:rsidRDefault="0078482B" w:rsidP="0078482B">
      <w:pPr>
        <w:rPr>
          <w:sz w:val="20"/>
          <w:szCs w:val="20"/>
          <w:vertAlign w:val="superscript"/>
        </w:rPr>
      </w:pPr>
      <w:r w:rsidRPr="000F7A20">
        <w:rPr>
          <w:sz w:val="20"/>
          <w:szCs w:val="20"/>
        </w:rPr>
        <w:t xml:space="preserve">STI prevalence among </w:t>
      </w:r>
      <w:r w:rsidRPr="002955F5">
        <w:rPr>
          <w:sz w:val="20"/>
          <w:szCs w:val="20"/>
        </w:rPr>
        <w:t>CALD people</w:t>
      </w:r>
      <w:r w:rsidRPr="00737C8F">
        <w:rPr>
          <w:sz w:val="20"/>
          <w:szCs w:val="20"/>
        </w:rPr>
        <w:t xml:space="preserve"> is</w:t>
      </w:r>
      <w:r w:rsidRPr="000F7A20">
        <w:rPr>
          <w:sz w:val="20"/>
          <w:szCs w:val="20"/>
        </w:rPr>
        <w:t xml:space="preserve"> unknown in Australia due to a paucity of data. However, some studies have indicated a high prevalence of certain STI in CALD populations, a lack of knowledge of STI and the potential for the emergence </w:t>
      </w:r>
      <w:r w:rsidR="00C9108E" w:rsidRPr="000F7A20">
        <w:rPr>
          <w:sz w:val="20"/>
          <w:szCs w:val="20"/>
        </w:rPr>
        <w:t xml:space="preserve">and increasing </w:t>
      </w:r>
      <w:r w:rsidR="00C43D91" w:rsidRPr="000F7A20">
        <w:rPr>
          <w:sz w:val="20"/>
          <w:szCs w:val="20"/>
        </w:rPr>
        <w:t>incidence</w:t>
      </w:r>
      <w:r w:rsidR="00C9108E" w:rsidRPr="000F7A20">
        <w:rPr>
          <w:sz w:val="20"/>
          <w:szCs w:val="20"/>
        </w:rPr>
        <w:t xml:space="preserve"> of</w:t>
      </w:r>
      <w:r w:rsidRPr="000F7A20">
        <w:rPr>
          <w:sz w:val="20"/>
          <w:szCs w:val="20"/>
        </w:rPr>
        <w:t xml:space="preserve"> STI in </w:t>
      </w:r>
      <w:r w:rsidR="00C43D91" w:rsidRPr="000F7A20">
        <w:rPr>
          <w:sz w:val="20"/>
          <w:szCs w:val="20"/>
        </w:rPr>
        <w:t xml:space="preserve">urban </w:t>
      </w:r>
      <w:r w:rsidRPr="000F7A20">
        <w:rPr>
          <w:sz w:val="20"/>
          <w:szCs w:val="20"/>
        </w:rPr>
        <w:t>CALD populations.</w:t>
      </w:r>
      <w:r w:rsidRPr="000F7A20">
        <w:rPr>
          <w:rStyle w:val="EndnoteReference"/>
          <w:sz w:val="20"/>
          <w:szCs w:val="20"/>
        </w:rPr>
        <w:endnoteReference w:id="48"/>
      </w:r>
      <w:r w:rsidR="002214DD" w:rsidRPr="002214DD">
        <w:rPr>
          <w:sz w:val="20"/>
          <w:szCs w:val="20"/>
          <w:vertAlign w:val="superscript"/>
        </w:rPr>
        <w:t>,</w:t>
      </w:r>
      <w:r w:rsidRPr="002214DD">
        <w:rPr>
          <w:rStyle w:val="EndnoteReference"/>
          <w:sz w:val="20"/>
          <w:szCs w:val="20"/>
        </w:rPr>
        <w:endnoteReference w:id="49"/>
      </w:r>
      <w:r w:rsidR="002214DD" w:rsidRPr="002214DD">
        <w:rPr>
          <w:sz w:val="20"/>
          <w:szCs w:val="20"/>
          <w:vertAlign w:val="superscript"/>
        </w:rPr>
        <w:t>,</w:t>
      </w:r>
      <w:r w:rsidRPr="000F7A20">
        <w:rPr>
          <w:rStyle w:val="EndnoteReference"/>
          <w:sz w:val="20"/>
          <w:szCs w:val="20"/>
        </w:rPr>
        <w:endnoteReference w:id="50"/>
      </w:r>
    </w:p>
    <w:p w:rsidR="00431238" w:rsidRPr="000F7A20" w:rsidRDefault="0078482B" w:rsidP="0078482B">
      <w:pPr>
        <w:rPr>
          <w:sz w:val="20"/>
          <w:szCs w:val="20"/>
          <w:lang w:eastAsia="en-AU"/>
        </w:rPr>
      </w:pPr>
      <w:r w:rsidRPr="000F7A20">
        <w:rPr>
          <w:sz w:val="20"/>
          <w:szCs w:val="20"/>
        </w:rPr>
        <w:t>Australia’s CALD population continues to grow</w:t>
      </w:r>
      <w:r w:rsidR="00A06B65" w:rsidRPr="000F7A20">
        <w:rPr>
          <w:sz w:val="20"/>
          <w:szCs w:val="20"/>
        </w:rPr>
        <w:t>. T</w:t>
      </w:r>
      <w:r w:rsidR="00C9108E" w:rsidRPr="000F7A20">
        <w:rPr>
          <w:sz w:val="20"/>
          <w:szCs w:val="20"/>
        </w:rPr>
        <w:t xml:space="preserve">he number of </w:t>
      </w:r>
      <w:r w:rsidR="00FB0D99">
        <w:rPr>
          <w:sz w:val="20"/>
          <w:szCs w:val="20"/>
        </w:rPr>
        <w:t xml:space="preserve">permanent and temporary </w:t>
      </w:r>
      <w:r w:rsidR="00A06B65" w:rsidRPr="000F7A20">
        <w:rPr>
          <w:sz w:val="20"/>
          <w:szCs w:val="20"/>
        </w:rPr>
        <w:t>migrants</w:t>
      </w:r>
      <w:r w:rsidR="00161B6C" w:rsidRPr="000F7A20">
        <w:rPr>
          <w:sz w:val="20"/>
          <w:szCs w:val="20"/>
        </w:rPr>
        <w:t xml:space="preserve"> and </w:t>
      </w:r>
      <w:r w:rsidR="00C9108E" w:rsidRPr="000F7A20">
        <w:rPr>
          <w:sz w:val="20"/>
          <w:szCs w:val="20"/>
        </w:rPr>
        <w:t>international student</w:t>
      </w:r>
      <w:r w:rsidR="00AE5D58" w:rsidRPr="000F7A20">
        <w:rPr>
          <w:sz w:val="20"/>
          <w:szCs w:val="20"/>
        </w:rPr>
        <w:t>s</w:t>
      </w:r>
      <w:r w:rsidR="00161B6C" w:rsidRPr="000F7A20">
        <w:rPr>
          <w:sz w:val="20"/>
          <w:szCs w:val="20"/>
        </w:rPr>
        <w:t xml:space="preserve"> increased by 12 per cent between February 2017 and 2018</w:t>
      </w:r>
      <w:r w:rsidR="000F0B5C">
        <w:rPr>
          <w:sz w:val="20"/>
          <w:szCs w:val="20"/>
        </w:rPr>
        <w:t>,</w:t>
      </w:r>
      <w:r w:rsidR="006611A4" w:rsidRPr="000F7A20">
        <w:rPr>
          <w:rStyle w:val="EndnoteReference"/>
          <w:sz w:val="20"/>
          <w:szCs w:val="20"/>
        </w:rPr>
        <w:endnoteReference w:id="51"/>
      </w:r>
      <w:r w:rsidR="007F3D15" w:rsidRPr="000F7A20">
        <w:rPr>
          <w:sz w:val="20"/>
          <w:szCs w:val="20"/>
        </w:rPr>
        <w:t xml:space="preserve"> </w:t>
      </w:r>
      <w:r w:rsidR="00316E7C">
        <w:rPr>
          <w:sz w:val="20"/>
          <w:szCs w:val="20"/>
        </w:rPr>
        <w:t>and t</w:t>
      </w:r>
      <w:r w:rsidR="00161B6C" w:rsidRPr="000F7A20">
        <w:rPr>
          <w:sz w:val="20"/>
          <w:szCs w:val="20"/>
        </w:rPr>
        <w:t>he 2016 Census demonstrates that over 26 per cent of Australia’s population was born overseas.</w:t>
      </w:r>
      <w:r w:rsidR="00161B6C" w:rsidRPr="000F7A20">
        <w:rPr>
          <w:rStyle w:val="EndnoteReference"/>
          <w:sz w:val="20"/>
          <w:szCs w:val="20"/>
        </w:rPr>
        <w:endnoteReference w:id="52"/>
      </w:r>
      <w:r w:rsidR="00161B6C" w:rsidRPr="000F7A20">
        <w:rPr>
          <w:sz w:val="20"/>
          <w:szCs w:val="20"/>
        </w:rPr>
        <w:t xml:space="preserve"> </w:t>
      </w:r>
      <w:r w:rsidRPr="000F7A20">
        <w:rPr>
          <w:sz w:val="20"/>
          <w:szCs w:val="20"/>
        </w:rPr>
        <w:t>Th</w:t>
      </w:r>
      <w:r w:rsidR="00316E7C">
        <w:rPr>
          <w:sz w:val="20"/>
          <w:szCs w:val="20"/>
        </w:rPr>
        <w:t>is</w:t>
      </w:r>
      <w:r w:rsidRPr="000F7A20">
        <w:rPr>
          <w:sz w:val="20"/>
          <w:szCs w:val="20"/>
        </w:rPr>
        <w:t xml:space="preserve"> population encompasses a broad range of people, including people from countr</w:t>
      </w:r>
      <w:r w:rsidR="00A06B65" w:rsidRPr="000F7A20">
        <w:rPr>
          <w:sz w:val="20"/>
          <w:szCs w:val="20"/>
        </w:rPr>
        <w:t>ies with high prevalence of STI</w:t>
      </w:r>
      <w:r w:rsidR="000834EF">
        <w:rPr>
          <w:rStyle w:val="EndnoteReference"/>
          <w:sz w:val="20"/>
          <w:szCs w:val="20"/>
        </w:rPr>
        <w:endnoteReference w:id="53"/>
      </w:r>
      <w:r w:rsidRPr="000F7A20">
        <w:rPr>
          <w:sz w:val="20"/>
          <w:szCs w:val="20"/>
        </w:rPr>
        <w:t xml:space="preserve"> and </w:t>
      </w:r>
      <w:r w:rsidR="00A06B65" w:rsidRPr="000F7A20">
        <w:rPr>
          <w:sz w:val="20"/>
          <w:szCs w:val="20"/>
        </w:rPr>
        <w:t>people who may experience barriers</w:t>
      </w:r>
      <w:r w:rsidR="002955F5">
        <w:rPr>
          <w:sz w:val="20"/>
          <w:szCs w:val="20"/>
        </w:rPr>
        <w:t xml:space="preserve"> </w:t>
      </w:r>
      <w:r w:rsidR="002955F5" w:rsidRPr="002955F5">
        <w:rPr>
          <w:sz w:val="20"/>
          <w:szCs w:val="20"/>
        </w:rPr>
        <w:t>(for example, language, stigma, cost and lack of awareness)</w:t>
      </w:r>
      <w:r w:rsidR="00A06B65" w:rsidRPr="000F7A20">
        <w:rPr>
          <w:sz w:val="20"/>
          <w:szCs w:val="20"/>
        </w:rPr>
        <w:t xml:space="preserve"> to</w:t>
      </w:r>
      <w:r w:rsidRPr="000F7A20">
        <w:rPr>
          <w:sz w:val="20"/>
          <w:szCs w:val="20"/>
        </w:rPr>
        <w:t xml:space="preserve"> accessing sexual health </w:t>
      </w:r>
      <w:r w:rsidRPr="002955F5">
        <w:rPr>
          <w:sz w:val="20"/>
          <w:szCs w:val="20"/>
        </w:rPr>
        <w:t>services.</w:t>
      </w:r>
      <w:r w:rsidR="007136F6" w:rsidRPr="002955F5">
        <w:rPr>
          <w:rStyle w:val="EndnoteReference"/>
          <w:sz w:val="20"/>
          <w:szCs w:val="20"/>
        </w:rPr>
        <w:endnoteReference w:id="54"/>
      </w:r>
      <w:r w:rsidR="00C9108E" w:rsidRPr="00737C8F">
        <w:rPr>
          <w:sz w:val="20"/>
          <w:szCs w:val="20"/>
        </w:rPr>
        <w:t xml:space="preserve"> </w:t>
      </w:r>
      <w:r w:rsidR="007F3D15" w:rsidRPr="00737C8F">
        <w:rPr>
          <w:sz w:val="20"/>
          <w:szCs w:val="20"/>
        </w:rPr>
        <w:t>T</w:t>
      </w:r>
      <w:r w:rsidR="00431238" w:rsidRPr="00737C8F">
        <w:rPr>
          <w:sz w:val="20"/>
          <w:szCs w:val="20"/>
        </w:rPr>
        <w:t>ailored</w:t>
      </w:r>
      <w:r w:rsidR="007F3D15" w:rsidRPr="000F7A20">
        <w:rPr>
          <w:sz w:val="20"/>
          <w:szCs w:val="20"/>
        </w:rPr>
        <w:t xml:space="preserve"> a</w:t>
      </w:r>
      <w:r w:rsidR="007F3D15" w:rsidRPr="000F7A20">
        <w:rPr>
          <w:sz w:val="20"/>
          <w:szCs w:val="20"/>
          <w:lang w:eastAsia="en-AU"/>
        </w:rPr>
        <w:t>pproaches, resources and services</w:t>
      </w:r>
      <w:r w:rsidR="00431238" w:rsidRPr="000F7A20">
        <w:rPr>
          <w:sz w:val="20"/>
          <w:szCs w:val="20"/>
          <w:lang w:eastAsia="en-AU"/>
        </w:rPr>
        <w:t xml:space="preserve"> are needed to</w:t>
      </w:r>
      <w:r w:rsidR="007F3D15" w:rsidRPr="000F7A20">
        <w:rPr>
          <w:sz w:val="20"/>
          <w:szCs w:val="20"/>
          <w:lang w:eastAsia="en-AU"/>
        </w:rPr>
        <w:t xml:space="preserve"> address specific cultural, language and gender issues across all aspects of the response to STI. </w:t>
      </w:r>
      <w:r w:rsidR="00431238" w:rsidRPr="000F7A20">
        <w:rPr>
          <w:sz w:val="20"/>
          <w:szCs w:val="20"/>
          <w:lang w:eastAsia="en-AU"/>
        </w:rPr>
        <w:t xml:space="preserve"> </w:t>
      </w:r>
    </w:p>
    <w:p w:rsidR="009D02C5" w:rsidRPr="000F7A20" w:rsidRDefault="00431238" w:rsidP="0078482B">
      <w:pPr>
        <w:rPr>
          <w:sz w:val="20"/>
          <w:szCs w:val="20"/>
          <w:lang w:eastAsia="en-AU"/>
        </w:rPr>
      </w:pPr>
      <w:r w:rsidRPr="000F7A20">
        <w:rPr>
          <w:sz w:val="20"/>
          <w:szCs w:val="20"/>
          <w:lang w:eastAsia="en-AU"/>
        </w:rPr>
        <w:t>Within this population, specific approaches are need for gay men and other MSM;</w:t>
      </w:r>
      <w:r w:rsidR="0075320F" w:rsidRPr="000F7A20">
        <w:rPr>
          <w:sz w:val="20"/>
          <w:szCs w:val="20"/>
          <w:lang w:eastAsia="en-AU"/>
        </w:rPr>
        <w:t xml:space="preserve"> people who use drugs</w:t>
      </w:r>
      <w:r w:rsidRPr="000F7A20">
        <w:rPr>
          <w:sz w:val="20"/>
          <w:szCs w:val="20"/>
          <w:lang w:eastAsia="en-AU"/>
        </w:rPr>
        <w:t>;</w:t>
      </w:r>
      <w:r w:rsidR="0075320F" w:rsidRPr="000F7A20">
        <w:rPr>
          <w:sz w:val="20"/>
          <w:szCs w:val="20"/>
          <w:lang w:eastAsia="en-AU"/>
        </w:rPr>
        <w:t xml:space="preserve"> </w:t>
      </w:r>
      <w:r w:rsidRPr="000F7A20">
        <w:rPr>
          <w:sz w:val="20"/>
          <w:szCs w:val="20"/>
          <w:lang w:eastAsia="en-AU"/>
        </w:rPr>
        <w:t>young people</w:t>
      </w:r>
      <w:r w:rsidR="002E6022" w:rsidRPr="000F7A20">
        <w:rPr>
          <w:sz w:val="20"/>
          <w:szCs w:val="20"/>
          <w:lang w:eastAsia="en-AU"/>
        </w:rPr>
        <w:t xml:space="preserve">; </w:t>
      </w:r>
      <w:r w:rsidR="0075320F" w:rsidRPr="000F7A20">
        <w:rPr>
          <w:sz w:val="20"/>
          <w:szCs w:val="20"/>
        </w:rPr>
        <w:t>people who are ineli</w:t>
      </w:r>
      <w:r w:rsidRPr="000F7A20">
        <w:rPr>
          <w:sz w:val="20"/>
          <w:szCs w:val="20"/>
        </w:rPr>
        <w:t>gible for subsidised health</w:t>
      </w:r>
      <w:r w:rsidR="000F0B5C">
        <w:rPr>
          <w:sz w:val="20"/>
          <w:szCs w:val="20"/>
        </w:rPr>
        <w:t xml:space="preserve"> </w:t>
      </w:r>
      <w:r w:rsidRPr="000F7A20">
        <w:rPr>
          <w:sz w:val="20"/>
          <w:szCs w:val="20"/>
        </w:rPr>
        <w:t>care; refugees;</w:t>
      </w:r>
      <w:r w:rsidR="0075320F" w:rsidRPr="000F7A20">
        <w:rPr>
          <w:sz w:val="20"/>
          <w:szCs w:val="20"/>
        </w:rPr>
        <w:t xml:space="preserve"> </w:t>
      </w:r>
      <w:r w:rsidR="00285B67">
        <w:rPr>
          <w:sz w:val="20"/>
          <w:szCs w:val="20"/>
        </w:rPr>
        <w:t>humanitarian entrants</w:t>
      </w:r>
      <w:r w:rsidRPr="000F7A20">
        <w:rPr>
          <w:sz w:val="20"/>
          <w:szCs w:val="20"/>
        </w:rPr>
        <w:t>;</w:t>
      </w:r>
      <w:r w:rsidR="0075320F" w:rsidRPr="000F7A20">
        <w:rPr>
          <w:sz w:val="20"/>
          <w:szCs w:val="20"/>
          <w:lang w:eastAsia="en-AU"/>
        </w:rPr>
        <w:t xml:space="preserve"> </w:t>
      </w:r>
      <w:r w:rsidR="007D0E1D">
        <w:rPr>
          <w:sz w:val="20"/>
          <w:szCs w:val="20"/>
          <w:lang w:eastAsia="en-AU"/>
        </w:rPr>
        <w:t xml:space="preserve">sex workers; </w:t>
      </w:r>
      <w:r w:rsidR="0075320F" w:rsidRPr="000F7A20">
        <w:rPr>
          <w:sz w:val="20"/>
          <w:szCs w:val="20"/>
          <w:lang w:eastAsia="en-AU"/>
        </w:rPr>
        <w:t>and women.</w:t>
      </w:r>
      <w:r w:rsidR="00206B1A" w:rsidRPr="000F7A20">
        <w:rPr>
          <w:sz w:val="20"/>
          <w:szCs w:val="20"/>
          <w:lang w:eastAsia="en-AU"/>
        </w:rPr>
        <w:t xml:space="preserve"> </w:t>
      </w:r>
      <w:r w:rsidR="002E6022" w:rsidRPr="002955F5">
        <w:rPr>
          <w:sz w:val="20"/>
          <w:szCs w:val="20"/>
        </w:rPr>
        <w:t>Improving</w:t>
      </w:r>
      <w:r w:rsidRPr="002955F5">
        <w:rPr>
          <w:sz w:val="20"/>
          <w:szCs w:val="20"/>
        </w:rPr>
        <w:t xml:space="preserve"> </w:t>
      </w:r>
      <w:r w:rsidR="009D02C5" w:rsidRPr="002955F5">
        <w:rPr>
          <w:sz w:val="20"/>
          <w:szCs w:val="20"/>
        </w:rPr>
        <w:t>sexual</w:t>
      </w:r>
      <w:r w:rsidR="009D02C5" w:rsidRPr="00737C8F">
        <w:rPr>
          <w:sz w:val="20"/>
          <w:szCs w:val="20"/>
        </w:rPr>
        <w:t xml:space="preserve"> health literacy and </w:t>
      </w:r>
      <w:r w:rsidR="002E6022" w:rsidRPr="00737C8F">
        <w:rPr>
          <w:sz w:val="20"/>
          <w:szCs w:val="20"/>
        </w:rPr>
        <w:t xml:space="preserve">ability to navigate available sexual health services </w:t>
      </w:r>
      <w:r w:rsidR="000F0B5C" w:rsidRPr="00737C8F">
        <w:rPr>
          <w:sz w:val="20"/>
          <w:szCs w:val="20"/>
        </w:rPr>
        <w:t xml:space="preserve">is </w:t>
      </w:r>
      <w:r w:rsidRPr="00737C8F">
        <w:rPr>
          <w:sz w:val="20"/>
          <w:szCs w:val="20"/>
        </w:rPr>
        <w:t>particularly important for</w:t>
      </w:r>
      <w:r w:rsidR="009D02C5" w:rsidRPr="00737C8F">
        <w:rPr>
          <w:sz w:val="20"/>
          <w:szCs w:val="20"/>
        </w:rPr>
        <w:t xml:space="preserve"> young </w:t>
      </w:r>
      <w:r w:rsidR="009D02C5" w:rsidRPr="002955F5">
        <w:rPr>
          <w:sz w:val="20"/>
          <w:szCs w:val="20"/>
        </w:rPr>
        <w:t>CALD</w:t>
      </w:r>
      <w:r w:rsidR="009D02C5" w:rsidRPr="00737C8F">
        <w:rPr>
          <w:sz w:val="20"/>
          <w:szCs w:val="20"/>
        </w:rPr>
        <w:t xml:space="preserve"> people, </w:t>
      </w:r>
      <w:r w:rsidRPr="00737C8F">
        <w:rPr>
          <w:sz w:val="20"/>
          <w:szCs w:val="20"/>
        </w:rPr>
        <w:t>including</w:t>
      </w:r>
      <w:r w:rsidR="009D02C5" w:rsidRPr="00737C8F">
        <w:rPr>
          <w:sz w:val="20"/>
          <w:szCs w:val="20"/>
        </w:rPr>
        <w:t xml:space="preserve"> international students</w:t>
      </w:r>
      <w:r w:rsidRPr="00737C8F">
        <w:rPr>
          <w:sz w:val="20"/>
          <w:szCs w:val="20"/>
        </w:rPr>
        <w:t>.</w:t>
      </w:r>
      <w:r w:rsidRPr="00737C8F">
        <w:rPr>
          <w:rStyle w:val="EndnoteReference"/>
          <w:sz w:val="20"/>
          <w:szCs w:val="20"/>
        </w:rPr>
        <w:endnoteReference w:id="55"/>
      </w:r>
    </w:p>
    <w:p w:rsidR="00890781" w:rsidRDefault="00890781" w:rsidP="0078482B">
      <w:pPr>
        <w:rPr>
          <w:i/>
          <w:color w:val="00264D"/>
          <w:sz w:val="22"/>
        </w:rPr>
      </w:pPr>
      <w:r>
        <w:rPr>
          <w:i/>
          <w:color w:val="00264D"/>
          <w:sz w:val="22"/>
        </w:rPr>
        <w:t>Travellers and mobile workers</w:t>
      </w:r>
    </w:p>
    <w:p w:rsidR="007C307D" w:rsidRPr="000F7A20" w:rsidRDefault="00BE1D2B" w:rsidP="0078482B">
      <w:pPr>
        <w:rPr>
          <w:sz w:val="20"/>
          <w:szCs w:val="20"/>
        </w:rPr>
      </w:pPr>
      <w:r w:rsidRPr="000F7A20">
        <w:rPr>
          <w:sz w:val="20"/>
          <w:szCs w:val="20"/>
        </w:rPr>
        <w:t xml:space="preserve">The increasing </w:t>
      </w:r>
      <w:r w:rsidR="008C13B9" w:rsidRPr="000F7A20">
        <w:rPr>
          <w:sz w:val="20"/>
          <w:szCs w:val="20"/>
        </w:rPr>
        <w:t xml:space="preserve">mobility of </w:t>
      </w:r>
      <w:r w:rsidR="00E41BA7" w:rsidRPr="000F7A20">
        <w:rPr>
          <w:sz w:val="20"/>
          <w:szCs w:val="20"/>
        </w:rPr>
        <w:t>people,</w:t>
      </w:r>
      <w:r w:rsidR="008C13B9" w:rsidRPr="000F7A20">
        <w:rPr>
          <w:sz w:val="20"/>
          <w:szCs w:val="20"/>
        </w:rPr>
        <w:t xml:space="preserve"> both domestically and globally</w:t>
      </w:r>
      <w:r w:rsidR="00E41BA7" w:rsidRPr="000F7A20">
        <w:rPr>
          <w:sz w:val="20"/>
          <w:szCs w:val="20"/>
        </w:rPr>
        <w:t>,</w:t>
      </w:r>
      <w:r w:rsidR="008C13B9" w:rsidRPr="000F7A20">
        <w:rPr>
          <w:sz w:val="20"/>
          <w:szCs w:val="20"/>
        </w:rPr>
        <w:t xml:space="preserve"> </w:t>
      </w:r>
      <w:r w:rsidR="00E41BA7" w:rsidRPr="000F7A20">
        <w:rPr>
          <w:sz w:val="20"/>
          <w:szCs w:val="20"/>
        </w:rPr>
        <w:t>provides opportunities for the</w:t>
      </w:r>
      <w:r w:rsidR="008C13B9" w:rsidRPr="000F7A20">
        <w:rPr>
          <w:sz w:val="20"/>
          <w:szCs w:val="20"/>
        </w:rPr>
        <w:t xml:space="preserve"> rapid spread of STI.</w:t>
      </w:r>
      <w:r w:rsidR="00E41BA7" w:rsidRPr="000F7A20">
        <w:rPr>
          <w:sz w:val="20"/>
          <w:szCs w:val="20"/>
        </w:rPr>
        <w:t xml:space="preserve"> </w:t>
      </w:r>
      <w:r w:rsidR="008C13B9" w:rsidRPr="000F7A20">
        <w:rPr>
          <w:sz w:val="20"/>
          <w:szCs w:val="20"/>
        </w:rPr>
        <w:t xml:space="preserve">The </w:t>
      </w:r>
      <w:r w:rsidRPr="000F7A20">
        <w:rPr>
          <w:sz w:val="20"/>
          <w:szCs w:val="20"/>
        </w:rPr>
        <w:t>affordability of international travel for tourism and work means more Australia</w:t>
      </w:r>
      <w:r w:rsidR="00BF490C" w:rsidRPr="000F7A20">
        <w:rPr>
          <w:sz w:val="20"/>
          <w:szCs w:val="20"/>
        </w:rPr>
        <w:t>ns</w:t>
      </w:r>
      <w:r w:rsidRPr="000F7A20">
        <w:rPr>
          <w:sz w:val="20"/>
          <w:szCs w:val="20"/>
        </w:rPr>
        <w:t xml:space="preserve"> </w:t>
      </w:r>
      <w:r w:rsidR="00316E7C">
        <w:rPr>
          <w:sz w:val="20"/>
          <w:szCs w:val="20"/>
        </w:rPr>
        <w:t xml:space="preserve">are </w:t>
      </w:r>
      <w:r w:rsidRPr="000F7A20">
        <w:rPr>
          <w:sz w:val="20"/>
          <w:szCs w:val="20"/>
        </w:rPr>
        <w:t>travelling overseas</w:t>
      </w:r>
      <w:r w:rsidR="00E41BA7" w:rsidRPr="000F7A20">
        <w:rPr>
          <w:sz w:val="20"/>
          <w:szCs w:val="20"/>
        </w:rPr>
        <w:t>,</w:t>
      </w:r>
      <w:r w:rsidRPr="000F7A20">
        <w:rPr>
          <w:sz w:val="20"/>
          <w:szCs w:val="20"/>
        </w:rPr>
        <w:t xml:space="preserve"> and</w:t>
      </w:r>
      <w:r w:rsidR="00316E7C">
        <w:rPr>
          <w:sz w:val="20"/>
          <w:szCs w:val="20"/>
        </w:rPr>
        <w:t xml:space="preserve"> there are</w:t>
      </w:r>
      <w:r w:rsidRPr="000F7A20">
        <w:rPr>
          <w:sz w:val="20"/>
          <w:szCs w:val="20"/>
        </w:rPr>
        <w:t xml:space="preserve"> </w:t>
      </w:r>
      <w:r w:rsidR="00E41BA7" w:rsidRPr="000F7A20">
        <w:rPr>
          <w:sz w:val="20"/>
          <w:szCs w:val="20"/>
        </w:rPr>
        <w:t xml:space="preserve">more </w:t>
      </w:r>
      <w:r w:rsidRPr="000F7A20">
        <w:rPr>
          <w:sz w:val="20"/>
          <w:szCs w:val="20"/>
        </w:rPr>
        <w:t xml:space="preserve">visitors to Australia. </w:t>
      </w:r>
      <w:r w:rsidR="00925AA7" w:rsidRPr="000F7A20">
        <w:rPr>
          <w:sz w:val="20"/>
          <w:szCs w:val="20"/>
        </w:rPr>
        <w:t xml:space="preserve">This includes </w:t>
      </w:r>
      <w:r w:rsidR="00E41BA7" w:rsidRPr="000F7A20">
        <w:rPr>
          <w:sz w:val="20"/>
          <w:szCs w:val="20"/>
        </w:rPr>
        <w:t xml:space="preserve">the movement of people to and from </w:t>
      </w:r>
      <w:r w:rsidR="00925AA7" w:rsidRPr="000F7A20">
        <w:rPr>
          <w:sz w:val="20"/>
          <w:szCs w:val="20"/>
        </w:rPr>
        <w:t>countries with high prevalence of STI</w:t>
      </w:r>
      <w:proofErr w:type="gramStart"/>
      <w:r w:rsidR="000F0B5C">
        <w:rPr>
          <w:sz w:val="20"/>
          <w:szCs w:val="20"/>
        </w:rPr>
        <w:t>,</w:t>
      </w:r>
      <w:r w:rsidR="00014A66" w:rsidRPr="00014A66">
        <w:rPr>
          <w:sz w:val="20"/>
          <w:szCs w:val="20"/>
          <w:vertAlign w:val="superscript"/>
        </w:rPr>
        <w:t>54</w:t>
      </w:r>
      <w:proofErr w:type="gramEnd"/>
      <w:r w:rsidR="00925AA7" w:rsidRPr="000F7A20">
        <w:rPr>
          <w:sz w:val="20"/>
          <w:szCs w:val="20"/>
        </w:rPr>
        <w:t xml:space="preserve"> including </w:t>
      </w:r>
      <w:r w:rsidR="00A37916">
        <w:rPr>
          <w:sz w:val="20"/>
          <w:szCs w:val="20"/>
        </w:rPr>
        <w:t>extensive</w:t>
      </w:r>
      <w:r w:rsidR="000F0B5C">
        <w:rPr>
          <w:sz w:val="20"/>
          <w:szCs w:val="20"/>
        </w:rPr>
        <w:t xml:space="preserve"> </w:t>
      </w:r>
      <w:r w:rsidR="00925AA7" w:rsidRPr="000F7A20">
        <w:rPr>
          <w:sz w:val="20"/>
          <w:szCs w:val="20"/>
        </w:rPr>
        <w:t>drug</w:t>
      </w:r>
      <w:r w:rsidR="000F0B5C">
        <w:rPr>
          <w:sz w:val="20"/>
          <w:szCs w:val="20"/>
        </w:rPr>
        <w:t>-</w:t>
      </w:r>
      <w:r w:rsidR="00925AA7" w:rsidRPr="000F7A20">
        <w:rPr>
          <w:sz w:val="20"/>
          <w:szCs w:val="20"/>
        </w:rPr>
        <w:t>resistant infections</w:t>
      </w:r>
      <w:r w:rsidR="00E41BA7" w:rsidRPr="000F7A20">
        <w:rPr>
          <w:sz w:val="20"/>
          <w:szCs w:val="20"/>
        </w:rPr>
        <w:t xml:space="preserve"> which are </w:t>
      </w:r>
      <w:r w:rsidR="00A37916">
        <w:rPr>
          <w:sz w:val="20"/>
          <w:szCs w:val="20"/>
        </w:rPr>
        <w:t xml:space="preserve">very </w:t>
      </w:r>
      <w:r w:rsidR="00E41BA7" w:rsidRPr="000F7A20">
        <w:rPr>
          <w:sz w:val="20"/>
          <w:szCs w:val="20"/>
        </w:rPr>
        <w:t>difficult to treat</w:t>
      </w:r>
      <w:r w:rsidR="00925AA7" w:rsidRPr="000F7A20">
        <w:rPr>
          <w:sz w:val="20"/>
          <w:szCs w:val="20"/>
        </w:rPr>
        <w:t xml:space="preserve">. Evidence demonstrates that it is not uncommon for </w:t>
      </w:r>
      <w:r w:rsidR="00890781" w:rsidRPr="000F7A20">
        <w:rPr>
          <w:sz w:val="20"/>
          <w:szCs w:val="20"/>
        </w:rPr>
        <w:t xml:space="preserve">people </w:t>
      </w:r>
      <w:r w:rsidR="008C13B9" w:rsidRPr="000F7A20">
        <w:rPr>
          <w:sz w:val="20"/>
          <w:szCs w:val="20"/>
        </w:rPr>
        <w:t>to beha</w:t>
      </w:r>
      <w:r w:rsidR="007C307D" w:rsidRPr="000F7A20">
        <w:rPr>
          <w:sz w:val="20"/>
          <w:szCs w:val="20"/>
        </w:rPr>
        <w:t>v</w:t>
      </w:r>
      <w:r w:rsidR="00E41BA7" w:rsidRPr="000F7A20">
        <w:rPr>
          <w:sz w:val="20"/>
          <w:szCs w:val="20"/>
        </w:rPr>
        <w:t>e differently when they travel</w:t>
      </w:r>
      <w:r w:rsidR="000F0B5C">
        <w:rPr>
          <w:sz w:val="20"/>
          <w:szCs w:val="20"/>
        </w:rPr>
        <w:t>,</w:t>
      </w:r>
      <w:r w:rsidR="00E41BA7" w:rsidRPr="000F7A20">
        <w:rPr>
          <w:sz w:val="20"/>
          <w:szCs w:val="20"/>
        </w:rPr>
        <w:t xml:space="preserve"> and this</w:t>
      </w:r>
      <w:r w:rsidR="007C307D" w:rsidRPr="000F7A20">
        <w:rPr>
          <w:sz w:val="20"/>
          <w:szCs w:val="20"/>
        </w:rPr>
        <w:t xml:space="preserve"> includes engaging in unsafe sexual practices.</w:t>
      </w:r>
      <w:r w:rsidR="00C252C2">
        <w:rPr>
          <w:rStyle w:val="EndnoteReference"/>
          <w:sz w:val="20"/>
          <w:szCs w:val="20"/>
        </w:rPr>
        <w:endnoteReference w:id="56"/>
      </w:r>
      <w:r w:rsidR="007C307D" w:rsidRPr="000F7A20">
        <w:rPr>
          <w:sz w:val="20"/>
          <w:szCs w:val="20"/>
        </w:rPr>
        <w:t xml:space="preserve"> </w:t>
      </w:r>
      <w:r w:rsidR="00A33CEF" w:rsidRPr="000F7A20">
        <w:rPr>
          <w:sz w:val="20"/>
          <w:szCs w:val="20"/>
        </w:rPr>
        <w:t>Fly</w:t>
      </w:r>
      <w:r w:rsidR="000F0B5C">
        <w:rPr>
          <w:sz w:val="20"/>
          <w:szCs w:val="20"/>
        </w:rPr>
        <w:t>-</w:t>
      </w:r>
      <w:r w:rsidR="00A33CEF" w:rsidRPr="000F7A20">
        <w:rPr>
          <w:sz w:val="20"/>
          <w:szCs w:val="20"/>
        </w:rPr>
        <w:t>in</w:t>
      </w:r>
      <w:r w:rsidR="000F0B5C">
        <w:rPr>
          <w:sz w:val="20"/>
          <w:szCs w:val="20"/>
        </w:rPr>
        <w:t xml:space="preserve"> </w:t>
      </w:r>
      <w:r w:rsidR="00A33CEF" w:rsidRPr="000F7A20">
        <w:rPr>
          <w:sz w:val="20"/>
          <w:szCs w:val="20"/>
        </w:rPr>
        <w:t>fly</w:t>
      </w:r>
      <w:r w:rsidR="000F0B5C">
        <w:rPr>
          <w:sz w:val="20"/>
          <w:szCs w:val="20"/>
        </w:rPr>
        <w:t>-</w:t>
      </w:r>
      <w:r w:rsidR="00A33CEF" w:rsidRPr="000F7A20">
        <w:rPr>
          <w:sz w:val="20"/>
          <w:szCs w:val="20"/>
        </w:rPr>
        <w:t>out and seasonal workers, and</w:t>
      </w:r>
      <w:r w:rsidR="00684C9B" w:rsidRPr="000F7A20">
        <w:rPr>
          <w:sz w:val="20"/>
          <w:szCs w:val="20"/>
        </w:rPr>
        <w:t xml:space="preserve"> the </w:t>
      </w:r>
      <w:r w:rsidR="00A33CEF" w:rsidRPr="000F7A20">
        <w:rPr>
          <w:sz w:val="20"/>
          <w:szCs w:val="20"/>
        </w:rPr>
        <w:t>communities they have contact with</w:t>
      </w:r>
      <w:r w:rsidR="000F0B5C">
        <w:rPr>
          <w:sz w:val="20"/>
          <w:szCs w:val="20"/>
        </w:rPr>
        <w:t>,</w:t>
      </w:r>
      <w:r w:rsidR="00A33CEF" w:rsidRPr="000F7A20">
        <w:rPr>
          <w:sz w:val="20"/>
          <w:szCs w:val="20"/>
        </w:rPr>
        <w:t xml:space="preserve"> are important sub-population</w:t>
      </w:r>
      <w:r w:rsidR="00684C9B" w:rsidRPr="000F7A20">
        <w:rPr>
          <w:sz w:val="20"/>
          <w:szCs w:val="20"/>
        </w:rPr>
        <w:t>s</w:t>
      </w:r>
      <w:r w:rsidR="00E41BA7" w:rsidRPr="000F7A20">
        <w:rPr>
          <w:sz w:val="20"/>
          <w:szCs w:val="20"/>
        </w:rPr>
        <w:t xml:space="preserve"> for consideration in the response to STI</w:t>
      </w:r>
      <w:r w:rsidR="00A33CEF" w:rsidRPr="000F7A20">
        <w:rPr>
          <w:sz w:val="20"/>
          <w:szCs w:val="20"/>
        </w:rPr>
        <w:t xml:space="preserve">.  </w:t>
      </w:r>
    </w:p>
    <w:p w:rsidR="00890781" w:rsidRPr="000F7A20" w:rsidRDefault="002955F5" w:rsidP="0078482B">
      <w:pPr>
        <w:rPr>
          <w:iCs/>
          <w:sz w:val="20"/>
          <w:szCs w:val="20"/>
        </w:rPr>
      </w:pPr>
      <w:r>
        <w:rPr>
          <w:sz w:val="20"/>
          <w:szCs w:val="20"/>
        </w:rPr>
        <w:t xml:space="preserve">Tailored approaches, </w:t>
      </w:r>
      <w:r w:rsidR="006A073C" w:rsidRPr="002955F5">
        <w:rPr>
          <w:sz w:val="20"/>
          <w:szCs w:val="20"/>
        </w:rPr>
        <w:t>including</w:t>
      </w:r>
      <w:r w:rsidR="00890781" w:rsidRPr="00737C8F">
        <w:rPr>
          <w:sz w:val="20"/>
          <w:szCs w:val="20"/>
        </w:rPr>
        <w:t xml:space="preserve"> </w:t>
      </w:r>
      <w:r w:rsidR="006A073C" w:rsidRPr="00737C8F">
        <w:rPr>
          <w:sz w:val="20"/>
          <w:szCs w:val="20"/>
        </w:rPr>
        <w:t>the</w:t>
      </w:r>
      <w:r w:rsidR="006A073C" w:rsidRPr="000F7A20">
        <w:rPr>
          <w:sz w:val="20"/>
          <w:szCs w:val="20"/>
        </w:rPr>
        <w:t xml:space="preserve"> </w:t>
      </w:r>
      <w:r w:rsidR="006A073C" w:rsidRPr="000F7A20">
        <w:rPr>
          <w:iCs/>
          <w:sz w:val="20"/>
          <w:szCs w:val="20"/>
        </w:rPr>
        <w:t>delivery of targeted STI health promotion and education for mobile populations both prior to travel and upon return</w:t>
      </w:r>
      <w:r>
        <w:rPr>
          <w:iCs/>
          <w:sz w:val="20"/>
          <w:szCs w:val="20"/>
        </w:rPr>
        <w:t xml:space="preserve">, </w:t>
      </w:r>
      <w:r w:rsidRPr="000F7A20">
        <w:rPr>
          <w:sz w:val="20"/>
          <w:szCs w:val="20"/>
        </w:rPr>
        <w:t xml:space="preserve">for this population </w:t>
      </w:r>
      <w:r w:rsidRPr="002955F5">
        <w:rPr>
          <w:sz w:val="20"/>
          <w:szCs w:val="20"/>
        </w:rPr>
        <w:t>are needed</w:t>
      </w:r>
      <w:r>
        <w:rPr>
          <w:sz w:val="20"/>
          <w:szCs w:val="20"/>
        </w:rPr>
        <w:t>.</w:t>
      </w:r>
      <w:r w:rsidR="006A073C" w:rsidRPr="000F7A20">
        <w:rPr>
          <w:iCs/>
          <w:sz w:val="20"/>
          <w:szCs w:val="20"/>
        </w:rPr>
        <w:t xml:space="preserve"> The provision of </w:t>
      </w:r>
      <w:r w:rsidR="006A073C" w:rsidRPr="000F7A20">
        <w:rPr>
          <w:sz w:val="20"/>
          <w:szCs w:val="20"/>
        </w:rPr>
        <w:t>STI services</w:t>
      </w:r>
      <w:r w:rsidR="00890781" w:rsidRPr="000F7A20">
        <w:rPr>
          <w:iCs/>
          <w:sz w:val="20"/>
          <w:szCs w:val="20"/>
        </w:rPr>
        <w:t xml:space="preserve"> for people</w:t>
      </w:r>
      <w:r w:rsidR="00A93B5D">
        <w:rPr>
          <w:iCs/>
          <w:sz w:val="20"/>
          <w:szCs w:val="20"/>
        </w:rPr>
        <w:t xml:space="preserve"> within this priority population</w:t>
      </w:r>
      <w:r w:rsidR="00890781" w:rsidRPr="000F7A20">
        <w:rPr>
          <w:iCs/>
          <w:sz w:val="20"/>
          <w:szCs w:val="20"/>
        </w:rPr>
        <w:t xml:space="preserve"> who are ineligible for Medicare</w:t>
      </w:r>
      <w:r w:rsidR="006A073C" w:rsidRPr="000F7A20">
        <w:rPr>
          <w:iCs/>
          <w:sz w:val="20"/>
          <w:szCs w:val="20"/>
        </w:rPr>
        <w:t xml:space="preserve"> is also an important consideration.</w:t>
      </w:r>
    </w:p>
    <w:p w:rsidR="00236DA9" w:rsidRPr="00847E38" w:rsidRDefault="00236DA9" w:rsidP="00236DA9">
      <w:pPr>
        <w:spacing w:before="240"/>
        <w:rPr>
          <w:i/>
          <w:color w:val="00264D"/>
          <w:sz w:val="22"/>
        </w:rPr>
      </w:pPr>
      <w:r w:rsidRPr="00847E38">
        <w:rPr>
          <w:i/>
          <w:color w:val="00264D"/>
          <w:sz w:val="22"/>
        </w:rPr>
        <w:t>People in custodial settings</w:t>
      </w:r>
    </w:p>
    <w:p w:rsidR="00EA69C6" w:rsidRPr="000F7A20" w:rsidRDefault="00BF0EAD" w:rsidP="00236DA9">
      <w:pPr>
        <w:rPr>
          <w:sz w:val="20"/>
          <w:szCs w:val="20"/>
        </w:rPr>
      </w:pPr>
      <w:r w:rsidRPr="000F7A20">
        <w:rPr>
          <w:sz w:val="20"/>
          <w:szCs w:val="20"/>
        </w:rPr>
        <w:t>While the burden of STI on people in custodial settings is not well understood, there is evidence that custodial settings are high</w:t>
      </w:r>
      <w:r w:rsidR="00F823B3">
        <w:rPr>
          <w:sz w:val="20"/>
          <w:szCs w:val="20"/>
        </w:rPr>
        <w:t>-</w:t>
      </w:r>
      <w:r w:rsidRPr="000F7A20">
        <w:rPr>
          <w:sz w:val="20"/>
          <w:szCs w:val="20"/>
        </w:rPr>
        <w:t xml:space="preserve">risk environments for STI </w:t>
      </w:r>
      <w:proofErr w:type="gramStart"/>
      <w:r w:rsidRPr="000F7A20">
        <w:rPr>
          <w:sz w:val="20"/>
          <w:szCs w:val="20"/>
        </w:rPr>
        <w:t>transmission.</w:t>
      </w:r>
      <w:r w:rsidRPr="00874BAF">
        <w:rPr>
          <w:rStyle w:val="EndnoteReference"/>
          <w:sz w:val="20"/>
          <w:szCs w:val="20"/>
        </w:rPr>
        <w:endnoteReference w:id="57"/>
      </w:r>
      <w:r w:rsidR="00874BAF" w:rsidRPr="00874BAF">
        <w:rPr>
          <w:sz w:val="20"/>
          <w:szCs w:val="20"/>
          <w:vertAlign w:val="superscript"/>
        </w:rPr>
        <w:t>,</w:t>
      </w:r>
      <w:r w:rsidR="00874BAF">
        <w:rPr>
          <w:rStyle w:val="EndnoteReference"/>
          <w:sz w:val="20"/>
          <w:szCs w:val="20"/>
        </w:rPr>
        <w:endnoteReference w:id="58"/>
      </w:r>
      <w:r w:rsidR="002575D8">
        <w:rPr>
          <w:sz w:val="20"/>
          <w:szCs w:val="20"/>
          <w:vertAlign w:val="superscript"/>
        </w:rPr>
        <w:t>,</w:t>
      </w:r>
      <w:proofErr w:type="gramEnd"/>
      <w:r w:rsidR="002575D8">
        <w:rPr>
          <w:rStyle w:val="EndnoteReference"/>
          <w:sz w:val="20"/>
          <w:szCs w:val="20"/>
        </w:rPr>
        <w:endnoteReference w:id="59"/>
      </w:r>
      <w:r w:rsidRPr="000F7A20">
        <w:rPr>
          <w:sz w:val="20"/>
          <w:szCs w:val="20"/>
        </w:rPr>
        <w:t xml:space="preserve"> There is often l</w:t>
      </w:r>
      <w:r w:rsidR="00421767" w:rsidRPr="000F7A20">
        <w:rPr>
          <w:sz w:val="20"/>
          <w:szCs w:val="20"/>
        </w:rPr>
        <w:t xml:space="preserve">imited access to STI </w:t>
      </w:r>
      <w:r w:rsidRPr="000F7A20">
        <w:rPr>
          <w:sz w:val="20"/>
          <w:szCs w:val="20"/>
        </w:rPr>
        <w:t xml:space="preserve">prevention </w:t>
      </w:r>
      <w:r w:rsidR="00421767" w:rsidRPr="000F7A20">
        <w:rPr>
          <w:sz w:val="20"/>
          <w:szCs w:val="20"/>
        </w:rPr>
        <w:t>education and the tools for prevention</w:t>
      </w:r>
      <w:r w:rsidRPr="000F7A20">
        <w:rPr>
          <w:sz w:val="20"/>
          <w:szCs w:val="20"/>
        </w:rPr>
        <w:t xml:space="preserve"> </w:t>
      </w:r>
      <w:r w:rsidR="00EA69C6" w:rsidRPr="000F7A20">
        <w:rPr>
          <w:sz w:val="20"/>
          <w:szCs w:val="20"/>
        </w:rPr>
        <w:t>for</w:t>
      </w:r>
      <w:r w:rsidRPr="000F7A20">
        <w:rPr>
          <w:sz w:val="20"/>
          <w:szCs w:val="20"/>
        </w:rPr>
        <w:t xml:space="preserve"> this population</w:t>
      </w:r>
      <w:r w:rsidR="00421767" w:rsidRPr="000F7A20">
        <w:rPr>
          <w:sz w:val="20"/>
          <w:szCs w:val="20"/>
        </w:rPr>
        <w:t xml:space="preserve">, </w:t>
      </w:r>
      <w:r w:rsidR="00A93B5D">
        <w:rPr>
          <w:sz w:val="20"/>
          <w:szCs w:val="20"/>
        </w:rPr>
        <w:t xml:space="preserve">both within and outside of the custodial setting. </w:t>
      </w:r>
      <w:r w:rsidR="00EA69C6" w:rsidRPr="000F7A20">
        <w:rPr>
          <w:sz w:val="20"/>
          <w:szCs w:val="20"/>
        </w:rPr>
        <w:t xml:space="preserve">The intersection this population has with other </w:t>
      </w:r>
      <w:r w:rsidR="00AA476A">
        <w:rPr>
          <w:sz w:val="20"/>
          <w:szCs w:val="20"/>
        </w:rPr>
        <w:t xml:space="preserve">priority </w:t>
      </w:r>
      <w:r w:rsidR="00EA69C6" w:rsidRPr="000F7A20">
        <w:rPr>
          <w:sz w:val="20"/>
          <w:szCs w:val="20"/>
        </w:rPr>
        <w:t>populations also contributes to the risk factors for STI transmission.</w:t>
      </w:r>
    </w:p>
    <w:p w:rsidR="001A39E7" w:rsidRDefault="00236DA9" w:rsidP="00236DA9">
      <w:pPr>
        <w:rPr>
          <w:sz w:val="20"/>
          <w:szCs w:val="20"/>
        </w:rPr>
      </w:pPr>
      <w:r w:rsidRPr="000F7A20">
        <w:rPr>
          <w:sz w:val="20"/>
          <w:szCs w:val="20"/>
        </w:rPr>
        <w:t xml:space="preserve">The National Prison Entrants’ </w:t>
      </w:r>
      <w:proofErr w:type="spellStart"/>
      <w:r w:rsidRPr="000F7A20">
        <w:rPr>
          <w:sz w:val="20"/>
          <w:szCs w:val="20"/>
        </w:rPr>
        <w:t>Bloodborne</w:t>
      </w:r>
      <w:proofErr w:type="spellEnd"/>
      <w:r w:rsidRPr="000F7A20">
        <w:rPr>
          <w:sz w:val="20"/>
          <w:szCs w:val="20"/>
        </w:rPr>
        <w:t xml:space="preserve"> Virus Survey (NPEBBVS) screens for three STI</w:t>
      </w:r>
      <w:r w:rsidR="00F823B3">
        <w:rPr>
          <w:sz w:val="20"/>
          <w:szCs w:val="20"/>
        </w:rPr>
        <w:t>—</w:t>
      </w:r>
      <w:r w:rsidRPr="000F7A20">
        <w:rPr>
          <w:sz w:val="20"/>
          <w:szCs w:val="20"/>
        </w:rPr>
        <w:t xml:space="preserve">syphilis, gonorrhoea and chlamydia. The </w:t>
      </w:r>
      <w:r w:rsidR="00EA69C6" w:rsidRPr="000F7A20">
        <w:rPr>
          <w:sz w:val="20"/>
          <w:szCs w:val="20"/>
        </w:rPr>
        <w:t xml:space="preserve">most </w:t>
      </w:r>
      <w:r w:rsidRPr="000F7A20">
        <w:rPr>
          <w:sz w:val="20"/>
          <w:szCs w:val="20"/>
        </w:rPr>
        <w:t>recent NPEBBVS report found very few of these infections among incoming prisoners, with rates no higher than in the general population.</w:t>
      </w:r>
      <w:r w:rsidR="00F56D47">
        <w:rPr>
          <w:sz w:val="20"/>
          <w:szCs w:val="20"/>
          <w:vertAlign w:val="superscript"/>
        </w:rPr>
        <w:t>59</w:t>
      </w:r>
      <w:r w:rsidR="00611111" w:rsidRPr="000F7A20">
        <w:rPr>
          <w:sz w:val="20"/>
          <w:szCs w:val="20"/>
        </w:rPr>
        <w:t xml:space="preserve"> </w:t>
      </w:r>
      <w:r w:rsidRPr="000F7A20">
        <w:rPr>
          <w:sz w:val="20"/>
          <w:szCs w:val="20"/>
        </w:rPr>
        <w:t>Around 4 per cent of men and 17 per cent of women had markers consistent with past or present syphilis infection.</w:t>
      </w:r>
      <w:r w:rsidRPr="000F7A20">
        <w:rPr>
          <w:rStyle w:val="EndnoteReference"/>
          <w:sz w:val="20"/>
          <w:szCs w:val="20"/>
        </w:rPr>
        <w:endnoteReference w:id="60"/>
      </w:r>
      <w:r w:rsidRPr="000F7A20">
        <w:rPr>
          <w:sz w:val="20"/>
          <w:szCs w:val="20"/>
        </w:rPr>
        <w:t xml:space="preserve"> </w:t>
      </w:r>
    </w:p>
    <w:p w:rsidR="00236DA9" w:rsidRPr="000F7A20" w:rsidRDefault="001A39E7" w:rsidP="00236DA9">
      <w:pPr>
        <w:rPr>
          <w:sz w:val="20"/>
          <w:szCs w:val="20"/>
        </w:rPr>
      </w:pPr>
      <w:r>
        <w:rPr>
          <w:sz w:val="20"/>
          <w:szCs w:val="20"/>
        </w:rPr>
        <w:t>While the existing data does not appear to demonstrate heightened rates of STI in entrants to custodial set</w:t>
      </w:r>
      <w:r w:rsidRPr="00014A66">
        <w:rPr>
          <w:sz w:val="20"/>
          <w:szCs w:val="20"/>
        </w:rPr>
        <w:t xml:space="preserve">tings, </w:t>
      </w:r>
      <w:r w:rsidR="00ED13A5" w:rsidRPr="00014A66">
        <w:rPr>
          <w:sz w:val="20"/>
          <w:szCs w:val="20"/>
        </w:rPr>
        <w:t>a</w:t>
      </w:r>
      <w:r w:rsidR="00181936" w:rsidRPr="00014A66">
        <w:rPr>
          <w:sz w:val="20"/>
          <w:szCs w:val="20"/>
        </w:rPr>
        <w:t xml:space="preserve"> uniform approach to</w:t>
      </w:r>
      <w:r w:rsidR="00ED13A5" w:rsidRPr="00014A66">
        <w:rPr>
          <w:sz w:val="20"/>
          <w:szCs w:val="20"/>
        </w:rPr>
        <w:t xml:space="preserve"> testing of entrants</w:t>
      </w:r>
      <w:r w:rsidR="00181936" w:rsidRPr="00014A66">
        <w:rPr>
          <w:sz w:val="20"/>
          <w:szCs w:val="20"/>
        </w:rPr>
        <w:t xml:space="preserve"> would enable more consistent and comparable data</w:t>
      </w:r>
      <w:r w:rsidR="00ED13A5" w:rsidRPr="00014A66">
        <w:rPr>
          <w:sz w:val="20"/>
          <w:szCs w:val="20"/>
        </w:rPr>
        <w:t>. T</w:t>
      </w:r>
      <w:r>
        <w:rPr>
          <w:sz w:val="20"/>
          <w:szCs w:val="20"/>
        </w:rPr>
        <w:t>here is a lack of data demonstrating STI rate</w:t>
      </w:r>
      <w:r w:rsidR="00B47C22">
        <w:rPr>
          <w:sz w:val="20"/>
          <w:szCs w:val="20"/>
        </w:rPr>
        <w:t>s</w:t>
      </w:r>
      <w:r>
        <w:rPr>
          <w:sz w:val="20"/>
          <w:szCs w:val="20"/>
        </w:rPr>
        <w:t xml:space="preserve"> in people within custodial settings and upon leaving. </w:t>
      </w:r>
      <w:r w:rsidR="00B47C22">
        <w:rPr>
          <w:sz w:val="20"/>
          <w:szCs w:val="20"/>
        </w:rPr>
        <w:t>International r</w:t>
      </w:r>
      <w:r w:rsidR="00ED0B5B">
        <w:rPr>
          <w:sz w:val="20"/>
          <w:szCs w:val="20"/>
        </w:rPr>
        <w:t>esearch suggests heightened levels of STI in custodial settings</w:t>
      </w:r>
      <w:r w:rsidR="00B47C22">
        <w:rPr>
          <w:sz w:val="20"/>
          <w:szCs w:val="20"/>
        </w:rPr>
        <w:t xml:space="preserve"> </w:t>
      </w:r>
      <w:r w:rsidR="00ED0B5B">
        <w:rPr>
          <w:sz w:val="20"/>
          <w:szCs w:val="20"/>
        </w:rPr>
        <w:t xml:space="preserve">and that these infections are acquired in </w:t>
      </w:r>
      <w:proofErr w:type="gramStart"/>
      <w:r w:rsidR="00ED0B5B">
        <w:rPr>
          <w:sz w:val="20"/>
          <w:szCs w:val="20"/>
        </w:rPr>
        <w:t>prison</w:t>
      </w:r>
      <w:r w:rsidR="00CB0C69" w:rsidRPr="000F7A20">
        <w:rPr>
          <w:sz w:val="20"/>
          <w:szCs w:val="20"/>
        </w:rPr>
        <w:t>.</w:t>
      </w:r>
      <w:r w:rsidR="00ED0B5B" w:rsidRPr="00ED0B5B">
        <w:rPr>
          <w:rStyle w:val="EndnoteReference"/>
          <w:sz w:val="20"/>
          <w:szCs w:val="20"/>
        </w:rPr>
        <w:endnoteReference w:id="61"/>
      </w:r>
      <w:r w:rsidR="00ED0B5B" w:rsidRPr="00ED0B5B">
        <w:rPr>
          <w:sz w:val="20"/>
          <w:szCs w:val="20"/>
          <w:vertAlign w:val="superscript"/>
        </w:rPr>
        <w:t>,</w:t>
      </w:r>
      <w:r w:rsidR="00ED0B5B" w:rsidRPr="00ED0B5B">
        <w:rPr>
          <w:rStyle w:val="EndnoteReference"/>
          <w:sz w:val="20"/>
          <w:szCs w:val="20"/>
        </w:rPr>
        <w:endnoteReference w:id="62"/>
      </w:r>
      <w:r w:rsidR="00ED0B5B" w:rsidRPr="00ED0B5B">
        <w:rPr>
          <w:sz w:val="20"/>
          <w:szCs w:val="20"/>
          <w:vertAlign w:val="superscript"/>
        </w:rPr>
        <w:t>,</w:t>
      </w:r>
      <w:proofErr w:type="gramEnd"/>
      <w:r w:rsidR="00ED0B5B" w:rsidRPr="00ED0B5B">
        <w:rPr>
          <w:rStyle w:val="EndnoteReference"/>
          <w:sz w:val="20"/>
          <w:szCs w:val="20"/>
        </w:rPr>
        <w:endnoteReference w:id="63"/>
      </w:r>
      <w:r w:rsidR="004C0EDD">
        <w:rPr>
          <w:sz w:val="20"/>
          <w:szCs w:val="20"/>
        </w:rPr>
        <w:t xml:space="preserve"> </w:t>
      </w:r>
      <w:r w:rsidR="00B47C22">
        <w:rPr>
          <w:sz w:val="20"/>
          <w:szCs w:val="20"/>
        </w:rPr>
        <w:t>T</w:t>
      </w:r>
      <w:r w:rsidR="00ED0B5B">
        <w:rPr>
          <w:sz w:val="20"/>
          <w:szCs w:val="20"/>
        </w:rPr>
        <w:t xml:space="preserve">here is a need to investigate and improve data sources on </w:t>
      </w:r>
      <w:r w:rsidR="00B47C22">
        <w:rPr>
          <w:sz w:val="20"/>
          <w:szCs w:val="20"/>
        </w:rPr>
        <w:t>both the transmission risks and impact of STI on this population in Australia</w:t>
      </w:r>
      <w:r w:rsidR="00ED0B5B">
        <w:rPr>
          <w:sz w:val="20"/>
          <w:szCs w:val="20"/>
        </w:rPr>
        <w:t xml:space="preserve">. </w:t>
      </w:r>
    </w:p>
    <w:p w:rsidR="00DC3598" w:rsidRDefault="00DC3598" w:rsidP="003A3754">
      <w:pPr>
        <w:rPr>
          <w:lang w:eastAsia="en-AU"/>
        </w:rPr>
        <w:sectPr w:rsidR="00DC3598" w:rsidSect="005D6336">
          <w:footnotePr>
            <w:numFmt w:val="lowerLetter"/>
          </w:footnotePr>
          <w:endnotePr>
            <w:numFmt w:val="decimal"/>
          </w:endnotePr>
          <w:pgSz w:w="11907" w:h="16839" w:code="9"/>
          <w:pgMar w:top="1440" w:right="1080" w:bottom="1440" w:left="1080" w:header="720" w:footer="720" w:gutter="0"/>
          <w:cols w:space="720"/>
          <w:docGrid w:linePitch="360"/>
        </w:sectPr>
      </w:pPr>
    </w:p>
    <w:p w:rsidR="0078482B" w:rsidRPr="00D54C59" w:rsidRDefault="0078482B" w:rsidP="003A3754">
      <w:pPr>
        <w:rPr>
          <w:lang w:eastAsia="en-AU"/>
        </w:rPr>
      </w:pPr>
    </w:p>
    <w:p w:rsidR="00604D70" w:rsidRDefault="00604D70" w:rsidP="00604D70">
      <w:pPr>
        <w:pStyle w:val="Heading1"/>
        <w:numPr>
          <w:ilvl w:val="0"/>
          <w:numId w:val="6"/>
        </w:numPr>
      </w:pPr>
      <w:bookmarkStart w:id="17" w:name="_Toc529473035"/>
      <w:bookmarkStart w:id="18" w:name="_Toc497120625"/>
      <w:bookmarkStart w:id="19" w:name="_Toc496779366"/>
      <w:bookmarkStart w:id="20" w:name="_Toc496812142"/>
      <w:bookmarkStart w:id="21" w:name="_Toc495612727"/>
      <w:bookmarkStart w:id="22" w:name="_Toc495651605"/>
      <w:bookmarkStart w:id="23" w:name="_Toc495681038"/>
      <w:bookmarkStart w:id="24" w:name="_Toc496779376"/>
      <w:bookmarkEnd w:id="11"/>
      <w:bookmarkEnd w:id="12"/>
      <w:bookmarkEnd w:id="13"/>
      <w:r>
        <w:t>Priority areas for action</w:t>
      </w:r>
      <w:bookmarkEnd w:id="17"/>
      <w:r>
        <w:t xml:space="preserve"> </w:t>
      </w:r>
    </w:p>
    <w:p w:rsidR="00604D70" w:rsidRPr="000F7A20" w:rsidRDefault="00604D70" w:rsidP="00604D70">
      <w:pPr>
        <w:rPr>
          <w:i/>
          <w:sz w:val="20"/>
          <w:szCs w:val="20"/>
        </w:rPr>
      </w:pPr>
      <w:bookmarkStart w:id="25" w:name="_Toc496636850"/>
      <w:bookmarkStart w:id="26" w:name="_Toc496645340"/>
      <w:bookmarkStart w:id="27" w:name="_Toc496647656"/>
      <w:bookmarkStart w:id="28" w:name="_Toc496779368"/>
      <w:bookmarkStart w:id="29" w:name="_Toc497121903"/>
      <w:bookmarkStart w:id="30" w:name="_Toc497164729"/>
      <w:bookmarkStart w:id="31" w:name="_Toc495612720"/>
      <w:bookmarkStart w:id="32" w:name="_Toc495651598"/>
      <w:bookmarkStart w:id="33" w:name="_Toc495681031"/>
      <w:bookmarkEnd w:id="18"/>
      <w:bookmarkEnd w:id="19"/>
      <w:r w:rsidRPr="000F7A20">
        <w:rPr>
          <w:i/>
          <w:sz w:val="20"/>
          <w:szCs w:val="20"/>
        </w:rPr>
        <w:t xml:space="preserve">This </w:t>
      </w:r>
      <w:r w:rsidR="00D93921">
        <w:rPr>
          <w:i/>
          <w:sz w:val="20"/>
          <w:szCs w:val="20"/>
        </w:rPr>
        <w:t>s</w:t>
      </w:r>
      <w:r w:rsidRPr="000F7A20">
        <w:rPr>
          <w:i/>
          <w:sz w:val="20"/>
          <w:szCs w:val="20"/>
        </w:rPr>
        <w:t xml:space="preserve">trategy includes a set of </w:t>
      </w:r>
      <w:r w:rsidR="000601E1">
        <w:rPr>
          <w:i/>
          <w:sz w:val="20"/>
          <w:szCs w:val="20"/>
        </w:rPr>
        <w:t>priority</w:t>
      </w:r>
      <w:r w:rsidRPr="000F7A20">
        <w:rPr>
          <w:i/>
          <w:sz w:val="20"/>
          <w:szCs w:val="20"/>
        </w:rPr>
        <w:t xml:space="preserve"> areas for action designed to support the achievement of the goals and targets. Each priority area for action relates to one or more of the targets</w:t>
      </w:r>
      <w:r w:rsidR="00A71402">
        <w:rPr>
          <w:i/>
          <w:sz w:val="20"/>
          <w:szCs w:val="20"/>
        </w:rPr>
        <w:t>. It</w:t>
      </w:r>
      <w:r w:rsidRPr="000F7A20">
        <w:rPr>
          <w:i/>
          <w:sz w:val="20"/>
          <w:szCs w:val="20"/>
        </w:rPr>
        <w:t xml:space="preserve"> is the interaction of these </w:t>
      </w:r>
      <w:r w:rsidR="00A71402">
        <w:rPr>
          <w:i/>
          <w:sz w:val="20"/>
          <w:szCs w:val="20"/>
        </w:rPr>
        <w:t xml:space="preserve">actions </w:t>
      </w:r>
      <w:r w:rsidRPr="000F7A20">
        <w:rPr>
          <w:i/>
          <w:sz w:val="20"/>
          <w:szCs w:val="20"/>
        </w:rPr>
        <w:t xml:space="preserve">as a whole </w:t>
      </w:r>
      <w:r w:rsidR="00D93921">
        <w:rPr>
          <w:i/>
          <w:sz w:val="20"/>
          <w:szCs w:val="20"/>
        </w:rPr>
        <w:t>that</w:t>
      </w:r>
      <w:r w:rsidR="00D93921" w:rsidRPr="000F7A20">
        <w:rPr>
          <w:i/>
          <w:sz w:val="20"/>
          <w:szCs w:val="20"/>
        </w:rPr>
        <w:t xml:space="preserve"> </w:t>
      </w:r>
      <w:r w:rsidRPr="000F7A20">
        <w:rPr>
          <w:i/>
          <w:sz w:val="20"/>
          <w:szCs w:val="20"/>
        </w:rPr>
        <w:t>is essential to the achievement of th</w:t>
      </w:r>
      <w:r w:rsidR="00D93921">
        <w:rPr>
          <w:i/>
          <w:sz w:val="20"/>
          <w:szCs w:val="20"/>
        </w:rPr>
        <w:t>is</w:t>
      </w:r>
      <w:r w:rsidRPr="000F7A20">
        <w:rPr>
          <w:i/>
          <w:sz w:val="20"/>
          <w:szCs w:val="20"/>
        </w:rPr>
        <w:t xml:space="preserve"> </w:t>
      </w:r>
      <w:r w:rsidR="00D93921">
        <w:rPr>
          <w:i/>
          <w:sz w:val="20"/>
          <w:szCs w:val="20"/>
        </w:rPr>
        <w:t>s</w:t>
      </w:r>
      <w:r w:rsidRPr="000F7A20">
        <w:rPr>
          <w:i/>
          <w:sz w:val="20"/>
          <w:szCs w:val="20"/>
        </w:rPr>
        <w:t>trategy.</w:t>
      </w:r>
    </w:p>
    <w:p w:rsidR="00604D70" w:rsidRPr="000F7A20" w:rsidRDefault="00604D70" w:rsidP="00604D70">
      <w:pPr>
        <w:rPr>
          <w:sz w:val="20"/>
          <w:szCs w:val="20"/>
        </w:rPr>
      </w:pPr>
      <w:r w:rsidRPr="000F7A20">
        <w:rPr>
          <w:sz w:val="20"/>
          <w:szCs w:val="20"/>
        </w:rPr>
        <w:t>Australia’s response to STI builds on the achievements and lessons learned in response to STI since the first national strategy was released in 2005</w:t>
      </w:r>
      <w:r w:rsidR="00737C8F">
        <w:rPr>
          <w:sz w:val="20"/>
          <w:szCs w:val="20"/>
        </w:rPr>
        <w:t>,</w:t>
      </w:r>
      <w:r w:rsidRPr="000F7A20">
        <w:rPr>
          <w:sz w:val="20"/>
          <w:szCs w:val="20"/>
        </w:rPr>
        <w:t xml:space="preserve"> and </w:t>
      </w:r>
      <w:r w:rsidR="00737C8F">
        <w:rPr>
          <w:sz w:val="20"/>
          <w:szCs w:val="20"/>
        </w:rPr>
        <w:t xml:space="preserve">it </w:t>
      </w:r>
      <w:r w:rsidRPr="000F7A20">
        <w:rPr>
          <w:sz w:val="20"/>
          <w:szCs w:val="20"/>
        </w:rPr>
        <w:t>is shaped by a number of key challenges and opportunities.</w:t>
      </w:r>
    </w:p>
    <w:p w:rsidR="00604D70" w:rsidRPr="000F7A20" w:rsidRDefault="00604D70" w:rsidP="00604D70">
      <w:pPr>
        <w:rPr>
          <w:sz w:val="20"/>
          <w:szCs w:val="20"/>
        </w:rPr>
      </w:pPr>
      <w:r w:rsidRPr="000F7A20">
        <w:rPr>
          <w:sz w:val="20"/>
          <w:szCs w:val="20"/>
        </w:rPr>
        <w:t>Some of the key challenges and opportunities include increasing STI-related knowledge among priority populations, including awareness around the often asymptomatic nature of STI</w:t>
      </w:r>
      <w:r>
        <w:rPr>
          <w:sz w:val="20"/>
          <w:szCs w:val="20"/>
        </w:rPr>
        <w:t>;</w:t>
      </w:r>
      <w:r w:rsidRPr="000F7A20">
        <w:rPr>
          <w:sz w:val="20"/>
          <w:szCs w:val="20"/>
        </w:rPr>
        <w:t xml:space="preserve"> incre</w:t>
      </w:r>
      <w:r>
        <w:rPr>
          <w:sz w:val="20"/>
          <w:szCs w:val="20"/>
        </w:rPr>
        <w:t>asing vaccination rates for HPV;</w:t>
      </w:r>
      <w:r w:rsidRPr="000F7A20">
        <w:rPr>
          <w:sz w:val="20"/>
          <w:szCs w:val="20"/>
        </w:rPr>
        <w:t xml:space="preserve"> increasing testing and treatment uptake</w:t>
      </w:r>
      <w:r>
        <w:rPr>
          <w:sz w:val="20"/>
          <w:szCs w:val="20"/>
        </w:rPr>
        <w:t>;</w:t>
      </w:r>
      <w:r w:rsidRPr="000F7A20">
        <w:rPr>
          <w:sz w:val="20"/>
          <w:szCs w:val="20"/>
        </w:rPr>
        <w:t xml:space="preserve"> improving access to health professionals and</w:t>
      </w:r>
      <w:r>
        <w:rPr>
          <w:sz w:val="20"/>
          <w:szCs w:val="20"/>
        </w:rPr>
        <w:t xml:space="preserve"> services;</w:t>
      </w:r>
      <w:r w:rsidRPr="000F7A20">
        <w:rPr>
          <w:sz w:val="20"/>
          <w:szCs w:val="20"/>
        </w:rPr>
        <w:t xml:space="preserve"> and improving surveillance and response to emerging issues. This </w:t>
      </w:r>
      <w:r w:rsidR="00D93921">
        <w:rPr>
          <w:sz w:val="20"/>
          <w:szCs w:val="20"/>
        </w:rPr>
        <w:t>s</w:t>
      </w:r>
      <w:r w:rsidRPr="000F7A20">
        <w:rPr>
          <w:sz w:val="20"/>
          <w:szCs w:val="20"/>
        </w:rPr>
        <w:t>trategy is designed to address these while recognising the need to maintain key aspects of the response that remain pivotal to its</w:t>
      </w:r>
      <w:r w:rsidR="00BA0661">
        <w:rPr>
          <w:sz w:val="20"/>
          <w:szCs w:val="20"/>
        </w:rPr>
        <w:t xml:space="preserve"> success and respond flexibly</w:t>
      </w:r>
      <w:r w:rsidRPr="000F7A20">
        <w:rPr>
          <w:sz w:val="20"/>
          <w:szCs w:val="20"/>
        </w:rPr>
        <w:t xml:space="preserve"> to other issues as they arise.</w:t>
      </w:r>
    </w:p>
    <w:p w:rsidR="00604D70" w:rsidRPr="00B073E8" w:rsidRDefault="00604D70" w:rsidP="000A39CE">
      <w:pPr>
        <w:pStyle w:val="ColorfulList-Accent11"/>
        <w:spacing w:before="120" w:after="0"/>
        <w:ind w:left="0"/>
        <w:rPr>
          <w:sz w:val="20"/>
          <w:highlight w:val="yellow"/>
        </w:rPr>
      </w:pPr>
      <w:r w:rsidRPr="000F7A20">
        <w:rPr>
          <w:sz w:val="20"/>
        </w:rPr>
        <w:t>A sustainable response to the disproportionately high rates of STI and BBV in Aboriginal and Torres Strait Islander communities</w:t>
      </w:r>
      <w:r>
        <w:rPr>
          <w:sz w:val="20"/>
        </w:rPr>
        <w:t xml:space="preserve"> </w:t>
      </w:r>
      <w:r w:rsidRPr="000F7A20">
        <w:rPr>
          <w:sz w:val="20"/>
        </w:rPr>
        <w:t xml:space="preserve">will be </w:t>
      </w:r>
      <w:r>
        <w:rPr>
          <w:sz w:val="20"/>
        </w:rPr>
        <w:t xml:space="preserve">implemented under </w:t>
      </w:r>
      <w:r w:rsidRPr="000F7A20">
        <w:rPr>
          <w:sz w:val="20"/>
        </w:rPr>
        <w:t xml:space="preserve">the </w:t>
      </w:r>
      <w:r w:rsidRPr="00050547">
        <w:rPr>
          <w:sz w:val="20"/>
        </w:rPr>
        <w:t>Fifth National Aboriginal and Torres Strait Islander Blood Borne Viruses and Sexually Transmissible Infections Strategy 2018</w:t>
      </w:r>
      <w:r w:rsidR="00050547">
        <w:rPr>
          <w:sz w:val="20"/>
        </w:rPr>
        <w:t>–20</w:t>
      </w:r>
      <w:r w:rsidRPr="00050547">
        <w:rPr>
          <w:sz w:val="20"/>
        </w:rPr>
        <w:t>22</w:t>
      </w:r>
      <w:r>
        <w:rPr>
          <w:i/>
          <w:sz w:val="20"/>
        </w:rPr>
        <w:t xml:space="preserve">. </w:t>
      </w:r>
      <w:r>
        <w:rPr>
          <w:sz w:val="20"/>
        </w:rPr>
        <w:t xml:space="preserve">This </w:t>
      </w:r>
      <w:r w:rsidR="00737C8F">
        <w:rPr>
          <w:sz w:val="20"/>
        </w:rPr>
        <w:t>s</w:t>
      </w:r>
      <w:r>
        <w:rPr>
          <w:sz w:val="20"/>
        </w:rPr>
        <w:t>trategy works in</w:t>
      </w:r>
      <w:r w:rsidRPr="007E3D6B">
        <w:rPr>
          <w:sz w:val="20"/>
        </w:rPr>
        <w:t xml:space="preserve"> conjunction with</w:t>
      </w:r>
      <w:r>
        <w:rPr>
          <w:i/>
          <w:sz w:val="20"/>
        </w:rPr>
        <w:t xml:space="preserve"> </w:t>
      </w:r>
      <w:r>
        <w:rPr>
          <w:sz w:val="20"/>
        </w:rPr>
        <w:t>the</w:t>
      </w:r>
      <w:r w:rsidRPr="000F7A20">
        <w:rPr>
          <w:sz w:val="20"/>
        </w:rPr>
        <w:t xml:space="preserve"> </w:t>
      </w:r>
      <w:r w:rsidR="000A39CE">
        <w:rPr>
          <w:sz w:val="20"/>
        </w:rPr>
        <w:t>‘E</w:t>
      </w:r>
      <w:r w:rsidR="000A39CE" w:rsidRPr="00050547">
        <w:rPr>
          <w:sz w:val="20"/>
        </w:rPr>
        <w:t xml:space="preserve">nhanced </w:t>
      </w:r>
      <w:r w:rsidR="000A39CE">
        <w:rPr>
          <w:sz w:val="20"/>
        </w:rPr>
        <w:t>R</w:t>
      </w:r>
      <w:r w:rsidR="000A39CE" w:rsidRPr="00050547">
        <w:rPr>
          <w:sz w:val="20"/>
        </w:rPr>
        <w:t xml:space="preserve">esponse </w:t>
      </w:r>
      <w:r w:rsidRPr="00050547">
        <w:rPr>
          <w:sz w:val="20"/>
        </w:rPr>
        <w:t xml:space="preserve">to </w:t>
      </w:r>
      <w:r w:rsidR="000A39CE" w:rsidRPr="000A39CE">
        <w:rPr>
          <w:sz w:val="20"/>
        </w:rPr>
        <w:t>addressing</w:t>
      </w:r>
      <w:r w:rsidR="000A39CE">
        <w:rPr>
          <w:sz w:val="20"/>
        </w:rPr>
        <w:t xml:space="preserve"> </w:t>
      </w:r>
      <w:r w:rsidR="000A39CE" w:rsidRPr="000A39CE">
        <w:rPr>
          <w:sz w:val="20"/>
        </w:rPr>
        <w:t>sexually transmissible infections</w:t>
      </w:r>
      <w:r w:rsidR="000A39CE">
        <w:rPr>
          <w:sz w:val="20"/>
        </w:rPr>
        <w:t xml:space="preserve"> </w:t>
      </w:r>
      <w:r w:rsidR="000A39CE" w:rsidRPr="000A39CE">
        <w:rPr>
          <w:sz w:val="20"/>
        </w:rPr>
        <w:t>(and blood borne viruses) in</w:t>
      </w:r>
      <w:r w:rsidR="000A39CE">
        <w:rPr>
          <w:sz w:val="20"/>
        </w:rPr>
        <w:t xml:space="preserve"> </w:t>
      </w:r>
      <w:r w:rsidR="000A39CE" w:rsidRPr="000A39CE">
        <w:rPr>
          <w:sz w:val="20"/>
        </w:rPr>
        <w:t>Indigenous populations</w:t>
      </w:r>
      <w:r w:rsidR="000A39CE">
        <w:rPr>
          <w:sz w:val="20"/>
        </w:rPr>
        <w:t>’</w:t>
      </w:r>
      <w:r w:rsidR="000A39CE" w:rsidRPr="000A39CE">
        <w:rPr>
          <w:sz w:val="20"/>
        </w:rPr>
        <w:t xml:space="preserve"> </w:t>
      </w:r>
      <w:r w:rsidRPr="007E3D6B">
        <w:rPr>
          <w:sz w:val="20"/>
        </w:rPr>
        <w:t>(the Enhanced Response)</w:t>
      </w:r>
      <w:r>
        <w:rPr>
          <w:sz w:val="20"/>
        </w:rPr>
        <w:t>.</w:t>
      </w:r>
      <w:r w:rsidRPr="007E3D6B">
        <w:rPr>
          <w:sz w:val="20"/>
        </w:rPr>
        <w:t xml:space="preserve"> </w:t>
      </w:r>
      <w:r>
        <w:rPr>
          <w:sz w:val="20"/>
        </w:rPr>
        <w:t xml:space="preserve">The Enhanced </w:t>
      </w:r>
      <w:r w:rsidR="00BA0661">
        <w:rPr>
          <w:sz w:val="20"/>
        </w:rPr>
        <w:t>R</w:t>
      </w:r>
      <w:r>
        <w:rPr>
          <w:sz w:val="20"/>
        </w:rPr>
        <w:t xml:space="preserve">esponse was </w:t>
      </w:r>
      <w:r w:rsidRPr="007E3D6B">
        <w:rPr>
          <w:sz w:val="20"/>
        </w:rPr>
        <w:t xml:space="preserve">established </w:t>
      </w:r>
      <w:r>
        <w:rPr>
          <w:sz w:val="20"/>
        </w:rPr>
        <w:t xml:space="preserve">by the </w:t>
      </w:r>
      <w:r w:rsidRPr="000F7A20">
        <w:rPr>
          <w:sz w:val="20"/>
        </w:rPr>
        <w:t>A</w:t>
      </w:r>
      <w:r>
        <w:rPr>
          <w:sz w:val="20"/>
        </w:rPr>
        <w:t>ustralian Health Protection Principal Committee</w:t>
      </w:r>
      <w:r w:rsidRPr="007E3D6B">
        <w:rPr>
          <w:sz w:val="20"/>
        </w:rPr>
        <w:t xml:space="preserve"> </w:t>
      </w:r>
      <w:r>
        <w:rPr>
          <w:sz w:val="20"/>
        </w:rPr>
        <w:t>in 2017 primarily to address the current</w:t>
      </w:r>
      <w:r w:rsidRPr="007E3D6B">
        <w:rPr>
          <w:sz w:val="20"/>
        </w:rPr>
        <w:t xml:space="preserve"> </w:t>
      </w:r>
      <w:r w:rsidRPr="000F7A20">
        <w:rPr>
          <w:sz w:val="20"/>
        </w:rPr>
        <w:t>outbreak of syphilis in Aboriginal and Torres Strait Islander communities</w:t>
      </w:r>
      <w:r>
        <w:rPr>
          <w:sz w:val="20"/>
        </w:rPr>
        <w:t xml:space="preserve"> in northern and central Australia</w:t>
      </w:r>
      <w:r w:rsidRPr="000F7A20">
        <w:rPr>
          <w:sz w:val="20"/>
        </w:rPr>
        <w:t>.</w:t>
      </w:r>
      <w:r>
        <w:rPr>
          <w:sz w:val="20"/>
        </w:rPr>
        <w:t xml:space="preserve"> The actions under this </w:t>
      </w:r>
      <w:r w:rsidR="00D93921">
        <w:rPr>
          <w:sz w:val="20"/>
        </w:rPr>
        <w:t>s</w:t>
      </w:r>
      <w:r w:rsidRPr="00050547">
        <w:rPr>
          <w:sz w:val="20"/>
        </w:rPr>
        <w:t>trategy</w:t>
      </w:r>
      <w:r>
        <w:rPr>
          <w:sz w:val="20"/>
        </w:rPr>
        <w:t xml:space="preserve"> will support the work of the Enhanced </w:t>
      </w:r>
      <w:r w:rsidR="00014A66">
        <w:rPr>
          <w:sz w:val="20"/>
        </w:rPr>
        <w:t>R</w:t>
      </w:r>
      <w:r>
        <w:rPr>
          <w:sz w:val="20"/>
        </w:rPr>
        <w:t xml:space="preserve">esponse and the </w:t>
      </w:r>
      <w:r w:rsidRPr="00050547">
        <w:rPr>
          <w:sz w:val="20"/>
        </w:rPr>
        <w:t xml:space="preserve">Fifth National Aboriginal and Torres Strait Islander Blood Borne Viruses and Sexually Transmissible Infections Strategy </w:t>
      </w:r>
      <w:r>
        <w:rPr>
          <w:sz w:val="20"/>
        </w:rPr>
        <w:t xml:space="preserve">and ensure the approaches are coordinated and complementary. </w:t>
      </w:r>
    </w:p>
    <w:p w:rsidR="00604D70" w:rsidRDefault="00604D70" w:rsidP="00604D70">
      <w:pPr>
        <w:rPr>
          <w:b/>
          <w:color w:val="00264D"/>
          <w:sz w:val="22"/>
        </w:rPr>
      </w:pPr>
    </w:p>
    <w:p w:rsidR="00604D70" w:rsidRPr="0013786A" w:rsidRDefault="00604D70" w:rsidP="00604D70">
      <w:pPr>
        <w:rPr>
          <w:b/>
          <w:i/>
          <w:color w:val="00264D"/>
          <w:sz w:val="22"/>
        </w:rPr>
      </w:pPr>
      <w:r>
        <w:rPr>
          <w:b/>
          <w:color w:val="00264D"/>
          <w:sz w:val="22"/>
        </w:rPr>
        <w:t xml:space="preserve">EDUCATION AND </w:t>
      </w:r>
      <w:r w:rsidRPr="00726A7B">
        <w:rPr>
          <w:b/>
          <w:color w:val="00264D"/>
          <w:sz w:val="22"/>
        </w:rPr>
        <w:t>PREVENTION</w:t>
      </w:r>
    </w:p>
    <w:p w:rsidR="00604D70" w:rsidRPr="00E4700C" w:rsidRDefault="00604D70" w:rsidP="00604D70">
      <w:pPr>
        <w:pStyle w:val="CommentText"/>
        <w:numPr>
          <w:ilvl w:val="0"/>
          <w:numId w:val="13"/>
        </w:numPr>
        <w:spacing w:after="60"/>
        <w:ind w:left="723"/>
        <w:rPr>
          <w:i/>
          <w:lang w:val="en-AU" w:eastAsia="en-US"/>
        </w:rPr>
      </w:pPr>
      <w:r>
        <w:rPr>
          <w:rFonts w:cs="Segoe UI"/>
          <w:i/>
          <w:color w:val="000000"/>
          <w:lang w:eastAsia="en-US"/>
        </w:rPr>
        <w:t xml:space="preserve">Implement prevention education and other initiatives, including </w:t>
      </w:r>
      <w:r w:rsidR="00846ADC">
        <w:rPr>
          <w:rFonts w:cs="Segoe UI"/>
          <w:i/>
          <w:color w:val="000000"/>
          <w:lang w:val="en-AU" w:eastAsia="en-US"/>
        </w:rPr>
        <w:t xml:space="preserve">supporting </w:t>
      </w:r>
      <w:r>
        <w:rPr>
          <w:rFonts w:cs="Segoe UI"/>
          <w:i/>
          <w:color w:val="000000"/>
          <w:lang w:eastAsia="en-US"/>
        </w:rPr>
        <w:t>improved sex</w:t>
      </w:r>
      <w:r w:rsidR="00596874">
        <w:rPr>
          <w:rFonts w:cs="Segoe UI"/>
          <w:i/>
          <w:color w:val="000000"/>
          <w:lang w:eastAsia="en-US"/>
        </w:rPr>
        <w:t>ual health education in schools</w:t>
      </w:r>
      <w:r>
        <w:rPr>
          <w:rFonts w:cs="Segoe UI"/>
          <w:i/>
          <w:color w:val="000000"/>
          <w:lang w:eastAsia="en-US"/>
        </w:rPr>
        <w:t xml:space="preserve"> </w:t>
      </w:r>
      <w:r w:rsidR="00C427E8">
        <w:rPr>
          <w:rFonts w:cs="Segoe UI"/>
          <w:i/>
          <w:color w:val="000000"/>
          <w:lang w:val="en-AU" w:eastAsia="en-US"/>
        </w:rPr>
        <w:t xml:space="preserve">and in community settings where people live, work and socialise, </w:t>
      </w:r>
      <w:r>
        <w:rPr>
          <w:rFonts w:cs="Segoe UI"/>
          <w:i/>
          <w:color w:val="000000"/>
          <w:lang w:eastAsia="en-US"/>
        </w:rPr>
        <w:t xml:space="preserve">to improve knowledge and awareness of </w:t>
      </w:r>
      <w:r w:rsidR="004D3B6A">
        <w:rPr>
          <w:rFonts w:cs="Segoe UI"/>
          <w:i/>
          <w:color w:val="000000"/>
          <w:lang w:val="en-AU" w:eastAsia="en-US"/>
        </w:rPr>
        <w:t xml:space="preserve">healthy relationships and </w:t>
      </w:r>
      <w:r>
        <w:rPr>
          <w:rFonts w:cs="Segoe UI"/>
          <w:i/>
          <w:color w:val="000000"/>
          <w:lang w:eastAsia="en-US"/>
        </w:rPr>
        <w:t>STI and reduce risk behaviours associated with the transmission of STI</w:t>
      </w:r>
    </w:p>
    <w:p w:rsidR="00604D70" w:rsidRPr="00E4700C" w:rsidRDefault="00604D70" w:rsidP="00604D70">
      <w:pPr>
        <w:pStyle w:val="CommentText"/>
        <w:numPr>
          <w:ilvl w:val="0"/>
          <w:numId w:val="13"/>
        </w:numPr>
        <w:spacing w:after="60"/>
        <w:ind w:left="723"/>
        <w:rPr>
          <w:i/>
          <w:lang w:val="en-AU" w:eastAsia="en-US"/>
        </w:rPr>
      </w:pPr>
      <w:r w:rsidRPr="00E4700C">
        <w:rPr>
          <w:i/>
          <w:lang w:val="en-AU" w:eastAsia="en-US"/>
        </w:rPr>
        <w:t>Reinforce the central role of condoms in preventing the transmission of STI</w:t>
      </w:r>
    </w:p>
    <w:p w:rsidR="00604D70" w:rsidRPr="00B43F9E" w:rsidRDefault="00604D70" w:rsidP="00604D70">
      <w:pPr>
        <w:pStyle w:val="CommentText"/>
        <w:numPr>
          <w:ilvl w:val="0"/>
          <w:numId w:val="13"/>
        </w:numPr>
        <w:spacing w:after="60"/>
        <w:ind w:left="723"/>
        <w:rPr>
          <w:lang w:val="en-AU" w:eastAsia="en-US"/>
        </w:rPr>
      </w:pPr>
      <w:r w:rsidRPr="00B43F9E">
        <w:rPr>
          <w:i/>
          <w:lang w:val="en-AU" w:eastAsia="en-US"/>
        </w:rPr>
        <w:t xml:space="preserve">Support further increases in HPV vaccination coverage in adolescents in line with the </w:t>
      </w:r>
      <w:r w:rsidRPr="00050547">
        <w:rPr>
          <w:i/>
          <w:lang w:val="en-AU" w:eastAsia="en-US"/>
        </w:rPr>
        <w:t xml:space="preserve">National Immunisation Strategy </w:t>
      </w:r>
    </w:p>
    <w:p w:rsidR="00604D70" w:rsidRDefault="00604D70" w:rsidP="00604D70">
      <w:pPr>
        <w:spacing w:before="120" w:after="0"/>
        <w:rPr>
          <w:sz w:val="20"/>
          <w:szCs w:val="20"/>
        </w:rPr>
      </w:pPr>
      <w:r w:rsidRPr="00B43F9E">
        <w:rPr>
          <w:sz w:val="20"/>
          <w:szCs w:val="20"/>
        </w:rPr>
        <w:t>Health promotion and prevention education initiatives are critical to increasing the understanding of STI among priority populations, p</w:t>
      </w:r>
      <w:r w:rsidR="00014A66">
        <w:rPr>
          <w:sz w:val="20"/>
          <w:szCs w:val="20"/>
        </w:rPr>
        <w:t>romoting the importance of safe</w:t>
      </w:r>
      <w:r w:rsidRPr="00B43F9E">
        <w:rPr>
          <w:sz w:val="20"/>
          <w:szCs w:val="20"/>
        </w:rPr>
        <w:t xml:space="preserve"> sexual practices and achieving positive behavioural change. Education needs to include the importance of </w:t>
      </w:r>
      <w:r>
        <w:rPr>
          <w:sz w:val="20"/>
          <w:szCs w:val="20"/>
        </w:rPr>
        <w:t xml:space="preserve">consistent </w:t>
      </w:r>
      <w:r w:rsidR="00014A66">
        <w:rPr>
          <w:sz w:val="20"/>
          <w:szCs w:val="20"/>
        </w:rPr>
        <w:t xml:space="preserve">and </w:t>
      </w:r>
      <w:r>
        <w:rPr>
          <w:sz w:val="20"/>
          <w:szCs w:val="20"/>
        </w:rPr>
        <w:t>effective condom use and other safe</w:t>
      </w:r>
      <w:r w:rsidRPr="00B43F9E">
        <w:rPr>
          <w:sz w:val="20"/>
          <w:szCs w:val="20"/>
        </w:rPr>
        <w:t xml:space="preserve"> sex</w:t>
      </w:r>
      <w:r>
        <w:rPr>
          <w:sz w:val="20"/>
          <w:szCs w:val="20"/>
        </w:rPr>
        <w:t xml:space="preserve"> practices</w:t>
      </w:r>
      <w:r w:rsidRPr="00B43F9E">
        <w:rPr>
          <w:sz w:val="20"/>
          <w:szCs w:val="20"/>
        </w:rPr>
        <w:t xml:space="preserve">, including when traveling abroad; the often asymptomatic nature of STI; common symptoms when they do occur; the longer term consequences of untreated STI; </w:t>
      </w:r>
      <w:r>
        <w:rPr>
          <w:sz w:val="20"/>
          <w:szCs w:val="20"/>
        </w:rPr>
        <w:t xml:space="preserve">when and how to access appropriate services; </w:t>
      </w:r>
      <w:r w:rsidRPr="00B43F9E">
        <w:rPr>
          <w:sz w:val="20"/>
          <w:szCs w:val="20"/>
        </w:rPr>
        <w:t xml:space="preserve">and the importance of vaccination. Effective strategies </w:t>
      </w:r>
      <w:r>
        <w:rPr>
          <w:sz w:val="20"/>
          <w:szCs w:val="20"/>
        </w:rPr>
        <w:t xml:space="preserve">should </w:t>
      </w:r>
      <w:r w:rsidRPr="00B43F9E">
        <w:rPr>
          <w:sz w:val="20"/>
          <w:szCs w:val="20"/>
        </w:rPr>
        <w:t xml:space="preserve">also assist </w:t>
      </w:r>
      <w:r>
        <w:rPr>
          <w:sz w:val="20"/>
          <w:szCs w:val="20"/>
        </w:rPr>
        <w:t xml:space="preserve">to </w:t>
      </w:r>
      <w:r w:rsidRPr="00B43F9E">
        <w:rPr>
          <w:sz w:val="20"/>
          <w:szCs w:val="20"/>
        </w:rPr>
        <w:t>normalise and promote early testing and treatment and reduce STI-related stigma and discrimination.</w:t>
      </w:r>
    </w:p>
    <w:p w:rsidR="007D0E1D" w:rsidRPr="009776E5" w:rsidRDefault="007D0E1D" w:rsidP="007D0E1D">
      <w:pPr>
        <w:spacing w:before="120" w:after="0"/>
        <w:rPr>
          <w:sz w:val="20"/>
          <w:szCs w:val="20"/>
          <w:lang w:val="en-US"/>
        </w:rPr>
      </w:pPr>
      <w:r w:rsidRPr="009776E5">
        <w:rPr>
          <w:sz w:val="20"/>
          <w:szCs w:val="20"/>
          <w:lang w:val="en-US"/>
        </w:rPr>
        <w:t xml:space="preserve">Raising awareness and knowledge of STI and their consequences among priority populations continues to be essential. This should include addressing skills to reduce sexual risk </w:t>
      </w:r>
      <w:proofErr w:type="spellStart"/>
      <w:r w:rsidRPr="009776E5">
        <w:rPr>
          <w:sz w:val="20"/>
          <w:szCs w:val="20"/>
          <w:lang w:val="en-US"/>
        </w:rPr>
        <w:t>behaviour</w:t>
      </w:r>
      <w:proofErr w:type="spellEnd"/>
      <w:r w:rsidRPr="009776E5">
        <w:rPr>
          <w:sz w:val="20"/>
          <w:szCs w:val="20"/>
          <w:lang w:val="en-US"/>
        </w:rPr>
        <w:t xml:space="preserve"> and in accessing and navigating the health system. These activities must be relevant and accessible to the priority populations whil</w:t>
      </w:r>
      <w:r w:rsidR="00050547">
        <w:rPr>
          <w:sz w:val="20"/>
          <w:szCs w:val="20"/>
          <w:lang w:val="en-US"/>
        </w:rPr>
        <w:t>e</w:t>
      </w:r>
      <w:r w:rsidRPr="009776E5">
        <w:rPr>
          <w:sz w:val="20"/>
          <w:szCs w:val="20"/>
          <w:lang w:val="en-US"/>
        </w:rPr>
        <w:t xml:space="preserve"> acknowledging different cultural, social and language needs.</w:t>
      </w:r>
    </w:p>
    <w:p w:rsidR="00604D70" w:rsidRPr="00B43F9E" w:rsidRDefault="00604D70" w:rsidP="00604D70">
      <w:pPr>
        <w:spacing w:before="120" w:after="0"/>
        <w:rPr>
          <w:sz w:val="20"/>
          <w:szCs w:val="20"/>
        </w:rPr>
      </w:pPr>
      <w:r w:rsidRPr="00B43F9E">
        <w:rPr>
          <w:sz w:val="20"/>
          <w:szCs w:val="20"/>
        </w:rPr>
        <w:t>Education and prevention initiatives</w:t>
      </w:r>
      <w:r>
        <w:rPr>
          <w:sz w:val="20"/>
          <w:szCs w:val="20"/>
        </w:rPr>
        <w:t xml:space="preserve"> need to be tailored to priority populations, </w:t>
      </w:r>
      <w:r w:rsidRPr="00B43F9E">
        <w:rPr>
          <w:sz w:val="20"/>
          <w:szCs w:val="20"/>
        </w:rPr>
        <w:t>STI prevalence and impact</w:t>
      </w:r>
      <w:r>
        <w:rPr>
          <w:sz w:val="20"/>
          <w:szCs w:val="20"/>
        </w:rPr>
        <w:t>,</w:t>
      </w:r>
      <w:r w:rsidRPr="00B43F9E">
        <w:rPr>
          <w:sz w:val="20"/>
          <w:szCs w:val="20"/>
        </w:rPr>
        <w:t xml:space="preserve"> as different STI affect priority populations in different ways across geographic regions.</w:t>
      </w:r>
      <w:r w:rsidR="00BA0661">
        <w:rPr>
          <w:sz w:val="20"/>
          <w:szCs w:val="20"/>
        </w:rPr>
        <w:t xml:space="preserve"> A variety of approaches</w:t>
      </w:r>
      <w:r>
        <w:rPr>
          <w:sz w:val="20"/>
          <w:szCs w:val="20"/>
        </w:rPr>
        <w:t xml:space="preserve"> and c</w:t>
      </w:r>
      <w:r w:rsidRPr="00B43F9E">
        <w:rPr>
          <w:sz w:val="20"/>
          <w:szCs w:val="20"/>
        </w:rPr>
        <w:t>omponents have be</w:t>
      </w:r>
      <w:r>
        <w:rPr>
          <w:sz w:val="20"/>
          <w:szCs w:val="20"/>
        </w:rPr>
        <w:t>en demonstrated to be effective, including</w:t>
      </w:r>
      <w:r w:rsidRPr="00B43F9E">
        <w:rPr>
          <w:sz w:val="20"/>
          <w:szCs w:val="20"/>
        </w:rPr>
        <w:t xml:space="preserve"> sex education in school; training of teachers, community leaders, peer educators and counsellors; distribution of educational materials; provision of condoms</w:t>
      </w:r>
      <w:r>
        <w:rPr>
          <w:sz w:val="20"/>
          <w:szCs w:val="20"/>
        </w:rPr>
        <w:t xml:space="preserve"> and condom demonstrations</w:t>
      </w:r>
      <w:r w:rsidRPr="00B43F9E">
        <w:rPr>
          <w:sz w:val="20"/>
          <w:szCs w:val="20"/>
        </w:rPr>
        <w:t>;</w:t>
      </w:r>
      <w:r>
        <w:rPr>
          <w:sz w:val="20"/>
          <w:szCs w:val="20"/>
        </w:rPr>
        <w:t xml:space="preserve"> </w:t>
      </w:r>
      <w:r w:rsidRPr="00B43F9E">
        <w:rPr>
          <w:sz w:val="20"/>
          <w:szCs w:val="20"/>
        </w:rPr>
        <w:t xml:space="preserve">workshops; communication skills-building and community events. </w:t>
      </w:r>
      <w:r>
        <w:rPr>
          <w:sz w:val="20"/>
          <w:szCs w:val="20"/>
        </w:rPr>
        <w:t>T</w:t>
      </w:r>
      <w:r w:rsidRPr="00485EA0">
        <w:rPr>
          <w:sz w:val="20"/>
          <w:szCs w:val="20"/>
        </w:rPr>
        <w:t xml:space="preserve">here is </w:t>
      </w:r>
      <w:r>
        <w:rPr>
          <w:sz w:val="20"/>
          <w:szCs w:val="20"/>
        </w:rPr>
        <w:t>also emerging evidence that</w:t>
      </w:r>
      <w:r w:rsidRPr="00485EA0">
        <w:rPr>
          <w:sz w:val="20"/>
          <w:szCs w:val="20"/>
        </w:rPr>
        <w:t xml:space="preserve"> interven</w:t>
      </w:r>
      <w:r>
        <w:rPr>
          <w:sz w:val="20"/>
          <w:szCs w:val="20"/>
        </w:rPr>
        <w:t>tions utilising digital media can</w:t>
      </w:r>
      <w:r w:rsidRPr="00485EA0">
        <w:rPr>
          <w:sz w:val="20"/>
          <w:szCs w:val="20"/>
        </w:rPr>
        <w:t xml:space="preserve"> improve sexual healt</w:t>
      </w:r>
      <w:r w:rsidRPr="00F250B1">
        <w:rPr>
          <w:sz w:val="20"/>
          <w:szCs w:val="20"/>
        </w:rPr>
        <w:t>h and STI knowledge.</w:t>
      </w:r>
      <w:r w:rsidRPr="00F250B1">
        <w:rPr>
          <w:rStyle w:val="EndnoteReference"/>
          <w:sz w:val="20"/>
          <w:szCs w:val="20"/>
        </w:rPr>
        <w:endnoteReference w:id="64"/>
      </w:r>
      <w:r w:rsidRPr="00F250B1">
        <w:rPr>
          <w:sz w:val="20"/>
          <w:szCs w:val="20"/>
          <w:vertAlign w:val="superscript"/>
        </w:rPr>
        <w:t>,</w:t>
      </w:r>
      <w:r w:rsidRPr="00F250B1">
        <w:rPr>
          <w:rStyle w:val="EndnoteReference"/>
          <w:sz w:val="20"/>
          <w:szCs w:val="20"/>
        </w:rPr>
        <w:endnoteReference w:id="65"/>
      </w:r>
      <w:r w:rsidRPr="00F250B1">
        <w:rPr>
          <w:sz w:val="20"/>
          <w:szCs w:val="20"/>
          <w:vertAlign w:val="superscript"/>
        </w:rPr>
        <w:t>,</w:t>
      </w:r>
      <w:r w:rsidRPr="00F250B1">
        <w:rPr>
          <w:rStyle w:val="EndnoteReference"/>
          <w:sz w:val="20"/>
          <w:szCs w:val="20"/>
        </w:rPr>
        <w:endnoteReference w:id="66"/>
      </w:r>
      <w:r w:rsidRPr="00F250B1">
        <w:rPr>
          <w:sz w:val="20"/>
          <w:szCs w:val="20"/>
        </w:rPr>
        <w:t xml:space="preserve"> Mass media</w:t>
      </w:r>
      <w:r w:rsidRPr="00A71402">
        <w:rPr>
          <w:sz w:val="20"/>
          <w:szCs w:val="20"/>
        </w:rPr>
        <w:t>, as part of a comprehensive response, may also</w:t>
      </w:r>
      <w:r w:rsidRPr="00F250B1">
        <w:rPr>
          <w:sz w:val="20"/>
          <w:szCs w:val="20"/>
        </w:rPr>
        <w:t xml:space="preserve"> be effective in assisting to promote conversation</w:t>
      </w:r>
      <w:r w:rsidR="00050547" w:rsidRPr="00F250B1">
        <w:rPr>
          <w:sz w:val="20"/>
          <w:szCs w:val="20"/>
        </w:rPr>
        <w:t xml:space="preserve"> and </w:t>
      </w:r>
      <w:r w:rsidRPr="00F250B1">
        <w:rPr>
          <w:sz w:val="20"/>
          <w:szCs w:val="20"/>
        </w:rPr>
        <w:t>awareness and improve safer sex attitudes and behaviours.</w:t>
      </w:r>
      <w:r w:rsidRPr="00F250B1">
        <w:rPr>
          <w:rStyle w:val="EndnoteReference"/>
          <w:sz w:val="20"/>
          <w:szCs w:val="20"/>
        </w:rPr>
        <w:endnoteReference w:id="67"/>
      </w:r>
      <w:r w:rsidRPr="00F250B1">
        <w:rPr>
          <w:sz w:val="20"/>
          <w:szCs w:val="20"/>
          <w:vertAlign w:val="superscript"/>
        </w:rPr>
        <w:t>,</w:t>
      </w:r>
      <w:r w:rsidRPr="00F250B1">
        <w:rPr>
          <w:rStyle w:val="EndnoteReference"/>
          <w:sz w:val="20"/>
          <w:szCs w:val="20"/>
        </w:rPr>
        <w:endnoteReference w:id="68"/>
      </w:r>
      <w:r w:rsidRPr="00F250B1">
        <w:rPr>
          <w:sz w:val="20"/>
          <w:szCs w:val="20"/>
        </w:rPr>
        <w:t xml:space="preserve"> </w:t>
      </w:r>
      <w:r w:rsidR="00440234" w:rsidRPr="00F250B1">
        <w:rPr>
          <w:sz w:val="20"/>
          <w:szCs w:val="20"/>
        </w:rPr>
        <w:t>Where education and prevention initiatives are delivered is also critical and must be in the context of priority settings specific to each priority population, including where they live, work and socialise.</w:t>
      </w:r>
    </w:p>
    <w:p w:rsidR="00604D70" w:rsidRDefault="00604D70" w:rsidP="00604D70">
      <w:pPr>
        <w:spacing w:before="120" w:after="0"/>
        <w:rPr>
          <w:sz w:val="20"/>
          <w:szCs w:val="20"/>
        </w:rPr>
      </w:pPr>
      <w:r w:rsidRPr="00373F65">
        <w:rPr>
          <w:sz w:val="20"/>
          <w:szCs w:val="20"/>
        </w:rPr>
        <w:t>When used correctly and consistently, condoms offer one of the most effective methods of protection against STI.</w:t>
      </w:r>
      <w:r w:rsidRPr="00373F65">
        <w:rPr>
          <w:rStyle w:val="EndnoteReference"/>
          <w:sz w:val="20"/>
          <w:szCs w:val="20"/>
        </w:rPr>
        <w:endnoteReference w:id="69"/>
      </w:r>
      <w:r w:rsidRPr="00373F65">
        <w:rPr>
          <w:sz w:val="20"/>
          <w:szCs w:val="20"/>
        </w:rPr>
        <w:t xml:space="preserve"> Trends in condom use and </w:t>
      </w:r>
      <w:proofErr w:type="spellStart"/>
      <w:r w:rsidRPr="00373F65">
        <w:rPr>
          <w:sz w:val="20"/>
          <w:szCs w:val="20"/>
        </w:rPr>
        <w:t>condomless</w:t>
      </w:r>
      <w:proofErr w:type="spellEnd"/>
      <w:r w:rsidRPr="00373F65">
        <w:rPr>
          <w:sz w:val="20"/>
          <w:szCs w:val="20"/>
        </w:rPr>
        <w:t xml:space="preserve"> sex are of concern. Consistent condom use with casual partners has been declining over the past five years </w:t>
      </w:r>
      <w:r w:rsidR="00B80008">
        <w:rPr>
          <w:sz w:val="20"/>
          <w:szCs w:val="20"/>
        </w:rPr>
        <w:t>among</w:t>
      </w:r>
      <w:r w:rsidRPr="00373F65">
        <w:rPr>
          <w:sz w:val="20"/>
          <w:szCs w:val="20"/>
        </w:rPr>
        <w:t xml:space="preserve"> gay and bisexual men.</w:t>
      </w:r>
      <w:r w:rsidR="00F56D47">
        <w:rPr>
          <w:sz w:val="20"/>
          <w:szCs w:val="20"/>
          <w:vertAlign w:val="superscript"/>
        </w:rPr>
        <w:t>22</w:t>
      </w:r>
      <w:r w:rsidRPr="00373F65">
        <w:rPr>
          <w:sz w:val="20"/>
          <w:szCs w:val="20"/>
        </w:rPr>
        <w:t xml:space="preserve"> </w:t>
      </w:r>
      <w:r>
        <w:rPr>
          <w:sz w:val="20"/>
          <w:szCs w:val="20"/>
        </w:rPr>
        <w:t>Whilst r</w:t>
      </w:r>
      <w:r w:rsidRPr="00373F65">
        <w:rPr>
          <w:sz w:val="20"/>
          <w:szCs w:val="20"/>
        </w:rPr>
        <w:t>esearch in relation to condom use among sex worker</w:t>
      </w:r>
      <w:r>
        <w:rPr>
          <w:sz w:val="20"/>
          <w:szCs w:val="20"/>
        </w:rPr>
        <w:t>s in Australia</w:t>
      </w:r>
      <w:r w:rsidRPr="00373F65">
        <w:rPr>
          <w:sz w:val="20"/>
          <w:szCs w:val="20"/>
        </w:rPr>
        <w:t xml:space="preserve"> </w:t>
      </w:r>
      <w:r>
        <w:rPr>
          <w:sz w:val="20"/>
          <w:szCs w:val="20"/>
        </w:rPr>
        <w:t xml:space="preserve">has shown </w:t>
      </w:r>
      <w:r w:rsidRPr="00373F65">
        <w:rPr>
          <w:sz w:val="20"/>
          <w:szCs w:val="20"/>
        </w:rPr>
        <w:t xml:space="preserve">sustained high rates of </w:t>
      </w:r>
      <w:r>
        <w:rPr>
          <w:sz w:val="20"/>
          <w:szCs w:val="20"/>
        </w:rPr>
        <w:t xml:space="preserve">consistent </w:t>
      </w:r>
      <w:r w:rsidRPr="00373F65">
        <w:rPr>
          <w:sz w:val="20"/>
          <w:szCs w:val="20"/>
        </w:rPr>
        <w:t xml:space="preserve">condom use by </w:t>
      </w:r>
      <w:r>
        <w:rPr>
          <w:sz w:val="20"/>
          <w:szCs w:val="20"/>
        </w:rPr>
        <w:t>both female and male sex workers,</w:t>
      </w:r>
      <w:r>
        <w:rPr>
          <w:rStyle w:val="EndnoteReference"/>
          <w:sz w:val="20"/>
          <w:szCs w:val="20"/>
        </w:rPr>
        <w:endnoteReference w:id="70"/>
      </w:r>
      <w:r>
        <w:rPr>
          <w:sz w:val="20"/>
          <w:szCs w:val="20"/>
        </w:rPr>
        <w:t xml:space="preserve"> there are some emerging </w:t>
      </w:r>
      <w:r w:rsidR="007D0E1D">
        <w:rPr>
          <w:sz w:val="20"/>
          <w:szCs w:val="20"/>
        </w:rPr>
        <w:t xml:space="preserve">issues </w:t>
      </w:r>
      <w:r>
        <w:rPr>
          <w:sz w:val="20"/>
          <w:szCs w:val="20"/>
        </w:rPr>
        <w:t>in relation to unprotected oral sex</w:t>
      </w:r>
      <w:r w:rsidR="00BA0661">
        <w:rPr>
          <w:sz w:val="20"/>
          <w:szCs w:val="20"/>
        </w:rPr>
        <w:t>,</w:t>
      </w:r>
      <w:r w:rsidR="007D0E1D">
        <w:rPr>
          <w:sz w:val="20"/>
          <w:szCs w:val="20"/>
        </w:rPr>
        <w:t xml:space="preserve"> which emphasise the need for targeted health promotion initiatives in this area.</w:t>
      </w:r>
      <w:r>
        <w:rPr>
          <w:rStyle w:val="EndnoteReference"/>
          <w:sz w:val="20"/>
          <w:szCs w:val="20"/>
        </w:rPr>
        <w:endnoteReference w:id="71"/>
      </w:r>
      <w:r>
        <w:rPr>
          <w:sz w:val="20"/>
          <w:szCs w:val="20"/>
        </w:rPr>
        <w:t xml:space="preserve"> </w:t>
      </w:r>
    </w:p>
    <w:p w:rsidR="00BA0661" w:rsidRDefault="007D0E1D" w:rsidP="00BA0661">
      <w:pPr>
        <w:spacing w:before="120" w:after="0"/>
        <w:rPr>
          <w:sz w:val="20"/>
          <w:szCs w:val="20"/>
        </w:rPr>
      </w:pPr>
      <w:r w:rsidRPr="00050547">
        <w:rPr>
          <w:sz w:val="20"/>
          <w:szCs w:val="20"/>
        </w:rPr>
        <w:t>Consideration of the rate of notifications across all age groups indicates that young people are the group most affected by STI in Australia</w:t>
      </w:r>
      <w:r>
        <w:rPr>
          <w:sz w:val="20"/>
          <w:szCs w:val="20"/>
        </w:rPr>
        <w:t xml:space="preserve">. </w:t>
      </w:r>
      <w:r w:rsidR="00604D70" w:rsidRPr="00B43F9E">
        <w:rPr>
          <w:sz w:val="20"/>
          <w:szCs w:val="20"/>
        </w:rPr>
        <w:t xml:space="preserve">The development and delivery of health promotion interventions targeted </w:t>
      </w:r>
      <w:r w:rsidR="00050547">
        <w:rPr>
          <w:sz w:val="20"/>
          <w:szCs w:val="20"/>
        </w:rPr>
        <w:t>at</w:t>
      </w:r>
      <w:r w:rsidR="00604D70" w:rsidRPr="00B43F9E">
        <w:rPr>
          <w:sz w:val="20"/>
          <w:szCs w:val="20"/>
        </w:rPr>
        <w:t xml:space="preserve"> young people, both in and out of </w:t>
      </w:r>
      <w:r w:rsidR="00604D70" w:rsidRPr="00B073E8">
        <w:rPr>
          <w:sz w:val="20"/>
          <w:szCs w:val="20"/>
        </w:rPr>
        <w:t xml:space="preserve">school, is a priority. </w:t>
      </w:r>
      <w:r w:rsidR="00BA0661" w:rsidRPr="00B073E8">
        <w:rPr>
          <w:sz w:val="20"/>
          <w:szCs w:val="20"/>
        </w:rPr>
        <w:t xml:space="preserve">A </w:t>
      </w:r>
      <w:r w:rsidR="00BA0661">
        <w:rPr>
          <w:sz w:val="20"/>
          <w:szCs w:val="20"/>
        </w:rPr>
        <w:t>r</w:t>
      </w:r>
      <w:r w:rsidR="00BA0661" w:rsidRPr="00B073E8">
        <w:rPr>
          <w:sz w:val="20"/>
          <w:szCs w:val="20"/>
        </w:rPr>
        <w:t>esearch</w:t>
      </w:r>
      <w:r w:rsidR="00BA0661">
        <w:rPr>
          <w:sz w:val="20"/>
          <w:szCs w:val="20"/>
        </w:rPr>
        <w:t xml:space="preserve"> review</w:t>
      </w:r>
      <w:r w:rsidR="00BA0661" w:rsidRPr="00B073E8">
        <w:rPr>
          <w:sz w:val="20"/>
          <w:szCs w:val="20"/>
        </w:rPr>
        <w:t xml:space="preserve"> found that no single public health intervention had a sustained long-term impact on the sexual health of young people and young adults and that programs were most effective in increasing protective behaviours for STI w</w:t>
      </w:r>
      <w:r w:rsidR="00BA0661">
        <w:rPr>
          <w:sz w:val="20"/>
          <w:szCs w:val="20"/>
        </w:rPr>
        <w:t xml:space="preserve">hen they </w:t>
      </w:r>
      <w:r w:rsidR="00BA0661" w:rsidRPr="00B073E8">
        <w:rPr>
          <w:sz w:val="20"/>
          <w:szCs w:val="20"/>
        </w:rPr>
        <w:t>targeted multiple components of young people’s lives</w:t>
      </w:r>
      <w:r w:rsidR="00050547">
        <w:rPr>
          <w:sz w:val="20"/>
          <w:szCs w:val="20"/>
        </w:rPr>
        <w:t xml:space="preserve"> and </w:t>
      </w:r>
      <w:r w:rsidR="00BA0661" w:rsidRPr="00B073E8">
        <w:rPr>
          <w:sz w:val="20"/>
          <w:szCs w:val="20"/>
        </w:rPr>
        <w:t>the context in which they live and addressed interpersonal, soc</w:t>
      </w:r>
      <w:r w:rsidR="00BA0661">
        <w:rPr>
          <w:sz w:val="20"/>
          <w:szCs w:val="20"/>
        </w:rPr>
        <w:t>ial and structural levels.</w:t>
      </w:r>
      <w:r w:rsidR="00BA0661">
        <w:rPr>
          <w:rStyle w:val="EndnoteReference"/>
          <w:sz w:val="20"/>
          <w:szCs w:val="20"/>
        </w:rPr>
        <w:endnoteReference w:id="72"/>
      </w:r>
    </w:p>
    <w:p w:rsidR="00604D70" w:rsidRDefault="00604D70" w:rsidP="00604D70">
      <w:pPr>
        <w:spacing w:before="120" w:after="0"/>
        <w:rPr>
          <w:sz w:val="20"/>
          <w:szCs w:val="20"/>
        </w:rPr>
      </w:pPr>
      <w:r w:rsidRPr="00B073E8">
        <w:rPr>
          <w:sz w:val="20"/>
          <w:szCs w:val="20"/>
        </w:rPr>
        <w:t>The timing of prevention education is critical to ensure it prec</w:t>
      </w:r>
      <w:r>
        <w:rPr>
          <w:sz w:val="20"/>
          <w:szCs w:val="20"/>
        </w:rPr>
        <w:t>edes sexual activity</w:t>
      </w:r>
      <w:r w:rsidR="00440234">
        <w:rPr>
          <w:sz w:val="20"/>
          <w:szCs w:val="20"/>
        </w:rPr>
        <w:t xml:space="preserve"> and is delivered incrementally in an age appropriate way as young people transition through adolescence and into young adulthood</w:t>
      </w:r>
      <w:r>
        <w:rPr>
          <w:sz w:val="20"/>
          <w:szCs w:val="20"/>
        </w:rPr>
        <w:t xml:space="preserve">. Effective </w:t>
      </w:r>
      <w:r w:rsidRPr="00B073E8">
        <w:rPr>
          <w:sz w:val="20"/>
          <w:szCs w:val="20"/>
        </w:rPr>
        <w:t>culturally</w:t>
      </w:r>
      <w:r>
        <w:rPr>
          <w:sz w:val="20"/>
          <w:szCs w:val="20"/>
        </w:rPr>
        <w:t xml:space="preserve"> and age</w:t>
      </w:r>
      <w:r w:rsidR="00B80008">
        <w:rPr>
          <w:sz w:val="20"/>
          <w:szCs w:val="20"/>
        </w:rPr>
        <w:t xml:space="preserve"> </w:t>
      </w:r>
      <w:r w:rsidRPr="00B073E8">
        <w:rPr>
          <w:sz w:val="20"/>
          <w:szCs w:val="20"/>
        </w:rPr>
        <w:t>appropriate sex educa</w:t>
      </w:r>
      <w:r w:rsidR="00014A66">
        <w:rPr>
          <w:sz w:val="20"/>
          <w:szCs w:val="20"/>
        </w:rPr>
        <w:t xml:space="preserve">tion should be delivered to </w:t>
      </w:r>
      <w:r w:rsidRPr="00B073E8">
        <w:rPr>
          <w:sz w:val="20"/>
          <w:szCs w:val="20"/>
        </w:rPr>
        <w:t xml:space="preserve">Australian school students as well as </w:t>
      </w:r>
      <w:r>
        <w:rPr>
          <w:sz w:val="20"/>
          <w:szCs w:val="20"/>
        </w:rPr>
        <w:t>to</w:t>
      </w:r>
      <w:r w:rsidRPr="00B073E8">
        <w:rPr>
          <w:sz w:val="20"/>
          <w:szCs w:val="20"/>
        </w:rPr>
        <w:t xml:space="preserve"> young people who are of school age but are no longer in the school system. There is also room for primary</w:t>
      </w:r>
      <w:r w:rsidR="009F6719">
        <w:rPr>
          <w:sz w:val="20"/>
          <w:szCs w:val="20"/>
        </w:rPr>
        <w:t>, sexual</w:t>
      </w:r>
      <w:r w:rsidR="000C0D4E">
        <w:rPr>
          <w:sz w:val="20"/>
          <w:szCs w:val="20"/>
        </w:rPr>
        <w:t xml:space="preserve"> and other</w:t>
      </w:r>
      <w:r w:rsidRPr="00B073E8">
        <w:rPr>
          <w:sz w:val="20"/>
          <w:szCs w:val="20"/>
        </w:rPr>
        <w:t xml:space="preserve"> healthcare services to be more effective </w:t>
      </w:r>
      <w:r>
        <w:rPr>
          <w:sz w:val="20"/>
          <w:szCs w:val="20"/>
        </w:rPr>
        <w:t xml:space="preserve">and proactive </w:t>
      </w:r>
      <w:r w:rsidRPr="00B073E8">
        <w:rPr>
          <w:sz w:val="20"/>
          <w:szCs w:val="20"/>
        </w:rPr>
        <w:t xml:space="preserve">in </w:t>
      </w:r>
      <w:r>
        <w:rPr>
          <w:sz w:val="20"/>
          <w:szCs w:val="20"/>
        </w:rPr>
        <w:t xml:space="preserve">engaging with </w:t>
      </w:r>
      <w:r w:rsidRPr="00B073E8">
        <w:rPr>
          <w:sz w:val="20"/>
          <w:szCs w:val="20"/>
        </w:rPr>
        <w:t>young people</w:t>
      </w:r>
      <w:r>
        <w:rPr>
          <w:sz w:val="20"/>
          <w:szCs w:val="20"/>
        </w:rPr>
        <w:t xml:space="preserve"> on STI issues</w:t>
      </w:r>
      <w:r w:rsidR="001F2062">
        <w:rPr>
          <w:sz w:val="20"/>
          <w:szCs w:val="20"/>
        </w:rPr>
        <w:t>, including</w:t>
      </w:r>
      <w:r w:rsidR="00A71402">
        <w:rPr>
          <w:sz w:val="20"/>
          <w:szCs w:val="20"/>
        </w:rPr>
        <w:t xml:space="preserve"> </w:t>
      </w:r>
      <w:r w:rsidRPr="00B80008">
        <w:rPr>
          <w:sz w:val="20"/>
          <w:szCs w:val="20"/>
        </w:rPr>
        <w:t>prevention</w:t>
      </w:r>
      <w:r w:rsidRPr="00B073E8">
        <w:rPr>
          <w:sz w:val="20"/>
          <w:szCs w:val="20"/>
        </w:rPr>
        <w:t xml:space="preserve"> education</w:t>
      </w:r>
      <w:r>
        <w:rPr>
          <w:sz w:val="20"/>
          <w:szCs w:val="20"/>
        </w:rPr>
        <w:t>, promotion of immunisation</w:t>
      </w:r>
      <w:r w:rsidRPr="00B073E8">
        <w:rPr>
          <w:sz w:val="20"/>
          <w:szCs w:val="20"/>
        </w:rPr>
        <w:t>,</w:t>
      </w:r>
      <w:r>
        <w:rPr>
          <w:sz w:val="20"/>
          <w:szCs w:val="20"/>
        </w:rPr>
        <w:t xml:space="preserve"> STI </w:t>
      </w:r>
      <w:r w:rsidRPr="00B073E8">
        <w:rPr>
          <w:sz w:val="20"/>
          <w:szCs w:val="20"/>
        </w:rPr>
        <w:t>testing</w:t>
      </w:r>
      <w:r>
        <w:rPr>
          <w:sz w:val="20"/>
          <w:szCs w:val="20"/>
        </w:rPr>
        <w:t xml:space="preserve"> and treatment, and connecting young people to other STI education and support services</w:t>
      </w:r>
      <w:r w:rsidRPr="00B073E8">
        <w:rPr>
          <w:sz w:val="20"/>
          <w:szCs w:val="20"/>
        </w:rPr>
        <w:t xml:space="preserve">. </w:t>
      </w:r>
    </w:p>
    <w:p w:rsidR="00604D70" w:rsidRDefault="00604D70" w:rsidP="00604D70">
      <w:pPr>
        <w:spacing w:before="120" w:after="0"/>
        <w:rPr>
          <w:sz w:val="20"/>
          <w:szCs w:val="20"/>
        </w:rPr>
      </w:pPr>
      <w:r w:rsidRPr="00B073E8">
        <w:rPr>
          <w:sz w:val="20"/>
          <w:szCs w:val="20"/>
        </w:rPr>
        <w:t>Peer education and support have played important roles in reducing the risk of STI transmission and in connecting with some hard-to-reach populations. Peers are credible, trusted sources of information and can assist in overcoming physical and socio-cultural barriers. Sex workers, for example, have played a longstanding and pivotal role in health promotion by establishing partnerships in community health initiatives</w:t>
      </w:r>
      <w:r w:rsidR="003470F4">
        <w:rPr>
          <w:sz w:val="20"/>
          <w:szCs w:val="20"/>
        </w:rPr>
        <w:t xml:space="preserve"> and </w:t>
      </w:r>
      <w:r w:rsidRPr="00B073E8">
        <w:rPr>
          <w:sz w:val="20"/>
          <w:szCs w:val="20"/>
        </w:rPr>
        <w:t>acting as pioneers in peer education programs.</w:t>
      </w:r>
      <w:r w:rsidR="007D0E1D" w:rsidRPr="007D0E1D">
        <w:rPr>
          <w:sz w:val="20"/>
          <w:szCs w:val="20"/>
        </w:rPr>
        <w:t xml:space="preserve"> </w:t>
      </w:r>
      <w:r w:rsidR="007D0E1D" w:rsidRPr="00B073E8">
        <w:rPr>
          <w:sz w:val="20"/>
          <w:szCs w:val="20"/>
        </w:rPr>
        <w:t>For some priority populations</w:t>
      </w:r>
      <w:r w:rsidR="003470F4">
        <w:rPr>
          <w:sz w:val="20"/>
          <w:szCs w:val="20"/>
        </w:rPr>
        <w:t>,</w:t>
      </w:r>
      <w:r w:rsidR="007D0E1D" w:rsidRPr="00B073E8">
        <w:rPr>
          <w:sz w:val="20"/>
          <w:szCs w:val="20"/>
        </w:rPr>
        <w:t xml:space="preserve"> </w:t>
      </w:r>
      <w:r w:rsidR="007D0E1D">
        <w:rPr>
          <w:sz w:val="20"/>
          <w:szCs w:val="20"/>
        </w:rPr>
        <w:t xml:space="preserve">effective STI education will also </w:t>
      </w:r>
      <w:r w:rsidR="007D0E1D" w:rsidRPr="00B073E8">
        <w:rPr>
          <w:sz w:val="20"/>
          <w:szCs w:val="20"/>
        </w:rPr>
        <w:t>include</w:t>
      </w:r>
      <w:r w:rsidR="007D0E1D">
        <w:rPr>
          <w:sz w:val="20"/>
          <w:szCs w:val="20"/>
        </w:rPr>
        <w:t xml:space="preserve"> the use of</w:t>
      </w:r>
      <w:r w:rsidR="007D0E1D" w:rsidRPr="00B073E8">
        <w:rPr>
          <w:sz w:val="20"/>
          <w:szCs w:val="20"/>
        </w:rPr>
        <w:t xml:space="preserve"> digital platforms and social networking sites </w:t>
      </w:r>
      <w:r w:rsidR="007D0E1D">
        <w:rPr>
          <w:sz w:val="20"/>
          <w:szCs w:val="20"/>
        </w:rPr>
        <w:t xml:space="preserve">that are </w:t>
      </w:r>
      <w:r w:rsidR="007D0E1D" w:rsidRPr="00B073E8">
        <w:rPr>
          <w:sz w:val="20"/>
          <w:szCs w:val="20"/>
        </w:rPr>
        <w:t xml:space="preserve">frequently used to meet sexual partners.  </w:t>
      </w:r>
    </w:p>
    <w:p w:rsidR="00604D70" w:rsidRPr="00B073E8" w:rsidRDefault="00604D70" w:rsidP="00604D70">
      <w:pPr>
        <w:spacing w:before="120"/>
        <w:rPr>
          <w:sz w:val="20"/>
          <w:szCs w:val="20"/>
        </w:rPr>
      </w:pPr>
      <w:r w:rsidRPr="00B073E8">
        <w:rPr>
          <w:sz w:val="20"/>
          <w:szCs w:val="20"/>
        </w:rPr>
        <w:t xml:space="preserve">HPV vaccination is delivered to adolescents as part of the high school based programs conducted by states and territories. </w:t>
      </w:r>
      <w:r w:rsidRPr="00B073E8">
        <w:rPr>
          <w:rFonts w:cs="Segoe UI"/>
          <w:sz w:val="20"/>
          <w:szCs w:val="20"/>
        </w:rPr>
        <w:t>A recent study has shown that this vaccination program is generating herd immunity for certain types of HPV in Australia.</w:t>
      </w:r>
      <w:r w:rsidRPr="00B073E8">
        <w:rPr>
          <w:rFonts w:cs="Segoe UI"/>
          <w:sz w:val="20"/>
          <w:szCs w:val="20"/>
          <w:vertAlign w:val="superscript"/>
        </w:rPr>
        <w:endnoteReference w:id="73"/>
      </w:r>
      <w:r w:rsidRPr="00B073E8">
        <w:rPr>
          <w:rFonts w:cs="Segoe UI"/>
          <w:sz w:val="20"/>
          <w:szCs w:val="20"/>
        </w:rPr>
        <w:t xml:space="preserve"> </w:t>
      </w:r>
      <w:r w:rsidRPr="00B073E8">
        <w:rPr>
          <w:rFonts w:cs="Segoe UI"/>
          <w:sz w:val="20"/>
          <w:szCs w:val="20"/>
          <w:lang w:val="en"/>
        </w:rPr>
        <w:t>Gardasil</w:t>
      </w:r>
      <w:r w:rsidR="00BA0661">
        <w:rPr>
          <w:rFonts w:cs="Segoe UI"/>
          <w:sz w:val="20"/>
          <w:szCs w:val="20"/>
        </w:rPr>
        <w:t>®</w:t>
      </w:r>
      <w:r w:rsidRPr="00B073E8">
        <w:rPr>
          <w:rFonts w:cs="Segoe UI"/>
          <w:sz w:val="20"/>
          <w:szCs w:val="20"/>
          <w:lang w:val="en"/>
        </w:rPr>
        <w:t xml:space="preserve">9, introduced on the National Immunisation Program in 2018, protects against </w:t>
      </w:r>
      <w:r w:rsidR="008D1332">
        <w:rPr>
          <w:rFonts w:cs="Segoe UI"/>
          <w:sz w:val="20"/>
          <w:szCs w:val="20"/>
          <w:lang w:val="en"/>
        </w:rPr>
        <w:t>nine</w:t>
      </w:r>
      <w:r w:rsidRPr="00B073E8">
        <w:rPr>
          <w:rFonts w:cs="Segoe UI"/>
          <w:sz w:val="20"/>
          <w:szCs w:val="20"/>
          <w:lang w:val="en"/>
        </w:rPr>
        <w:t xml:space="preserve"> </w:t>
      </w:r>
      <w:r w:rsidR="00F0009B">
        <w:rPr>
          <w:rFonts w:cs="Segoe UI"/>
          <w:sz w:val="20"/>
          <w:szCs w:val="20"/>
          <w:lang w:val="en"/>
        </w:rPr>
        <w:t>types</w:t>
      </w:r>
      <w:r w:rsidRPr="00B073E8">
        <w:rPr>
          <w:rFonts w:cs="Segoe UI"/>
          <w:sz w:val="20"/>
          <w:szCs w:val="20"/>
          <w:lang w:val="en"/>
        </w:rPr>
        <w:t> of HPV</w:t>
      </w:r>
      <w:r w:rsidR="00F0009B">
        <w:rPr>
          <w:rFonts w:cs="Segoe UI"/>
          <w:sz w:val="20"/>
          <w:szCs w:val="20"/>
          <w:lang w:val="en"/>
        </w:rPr>
        <w:t xml:space="preserve">, including </w:t>
      </w:r>
      <w:r w:rsidR="008D1332">
        <w:rPr>
          <w:rFonts w:cs="Segoe UI"/>
          <w:sz w:val="20"/>
          <w:szCs w:val="20"/>
          <w:lang w:val="en"/>
        </w:rPr>
        <w:t>seven</w:t>
      </w:r>
      <w:r w:rsidR="00F0009B">
        <w:rPr>
          <w:rFonts w:cs="Segoe UI"/>
          <w:sz w:val="20"/>
          <w:szCs w:val="20"/>
          <w:lang w:val="en"/>
        </w:rPr>
        <w:t xml:space="preserve"> types</w:t>
      </w:r>
      <w:r w:rsidRPr="00B073E8">
        <w:rPr>
          <w:rFonts w:cs="Segoe UI"/>
          <w:sz w:val="20"/>
          <w:szCs w:val="20"/>
          <w:lang w:val="en"/>
        </w:rPr>
        <w:t xml:space="preserve"> that </w:t>
      </w:r>
      <w:r w:rsidR="00F80115">
        <w:rPr>
          <w:rFonts w:cs="Segoe UI"/>
          <w:sz w:val="20"/>
          <w:szCs w:val="20"/>
          <w:lang w:val="en"/>
        </w:rPr>
        <w:t>are associated with</w:t>
      </w:r>
      <w:r w:rsidRPr="00B073E8">
        <w:rPr>
          <w:rFonts w:cs="Segoe UI"/>
          <w:sz w:val="20"/>
          <w:szCs w:val="20"/>
          <w:lang w:val="en"/>
        </w:rPr>
        <w:t xml:space="preserve"> ov</w:t>
      </w:r>
      <w:r w:rsidR="00014A66">
        <w:rPr>
          <w:rFonts w:cs="Segoe UI"/>
          <w:sz w:val="20"/>
          <w:szCs w:val="20"/>
          <w:lang w:val="en"/>
        </w:rPr>
        <w:t>er 90 per cent</w:t>
      </w:r>
      <w:r w:rsidRPr="00B073E8">
        <w:rPr>
          <w:rFonts w:cs="Segoe UI"/>
          <w:sz w:val="20"/>
          <w:szCs w:val="20"/>
          <w:lang w:val="en"/>
        </w:rPr>
        <w:t xml:space="preserve"> of cervical cancers in Australia. </w:t>
      </w:r>
      <w:r w:rsidRPr="00B073E8">
        <w:rPr>
          <w:rFonts w:cs="Segoe UI"/>
          <w:sz w:val="20"/>
          <w:szCs w:val="20"/>
        </w:rPr>
        <w:t>Sustained efforts are needed to continue to improve adolescent vaccination, particularly in m</w:t>
      </w:r>
      <w:r w:rsidR="00014A66">
        <w:rPr>
          <w:rFonts w:cs="Segoe UI"/>
          <w:sz w:val="20"/>
          <w:szCs w:val="20"/>
        </w:rPr>
        <w:t xml:space="preserve">ales, to meet the target of 80 per cent </w:t>
      </w:r>
      <w:r w:rsidRPr="00B073E8">
        <w:rPr>
          <w:rFonts w:cs="Segoe UI"/>
          <w:sz w:val="20"/>
          <w:szCs w:val="20"/>
        </w:rPr>
        <w:t xml:space="preserve">coverage by 2022. </w:t>
      </w:r>
      <w:r w:rsidR="00846ADC">
        <w:rPr>
          <w:rFonts w:cs="Segoe UI"/>
          <w:sz w:val="20"/>
          <w:szCs w:val="20"/>
        </w:rPr>
        <w:t>The HPV vaccination is also recommended for MSM, with a</w:t>
      </w:r>
      <w:r w:rsidR="00DB05C9">
        <w:rPr>
          <w:rFonts w:cs="Segoe UI"/>
          <w:sz w:val="20"/>
          <w:szCs w:val="20"/>
        </w:rPr>
        <w:t xml:space="preserve"> catch-up </w:t>
      </w:r>
      <w:r w:rsidR="00846ADC">
        <w:rPr>
          <w:rFonts w:cs="Segoe UI"/>
          <w:sz w:val="20"/>
          <w:szCs w:val="20"/>
        </w:rPr>
        <w:t>program providing access to individuals up to the age of 19</w:t>
      </w:r>
      <w:r w:rsidR="00EE28E8">
        <w:rPr>
          <w:rFonts w:cs="Segoe UI"/>
          <w:sz w:val="20"/>
          <w:szCs w:val="20"/>
        </w:rPr>
        <w:t xml:space="preserve"> as well as</w:t>
      </w:r>
      <w:r w:rsidR="00846ADC">
        <w:rPr>
          <w:rFonts w:cs="Segoe UI"/>
          <w:sz w:val="20"/>
          <w:szCs w:val="20"/>
        </w:rPr>
        <w:t xml:space="preserve"> humanitarian entrants. Heightening awareness and education on the HPV vaccination and associated catch-up program is critical for preventing transmission in populations at greater risk of STI. </w:t>
      </w:r>
    </w:p>
    <w:p w:rsidR="00F0009B" w:rsidRPr="00B073E8" w:rsidRDefault="00604D70" w:rsidP="00604D70">
      <w:pPr>
        <w:spacing w:before="120" w:after="0"/>
        <w:rPr>
          <w:sz w:val="20"/>
          <w:szCs w:val="20"/>
        </w:rPr>
      </w:pPr>
      <w:r w:rsidRPr="00B073E8">
        <w:rPr>
          <w:sz w:val="20"/>
          <w:szCs w:val="20"/>
        </w:rPr>
        <w:t xml:space="preserve">From 1 April 2018 </w:t>
      </w:r>
      <w:proofErr w:type="spellStart"/>
      <w:r w:rsidRPr="00B073E8">
        <w:rPr>
          <w:sz w:val="20"/>
          <w:szCs w:val="20"/>
        </w:rPr>
        <w:t>PrEP</w:t>
      </w:r>
      <w:proofErr w:type="spellEnd"/>
      <w:r w:rsidRPr="00B073E8">
        <w:rPr>
          <w:sz w:val="20"/>
          <w:szCs w:val="20"/>
        </w:rPr>
        <w:t xml:space="preserve"> was subsidised through </w:t>
      </w:r>
      <w:r w:rsidR="00014A66">
        <w:rPr>
          <w:sz w:val="20"/>
          <w:szCs w:val="20"/>
        </w:rPr>
        <w:t xml:space="preserve">the </w:t>
      </w:r>
      <w:r w:rsidRPr="00B073E8">
        <w:rPr>
          <w:sz w:val="20"/>
          <w:szCs w:val="20"/>
        </w:rPr>
        <w:t xml:space="preserve">Pharmaceutical Benefits Scheme for people at medium and high risk of HIV. </w:t>
      </w:r>
      <w:proofErr w:type="spellStart"/>
      <w:r w:rsidRPr="00B073E8">
        <w:rPr>
          <w:sz w:val="20"/>
          <w:szCs w:val="20"/>
        </w:rPr>
        <w:t>PrEP</w:t>
      </w:r>
      <w:proofErr w:type="spellEnd"/>
      <w:r w:rsidRPr="00B073E8">
        <w:rPr>
          <w:sz w:val="20"/>
          <w:szCs w:val="20"/>
        </w:rPr>
        <w:t xml:space="preserve"> needs to be combined with regular testing for STI, timely treatment and prevention education</w:t>
      </w:r>
      <w:r w:rsidR="008D1332">
        <w:rPr>
          <w:sz w:val="20"/>
          <w:szCs w:val="20"/>
        </w:rPr>
        <w:t>,</w:t>
      </w:r>
      <w:r w:rsidRPr="00B073E8">
        <w:rPr>
          <w:sz w:val="20"/>
          <w:szCs w:val="20"/>
        </w:rPr>
        <w:t xml:space="preserve"> including the importance o</w:t>
      </w:r>
      <w:r w:rsidR="00BA0661">
        <w:rPr>
          <w:sz w:val="20"/>
          <w:szCs w:val="20"/>
        </w:rPr>
        <w:t>f condom use. The requirement for</w:t>
      </w:r>
      <w:r w:rsidRPr="00B073E8">
        <w:rPr>
          <w:sz w:val="20"/>
          <w:szCs w:val="20"/>
        </w:rPr>
        <w:t xml:space="preserve"> regu</w:t>
      </w:r>
      <w:r>
        <w:rPr>
          <w:sz w:val="20"/>
          <w:szCs w:val="20"/>
        </w:rPr>
        <w:t xml:space="preserve">lar STI testing among people accessing </w:t>
      </w:r>
      <w:proofErr w:type="spellStart"/>
      <w:r>
        <w:rPr>
          <w:sz w:val="20"/>
          <w:szCs w:val="20"/>
        </w:rPr>
        <w:t>PrEP</w:t>
      </w:r>
      <w:proofErr w:type="spellEnd"/>
      <w:r>
        <w:rPr>
          <w:sz w:val="20"/>
          <w:szCs w:val="20"/>
        </w:rPr>
        <w:t xml:space="preserve"> </w:t>
      </w:r>
      <w:r>
        <w:rPr>
          <w:rFonts w:cs="Arial"/>
          <w:bCs/>
          <w:snapToGrid w:val="0"/>
          <w:sz w:val="20"/>
          <w:szCs w:val="20"/>
        </w:rPr>
        <w:t xml:space="preserve">will </w:t>
      </w:r>
      <w:r w:rsidRPr="00B073E8">
        <w:rPr>
          <w:rFonts w:cs="Arial"/>
          <w:bCs/>
          <w:snapToGrid w:val="0"/>
          <w:sz w:val="20"/>
          <w:szCs w:val="20"/>
        </w:rPr>
        <w:t>support earlier detec</w:t>
      </w:r>
      <w:r>
        <w:rPr>
          <w:rFonts w:cs="Arial"/>
          <w:bCs/>
          <w:snapToGrid w:val="0"/>
          <w:sz w:val="20"/>
          <w:szCs w:val="20"/>
        </w:rPr>
        <w:t>tion and treatment of other STI and provide opportunities for sexual health education</w:t>
      </w:r>
      <w:r w:rsidRPr="00B073E8">
        <w:rPr>
          <w:rFonts w:cs="Arial"/>
          <w:bCs/>
          <w:snapToGrid w:val="0"/>
          <w:sz w:val="20"/>
          <w:szCs w:val="20"/>
        </w:rPr>
        <w:t xml:space="preserve">. STI surveillance and monitoring is also an important part of </w:t>
      </w:r>
      <w:proofErr w:type="spellStart"/>
      <w:r w:rsidRPr="00B073E8">
        <w:rPr>
          <w:rFonts w:cs="Arial"/>
          <w:bCs/>
          <w:snapToGrid w:val="0"/>
          <w:sz w:val="20"/>
          <w:szCs w:val="20"/>
        </w:rPr>
        <w:t>PrEP</w:t>
      </w:r>
      <w:proofErr w:type="spellEnd"/>
      <w:r w:rsidRPr="00B073E8">
        <w:rPr>
          <w:rFonts w:cs="Arial"/>
          <w:bCs/>
          <w:snapToGrid w:val="0"/>
          <w:sz w:val="20"/>
          <w:szCs w:val="20"/>
        </w:rPr>
        <w:t xml:space="preserve"> implementation to measure and respond to any changes in </w:t>
      </w:r>
      <w:r>
        <w:rPr>
          <w:rFonts w:cs="Arial"/>
          <w:bCs/>
          <w:snapToGrid w:val="0"/>
          <w:sz w:val="20"/>
          <w:szCs w:val="20"/>
        </w:rPr>
        <w:t>STI</w:t>
      </w:r>
      <w:r w:rsidRPr="00B073E8">
        <w:rPr>
          <w:rFonts w:cs="Arial"/>
          <w:bCs/>
          <w:snapToGrid w:val="0"/>
          <w:sz w:val="20"/>
          <w:szCs w:val="20"/>
        </w:rPr>
        <w:t xml:space="preserve"> prevalence. </w:t>
      </w:r>
    </w:p>
    <w:p w:rsidR="00604D70" w:rsidRPr="001F2062" w:rsidRDefault="00604D70" w:rsidP="00604D70">
      <w:pPr>
        <w:spacing w:before="120" w:after="0"/>
        <w:rPr>
          <w:b/>
          <w:sz w:val="20"/>
          <w:szCs w:val="20"/>
        </w:rPr>
      </w:pPr>
      <w:r w:rsidRPr="001F2062">
        <w:rPr>
          <w:b/>
          <w:sz w:val="20"/>
          <w:szCs w:val="20"/>
        </w:rPr>
        <w:t>Key areas for action</w:t>
      </w:r>
    </w:p>
    <w:p w:rsidR="00604D70" w:rsidRPr="00B073E8" w:rsidRDefault="00604D70" w:rsidP="00604D70">
      <w:pPr>
        <w:pStyle w:val="ColorfulList-Accent11"/>
        <w:numPr>
          <w:ilvl w:val="0"/>
          <w:numId w:val="8"/>
        </w:numPr>
        <w:spacing w:before="120" w:after="0"/>
        <w:contextualSpacing w:val="0"/>
        <w:rPr>
          <w:sz w:val="20"/>
        </w:rPr>
      </w:pPr>
      <w:r w:rsidRPr="00B073E8">
        <w:rPr>
          <w:sz w:val="20"/>
        </w:rPr>
        <w:t xml:space="preserve">Implement a national STI education initiative </w:t>
      </w:r>
      <w:r w:rsidR="00C427E8">
        <w:rPr>
          <w:sz w:val="20"/>
        </w:rPr>
        <w:t xml:space="preserve">for priority populations </w:t>
      </w:r>
      <w:r w:rsidRPr="00B073E8">
        <w:rPr>
          <w:sz w:val="20"/>
        </w:rPr>
        <w:t xml:space="preserve">to improve the community’s understanding of STI, improve knowledge of risk behaviours and safer sex practices, assist </w:t>
      </w:r>
      <w:r>
        <w:rPr>
          <w:sz w:val="20"/>
        </w:rPr>
        <w:t xml:space="preserve">in </w:t>
      </w:r>
      <w:r w:rsidRPr="00B073E8">
        <w:rPr>
          <w:sz w:val="20"/>
        </w:rPr>
        <w:t>reduc</w:t>
      </w:r>
      <w:r>
        <w:rPr>
          <w:sz w:val="20"/>
        </w:rPr>
        <w:t>ing</w:t>
      </w:r>
      <w:r w:rsidR="00014A66">
        <w:rPr>
          <w:sz w:val="20"/>
        </w:rPr>
        <w:t xml:space="preserve"> STI</w:t>
      </w:r>
      <w:r w:rsidR="00014A66">
        <w:rPr>
          <w:sz w:val="20"/>
        </w:rPr>
        <w:noBreakHyphen/>
      </w:r>
      <w:r w:rsidRPr="00B073E8">
        <w:rPr>
          <w:sz w:val="20"/>
        </w:rPr>
        <w:t xml:space="preserve">related stigma and support </w:t>
      </w:r>
      <w:r w:rsidR="00C427E8">
        <w:rPr>
          <w:sz w:val="20"/>
        </w:rPr>
        <w:t xml:space="preserve">pathways to </w:t>
      </w:r>
      <w:r w:rsidRPr="00B073E8">
        <w:rPr>
          <w:sz w:val="20"/>
        </w:rPr>
        <w:t xml:space="preserve">early testing and treatment  </w:t>
      </w:r>
    </w:p>
    <w:p w:rsidR="00604D70" w:rsidRPr="00B073E8" w:rsidRDefault="00604D70" w:rsidP="00604D70">
      <w:pPr>
        <w:pStyle w:val="ColorfulList-Accent11"/>
        <w:numPr>
          <w:ilvl w:val="0"/>
          <w:numId w:val="8"/>
        </w:numPr>
        <w:spacing w:before="120" w:after="0"/>
        <w:contextualSpacing w:val="0"/>
        <w:rPr>
          <w:sz w:val="20"/>
        </w:rPr>
      </w:pPr>
      <w:r w:rsidRPr="00B073E8">
        <w:rPr>
          <w:sz w:val="20"/>
        </w:rPr>
        <w:t xml:space="preserve">Implement targeted, </w:t>
      </w:r>
      <w:r>
        <w:rPr>
          <w:sz w:val="20"/>
        </w:rPr>
        <w:t xml:space="preserve">age and </w:t>
      </w:r>
      <w:r w:rsidRPr="00B073E8">
        <w:rPr>
          <w:sz w:val="20"/>
        </w:rPr>
        <w:t>culturally appropriate STI prevention education initiatives and resources for priority populations using a variety of relevant channels, including digital platfor</w:t>
      </w:r>
      <w:r>
        <w:rPr>
          <w:sz w:val="20"/>
        </w:rPr>
        <w:t>ms</w:t>
      </w:r>
      <w:r w:rsidR="008D1332">
        <w:rPr>
          <w:sz w:val="20"/>
        </w:rPr>
        <w:t xml:space="preserve"> (for example, </w:t>
      </w:r>
      <w:r w:rsidRPr="00B073E8">
        <w:rPr>
          <w:sz w:val="20"/>
        </w:rPr>
        <w:t>social media</w:t>
      </w:r>
      <w:r w:rsidR="008D1332">
        <w:rPr>
          <w:sz w:val="20"/>
        </w:rPr>
        <w:t>)</w:t>
      </w:r>
      <w:r w:rsidRPr="00B073E8">
        <w:rPr>
          <w:sz w:val="20"/>
        </w:rPr>
        <w:t xml:space="preserve"> and sites frequented by priority populations </w:t>
      </w:r>
    </w:p>
    <w:p w:rsidR="00604D70" w:rsidRPr="00B073E8" w:rsidRDefault="00604D70" w:rsidP="00604D70">
      <w:pPr>
        <w:pStyle w:val="ColorfulList-Accent11"/>
        <w:numPr>
          <w:ilvl w:val="0"/>
          <w:numId w:val="8"/>
        </w:numPr>
        <w:spacing w:before="120" w:after="0"/>
        <w:contextualSpacing w:val="0"/>
        <w:rPr>
          <w:sz w:val="20"/>
        </w:rPr>
      </w:pPr>
      <w:r>
        <w:rPr>
          <w:sz w:val="20"/>
        </w:rPr>
        <w:t>B</w:t>
      </w:r>
      <w:r w:rsidRPr="00B073E8">
        <w:rPr>
          <w:sz w:val="20"/>
        </w:rPr>
        <w:t>etter connect priority populations to STI prevention education and services</w:t>
      </w:r>
      <w:r>
        <w:rPr>
          <w:sz w:val="20"/>
        </w:rPr>
        <w:t xml:space="preserve">, including through outreach and </w:t>
      </w:r>
      <w:r w:rsidRPr="00B073E8">
        <w:rPr>
          <w:sz w:val="20"/>
        </w:rPr>
        <w:t>peer</w:t>
      </w:r>
      <w:r>
        <w:rPr>
          <w:sz w:val="20"/>
        </w:rPr>
        <w:t xml:space="preserve">-based approaches </w:t>
      </w:r>
      <w:r w:rsidR="00C427E8">
        <w:rPr>
          <w:sz w:val="20"/>
        </w:rPr>
        <w:t>in priority settings</w:t>
      </w:r>
    </w:p>
    <w:p w:rsidR="00604D70" w:rsidRPr="00B073E8" w:rsidRDefault="00604D70" w:rsidP="00604D70">
      <w:pPr>
        <w:pStyle w:val="ColorfulList-Accent11"/>
        <w:numPr>
          <w:ilvl w:val="0"/>
          <w:numId w:val="8"/>
        </w:numPr>
        <w:spacing w:before="120" w:after="0"/>
        <w:contextualSpacing w:val="0"/>
        <w:rPr>
          <w:sz w:val="20"/>
        </w:rPr>
      </w:pPr>
      <w:r w:rsidRPr="00B073E8">
        <w:rPr>
          <w:sz w:val="20"/>
        </w:rPr>
        <w:t xml:space="preserve">Promote consistent and effective condom </w:t>
      </w:r>
      <w:r w:rsidR="00C427E8">
        <w:rPr>
          <w:sz w:val="20"/>
        </w:rPr>
        <w:t xml:space="preserve">and other barrier method </w:t>
      </w:r>
      <w:r w:rsidRPr="00B073E8">
        <w:rPr>
          <w:sz w:val="20"/>
        </w:rPr>
        <w:t xml:space="preserve">use and increase access to and acceptability of condoms amongst priority </w:t>
      </w:r>
      <w:r w:rsidRPr="00CF388B">
        <w:rPr>
          <w:sz w:val="20"/>
        </w:rPr>
        <w:t>populations</w:t>
      </w:r>
      <w:r w:rsidR="00C427E8" w:rsidRPr="001F2062">
        <w:rPr>
          <w:sz w:val="20"/>
        </w:rPr>
        <w:t xml:space="preserve">, including </w:t>
      </w:r>
      <w:r w:rsidR="00CF388B">
        <w:rPr>
          <w:sz w:val="20"/>
        </w:rPr>
        <w:t xml:space="preserve">by </w:t>
      </w:r>
      <w:r w:rsidR="00C427E8" w:rsidRPr="001F2062">
        <w:rPr>
          <w:sz w:val="20"/>
        </w:rPr>
        <w:t>increasing</w:t>
      </w:r>
      <w:r w:rsidR="00C427E8" w:rsidRPr="00CF388B">
        <w:rPr>
          <w:sz w:val="20"/>
        </w:rPr>
        <w:t xml:space="preserve"> knowledge of where to access free and affordable condoms and </w:t>
      </w:r>
      <w:r w:rsidR="00014A66" w:rsidRPr="00CF388B">
        <w:rPr>
          <w:sz w:val="20"/>
        </w:rPr>
        <w:t xml:space="preserve">other </w:t>
      </w:r>
      <w:r w:rsidR="00C427E8" w:rsidRPr="00CF388B">
        <w:rPr>
          <w:sz w:val="20"/>
        </w:rPr>
        <w:t xml:space="preserve">barrier methods and how to </w:t>
      </w:r>
      <w:r w:rsidR="00C427E8" w:rsidRPr="001F2062">
        <w:rPr>
          <w:sz w:val="20"/>
        </w:rPr>
        <w:t>correctly and safely</w:t>
      </w:r>
      <w:r w:rsidR="00C427E8" w:rsidRPr="00C65915">
        <w:rPr>
          <w:sz w:val="20"/>
        </w:rPr>
        <w:t xml:space="preserve"> </w:t>
      </w:r>
      <w:r w:rsidR="00C427E8">
        <w:rPr>
          <w:sz w:val="20"/>
        </w:rPr>
        <w:t>use them</w:t>
      </w:r>
    </w:p>
    <w:p w:rsidR="00604D70" w:rsidRDefault="00604D70" w:rsidP="00604D70">
      <w:pPr>
        <w:pStyle w:val="ColorfulList-Accent11"/>
        <w:numPr>
          <w:ilvl w:val="0"/>
          <w:numId w:val="8"/>
        </w:numPr>
        <w:spacing w:before="120" w:after="0"/>
        <w:contextualSpacing w:val="0"/>
        <w:rPr>
          <w:sz w:val="20"/>
        </w:rPr>
      </w:pPr>
      <w:r w:rsidRPr="00B073E8">
        <w:rPr>
          <w:sz w:val="20"/>
        </w:rPr>
        <w:t>Encourage partnerships between health services, schools, education</w:t>
      </w:r>
      <w:r>
        <w:rPr>
          <w:sz w:val="20"/>
        </w:rPr>
        <w:t>al</w:t>
      </w:r>
      <w:r w:rsidRPr="00B073E8">
        <w:rPr>
          <w:sz w:val="20"/>
        </w:rPr>
        <w:t xml:space="preserve"> institutions and community organisations to improve the delivery, availability and accessibility of sexual health education and services for </w:t>
      </w:r>
      <w:r w:rsidR="003A178E">
        <w:rPr>
          <w:sz w:val="20"/>
        </w:rPr>
        <w:t xml:space="preserve">all </w:t>
      </w:r>
      <w:r w:rsidRPr="00B073E8">
        <w:rPr>
          <w:sz w:val="20"/>
        </w:rPr>
        <w:t>young people and strengthen linkages to testing and treatment</w:t>
      </w:r>
    </w:p>
    <w:p w:rsidR="00604D70" w:rsidRPr="00B073E8" w:rsidRDefault="009F6719" w:rsidP="00604D70">
      <w:pPr>
        <w:pStyle w:val="ColorfulList-Accent11"/>
        <w:numPr>
          <w:ilvl w:val="0"/>
          <w:numId w:val="8"/>
        </w:numPr>
        <w:spacing w:before="120" w:after="0"/>
        <w:contextualSpacing w:val="0"/>
        <w:rPr>
          <w:sz w:val="20"/>
        </w:rPr>
      </w:pPr>
      <w:r>
        <w:rPr>
          <w:sz w:val="20"/>
        </w:rPr>
        <w:t xml:space="preserve">Support </w:t>
      </w:r>
      <w:r w:rsidR="00604D70" w:rsidRPr="00BC4001">
        <w:rPr>
          <w:sz w:val="20"/>
        </w:rPr>
        <w:t xml:space="preserve">comprehensive relationships and sexuality education in schools that improve knowledge, attitudes, skills and behaviours to engage in respectful relationships and reduce risky behaviours and encouraging </w:t>
      </w:r>
      <w:r w:rsidR="001F2062">
        <w:rPr>
          <w:sz w:val="20"/>
        </w:rPr>
        <w:t>help</w:t>
      </w:r>
      <w:r w:rsidR="00014A66" w:rsidRPr="001F2062">
        <w:rPr>
          <w:sz w:val="20"/>
        </w:rPr>
        <w:t>-</w:t>
      </w:r>
      <w:r w:rsidR="00604D70" w:rsidRPr="00BC4001">
        <w:rPr>
          <w:sz w:val="20"/>
        </w:rPr>
        <w:t>seeking behaviour in a holistic manner</w:t>
      </w:r>
    </w:p>
    <w:p w:rsidR="00604D70" w:rsidRPr="00B073E8" w:rsidRDefault="00604D70" w:rsidP="00604D70">
      <w:pPr>
        <w:pStyle w:val="ColorfulList-Accent11"/>
        <w:numPr>
          <w:ilvl w:val="0"/>
          <w:numId w:val="8"/>
        </w:numPr>
        <w:spacing w:before="120" w:after="0"/>
        <w:contextualSpacing w:val="0"/>
        <w:rPr>
          <w:sz w:val="20"/>
        </w:rPr>
      </w:pPr>
      <w:r w:rsidRPr="00B073E8">
        <w:rPr>
          <w:sz w:val="20"/>
        </w:rPr>
        <w:t xml:space="preserve">Ensure </w:t>
      </w:r>
      <w:proofErr w:type="spellStart"/>
      <w:r w:rsidRPr="00B073E8">
        <w:rPr>
          <w:sz w:val="20"/>
        </w:rPr>
        <w:t>PrEP</w:t>
      </w:r>
      <w:proofErr w:type="spellEnd"/>
      <w:r w:rsidRPr="00B073E8">
        <w:rPr>
          <w:sz w:val="20"/>
        </w:rPr>
        <w:t xml:space="preserve"> for HIV prevention is combined with STI prevention education, access to condoms, and recommended regular STI testing</w:t>
      </w:r>
      <w:r w:rsidR="00AD4E07" w:rsidRPr="00AD4E07">
        <w:rPr>
          <w:sz w:val="20"/>
          <w:vertAlign w:val="superscript"/>
        </w:rPr>
        <w:t>20</w:t>
      </w:r>
    </w:p>
    <w:p w:rsidR="00604D70" w:rsidRPr="00B073E8" w:rsidRDefault="00604D70" w:rsidP="00604D70">
      <w:pPr>
        <w:pStyle w:val="ColorfulList-Accent11"/>
        <w:numPr>
          <w:ilvl w:val="0"/>
          <w:numId w:val="8"/>
        </w:numPr>
        <w:spacing w:before="120" w:after="0"/>
        <w:contextualSpacing w:val="0"/>
        <w:rPr>
          <w:sz w:val="20"/>
        </w:rPr>
      </w:pPr>
      <w:r w:rsidRPr="00B073E8">
        <w:rPr>
          <w:sz w:val="20"/>
        </w:rPr>
        <w:t xml:space="preserve">Increase access to HPV vaccination of eligible individuals under the National Immunisation Program and support the actions </w:t>
      </w:r>
      <w:r w:rsidR="00BA0661">
        <w:rPr>
          <w:sz w:val="20"/>
        </w:rPr>
        <w:t>to</w:t>
      </w:r>
      <w:r w:rsidR="00BA0661" w:rsidRPr="00B073E8">
        <w:rPr>
          <w:sz w:val="20"/>
        </w:rPr>
        <w:t xml:space="preserve"> </w:t>
      </w:r>
      <w:r w:rsidRPr="00B073E8">
        <w:rPr>
          <w:sz w:val="20"/>
        </w:rPr>
        <w:t>expand</w:t>
      </w:r>
      <w:r w:rsidR="00BA0661">
        <w:rPr>
          <w:sz w:val="20"/>
        </w:rPr>
        <w:t xml:space="preserve"> vaccination</w:t>
      </w:r>
      <w:r w:rsidRPr="00B073E8">
        <w:rPr>
          <w:sz w:val="20"/>
        </w:rPr>
        <w:t xml:space="preserve"> coverage outlined in the </w:t>
      </w:r>
      <w:r w:rsidRPr="008D1332">
        <w:rPr>
          <w:sz w:val="20"/>
        </w:rPr>
        <w:t>National Immunisation Strategy</w:t>
      </w:r>
    </w:p>
    <w:p w:rsidR="00604D70" w:rsidRDefault="00604D70" w:rsidP="00604D70">
      <w:pPr>
        <w:spacing w:before="120"/>
        <w:rPr>
          <w:b/>
          <w:color w:val="00264D"/>
          <w:sz w:val="22"/>
        </w:rPr>
      </w:pPr>
    </w:p>
    <w:p w:rsidR="00604D70" w:rsidRDefault="00604D70" w:rsidP="00604D70">
      <w:pPr>
        <w:spacing w:before="120"/>
        <w:rPr>
          <w:b/>
          <w:color w:val="00264D"/>
          <w:sz w:val="22"/>
        </w:rPr>
      </w:pPr>
      <w:r>
        <w:rPr>
          <w:b/>
          <w:color w:val="00264D"/>
          <w:sz w:val="22"/>
        </w:rPr>
        <w:t xml:space="preserve">TESTING AND TREATMENT </w:t>
      </w:r>
    </w:p>
    <w:p w:rsidR="00604D70" w:rsidRPr="00F724E7" w:rsidRDefault="00604D70" w:rsidP="00604D70">
      <w:pPr>
        <w:pStyle w:val="CommentText"/>
        <w:numPr>
          <w:ilvl w:val="0"/>
          <w:numId w:val="13"/>
        </w:numPr>
        <w:spacing w:after="60"/>
        <w:ind w:left="723"/>
        <w:rPr>
          <w:i/>
          <w:lang w:val="en-AU" w:eastAsia="en-US"/>
        </w:rPr>
      </w:pPr>
      <w:r w:rsidRPr="00F724E7">
        <w:rPr>
          <w:i/>
          <w:lang w:val="en-AU" w:eastAsia="en-US"/>
        </w:rPr>
        <w:t>Increase comprehensive STI testing</w:t>
      </w:r>
      <w:r>
        <w:rPr>
          <w:i/>
          <w:lang w:val="en-AU" w:eastAsia="en-US"/>
        </w:rPr>
        <w:t xml:space="preserve"> </w:t>
      </w:r>
      <w:r w:rsidRPr="00F724E7">
        <w:rPr>
          <w:i/>
          <w:lang w:val="en-AU" w:eastAsia="en-US"/>
        </w:rPr>
        <w:t>to reduce the number of undiagnosed STI in the community</w:t>
      </w:r>
    </w:p>
    <w:p w:rsidR="00604D70" w:rsidRDefault="00604D70" w:rsidP="00604D70">
      <w:pPr>
        <w:pStyle w:val="CommentText"/>
        <w:numPr>
          <w:ilvl w:val="0"/>
          <w:numId w:val="13"/>
        </w:numPr>
        <w:spacing w:after="60"/>
        <w:ind w:left="723"/>
        <w:rPr>
          <w:i/>
          <w:lang w:val="en-AU" w:eastAsia="en-US"/>
        </w:rPr>
      </w:pPr>
      <w:r w:rsidRPr="00B073E8">
        <w:rPr>
          <w:i/>
          <w:lang w:val="en-AU" w:eastAsia="en-US"/>
        </w:rPr>
        <w:t>Increase early and appropriate treatment of STI to reduce further transmission and improve health outcomes</w:t>
      </w:r>
    </w:p>
    <w:p w:rsidR="00604D70" w:rsidRPr="00B073E8" w:rsidRDefault="00604D70" w:rsidP="00604D70">
      <w:pPr>
        <w:spacing w:before="120"/>
        <w:rPr>
          <w:sz w:val="20"/>
          <w:szCs w:val="20"/>
        </w:rPr>
      </w:pPr>
      <w:r w:rsidRPr="00B073E8">
        <w:rPr>
          <w:sz w:val="20"/>
          <w:szCs w:val="20"/>
        </w:rPr>
        <w:t xml:space="preserve">The most effective response to STI combines sustained prevention strategies with regular STI testing and early treatment for priority populations. The early detection and treatment of STI is essential to reduce further transmission and minimise the development of complications.  </w:t>
      </w:r>
    </w:p>
    <w:p w:rsidR="00604D70" w:rsidRDefault="00604D70" w:rsidP="00604D70">
      <w:pPr>
        <w:spacing w:before="120"/>
        <w:rPr>
          <w:sz w:val="20"/>
          <w:szCs w:val="20"/>
        </w:rPr>
      </w:pPr>
      <w:r w:rsidRPr="00B073E8">
        <w:rPr>
          <w:iCs/>
          <w:sz w:val="20"/>
          <w:szCs w:val="20"/>
        </w:rPr>
        <w:t>Regular, comprehensive and voluntary</w:t>
      </w:r>
      <w:r w:rsidRPr="00B073E8">
        <w:rPr>
          <w:sz w:val="20"/>
          <w:szCs w:val="20"/>
        </w:rPr>
        <w:t xml:space="preserve"> testing </w:t>
      </w:r>
      <w:r w:rsidRPr="00B073E8">
        <w:rPr>
          <w:iCs/>
          <w:sz w:val="20"/>
          <w:szCs w:val="20"/>
        </w:rPr>
        <w:t xml:space="preserve">for priority populations on the basis of risk </w:t>
      </w:r>
      <w:r w:rsidRPr="00B073E8">
        <w:rPr>
          <w:sz w:val="20"/>
          <w:szCs w:val="20"/>
        </w:rPr>
        <w:t>plays an important role in identifying people with STI who may be asymptomatic and who would otherwise go undetected. Asymptomatic people in high</w:t>
      </w:r>
      <w:r w:rsidR="008D1332">
        <w:rPr>
          <w:sz w:val="20"/>
          <w:szCs w:val="20"/>
        </w:rPr>
        <w:t>-</w:t>
      </w:r>
      <w:r w:rsidRPr="00B073E8">
        <w:rPr>
          <w:sz w:val="20"/>
          <w:szCs w:val="20"/>
        </w:rPr>
        <w:t>risk groups should be offered opportunistic testing when they present to a health service and be encouraged to seek testing even if they have no other reason to attend for health care. Identifying, testing and treating sex</w:t>
      </w:r>
      <w:r w:rsidR="00014A66">
        <w:rPr>
          <w:sz w:val="20"/>
          <w:szCs w:val="20"/>
        </w:rPr>
        <w:t>ual partners is</w:t>
      </w:r>
      <w:r w:rsidRPr="00B073E8">
        <w:rPr>
          <w:sz w:val="20"/>
          <w:szCs w:val="20"/>
        </w:rPr>
        <w:t xml:space="preserve"> also important to prevent transmission and reinfections.</w:t>
      </w:r>
    </w:p>
    <w:p w:rsidR="00604D70" w:rsidRDefault="00604D70" w:rsidP="00604D70">
      <w:pPr>
        <w:spacing w:before="120"/>
        <w:rPr>
          <w:iCs/>
          <w:sz w:val="20"/>
          <w:szCs w:val="20"/>
        </w:rPr>
      </w:pPr>
      <w:r w:rsidRPr="00B073E8">
        <w:rPr>
          <w:sz w:val="20"/>
          <w:szCs w:val="20"/>
        </w:rPr>
        <w:t>Given the high prevalence of STI among young people, comprehensive STI testing is part of best-practice routine health</w:t>
      </w:r>
      <w:r w:rsidR="008D1332">
        <w:rPr>
          <w:sz w:val="20"/>
          <w:szCs w:val="20"/>
        </w:rPr>
        <w:t xml:space="preserve"> </w:t>
      </w:r>
      <w:r w:rsidRPr="00B073E8">
        <w:rPr>
          <w:sz w:val="20"/>
          <w:szCs w:val="20"/>
        </w:rPr>
        <w:t>care for all sexually active young people.</w:t>
      </w:r>
      <w:r w:rsidR="00AD4E07">
        <w:rPr>
          <w:sz w:val="20"/>
          <w:szCs w:val="20"/>
          <w:vertAlign w:val="superscript"/>
        </w:rPr>
        <w:t>20</w:t>
      </w:r>
      <w:r w:rsidRPr="00BF7B45">
        <w:rPr>
          <w:sz w:val="20"/>
          <w:szCs w:val="20"/>
          <w:vertAlign w:val="superscript"/>
        </w:rPr>
        <w:t>,</w:t>
      </w:r>
      <w:r w:rsidRPr="00B073E8">
        <w:rPr>
          <w:rStyle w:val="EndnoteReference"/>
          <w:sz w:val="20"/>
          <w:szCs w:val="20"/>
        </w:rPr>
        <w:endnoteReference w:id="74"/>
      </w:r>
      <w:r w:rsidRPr="00B073E8">
        <w:rPr>
          <w:sz w:val="20"/>
          <w:szCs w:val="20"/>
        </w:rPr>
        <w:t xml:space="preserve"> Widespread testing</w:t>
      </w:r>
      <w:r>
        <w:rPr>
          <w:sz w:val="20"/>
          <w:szCs w:val="20"/>
        </w:rPr>
        <w:t>, including point of care,</w:t>
      </w:r>
      <w:r w:rsidRPr="00B073E8">
        <w:rPr>
          <w:sz w:val="20"/>
          <w:szCs w:val="20"/>
        </w:rPr>
        <w:t xml:space="preserve"> is also critical in effectively responding to</w:t>
      </w:r>
      <w:r w:rsidRPr="00B073E8">
        <w:rPr>
          <w:iCs/>
          <w:sz w:val="20"/>
          <w:szCs w:val="20"/>
        </w:rPr>
        <w:t xml:space="preserve"> the outbreak</w:t>
      </w:r>
      <w:r w:rsidR="00014A66">
        <w:rPr>
          <w:iCs/>
          <w:sz w:val="20"/>
          <w:szCs w:val="20"/>
        </w:rPr>
        <w:t>s</w:t>
      </w:r>
      <w:r w:rsidR="00014A66">
        <w:rPr>
          <w:rStyle w:val="CommentReference"/>
          <w:lang w:val="x-none" w:eastAsia="x-none"/>
        </w:rPr>
        <w:t>.</w:t>
      </w:r>
      <w:r w:rsidRPr="00B073E8">
        <w:rPr>
          <w:iCs/>
          <w:sz w:val="20"/>
          <w:szCs w:val="20"/>
        </w:rPr>
        <w:t xml:space="preserve"> This includes ensuring testing and treatment as part of routine antenatal care to </w:t>
      </w:r>
      <w:r w:rsidR="00057D0E">
        <w:rPr>
          <w:iCs/>
          <w:sz w:val="20"/>
          <w:szCs w:val="20"/>
        </w:rPr>
        <w:t>minimise</w:t>
      </w:r>
      <w:r w:rsidR="00057D0E" w:rsidRPr="00B073E8">
        <w:rPr>
          <w:iCs/>
          <w:sz w:val="20"/>
          <w:szCs w:val="20"/>
        </w:rPr>
        <w:t xml:space="preserve"> </w:t>
      </w:r>
      <w:r w:rsidR="00E10C01">
        <w:rPr>
          <w:iCs/>
          <w:sz w:val="20"/>
          <w:szCs w:val="20"/>
        </w:rPr>
        <w:t xml:space="preserve">mother to </w:t>
      </w:r>
      <w:r w:rsidRPr="00B073E8">
        <w:rPr>
          <w:iCs/>
          <w:sz w:val="20"/>
          <w:szCs w:val="20"/>
        </w:rPr>
        <w:t>child transmission.</w:t>
      </w:r>
    </w:p>
    <w:p w:rsidR="00597C6E" w:rsidRPr="00597C6E" w:rsidRDefault="00597C6E" w:rsidP="00597C6E">
      <w:pPr>
        <w:autoSpaceDE w:val="0"/>
        <w:autoSpaceDN w:val="0"/>
        <w:adjustRightInd w:val="0"/>
        <w:spacing w:after="160" w:line="201" w:lineRule="atLeast"/>
        <w:rPr>
          <w:rFonts w:cs="Segoe UI"/>
          <w:color w:val="000000"/>
          <w:sz w:val="21"/>
          <w:szCs w:val="21"/>
          <w:lang w:eastAsia="en-AU"/>
        </w:rPr>
      </w:pPr>
      <w:r w:rsidRPr="00597C6E">
        <w:rPr>
          <w:rFonts w:cs="Segoe UI"/>
          <w:color w:val="000000"/>
          <w:sz w:val="20"/>
          <w:szCs w:val="20"/>
          <w:lang w:eastAsia="en-AU"/>
        </w:rPr>
        <w:t>Options for health system changes include strengthening the integration of testing into existing health service delivery and reorienting existing services. Opportunities for integration with existing services include offering STI testing with appropriate routine activities (</w:t>
      </w:r>
      <w:r w:rsidR="008C5B79">
        <w:rPr>
          <w:rFonts w:cs="Segoe UI"/>
          <w:color w:val="000000"/>
          <w:sz w:val="20"/>
          <w:szCs w:val="20"/>
          <w:lang w:eastAsia="en-AU"/>
        </w:rPr>
        <w:t xml:space="preserve">for example, </w:t>
      </w:r>
      <w:r w:rsidRPr="00597C6E">
        <w:rPr>
          <w:rFonts w:cs="Segoe UI"/>
          <w:color w:val="000000"/>
          <w:sz w:val="20"/>
          <w:szCs w:val="20"/>
          <w:lang w:eastAsia="en-AU"/>
        </w:rPr>
        <w:t>during visits for contraception, general health checks, antenatal visits and appropriate vaccinations).</w:t>
      </w:r>
    </w:p>
    <w:p w:rsidR="00604D70" w:rsidRDefault="00604D70" w:rsidP="00604D70">
      <w:pPr>
        <w:spacing w:before="120"/>
        <w:rPr>
          <w:sz w:val="20"/>
          <w:szCs w:val="20"/>
        </w:rPr>
      </w:pPr>
      <w:r w:rsidRPr="00B073E8">
        <w:rPr>
          <w:sz w:val="20"/>
          <w:szCs w:val="20"/>
        </w:rPr>
        <w:t xml:space="preserve">Targeted approaches </w:t>
      </w:r>
      <w:r w:rsidRPr="00E10C01">
        <w:rPr>
          <w:sz w:val="20"/>
          <w:szCs w:val="20"/>
        </w:rPr>
        <w:t>are needed that address</w:t>
      </w:r>
      <w:r w:rsidRPr="00B073E8">
        <w:rPr>
          <w:sz w:val="20"/>
          <w:szCs w:val="20"/>
        </w:rPr>
        <w:t xml:space="preserve"> the range of factors that influence STI</w:t>
      </w:r>
      <w:r w:rsidR="00CF388B">
        <w:rPr>
          <w:sz w:val="20"/>
          <w:szCs w:val="20"/>
        </w:rPr>
        <w:t xml:space="preserve"> </w:t>
      </w:r>
      <w:r w:rsidRPr="00B073E8">
        <w:rPr>
          <w:sz w:val="20"/>
          <w:szCs w:val="20"/>
        </w:rPr>
        <w:t xml:space="preserve">testing </w:t>
      </w:r>
      <w:r>
        <w:rPr>
          <w:sz w:val="20"/>
          <w:szCs w:val="20"/>
        </w:rPr>
        <w:t xml:space="preserve">and treatment </w:t>
      </w:r>
      <w:r w:rsidRPr="00B073E8">
        <w:rPr>
          <w:sz w:val="20"/>
          <w:szCs w:val="20"/>
        </w:rPr>
        <w:t>uptake in specific priority populat</w:t>
      </w:r>
      <w:r>
        <w:rPr>
          <w:sz w:val="20"/>
          <w:szCs w:val="20"/>
        </w:rPr>
        <w:t xml:space="preserve">ions and geographic locations. </w:t>
      </w:r>
      <w:r w:rsidRPr="00B073E8">
        <w:rPr>
          <w:sz w:val="20"/>
          <w:szCs w:val="20"/>
        </w:rPr>
        <w:t xml:space="preserve">These </w:t>
      </w:r>
      <w:r w:rsidR="00CF388B">
        <w:rPr>
          <w:sz w:val="20"/>
          <w:szCs w:val="20"/>
        </w:rPr>
        <w:t xml:space="preserve">influences </w:t>
      </w:r>
      <w:r w:rsidRPr="00B073E8">
        <w:rPr>
          <w:sz w:val="20"/>
          <w:szCs w:val="20"/>
        </w:rPr>
        <w:t>may include an individual</w:t>
      </w:r>
      <w:r>
        <w:rPr>
          <w:sz w:val="20"/>
          <w:szCs w:val="20"/>
        </w:rPr>
        <w:t>’</w:t>
      </w:r>
      <w:r w:rsidRPr="00B073E8">
        <w:rPr>
          <w:sz w:val="20"/>
          <w:szCs w:val="20"/>
        </w:rPr>
        <w:t>s perceived vulnerability to STI, perceived benefits of testing, experience (or lack) of STI-related symptoms, anxiety about having had unprotected intercourse a</w:t>
      </w:r>
      <w:r>
        <w:rPr>
          <w:sz w:val="20"/>
          <w:szCs w:val="20"/>
        </w:rPr>
        <w:t xml:space="preserve">nd fear of negative attitudes. </w:t>
      </w:r>
      <w:r w:rsidRPr="00B073E8">
        <w:rPr>
          <w:sz w:val="20"/>
          <w:szCs w:val="20"/>
        </w:rPr>
        <w:t>Social and system-related aspects include physical access to testing, delivery of test results, costs, and concerns about privacy and confidentiality</w:t>
      </w:r>
      <w:r w:rsidR="008C5B79">
        <w:rPr>
          <w:sz w:val="20"/>
          <w:szCs w:val="20"/>
        </w:rPr>
        <w:t>,</w:t>
      </w:r>
      <w:r w:rsidRPr="00B073E8">
        <w:rPr>
          <w:sz w:val="20"/>
          <w:szCs w:val="20"/>
        </w:rPr>
        <w:t xml:space="preserve"> particularly in smaller and remote communities. STI prevention education initiatives need to build </w:t>
      </w:r>
      <w:r>
        <w:rPr>
          <w:sz w:val="20"/>
          <w:szCs w:val="20"/>
        </w:rPr>
        <w:t xml:space="preserve">the </w:t>
      </w:r>
      <w:r w:rsidRPr="00B073E8">
        <w:rPr>
          <w:sz w:val="20"/>
          <w:szCs w:val="20"/>
        </w:rPr>
        <w:t xml:space="preserve">skills and confidence of priority populations </w:t>
      </w:r>
      <w:r w:rsidR="008C5B79">
        <w:rPr>
          <w:sz w:val="20"/>
          <w:szCs w:val="20"/>
        </w:rPr>
        <w:t xml:space="preserve">in </w:t>
      </w:r>
      <w:r w:rsidRPr="00B073E8">
        <w:rPr>
          <w:sz w:val="20"/>
          <w:szCs w:val="20"/>
        </w:rPr>
        <w:t>accessing and navigating the healthcare system to support increased STI testing and treatment</w:t>
      </w:r>
      <w:r w:rsidR="008C5B79" w:rsidRPr="00E10C01">
        <w:rPr>
          <w:sz w:val="20"/>
          <w:szCs w:val="20"/>
        </w:rPr>
        <w:t>—</w:t>
      </w:r>
      <w:r w:rsidR="00C45B05" w:rsidRPr="00E10C01">
        <w:rPr>
          <w:sz w:val="20"/>
          <w:szCs w:val="20"/>
        </w:rPr>
        <w:t>including increasing the promotion of referral pathways to appropriate health services</w:t>
      </w:r>
      <w:r w:rsidR="008C5B79" w:rsidRPr="00CF388B">
        <w:rPr>
          <w:sz w:val="20"/>
          <w:szCs w:val="20"/>
        </w:rPr>
        <w:t>.</w:t>
      </w:r>
    </w:p>
    <w:p w:rsidR="00604D70" w:rsidRPr="00B073E8" w:rsidRDefault="00604D70" w:rsidP="00604D70">
      <w:pPr>
        <w:spacing w:before="120"/>
        <w:rPr>
          <w:sz w:val="20"/>
          <w:szCs w:val="20"/>
        </w:rPr>
      </w:pPr>
      <w:r>
        <w:rPr>
          <w:sz w:val="20"/>
          <w:szCs w:val="20"/>
        </w:rPr>
        <w:t>P</w:t>
      </w:r>
      <w:r w:rsidRPr="00004299">
        <w:rPr>
          <w:sz w:val="20"/>
          <w:szCs w:val="20"/>
        </w:rPr>
        <w:t>rimary care</w:t>
      </w:r>
      <w:r w:rsidR="003408BB">
        <w:rPr>
          <w:sz w:val="20"/>
          <w:szCs w:val="20"/>
        </w:rPr>
        <w:t>, including sexual health services,</w:t>
      </w:r>
      <w:r w:rsidRPr="00004299">
        <w:rPr>
          <w:sz w:val="20"/>
          <w:szCs w:val="20"/>
        </w:rPr>
        <w:t xml:space="preserve"> make</w:t>
      </w:r>
      <w:r w:rsidR="003408BB">
        <w:rPr>
          <w:sz w:val="20"/>
          <w:szCs w:val="20"/>
        </w:rPr>
        <w:t>s</w:t>
      </w:r>
      <w:r w:rsidR="00F0009B">
        <w:rPr>
          <w:sz w:val="20"/>
          <w:szCs w:val="20"/>
        </w:rPr>
        <w:t xml:space="preserve"> a significant contribution</w:t>
      </w:r>
      <w:r w:rsidR="003408BB">
        <w:rPr>
          <w:sz w:val="20"/>
          <w:szCs w:val="20"/>
        </w:rPr>
        <w:t xml:space="preserve"> to STI detection and management.</w:t>
      </w:r>
      <w:r w:rsidR="00F0009B">
        <w:rPr>
          <w:sz w:val="20"/>
          <w:szCs w:val="20"/>
        </w:rPr>
        <w:t xml:space="preserve"> </w:t>
      </w:r>
      <w:r w:rsidRPr="00004299">
        <w:rPr>
          <w:sz w:val="20"/>
          <w:szCs w:val="20"/>
        </w:rPr>
        <w:t>It is essential to engage and support primary care</w:t>
      </w:r>
      <w:r w:rsidR="00F0009B">
        <w:rPr>
          <w:sz w:val="20"/>
          <w:szCs w:val="20"/>
        </w:rPr>
        <w:t xml:space="preserve"> and sexual health care</w:t>
      </w:r>
      <w:r>
        <w:rPr>
          <w:sz w:val="20"/>
          <w:szCs w:val="20"/>
        </w:rPr>
        <w:t xml:space="preserve"> providers, specifically general practitioners,</w:t>
      </w:r>
      <w:r w:rsidRPr="00004299">
        <w:rPr>
          <w:sz w:val="20"/>
          <w:szCs w:val="20"/>
        </w:rPr>
        <w:t xml:space="preserve"> to integrate STI </w:t>
      </w:r>
      <w:r w:rsidR="00C033B4">
        <w:rPr>
          <w:sz w:val="20"/>
          <w:szCs w:val="20"/>
        </w:rPr>
        <w:t>testing</w:t>
      </w:r>
      <w:r w:rsidRPr="00004299">
        <w:rPr>
          <w:sz w:val="20"/>
          <w:szCs w:val="20"/>
        </w:rPr>
        <w:t xml:space="preserve">, treatment, management, </w:t>
      </w:r>
      <w:proofErr w:type="gramStart"/>
      <w:r w:rsidRPr="00004299">
        <w:rPr>
          <w:sz w:val="20"/>
          <w:szCs w:val="20"/>
        </w:rPr>
        <w:t>patient</w:t>
      </w:r>
      <w:proofErr w:type="gramEnd"/>
      <w:r w:rsidRPr="00004299">
        <w:rPr>
          <w:sz w:val="20"/>
          <w:szCs w:val="20"/>
        </w:rPr>
        <w:t xml:space="preserve"> delivered partner therapy and partner notification as part of routine care.</w:t>
      </w:r>
    </w:p>
    <w:p w:rsidR="00604D70" w:rsidRPr="00B073E8" w:rsidRDefault="00604D70" w:rsidP="00604D70">
      <w:pPr>
        <w:spacing w:before="120"/>
        <w:rPr>
          <w:sz w:val="20"/>
          <w:szCs w:val="20"/>
        </w:rPr>
      </w:pPr>
      <w:r w:rsidRPr="00B073E8">
        <w:rPr>
          <w:sz w:val="20"/>
          <w:szCs w:val="20"/>
        </w:rPr>
        <w:t xml:space="preserve">Peer educators and counsellors play an important role in engaging priority and sub-populations. </w:t>
      </w:r>
      <w:r w:rsidRPr="00B073E8">
        <w:rPr>
          <w:iCs/>
          <w:sz w:val="20"/>
          <w:szCs w:val="20"/>
        </w:rPr>
        <w:t xml:space="preserve">Street outreach, self-collection, </w:t>
      </w:r>
      <w:r w:rsidR="008C5B79">
        <w:rPr>
          <w:iCs/>
          <w:sz w:val="20"/>
          <w:szCs w:val="20"/>
        </w:rPr>
        <w:t xml:space="preserve">and </w:t>
      </w:r>
      <w:r w:rsidRPr="00B073E8">
        <w:rPr>
          <w:iCs/>
          <w:sz w:val="20"/>
          <w:szCs w:val="20"/>
        </w:rPr>
        <w:t>peer-based and online testing have demonstrated their effectiveness in reaching priority populations.</w:t>
      </w:r>
      <w:r w:rsidRPr="00BF7B45">
        <w:rPr>
          <w:rStyle w:val="EndnoteReference"/>
          <w:iCs/>
          <w:sz w:val="20"/>
          <w:szCs w:val="20"/>
        </w:rPr>
        <w:endnoteReference w:id="75"/>
      </w:r>
      <w:r w:rsidRPr="00BF7B45">
        <w:rPr>
          <w:iCs/>
          <w:sz w:val="20"/>
          <w:szCs w:val="20"/>
          <w:vertAlign w:val="superscript"/>
        </w:rPr>
        <w:t>,</w:t>
      </w:r>
      <w:r w:rsidRPr="00BF7B45">
        <w:rPr>
          <w:rStyle w:val="EndnoteReference"/>
          <w:iCs/>
          <w:sz w:val="20"/>
          <w:szCs w:val="20"/>
        </w:rPr>
        <w:endnoteReference w:id="76"/>
      </w:r>
      <w:r w:rsidRPr="00BF7B45">
        <w:rPr>
          <w:iCs/>
          <w:sz w:val="20"/>
          <w:szCs w:val="20"/>
          <w:vertAlign w:val="superscript"/>
        </w:rPr>
        <w:t>,</w:t>
      </w:r>
      <w:r w:rsidRPr="00BF7B45">
        <w:rPr>
          <w:rStyle w:val="EndnoteReference"/>
          <w:iCs/>
          <w:sz w:val="20"/>
          <w:szCs w:val="20"/>
        </w:rPr>
        <w:endnoteReference w:id="77"/>
      </w:r>
      <w:r w:rsidRPr="00BF7B45">
        <w:rPr>
          <w:iCs/>
          <w:sz w:val="20"/>
          <w:szCs w:val="20"/>
          <w:vertAlign w:val="superscript"/>
        </w:rPr>
        <w:t>,</w:t>
      </w:r>
      <w:r w:rsidRPr="00B073E8">
        <w:rPr>
          <w:rStyle w:val="EndnoteReference"/>
          <w:iCs/>
          <w:sz w:val="20"/>
          <w:szCs w:val="20"/>
        </w:rPr>
        <w:endnoteReference w:id="78"/>
      </w:r>
      <w:r w:rsidRPr="00B073E8">
        <w:rPr>
          <w:iCs/>
          <w:sz w:val="20"/>
          <w:szCs w:val="20"/>
        </w:rPr>
        <w:t xml:space="preserve"> </w:t>
      </w:r>
      <w:r w:rsidRPr="00B073E8">
        <w:rPr>
          <w:sz w:val="20"/>
          <w:szCs w:val="20"/>
        </w:rPr>
        <w:t xml:space="preserve">These efforts also need to be supported by a systematic increase in opportunities for priority groups to have voluntary STI tests, including </w:t>
      </w:r>
      <w:r w:rsidR="00CF388B">
        <w:rPr>
          <w:sz w:val="20"/>
          <w:szCs w:val="20"/>
        </w:rPr>
        <w:t xml:space="preserve">by </w:t>
      </w:r>
      <w:r>
        <w:rPr>
          <w:sz w:val="20"/>
          <w:szCs w:val="20"/>
        </w:rPr>
        <w:t xml:space="preserve">appropriate </w:t>
      </w:r>
      <w:r w:rsidRPr="00B073E8">
        <w:rPr>
          <w:sz w:val="20"/>
          <w:szCs w:val="20"/>
        </w:rPr>
        <w:t>use of new testing technologies.</w:t>
      </w:r>
      <w:r w:rsidR="00057D0E">
        <w:rPr>
          <w:sz w:val="20"/>
          <w:szCs w:val="20"/>
        </w:rPr>
        <w:t xml:space="preserve"> </w:t>
      </w:r>
      <w:r w:rsidR="00057D0E" w:rsidRPr="00EA1123">
        <w:rPr>
          <w:sz w:val="20"/>
          <w:szCs w:val="20"/>
        </w:rPr>
        <w:t>Building on th</w:t>
      </w:r>
      <w:r w:rsidR="00057D0E">
        <w:rPr>
          <w:sz w:val="20"/>
          <w:szCs w:val="20"/>
        </w:rPr>
        <w:t xml:space="preserve">e </w:t>
      </w:r>
      <w:r w:rsidR="00057D0E" w:rsidRPr="00EA1123">
        <w:rPr>
          <w:sz w:val="20"/>
          <w:szCs w:val="20"/>
        </w:rPr>
        <w:t xml:space="preserve">trend </w:t>
      </w:r>
      <w:r w:rsidR="00057D0E">
        <w:rPr>
          <w:sz w:val="20"/>
          <w:szCs w:val="20"/>
        </w:rPr>
        <w:t xml:space="preserve">for nurse and peer-led testing and treatment models for other disease </w:t>
      </w:r>
      <w:r w:rsidR="00057D0E" w:rsidRPr="00EA1123">
        <w:rPr>
          <w:sz w:val="20"/>
          <w:szCs w:val="20"/>
        </w:rPr>
        <w:t xml:space="preserve">will be essential over the life of this </w:t>
      </w:r>
      <w:r w:rsidR="00CF388B">
        <w:rPr>
          <w:sz w:val="20"/>
          <w:szCs w:val="20"/>
        </w:rPr>
        <w:t>s</w:t>
      </w:r>
      <w:r w:rsidR="00057D0E" w:rsidRPr="00EA1123">
        <w:rPr>
          <w:sz w:val="20"/>
          <w:szCs w:val="20"/>
        </w:rPr>
        <w:t xml:space="preserve">trategy, particularly to support equitable access across locations and settings. </w:t>
      </w:r>
      <w:r w:rsidRPr="00B073E8">
        <w:rPr>
          <w:sz w:val="20"/>
          <w:szCs w:val="20"/>
        </w:rPr>
        <w:t xml:space="preserve"> </w:t>
      </w:r>
    </w:p>
    <w:p w:rsidR="00604D70" w:rsidRPr="00B073E8" w:rsidRDefault="00604D70" w:rsidP="00604D70">
      <w:pPr>
        <w:spacing w:before="80"/>
        <w:rPr>
          <w:iCs/>
          <w:sz w:val="20"/>
          <w:szCs w:val="20"/>
        </w:rPr>
      </w:pPr>
      <w:r w:rsidRPr="00B073E8">
        <w:rPr>
          <w:iCs/>
          <w:sz w:val="20"/>
          <w:szCs w:val="20"/>
        </w:rPr>
        <w:t>Improvements in contract-tracing activities need to be built on, with a particular focus on partner notification and treatment systems</w:t>
      </w:r>
      <w:r w:rsidR="00ED13A5">
        <w:rPr>
          <w:iCs/>
          <w:sz w:val="20"/>
          <w:szCs w:val="20"/>
        </w:rPr>
        <w:t xml:space="preserve"> and remote and very remote populations, especially those with mobile populations</w:t>
      </w:r>
      <w:r w:rsidRPr="00B073E8">
        <w:rPr>
          <w:iCs/>
          <w:sz w:val="20"/>
          <w:szCs w:val="20"/>
        </w:rPr>
        <w:t xml:space="preserve">. Reducing </w:t>
      </w:r>
      <w:r>
        <w:rPr>
          <w:iCs/>
          <w:sz w:val="20"/>
          <w:szCs w:val="20"/>
        </w:rPr>
        <w:t>STI</w:t>
      </w:r>
      <w:r w:rsidRPr="00B073E8">
        <w:rPr>
          <w:iCs/>
          <w:sz w:val="20"/>
          <w:szCs w:val="20"/>
        </w:rPr>
        <w:t xml:space="preserve"> transmission </w:t>
      </w:r>
      <w:r w:rsidRPr="00E10C01">
        <w:rPr>
          <w:iCs/>
          <w:sz w:val="20"/>
          <w:szCs w:val="20"/>
        </w:rPr>
        <w:t>is dependent on</w:t>
      </w:r>
      <w:r w:rsidRPr="00B073E8">
        <w:rPr>
          <w:iCs/>
          <w:sz w:val="20"/>
          <w:szCs w:val="20"/>
        </w:rPr>
        <w:t xml:space="preserve"> increasing the likelihood of diagnosis and treatment of the sexual contacts of people diagnosed with an STI. </w:t>
      </w:r>
      <w:r>
        <w:rPr>
          <w:iCs/>
          <w:sz w:val="20"/>
          <w:szCs w:val="20"/>
        </w:rPr>
        <w:t>Effective partner notification</w:t>
      </w:r>
      <w:r w:rsidRPr="00B073E8">
        <w:rPr>
          <w:iCs/>
          <w:sz w:val="20"/>
          <w:szCs w:val="20"/>
        </w:rPr>
        <w:t xml:space="preserve"> has the potential to reduce reinfection rates and allow diagnosis and treatment in people who may not realise they have been exposed to an STI. </w:t>
      </w:r>
    </w:p>
    <w:p w:rsidR="00604D70" w:rsidRPr="00B073E8" w:rsidRDefault="00604D70" w:rsidP="00604D70">
      <w:pPr>
        <w:spacing w:before="120"/>
        <w:rPr>
          <w:sz w:val="20"/>
          <w:szCs w:val="20"/>
        </w:rPr>
      </w:pPr>
      <w:r w:rsidRPr="00B073E8">
        <w:rPr>
          <w:sz w:val="20"/>
          <w:szCs w:val="20"/>
        </w:rPr>
        <w:t xml:space="preserve">New testing technologies for HIV are progressing more quickly than new technologies for other BBV and STI. However, it is important that the links between HIV and STI testing are strengthened. This is particularly important in some priority populations at higher risk of HIV, such as gay men and other </w:t>
      </w:r>
      <w:r>
        <w:rPr>
          <w:sz w:val="20"/>
          <w:szCs w:val="20"/>
        </w:rPr>
        <w:t>MSM</w:t>
      </w:r>
      <w:r w:rsidRPr="00B073E8">
        <w:rPr>
          <w:sz w:val="20"/>
          <w:szCs w:val="20"/>
        </w:rPr>
        <w:t>, as there is an increased risk of HIV transmission associated with the presence of an STI</w:t>
      </w:r>
      <w:r w:rsidR="00185281">
        <w:rPr>
          <w:sz w:val="20"/>
          <w:szCs w:val="20"/>
        </w:rPr>
        <w:t xml:space="preserve"> in the absence of viral suppression of HIV</w:t>
      </w:r>
      <w:r w:rsidRPr="00B073E8">
        <w:rPr>
          <w:sz w:val="20"/>
          <w:szCs w:val="20"/>
        </w:rPr>
        <w:t xml:space="preserve">. This is also important in the context of increasing </w:t>
      </w:r>
      <w:proofErr w:type="spellStart"/>
      <w:r w:rsidRPr="00B073E8">
        <w:rPr>
          <w:sz w:val="20"/>
          <w:szCs w:val="20"/>
        </w:rPr>
        <w:t>PrEP</w:t>
      </w:r>
      <w:proofErr w:type="spellEnd"/>
      <w:r w:rsidRPr="00B073E8">
        <w:rPr>
          <w:sz w:val="20"/>
          <w:szCs w:val="20"/>
        </w:rPr>
        <w:t xml:space="preserve"> uptake.</w:t>
      </w:r>
    </w:p>
    <w:p w:rsidR="00604D70" w:rsidRPr="00B073E8" w:rsidRDefault="00604D70" w:rsidP="00604D70">
      <w:pPr>
        <w:rPr>
          <w:sz w:val="20"/>
          <w:szCs w:val="20"/>
        </w:rPr>
      </w:pPr>
      <w:r w:rsidRPr="00E10C01">
        <w:rPr>
          <w:sz w:val="20"/>
          <w:szCs w:val="20"/>
        </w:rPr>
        <w:t>AMR</w:t>
      </w:r>
      <w:r w:rsidRPr="00B073E8">
        <w:rPr>
          <w:sz w:val="20"/>
          <w:szCs w:val="20"/>
          <w:lang w:eastAsia="en-AU"/>
        </w:rPr>
        <w:t xml:space="preserve"> </w:t>
      </w:r>
      <w:r>
        <w:rPr>
          <w:sz w:val="20"/>
          <w:szCs w:val="20"/>
          <w:lang w:eastAsia="en-AU"/>
        </w:rPr>
        <w:t xml:space="preserve">occurs </w:t>
      </w:r>
      <w:r w:rsidRPr="00B073E8">
        <w:rPr>
          <w:sz w:val="20"/>
          <w:szCs w:val="20"/>
          <w:lang w:eastAsia="en-AU"/>
        </w:rPr>
        <w:t xml:space="preserve">when microorganisms become resistant to </w:t>
      </w:r>
      <w:r>
        <w:rPr>
          <w:sz w:val="20"/>
          <w:szCs w:val="20"/>
          <w:lang w:eastAsia="en-AU"/>
        </w:rPr>
        <w:t xml:space="preserve">the </w:t>
      </w:r>
      <w:r w:rsidRPr="00B073E8">
        <w:rPr>
          <w:sz w:val="20"/>
          <w:szCs w:val="20"/>
          <w:lang w:eastAsia="en-AU"/>
        </w:rPr>
        <w:t>antimicrobial medicines</w:t>
      </w:r>
      <w:r>
        <w:rPr>
          <w:sz w:val="20"/>
          <w:szCs w:val="20"/>
          <w:lang w:eastAsia="en-AU"/>
        </w:rPr>
        <w:t xml:space="preserve"> (such as antibiotics) used to treat them</w:t>
      </w:r>
      <w:r w:rsidR="008C5B79">
        <w:rPr>
          <w:sz w:val="20"/>
          <w:szCs w:val="20"/>
          <w:lang w:eastAsia="en-AU"/>
        </w:rPr>
        <w:t>.</w:t>
      </w:r>
      <w:r>
        <w:rPr>
          <w:sz w:val="20"/>
          <w:szCs w:val="20"/>
          <w:lang w:eastAsia="en-AU"/>
        </w:rPr>
        <w:t xml:space="preserve"> </w:t>
      </w:r>
      <w:r w:rsidR="008C5B79">
        <w:rPr>
          <w:sz w:val="20"/>
          <w:szCs w:val="20"/>
          <w:lang w:eastAsia="en-AU"/>
        </w:rPr>
        <w:t xml:space="preserve">It </w:t>
      </w:r>
      <w:r w:rsidRPr="00B073E8">
        <w:rPr>
          <w:sz w:val="20"/>
          <w:szCs w:val="20"/>
          <w:lang w:eastAsia="en-AU"/>
        </w:rPr>
        <w:t xml:space="preserve">is </w:t>
      </w:r>
      <w:r w:rsidRPr="00B073E8">
        <w:rPr>
          <w:sz w:val="20"/>
          <w:szCs w:val="20"/>
        </w:rPr>
        <w:t xml:space="preserve">a major global public health concern. AMR can result in limited or in some cases no treatment options for infections, including STI. Promoting the use of evidence-based prescribing guidelines is essential. Best-practice prescribing improves individual patient treatment outcomes and assists </w:t>
      </w:r>
      <w:r>
        <w:rPr>
          <w:sz w:val="20"/>
          <w:szCs w:val="20"/>
        </w:rPr>
        <w:t xml:space="preserve">to </w:t>
      </w:r>
      <w:r w:rsidRPr="00B073E8">
        <w:rPr>
          <w:sz w:val="20"/>
          <w:szCs w:val="20"/>
        </w:rPr>
        <w:t xml:space="preserve">preserve the effectiveness of antimicrobials. </w:t>
      </w:r>
      <w:r>
        <w:rPr>
          <w:sz w:val="20"/>
          <w:szCs w:val="20"/>
        </w:rPr>
        <w:t>Prevention of STI through e</w:t>
      </w:r>
      <w:r w:rsidRPr="00B073E8">
        <w:rPr>
          <w:sz w:val="20"/>
          <w:szCs w:val="20"/>
        </w:rPr>
        <w:t xml:space="preserve">ducating priority populations and the general community about the risks of resistant STI and the importance of using </w:t>
      </w:r>
      <w:r>
        <w:rPr>
          <w:sz w:val="20"/>
          <w:szCs w:val="20"/>
        </w:rPr>
        <w:t>condoms and other safer sex practices</w:t>
      </w:r>
      <w:r w:rsidRPr="00B073E8">
        <w:rPr>
          <w:sz w:val="20"/>
          <w:szCs w:val="20"/>
        </w:rPr>
        <w:t xml:space="preserve"> when engaging in all types of sexual activity, including when overseas, is critical. Australia’s </w:t>
      </w:r>
      <w:r>
        <w:rPr>
          <w:sz w:val="20"/>
          <w:szCs w:val="20"/>
        </w:rPr>
        <w:t xml:space="preserve">First </w:t>
      </w:r>
      <w:r w:rsidRPr="008C5B79">
        <w:rPr>
          <w:sz w:val="20"/>
          <w:szCs w:val="20"/>
        </w:rPr>
        <w:t>National Antimicrobial Resistance 2015</w:t>
      </w:r>
      <w:r w:rsidR="008C5B79">
        <w:rPr>
          <w:sz w:val="20"/>
          <w:szCs w:val="20"/>
        </w:rPr>
        <w:t>–</w:t>
      </w:r>
      <w:r w:rsidRPr="008C5B79">
        <w:rPr>
          <w:sz w:val="20"/>
          <w:szCs w:val="20"/>
        </w:rPr>
        <w:t>2019 (National AMR Strategy)</w:t>
      </w:r>
      <w:r w:rsidRPr="00B073E8">
        <w:rPr>
          <w:i/>
          <w:sz w:val="20"/>
          <w:szCs w:val="20"/>
        </w:rPr>
        <w:t xml:space="preserve"> </w:t>
      </w:r>
      <w:r w:rsidRPr="00B073E8">
        <w:rPr>
          <w:sz w:val="20"/>
          <w:szCs w:val="20"/>
        </w:rPr>
        <w:t xml:space="preserve">is coordinating Australia’s response to AMR. </w:t>
      </w:r>
    </w:p>
    <w:p w:rsidR="00604D70" w:rsidRPr="00E10C01" w:rsidRDefault="00604D70" w:rsidP="00604D70">
      <w:pPr>
        <w:pStyle w:val="Bullet"/>
        <w:spacing w:before="80" w:after="0"/>
        <w:rPr>
          <w:b/>
          <w:sz w:val="20"/>
          <w:szCs w:val="20"/>
        </w:rPr>
      </w:pPr>
      <w:r w:rsidRPr="00E10C01">
        <w:rPr>
          <w:b/>
          <w:sz w:val="20"/>
          <w:szCs w:val="20"/>
        </w:rPr>
        <w:t>Key areas for action</w:t>
      </w:r>
      <w:r w:rsidRPr="00AF4935" w:rsidDel="00EF1D99">
        <w:rPr>
          <w:b/>
          <w:bCs/>
          <w:color w:val="00264D"/>
          <w:sz w:val="20"/>
          <w:szCs w:val="20"/>
        </w:rPr>
        <w:t xml:space="preserve"> </w:t>
      </w:r>
    </w:p>
    <w:p w:rsidR="00604D70" w:rsidRPr="00B073E8" w:rsidRDefault="00604D70" w:rsidP="00604D70">
      <w:pPr>
        <w:pStyle w:val="Bullet"/>
        <w:numPr>
          <w:ilvl w:val="0"/>
          <w:numId w:val="8"/>
        </w:numPr>
        <w:spacing w:before="80" w:after="0"/>
        <w:rPr>
          <w:sz w:val="20"/>
          <w:szCs w:val="20"/>
        </w:rPr>
      </w:pPr>
      <w:r w:rsidRPr="00B073E8">
        <w:rPr>
          <w:sz w:val="20"/>
          <w:szCs w:val="20"/>
        </w:rPr>
        <w:t>Develop and implement tailored promotion and engagement strategies for priority populations to improve the uptake of STI testing and treatment</w:t>
      </w:r>
    </w:p>
    <w:p w:rsidR="00604D70" w:rsidRPr="003C33C9" w:rsidRDefault="00604D70" w:rsidP="00604D70">
      <w:pPr>
        <w:pStyle w:val="Bullet"/>
        <w:numPr>
          <w:ilvl w:val="0"/>
          <w:numId w:val="8"/>
        </w:numPr>
        <w:spacing w:before="80" w:after="0"/>
        <w:rPr>
          <w:sz w:val="20"/>
          <w:szCs w:val="20"/>
        </w:rPr>
      </w:pPr>
      <w:r w:rsidRPr="003C33C9">
        <w:rPr>
          <w:sz w:val="20"/>
          <w:szCs w:val="20"/>
        </w:rPr>
        <w:t>Identify areas of need and frequency required for STI testing for priority populations</w:t>
      </w:r>
    </w:p>
    <w:p w:rsidR="00604D70" w:rsidRPr="00B073E8" w:rsidRDefault="00604D70" w:rsidP="00604D70">
      <w:pPr>
        <w:pStyle w:val="Bullet"/>
        <w:numPr>
          <w:ilvl w:val="0"/>
          <w:numId w:val="8"/>
        </w:numPr>
        <w:spacing w:before="80" w:after="0"/>
        <w:rPr>
          <w:sz w:val="20"/>
          <w:szCs w:val="20"/>
        </w:rPr>
      </w:pPr>
      <w:r w:rsidRPr="00B073E8">
        <w:rPr>
          <w:sz w:val="20"/>
          <w:szCs w:val="20"/>
        </w:rPr>
        <w:t xml:space="preserve">Regularly update, maintain and promote the use of evidence-based </w:t>
      </w:r>
      <w:r w:rsidR="000C0D4E">
        <w:rPr>
          <w:sz w:val="20"/>
          <w:szCs w:val="20"/>
        </w:rPr>
        <w:t xml:space="preserve">national </w:t>
      </w:r>
      <w:r w:rsidRPr="00B073E8">
        <w:rPr>
          <w:sz w:val="20"/>
          <w:szCs w:val="20"/>
        </w:rPr>
        <w:t xml:space="preserve">clinical guidelines and resources for STI testing and treatment, including guidance on </w:t>
      </w:r>
      <w:r>
        <w:rPr>
          <w:sz w:val="20"/>
          <w:szCs w:val="20"/>
        </w:rPr>
        <w:t>AMR</w:t>
      </w:r>
      <w:r w:rsidRPr="00B073E8">
        <w:rPr>
          <w:sz w:val="20"/>
          <w:szCs w:val="20"/>
        </w:rPr>
        <w:t xml:space="preserve"> and stewardship</w:t>
      </w:r>
      <w:r w:rsidRPr="00B073E8" w:rsidDel="00882368">
        <w:rPr>
          <w:sz w:val="20"/>
          <w:szCs w:val="20"/>
        </w:rPr>
        <w:t xml:space="preserve"> </w:t>
      </w:r>
    </w:p>
    <w:p w:rsidR="00604D70" w:rsidRPr="00B073E8" w:rsidRDefault="00604D70" w:rsidP="00604D70">
      <w:pPr>
        <w:pStyle w:val="Bullet"/>
        <w:numPr>
          <w:ilvl w:val="0"/>
          <w:numId w:val="8"/>
        </w:numPr>
        <w:spacing w:before="80" w:after="0"/>
        <w:rPr>
          <w:sz w:val="20"/>
          <w:szCs w:val="20"/>
        </w:rPr>
      </w:pPr>
      <w:r w:rsidRPr="00B073E8">
        <w:rPr>
          <w:sz w:val="20"/>
          <w:szCs w:val="20"/>
        </w:rPr>
        <w:t>Provide a range of testing methods and opportunities across settings for priority populations, including point</w:t>
      </w:r>
      <w:r w:rsidR="008C5B79">
        <w:rPr>
          <w:sz w:val="20"/>
          <w:szCs w:val="20"/>
        </w:rPr>
        <w:t>-</w:t>
      </w:r>
      <w:r w:rsidRPr="00B073E8">
        <w:rPr>
          <w:sz w:val="20"/>
          <w:szCs w:val="20"/>
        </w:rPr>
        <w:t>of</w:t>
      </w:r>
      <w:r w:rsidR="008C5B79">
        <w:rPr>
          <w:sz w:val="20"/>
          <w:szCs w:val="20"/>
        </w:rPr>
        <w:t>-</w:t>
      </w:r>
      <w:r w:rsidRPr="00B073E8">
        <w:rPr>
          <w:sz w:val="20"/>
          <w:szCs w:val="20"/>
        </w:rPr>
        <w:t xml:space="preserve">care testing </w:t>
      </w:r>
      <w:r w:rsidR="00597C6E">
        <w:rPr>
          <w:sz w:val="20"/>
          <w:szCs w:val="20"/>
        </w:rPr>
        <w:t xml:space="preserve">and integration of testing </w:t>
      </w:r>
      <w:r w:rsidR="00505001">
        <w:rPr>
          <w:sz w:val="20"/>
          <w:szCs w:val="20"/>
        </w:rPr>
        <w:t xml:space="preserve">in existing services, </w:t>
      </w:r>
      <w:r w:rsidRPr="00B073E8">
        <w:rPr>
          <w:sz w:val="20"/>
          <w:szCs w:val="20"/>
        </w:rPr>
        <w:t>with a focus on rural, regional and remote areas</w:t>
      </w:r>
    </w:p>
    <w:p w:rsidR="00604D70" w:rsidRPr="00B073E8" w:rsidRDefault="00604D70" w:rsidP="00604D70">
      <w:pPr>
        <w:pStyle w:val="Bullet"/>
        <w:numPr>
          <w:ilvl w:val="0"/>
          <w:numId w:val="8"/>
        </w:numPr>
        <w:spacing w:before="80" w:after="0"/>
        <w:rPr>
          <w:sz w:val="20"/>
          <w:szCs w:val="20"/>
        </w:rPr>
      </w:pPr>
      <w:r w:rsidRPr="00B073E8">
        <w:rPr>
          <w:sz w:val="20"/>
          <w:szCs w:val="20"/>
        </w:rPr>
        <w:t>Ensure strong links are in place between comprehensive voluntary STI and HIV testing</w:t>
      </w:r>
    </w:p>
    <w:p w:rsidR="00604D70" w:rsidRPr="00B073E8" w:rsidRDefault="00604D70" w:rsidP="00604D70">
      <w:pPr>
        <w:pStyle w:val="Bullet"/>
        <w:numPr>
          <w:ilvl w:val="0"/>
          <w:numId w:val="8"/>
        </w:numPr>
        <w:spacing w:before="80" w:after="0"/>
        <w:rPr>
          <w:iCs/>
          <w:sz w:val="20"/>
          <w:szCs w:val="20"/>
        </w:rPr>
      </w:pPr>
      <w:r w:rsidRPr="00B073E8">
        <w:rPr>
          <w:sz w:val="20"/>
          <w:szCs w:val="20"/>
        </w:rPr>
        <w:t>Identify evidence-based approaches for</w:t>
      </w:r>
      <w:r w:rsidR="007C4D40">
        <w:rPr>
          <w:sz w:val="20"/>
          <w:szCs w:val="20"/>
        </w:rPr>
        <w:t xml:space="preserve"> enhancing partner notification </w:t>
      </w:r>
      <w:r w:rsidRPr="00B073E8">
        <w:rPr>
          <w:sz w:val="20"/>
          <w:szCs w:val="20"/>
        </w:rPr>
        <w:t>systems</w:t>
      </w:r>
    </w:p>
    <w:p w:rsidR="00604D70" w:rsidRPr="00744A8F" w:rsidRDefault="00604D70" w:rsidP="00604D70">
      <w:pPr>
        <w:pStyle w:val="Bullet"/>
        <w:numPr>
          <w:ilvl w:val="0"/>
          <w:numId w:val="8"/>
        </w:numPr>
        <w:spacing w:before="80" w:after="0"/>
        <w:rPr>
          <w:iCs/>
          <w:sz w:val="20"/>
          <w:szCs w:val="20"/>
        </w:rPr>
      </w:pPr>
      <w:r w:rsidRPr="00B073E8">
        <w:rPr>
          <w:sz w:val="20"/>
          <w:szCs w:val="20"/>
        </w:rPr>
        <w:t>Identify opportunities to scale up evidence-based interventions aimed at reducing STI, with a focus on repeat chlamydia infections and infections causing pelvic inflammatory disease, and other complications in young people</w:t>
      </w:r>
    </w:p>
    <w:p w:rsidR="00744A8F" w:rsidRPr="00B073E8" w:rsidRDefault="00744A8F" w:rsidP="00604D70">
      <w:pPr>
        <w:pStyle w:val="Bullet"/>
        <w:numPr>
          <w:ilvl w:val="0"/>
          <w:numId w:val="8"/>
        </w:numPr>
        <w:spacing w:before="80" w:after="0"/>
        <w:rPr>
          <w:iCs/>
          <w:sz w:val="20"/>
          <w:szCs w:val="20"/>
        </w:rPr>
      </w:pPr>
      <w:r>
        <w:rPr>
          <w:sz w:val="20"/>
          <w:szCs w:val="20"/>
        </w:rPr>
        <w:t>Develop the capacity of health infrastructure in remote and very remote areas to effectively respond to outbreaks</w:t>
      </w:r>
      <w:r w:rsidR="00C033B4">
        <w:rPr>
          <w:sz w:val="20"/>
          <w:szCs w:val="20"/>
        </w:rPr>
        <w:t xml:space="preserve"> and </w:t>
      </w:r>
      <w:r>
        <w:rPr>
          <w:sz w:val="20"/>
          <w:szCs w:val="20"/>
        </w:rPr>
        <w:t>epidemics</w:t>
      </w:r>
    </w:p>
    <w:p w:rsidR="00604D70" w:rsidRDefault="00604D70" w:rsidP="00604D70">
      <w:pPr>
        <w:pStyle w:val="Bullet"/>
        <w:spacing w:before="80" w:after="0"/>
        <w:rPr>
          <w:i/>
          <w:iCs/>
        </w:rPr>
      </w:pPr>
    </w:p>
    <w:p w:rsidR="00604D70" w:rsidRPr="006A09F2" w:rsidRDefault="00604D70" w:rsidP="00604D70">
      <w:pPr>
        <w:rPr>
          <w:b/>
          <w:color w:val="00264D"/>
          <w:sz w:val="22"/>
        </w:rPr>
      </w:pPr>
      <w:r w:rsidRPr="006A09F2">
        <w:rPr>
          <w:b/>
          <w:color w:val="00264D"/>
          <w:sz w:val="22"/>
        </w:rPr>
        <w:t>EQUITABLE ACCESS AND COORDINATION OF CARE</w:t>
      </w:r>
    </w:p>
    <w:p w:rsidR="00E0512B" w:rsidRPr="00F724E7" w:rsidRDefault="00604D70" w:rsidP="00604D70">
      <w:pPr>
        <w:pStyle w:val="ColorfulList-Accent11"/>
        <w:numPr>
          <w:ilvl w:val="0"/>
          <w:numId w:val="13"/>
        </w:numPr>
        <w:spacing w:before="120" w:after="60"/>
        <w:contextualSpacing w:val="0"/>
        <w:rPr>
          <w:i/>
          <w:sz w:val="20"/>
          <w:lang w:eastAsia="en-US"/>
        </w:rPr>
      </w:pPr>
      <w:r w:rsidRPr="00F724E7">
        <w:rPr>
          <w:i/>
          <w:sz w:val="20"/>
          <w:lang w:eastAsia="en-US"/>
        </w:rPr>
        <w:t xml:space="preserve">Ensure equitable access to prevention programs and resources, testing and treatment in a variety of settings, including </w:t>
      </w:r>
      <w:r>
        <w:rPr>
          <w:i/>
          <w:sz w:val="20"/>
          <w:lang w:eastAsia="en-US"/>
        </w:rPr>
        <w:t xml:space="preserve">sexual health, </w:t>
      </w:r>
      <w:r w:rsidRPr="00F724E7">
        <w:rPr>
          <w:i/>
          <w:sz w:val="20"/>
          <w:lang w:eastAsia="en-US"/>
        </w:rPr>
        <w:t>primary</w:t>
      </w:r>
      <w:r>
        <w:rPr>
          <w:i/>
          <w:sz w:val="20"/>
          <w:lang w:eastAsia="en-US"/>
        </w:rPr>
        <w:t xml:space="preserve"> care</w:t>
      </w:r>
      <w:r w:rsidR="00E0512B">
        <w:rPr>
          <w:i/>
          <w:sz w:val="20"/>
          <w:lang w:eastAsia="en-US"/>
        </w:rPr>
        <w:t>,</w:t>
      </w:r>
      <w:r w:rsidRPr="00F724E7">
        <w:rPr>
          <w:i/>
          <w:sz w:val="20"/>
          <w:lang w:eastAsia="en-US"/>
        </w:rPr>
        <w:t xml:space="preserve"> community health</w:t>
      </w:r>
      <w:r>
        <w:rPr>
          <w:i/>
          <w:sz w:val="20"/>
          <w:lang w:eastAsia="en-US"/>
        </w:rPr>
        <w:t xml:space="preserve"> </w:t>
      </w:r>
      <w:r w:rsidR="00E0512B">
        <w:rPr>
          <w:i/>
          <w:sz w:val="20"/>
          <w:lang w:eastAsia="en-US"/>
        </w:rPr>
        <w:t xml:space="preserve">and antenatal </w:t>
      </w:r>
      <w:r w:rsidR="004D3B6A">
        <w:rPr>
          <w:i/>
          <w:sz w:val="20"/>
          <w:lang w:eastAsia="en-US"/>
        </w:rPr>
        <w:t>care</w:t>
      </w:r>
      <w:r w:rsidR="00E0512B">
        <w:rPr>
          <w:i/>
          <w:sz w:val="20"/>
          <w:lang w:eastAsia="en-US"/>
        </w:rPr>
        <w:t xml:space="preserve"> services</w:t>
      </w:r>
      <w:r w:rsidR="009C4ED7">
        <w:rPr>
          <w:i/>
          <w:sz w:val="20"/>
          <w:lang w:eastAsia="en-US"/>
        </w:rPr>
        <w:t>,</w:t>
      </w:r>
      <w:r w:rsidR="004D3B6A">
        <w:rPr>
          <w:i/>
          <w:sz w:val="20"/>
          <w:lang w:eastAsia="en-US"/>
        </w:rPr>
        <w:t xml:space="preserve"> </w:t>
      </w:r>
      <w:r w:rsidRPr="00F724E7">
        <w:rPr>
          <w:i/>
          <w:sz w:val="20"/>
          <w:lang w:eastAsia="en-US"/>
        </w:rPr>
        <w:t xml:space="preserve">with a focus on innovative and emerging models of service delivery </w:t>
      </w:r>
    </w:p>
    <w:p w:rsidR="00604D70" w:rsidRPr="00B073E8" w:rsidRDefault="00604D70" w:rsidP="00604D70">
      <w:pPr>
        <w:spacing w:before="80"/>
        <w:rPr>
          <w:iCs/>
          <w:sz w:val="20"/>
          <w:szCs w:val="20"/>
        </w:rPr>
      </w:pPr>
      <w:r w:rsidRPr="00B073E8">
        <w:rPr>
          <w:iCs/>
          <w:sz w:val="20"/>
          <w:szCs w:val="20"/>
        </w:rPr>
        <w:t>Sexual health treatment</w:t>
      </w:r>
      <w:r>
        <w:rPr>
          <w:iCs/>
          <w:sz w:val="20"/>
          <w:szCs w:val="20"/>
        </w:rPr>
        <w:t xml:space="preserve"> and care is provided through public </w:t>
      </w:r>
      <w:r w:rsidRPr="00B073E8">
        <w:rPr>
          <w:iCs/>
          <w:sz w:val="20"/>
          <w:szCs w:val="20"/>
        </w:rPr>
        <w:t xml:space="preserve">sexual health services, general practice, ACCHS and community-based clinics. </w:t>
      </w:r>
      <w:r>
        <w:rPr>
          <w:iCs/>
          <w:sz w:val="20"/>
          <w:szCs w:val="20"/>
        </w:rPr>
        <w:t xml:space="preserve">The type of service accessed or whether a service is accessed at all depends on a number of factors, including the availability of the service and an individual’s comfort in accessing the service. </w:t>
      </w:r>
      <w:r w:rsidRPr="00B073E8">
        <w:rPr>
          <w:iCs/>
          <w:sz w:val="20"/>
          <w:szCs w:val="20"/>
        </w:rPr>
        <w:t>This is particularly the case in rural, regional and remote settings</w:t>
      </w:r>
      <w:r w:rsidR="00F11114">
        <w:rPr>
          <w:iCs/>
          <w:sz w:val="20"/>
          <w:szCs w:val="20"/>
        </w:rPr>
        <w:t>,</w:t>
      </w:r>
      <w:r w:rsidRPr="00B073E8">
        <w:rPr>
          <w:iCs/>
          <w:sz w:val="20"/>
          <w:szCs w:val="20"/>
        </w:rPr>
        <w:t xml:space="preserve"> where there may be limited clinical capacity </w:t>
      </w:r>
      <w:r>
        <w:rPr>
          <w:iCs/>
          <w:sz w:val="20"/>
          <w:szCs w:val="20"/>
        </w:rPr>
        <w:t xml:space="preserve">or </w:t>
      </w:r>
      <w:r w:rsidRPr="00B073E8">
        <w:rPr>
          <w:iCs/>
          <w:sz w:val="20"/>
          <w:szCs w:val="20"/>
        </w:rPr>
        <w:t xml:space="preserve">heightened concerns around privacy and confidentiality. There are opportunities to improve the effectiveness of service delivery in respect to STI and ensure more equitable access to treatment and care for priority populations. </w:t>
      </w:r>
    </w:p>
    <w:p w:rsidR="00604D70" w:rsidRPr="00B073E8" w:rsidRDefault="00604D70" w:rsidP="00604D70">
      <w:pPr>
        <w:pStyle w:val="Bullet"/>
        <w:rPr>
          <w:sz w:val="20"/>
          <w:szCs w:val="20"/>
        </w:rPr>
      </w:pPr>
      <w:r w:rsidRPr="00B073E8">
        <w:rPr>
          <w:sz w:val="20"/>
          <w:szCs w:val="20"/>
        </w:rPr>
        <w:t xml:space="preserve">Partnerships between key organisations—including </w:t>
      </w:r>
      <w:r>
        <w:rPr>
          <w:sz w:val="20"/>
          <w:szCs w:val="20"/>
        </w:rPr>
        <w:t>ACCHS</w:t>
      </w:r>
      <w:r w:rsidRPr="00B073E8">
        <w:rPr>
          <w:sz w:val="20"/>
          <w:szCs w:val="20"/>
        </w:rPr>
        <w:t xml:space="preserve">, specific community groups, and other health and community organisations—will need to be established or reinvigorated in order to improve the effectiveness of targeted approaches to raising awareness, increasing testing and supporting treatment protocols at the local level. </w:t>
      </w:r>
      <w:r w:rsidRPr="00B073E8">
        <w:rPr>
          <w:iCs/>
          <w:sz w:val="20"/>
          <w:szCs w:val="20"/>
        </w:rPr>
        <w:t>Ensuring the provision of accessible and acceptable local clinical services is particularly important for Aboriginal and Tor</w:t>
      </w:r>
      <w:r>
        <w:rPr>
          <w:iCs/>
          <w:sz w:val="20"/>
          <w:szCs w:val="20"/>
        </w:rPr>
        <w:t>res Strait Islander communities.</w:t>
      </w:r>
    </w:p>
    <w:p w:rsidR="00604D70" w:rsidRPr="00B073E8" w:rsidRDefault="00604D70" w:rsidP="00604D70">
      <w:pPr>
        <w:rPr>
          <w:iCs/>
          <w:sz w:val="20"/>
          <w:szCs w:val="20"/>
        </w:rPr>
      </w:pPr>
      <w:r w:rsidRPr="00B073E8">
        <w:rPr>
          <w:iCs/>
          <w:sz w:val="20"/>
          <w:szCs w:val="20"/>
        </w:rPr>
        <w:t>Innovative models of care tailored to local contexts and the needs of priority populations need to be explored to deliver best</w:t>
      </w:r>
      <w:r w:rsidR="00F11114">
        <w:rPr>
          <w:iCs/>
          <w:sz w:val="20"/>
          <w:szCs w:val="20"/>
        </w:rPr>
        <w:t>-</w:t>
      </w:r>
      <w:r w:rsidRPr="00B073E8">
        <w:rPr>
          <w:iCs/>
          <w:sz w:val="20"/>
          <w:szCs w:val="20"/>
        </w:rPr>
        <w:t xml:space="preserve">practice care and support to increase equity in service provision. There may be opportunities for greater </w:t>
      </w:r>
      <w:r w:rsidRPr="00757E6E">
        <w:rPr>
          <w:iCs/>
          <w:sz w:val="20"/>
          <w:szCs w:val="20"/>
        </w:rPr>
        <w:t>involvement of other appropriately trained and supported health professionals, such as nursing professionals</w:t>
      </w:r>
      <w:r w:rsidR="00527691" w:rsidRPr="00757E6E">
        <w:rPr>
          <w:iCs/>
          <w:sz w:val="20"/>
          <w:szCs w:val="20"/>
        </w:rPr>
        <w:t xml:space="preserve"> and </w:t>
      </w:r>
      <w:r w:rsidR="00527691" w:rsidRPr="00E10C01">
        <w:rPr>
          <w:iCs/>
          <w:sz w:val="20"/>
          <w:szCs w:val="20"/>
        </w:rPr>
        <w:t>Aboriginal and Torres Strait Islander Health Workers</w:t>
      </w:r>
      <w:r w:rsidRPr="00757E6E">
        <w:rPr>
          <w:iCs/>
          <w:sz w:val="20"/>
          <w:szCs w:val="20"/>
        </w:rPr>
        <w:t>, in providing STI treatment and care. Ensuring health professionals have access to the necessary tools and resources to support</w:t>
      </w:r>
      <w:r>
        <w:rPr>
          <w:iCs/>
          <w:sz w:val="20"/>
          <w:szCs w:val="20"/>
        </w:rPr>
        <w:t xml:space="preserve"> high</w:t>
      </w:r>
      <w:r w:rsidR="00F11114">
        <w:rPr>
          <w:iCs/>
          <w:sz w:val="20"/>
          <w:szCs w:val="20"/>
        </w:rPr>
        <w:t>-</w:t>
      </w:r>
      <w:r>
        <w:rPr>
          <w:iCs/>
          <w:sz w:val="20"/>
          <w:szCs w:val="20"/>
        </w:rPr>
        <w:t xml:space="preserve">quality care is imperative, as is </w:t>
      </w:r>
      <w:r w:rsidRPr="00B073E8">
        <w:rPr>
          <w:iCs/>
          <w:sz w:val="20"/>
          <w:szCs w:val="20"/>
        </w:rPr>
        <w:t xml:space="preserve">timely </w:t>
      </w:r>
      <w:r w:rsidRPr="00B073E8">
        <w:rPr>
          <w:sz w:val="20"/>
          <w:szCs w:val="20"/>
        </w:rPr>
        <w:t>referral and advice between specialist and primary healthcare services.</w:t>
      </w:r>
    </w:p>
    <w:p w:rsidR="00604D70" w:rsidRPr="00B073E8" w:rsidRDefault="00604D70" w:rsidP="00604D70">
      <w:pPr>
        <w:spacing w:before="80"/>
        <w:rPr>
          <w:iCs/>
          <w:sz w:val="20"/>
          <w:szCs w:val="20"/>
        </w:rPr>
      </w:pPr>
      <w:r w:rsidRPr="00B073E8">
        <w:rPr>
          <w:iCs/>
          <w:sz w:val="20"/>
          <w:szCs w:val="20"/>
        </w:rPr>
        <w:t>There is also variability in the level of STI-related knowledge and skills among the primary healthcare workforce. Improved access to training opportunities would support a more consistent</w:t>
      </w:r>
      <w:r>
        <w:rPr>
          <w:iCs/>
          <w:sz w:val="20"/>
          <w:szCs w:val="20"/>
        </w:rPr>
        <w:t xml:space="preserve"> and effective</w:t>
      </w:r>
      <w:r w:rsidRPr="00B073E8">
        <w:rPr>
          <w:iCs/>
          <w:sz w:val="20"/>
          <w:szCs w:val="20"/>
        </w:rPr>
        <w:t xml:space="preserve"> response to STI across the country. Other innovative models of service delivery, such as peer-based testing and peer support, community-based testing and online testing</w:t>
      </w:r>
      <w:r w:rsidR="00F11114">
        <w:rPr>
          <w:iCs/>
          <w:sz w:val="20"/>
          <w:szCs w:val="20"/>
        </w:rPr>
        <w:t>,</w:t>
      </w:r>
      <w:r w:rsidRPr="00B073E8">
        <w:rPr>
          <w:iCs/>
          <w:sz w:val="20"/>
          <w:szCs w:val="20"/>
        </w:rPr>
        <w:t xml:space="preserve"> also show strong potential to effectively reach priority populations with health promotion, prevention education, testing and treatment services.</w:t>
      </w:r>
    </w:p>
    <w:p w:rsidR="00604D70" w:rsidRPr="00B073E8" w:rsidRDefault="00604D70" w:rsidP="00604D70">
      <w:pPr>
        <w:rPr>
          <w:sz w:val="20"/>
          <w:szCs w:val="20"/>
        </w:rPr>
      </w:pPr>
      <w:r w:rsidRPr="00B073E8">
        <w:rPr>
          <w:sz w:val="20"/>
          <w:szCs w:val="20"/>
        </w:rPr>
        <w:t xml:space="preserve">A common feature of the priority populations in this </w:t>
      </w:r>
      <w:r w:rsidR="00757E6E">
        <w:rPr>
          <w:sz w:val="20"/>
          <w:szCs w:val="20"/>
        </w:rPr>
        <w:t>s</w:t>
      </w:r>
      <w:r w:rsidRPr="00B073E8">
        <w:rPr>
          <w:sz w:val="20"/>
          <w:szCs w:val="20"/>
        </w:rPr>
        <w:t xml:space="preserve">trategy </w:t>
      </w:r>
      <w:r w:rsidRPr="00E10C01">
        <w:rPr>
          <w:sz w:val="20"/>
          <w:szCs w:val="20"/>
        </w:rPr>
        <w:t xml:space="preserve">is </w:t>
      </w:r>
      <w:r w:rsidR="00757E6E">
        <w:rPr>
          <w:sz w:val="20"/>
          <w:szCs w:val="20"/>
        </w:rPr>
        <w:t xml:space="preserve">the </w:t>
      </w:r>
      <w:r w:rsidRPr="00E10C01">
        <w:rPr>
          <w:sz w:val="20"/>
          <w:szCs w:val="20"/>
        </w:rPr>
        <w:t xml:space="preserve">difficulty </w:t>
      </w:r>
      <w:r w:rsidR="00757E6E">
        <w:rPr>
          <w:sz w:val="20"/>
          <w:szCs w:val="20"/>
        </w:rPr>
        <w:t xml:space="preserve">they have </w:t>
      </w:r>
      <w:r w:rsidRPr="00E10C01">
        <w:rPr>
          <w:sz w:val="20"/>
          <w:szCs w:val="20"/>
        </w:rPr>
        <w:t>in accessing</w:t>
      </w:r>
      <w:r w:rsidRPr="00757E6E">
        <w:rPr>
          <w:sz w:val="20"/>
          <w:szCs w:val="20"/>
        </w:rPr>
        <w:t xml:space="preserve"> health</w:t>
      </w:r>
      <w:r w:rsidRPr="00B073E8">
        <w:rPr>
          <w:sz w:val="20"/>
          <w:szCs w:val="20"/>
        </w:rPr>
        <w:t xml:space="preserve"> services. Services are encouraged to consider how approachable they are for clients and to ensure they provide a suitable and appropriate service for priority populations. It is important that services and approaches respond and adapt to the needs, experiences and behaviours of priority populations in order to maximise engagement with and effectiveness of prevention education, testing, treatment, care and support. </w:t>
      </w:r>
      <w:r w:rsidRPr="00B073E8">
        <w:rPr>
          <w:iCs/>
          <w:sz w:val="20"/>
          <w:szCs w:val="20"/>
        </w:rPr>
        <w:t xml:space="preserve"> </w:t>
      </w:r>
    </w:p>
    <w:p w:rsidR="00604D70" w:rsidRPr="00E10C01" w:rsidRDefault="00604D70" w:rsidP="00604D70">
      <w:pPr>
        <w:pStyle w:val="Bullet"/>
        <w:spacing w:before="80" w:after="0"/>
        <w:rPr>
          <w:b/>
          <w:sz w:val="20"/>
          <w:szCs w:val="20"/>
        </w:rPr>
      </w:pPr>
      <w:r w:rsidRPr="00E10C01">
        <w:rPr>
          <w:b/>
          <w:sz w:val="20"/>
          <w:szCs w:val="20"/>
        </w:rPr>
        <w:t>Key areas for action</w:t>
      </w:r>
      <w:r w:rsidRPr="00AF4935" w:rsidDel="00EF1D99">
        <w:rPr>
          <w:b/>
          <w:bCs/>
          <w:color w:val="00264D"/>
          <w:sz w:val="20"/>
          <w:szCs w:val="20"/>
        </w:rPr>
        <w:t xml:space="preserve"> </w:t>
      </w:r>
    </w:p>
    <w:p w:rsidR="00604D70" w:rsidRPr="00B073E8" w:rsidRDefault="00604D70" w:rsidP="00604D70">
      <w:pPr>
        <w:pStyle w:val="Bullet"/>
        <w:numPr>
          <w:ilvl w:val="0"/>
          <w:numId w:val="8"/>
        </w:numPr>
        <w:spacing w:before="80" w:after="0"/>
        <w:rPr>
          <w:sz w:val="20"/>
          <w:szCs w:val="20"/>
        </w:rPr>
      </w:pPr>
      <w:r w:rsidRPr="00B073E8">
        <w:rPr>
          <w:sz w:val="20"/>
          <w:szCs w:val="20"/>
        </w:rPr>
        <w:t>Increase the coverage of publicly</w:t>
      </w:r>
      <w:r w:rsidR="00EE457C">
        <w:rPr>
          <w:sz w:val="20"/>
          <w:szCs w:val="20"/>
        </w:rPr>
        <w:t xml:space="preserve"> </w:t>
      </w:r>
      <w:r w:rsidRPr="00B073E8">
        <w:rPr>
          <w:sz w:val="20"/>
          <w:szCs w:val="20"/>
        </w:rPr>
        <w:t>funded sexual health services, particularly in rural, regional and remote areas, in places with high numbers of young people and people who are ineligible for subsidised health care</w:t>
      </w:r>
    </w:p>
    <w:p w:rsidR="00604D70" w:rsidRPr="00B073E8" w:rsidRDefault="00604D70" w:rsidP="00604D70">
      <w:pPr>
        <w:pStyle w:val="Bullet"/>
        <w:numPr>
          <w:ilvl w:val="0"/>
          <w:numId w:val="8"/>
        </w:numPr>
        <w:spacing w:before="80" w:after="0"/>
        <w:rPr>
          <w:sz w:val="20"/>
          <w:szCs w:val="20"/>
        </w:rPr>
      </w:pPr>
      <w:r w:rsidRPr="00B073E8">
        <w:rPr>
          <w:sz w:val="20"/>
          <w:szCs w:val="20"/>
        </w:rPr>
        <w:t>Identify and scale up successful innovative models of STI service delivery tailored to the needs of priority populations and sub-populations, including multidisciplinary team approaches and shared care models</w:t>
      </w:r>
    </w:p>
    <w:p w:rsidR="00604D70" w:rsidRPr="00B073E8" w:rsidRDefault="00604D70" w:rsidP="00604D70">
      <w:pPr>
        <w:pStyle w:val="Bullet"/>
        <w:numPr>
          <w:ilvl w:val="0"/>
          <w:numId w:val="8"/>
        </w:numPr>
        <w:spacing w:before="80" w:after="0"/>
        <w:rPr>
          <w:sz w:val="20"/>
          <w:szCs w:val="20"/>
        </w:rPr>
      </w:pPr>
      <w:r w:rsidRPr="00B073E8">
        <w:rPr>
          <w:sz w:val="20"/>
          <w:szCs w:val="20"/>
        </w:rPr>
        <w:t>Improve the coordination of and partnerships between STI services and ot</w:t>
      </w:r>
      <w:r>
        <w:rPr>
          <w:sz w:val="20"/>
          <w:szCs w:val="20"/>
        </w:rPr>
        <w:t xml:space="preserve">her relevant service providers </w:t>
      </w:r>
      <w:r w:rsidRPr="00B073E8">
        <w:rPr>
          <w:sz w:val="20"/>
          <w:szCs w:val="20"/>
        </w:rPr>
        <w:t>to better link priority populations with STI prevention, testing and treatment</w:t>
      </w:r>
      <w:r w:rsidR="00875216">
        <w:rPr>
          <w:sz w:val="20"/>
          <w:szCs w:val="20"/>
        </w:rPr>
        <w:t xml:space="preserve"> and improve access and acceptability of sexual health services</w:t>
      </w:r>
    </w:p>
    <w:p w:rsidR="00604D70" w:rsidRPr="00353274" w:rsidRDefault="00604D70" w:rsidP="00604D70">
      <w:pPr>
        <w:pStyle w:val="Bullet"/>
        <w:numPr>
          <w:ilvl w:val="0"/>
          <w:numId w:val="8"/>
        </w:numPr>
        <w:spacing w:before="80" w:after="0"/>
        <w:rPr>
          <w:iCs/>
          <w:sz w:val="20"/>
          <w:szCs w:val="20"/>
        </w:rPr>
      </w:pPr>
      <w:r w:rsidRPr="00B073E8">
        <w:rPr>
          <w:sz w:val="20"/>
          <w:szCs w:val="20"/>
        </w:rPr>
        <w:t xml:space="preserve">Build capacity of health </w:t>
      </w:r>
      <w:r>
        <w:rPr>
          <w:sz w:val="20"/>
          <w:szCs w:val="20"/>
        </w:rPr>
        <w:t>services</w:t>
      </w:r>
      <w:r w:rsidRPr="00B073E8">
        <w:rPr>
          <w:sz w:val="20"/>
          <w:szCs w:val="20"/>
        </w:rPr>
        <w:t xml:space="preserve"> to provide opportunistic STI testing and enhanced STI management</w:t>
      </w:r>
    </w:p>
    <w:p w:rsidR="00353274" w:rsidRPr="008F33B6" w:rsidRDefault="00353274" w:rsidP="00353274">
      <w:pPr>
        <w:pStyle w:val="Bullet"/>
        <w:spacing w:before="80" w:after="0"/>
        <w:ind w:left="360"/>
        <w:rPr>
          <w:iCs/>
          <w:sz w:val="20"/>
          <w:szCs w:val="20"/>
        </w:rPr>
      </w:pPr>
    </w:p>
    <w:p w:rsidR="00604D70" w:rsidRPr="006A09F2" w:rsidRDefault="00604D70" w:rsidP="005A3A02">
      <w:pPr>
        <w:pStyle w:val="Bullet"/>
        <w:spacing w:before="80" w:after="0"/>
        <w:rPr>
          <w:b/>
          <w:color w:val="00264D"/>
          <w:sz w:val="22"/>
        </w:rPr>
      </w:pPr>
      <w:r w:rsidRPr="006A09F2">
        <w:rPr>
          <w:b/>
          <w:color w:val="00264D"/>
          <w:sz w:val="22"/>
        </w:rPr>
        <w:t>WORKFORCE</w:t>
      </w:r>
    </w:p>
    <w:p w:rsidR="00604D70" w:rsidRPr="00A93B5D" w:rsidRDefault="00604D70" w:rsidP="00604D70">
      <w:pPr>
        <w:pStyle w:val="ColorfulList-Accent11"/>
        <w:numPr>
          <w:ilvl w:val="0"/>
          <w:numId w:val="13"/>
        </w:numPr>
        <w:spacing w:before="120" w:after="60"/>
        <w:contextualSpacing w:val="0"/>
        <w:rPr>
          <w:sz w:val="20"/>
        </w:rPr>
      </w:pPr>
      <w:r w:rsidRPr="00A93B5D">
        <w:rPr>
          <w:i/>
          <w:sz w:val="20"/>
          <w:lang w:eastAsia="en-US"/>
        </w:rPr>
        <w:t>Increase workforce and peer-based capability and capacity for STI prevention, treatment and support</w:t>
      </w:r>
    </w:p>
    <w:p w:rsidR="00604D70" w:rsidRPr="00A93B5D" w:rsidRDefault="00604D70" w:rsidP="00604D70">
      <w:pPr>
        <w:pStyle w:val="ColorfulList-Accent11"/>
        <w:spacing w:before="120" w:after="60"/>
        <w:ind w:left="0"/>
        <w:contextualSpacing w:val="0"/>
        <w:rPr>
          <w:sz w:val="20"/>
        </w:rPr>
      </w:pPr>
      <w:r w:rsidRPr="00A93B5D">
        <w:rPr>
          <w:iCs/>
          <w:sz w:val="20"/>
        </w:rPr>
        <w:t xml:space="preserve">A strong multidisciplinary workforce of motivated, trained and regularly updated health and education </w:t>
      </w:r>
      <w:r w:rsidRPr="00A93B5D">
        <w:rPr>
          <w:sz w:val="20"/>
        </w:rPr>
        <w:t xml:space="preserve">professionals, community health and peer-based workers from, and who work with, priority populations is vital to delivering best-practice, and age and culturally appropriate, sexual health education and services across Australia.  </w:t>
      </w:r>
    </w:p>
    <w:p w:rsidR="00604D70" w:rsidRPr="00B073E8" w:rsidRDefault="00604D70" w:rsidP="00604D70">
      <w:pPr>
        <w:pStyle w:val="Bullet"/>
        <w:rPr>
          <w:sz w:val="20"/>
          <w:szCs w:val="20"/>
        </w:rPr>
      </w:pPr>
      <w:r w:rsidRPr="00B073E8">
        <w:rPr>
          <w:sz w:val="20"/>
          <w:szCs w:val="20"/>
        </w:rPr>
        <w:t>Evidence-based, responsive and accessible clinical guidelines and tools play an essential role in supporting the provision of effective STI pre</w:t>
      </w:r>
      <w:r w:rsidR="007C4D40">
        <w:rPr>
          <w:sz w:val="20"/>
          <w:szCs w:val="20"/>
        </w:rPr>
        <w:t xml:space="preserve">vention and care in Australia. </w:t>
      </w:r>
      <w:r w:rsidRPr="00B073E8">
        <w:rPr>
          <w:sz w:val="20"/>
          <w:szCs w:val="20"/>
        </w:rPr>
        <w:t>These guidelines must be coupled with education</w:t>
      </w:r>
      <w:r w:rsidR="00527691">
        <w:rPr>
          <w:sz w:val="20"/>
          <w:szCs w:val="20"/>
        </w:rPr>
        <w:t xml:space="preserve"> for health professionals to support guideline use</w:t>
      </w:r>
      <w:r w:rsidRPr="00B073E8">
        <w:rPr>
          <w:sz w:val="20"/>
          <w:szCs w:val="20"/>
        </w:rPr>
        <w:t xml:space="preserve"> and training to build workforce capacity and capability. </w:t>
      </w:r>
    </w:p>
    <w:p w:rsidR="00604D70" w:rsidRPr="00B073E8" w:rsidRDefault="00604D70" w:rsidP="00604D70">
      <w:pPr>
        <w:pStyle w:val="Bullet"/>
        <w:rPr>
          <w:sz w:val="20"/>
          <w:szCs w:val="20"/>
        </w:rPr>
      </w:pPr>
      <w:r w:rsidRPr="00B073E8">
        <w:rPr>
          <w:iCs/>
          <w:sz w:val="20"/>
          <w:szCs w:val="20"/>
        </w:rPr>
        <w:t xml:space="preserve">Specific education, professional development and specialisation opportunities need to be made available to support the development of essential knowledge and skills across the workforce. </w:t>
      </w:r>
      <w:r w:rsidRPr="00B073E8">
        <w:rPr>
          <w:sz w:val="20"/>
          <w:szCs w:val="20"/>
        </w:rPr>
        <w:t xml:space="preserve">Resources and programs should highlight the specific sexual health needs of priority population </w:t>
      </w:r>
      <w:r w:rsidR="007C4D40">
        <w:rPr>
          <w:sz w:val="20"/>
          <w:szCs w:val="20"/>
        </w:rPr>
        <w:t>groups. Hybrid approaches of on</w:t>
      </w:r>
      <w:r w:rsidRPr="00B073E8">
        <w:rPr>
          <w:sz w:val="20"/>
          <w:szCs w:val="20"/>
        </w:rPr>
        <w:t>line learning, web-based resources and mobile applications as well as face</w:t>
      </w:r>
      <w:r w:rsidR="00EE457C">
        <w:rPr>
          <w:sz w:val="20"/>
          <w:szCs w:val="20"/>
        </w:rPr>
        <w:t>-</w:t>
      </w:r>
      <w:r w:rsidRPr="00B073E8">
        <w:rPr>
          <w:sz w:val="20"/>
          <w:szCs w:val="20"/>
        </w:rPr>
        <w:t>to</w:t>
      </w:r>
      <w:r w:rsidR="00EE457C">
        <w:rPr>
          <w:sz w:val="20"/>
          <w:szCs w:val="20"/>
        </w:rPr>
        <w:t>-</w:t>
      </w:r>
      <w:r w:rsidRPr="00B073E8">
        <w:rPr>
          <w:sz w:val="20"/>
          <w:szCs w:val="20"/>
        </w:rPr>
        <w:t>face learning opportunities should be tailored to specific workforce needs and locations (including urban, regional, rural and remote). Professional and community-based organisations, working with specialist education providers, are well placed to tailor training in response to local needs and workforce capacity.</w:t>
      </w:r>
    </w:p>
    <w:p w:rsidR="00604D70" w:rsidRPr="00B073E8" w:rsidRDefault="00604D70" w:rsidP="00604D70">
      <w:pPr>
        <w:pStyle w:val="Bullet"/>
        <w:rPr>
          <w:sz w:val="20"/>
          <w:szCs w:val="20"/>
        </w:rPr>
      </w:pPr>
      <w:r w:rsidRPr="00B073E8">
        <w:rPr>
          <w:iCs/>
          <w:sz w:val="20"/>
          <w:szCs w:val="20"/>
        </w:rPr>
        <w:t xml:space="preserve">Issues in relation to recruitment and retention of staff need to be addressed, particularly in rural, regional and remote areas, to ensure the required expertise, capability and capacity exists in all areas. Innovative models adapted to local contexts can assist in addressing such challenges by utilising the skills of other </w:t>
      </w:r>
      <w:r w:rsidRPr="00757E6E">
        <w:rPr>
          <w:iCs/>
          <w:sz w:val="20"/>
          <w:szCs w:val="20"/>
        </w:rPr>
        <w:t xml:space="preserve">appropriately </w:t>
      </w:r>
      <w:r w:rsidRPr="00E10C01">
        <w:rPr>
          <w:iCs/>
          <w:sz w:val="20"/>
          <w:szCs w:val="20"/>
        </w:rPr>
        <w:t>train</w:t>
      </w:r>
      <w:r w:rsidR="00EE457C" w:rsidRPr="00E10C01">
        <w:rPr>
          <w:iCs/>
          <w:sz w:val="20"/>
          <w:szCs w:val="20"/>
        </w:rPr>
        <w:t>ed</w:t>
      </w:r>
      <w:r w:rsidRPr="00757E6E">
        <w:rPr>
          <w:iCs/>
          <w:sz w:val="20"/>
          <w:szCs w:val="20"/>
        </w:rPr>
        <w:t xml:space="preserve"> health</w:t>
      </w:r>
      <w:r w:rsidRPr="00B073E8">
        <w:rPr>
          <w:iCs/>
          <w:sz w:val="20"/>
          <w:szCs w:val="20"/>
        </w:rPr>
        <w:t xml:space="preserve"> professionals, including nursing professionals and </w:t>
      </w:r>
      <w:r w:rsidR="003C68CD">
        <w:rPr>
          <w:iCs/>
          <w:sz w:val="20"/>
          <w:szCs w:val="20"/>
        </w:rPr>
        <w:t>Aboriginal and Torres Strait Islander Health W</w:t>
      </w:r>
      <w:r w:rsidRPr="00B073E8">
        <w:rPr>
          <w:iCs/>
          <w:sz w:val="20"/>
          <w:szCs w:val="20"/>
        </w:rPr>
        <w:t xml:space="preserve">orkers. </w:t>
      </w:r>
    </w:p>
    <w:p w:rsidR="00604D70" w:rsidRDefault="00604D70" w:rsidP="00604D70">
      <w:pPr>
        <w:pStyle w:val="Bullet"/>
        <w:rPr>
          <w:iCs/>
          <w:sz w:val="20"/>
          <w:szCs w:val="20"/>
        </w:rPr>
      </w:pPr>
      <w:r>
        <w:rPr>
          <w:sz w:val="20"/>
          <w:szCs w:val="20"/>
        </w:rPr>
        <w:t>Most priority populations in Australia regularly interact with primary care services,</w:t>
      </w:r>
      <w:r w:rsidR="00C033B4">
        <w:rPr>
          <w:sz w:val="20"/>
          <w:szCs w:val="20"/>
        </w:rPr>
        <w:t xml:space="preserve"> including sexual health services,</w:t>
      </w:r>
      <w:r>
        <w:rPr>
          <w:sz w:val="20"/>
          <w:szCs w:val="20"/>
        </w:rPr>
        <w:t xml:space="preserve"> which are the foundation of health service delivery. </w:t>
      </w:r>
      <w:r w:rsidRPr="00B073E8">
        <w:rPr>
          <w:sz w:val="20"/>
          <w:szCs w:val="20"/>
        </w:rPr>
        <w:t xml:space="preserve">Support must be provided to healthcare professionals at the </w:t>
      </w:r>
      <w:r w:rsidRPr="00E10C01">
        <w:rPr>
          <w:sz w:val="20"/>
          <w:szCs w:val="20"/>
        </w:rPr>
        <w:t>front</w:t>
      </w:r>
      <w:r w:rsidR="00DE5A40">
        <w:rPr>
          <w:sz w:val="20"/>
          <w:szCs w:val="20"/>
        </w:rPr>
        <w:t xml:space="preserve"> </w:t>
      </w:r>
      <w:r w:rsidRPr="00E10C01">
        <w:rPr>
          <w:sz w:val="20"/>
          <w:szCs w:val="20"/>
        </w:rPr>
        <w:t>line</w:t>
      </w:r>
      <w:r w:rsidRPr="00757E6E">
        <w:rPr>
          <w:sz w:val="20"/>
          <w:szCs w:val="20"/>
        </w:rPr>
        <w:t xml:space="preserve"> of</w:t>
      </w:r>
      <w:r w:rsidRPr="00B073E8">
        <w:rPr>
          <w:sz w:val="20"/>
          <w:szCs w:val="20"/>
        </w:rPr>
        <w:t xml:space="preserve"> STI diagnosis and treatment</w:t>
      </w:r>
      <w:r>
        <w:rPr>
          <w:sz w:val="20"/>
          <w:szCs w:val="20"/>
        </w:rPr>
        <w:t>, particularly general practitioners,</w:t>
      </w:r>
      <w:r w:rsidRPr="00B073E8">
        <w:rPr>
          <w:sz w:val="20"/>
          <w:szCs w:val="20"/>
        </w:rPr>
        <w:t xml:space="preserve"> to ensure they are well informed</w:t>
      </w:r>
      <w:r w:rsidR="00757E6E">
        <w:rPr>
          <w:sz w:val="20"/>
          <w:szCs w:val="20"/>
        </w:rPr>
        <w:t>;</w:t>
      </w:r>
      <w:r>
        <w:rPr>
          <w:sz w:val="20"/>
          <w:szCs w:val="20"/>
        </w:rPr>
        <w:t xml:space="preserve"> are aware of, and have access to, appropriate guidelines on testing and treatment</w:t>
      </w:r>
      <w:r w:rsidR="00757E6E">
        <w:rPr>
          <w:sz w:val="20"/>
          <w:szCs w:val="20"/>
        </w:rPr>
        <w:t>;</w:t>
      </w:r>
      <w:r>
        <w:rPr>
          <w:sz w:val="20"/>
          <w:szCs w:val="20"/>
        </w:rPr>
        <w:t xml:space="preserve"> </w:t>
      </w:r>
      <w:r w:rsidRPr="00B073E8">
        <w:rPr>
          <w:sz w:val="20"/>
          <w:szCs w:val="20"/>
        </w:rPr>
        <w:t>and can provide optimal information and support to patients</w:t>
      </w:r>
      <w:r w:rsidRPr="00757E6E">
        <w:rPr>
          <w:sz w:val="20"/>
          <w:szCs w:val="20"/>
        </w:rPr>
        <w:t>.</w:t>
      </w:r>
      <w:r w:rsidRPr="00757E6E">
        <w:rPr>
          <w:iCs/>
          <w:sz w:val="20"/>
          <w:szCs w:val="20"/>
        </w:rPr>
        <w:t xml:space="preserve"> </w:t>
      </w:r>
      <w:r w:rsidRPr="00E10C01">
        <w:rPr>
          <w:iCs/>
          <w:sz w:val="20"/>
          <w:szCs w:val="20"/>
        </w:rPr>
        <w:t>Maintaining a strong</w:t>
      </w:r>
      <w:r w:rsidR="007C0B7B" w:rsidRPr="00E10C01">
        <w:rPr>
          <w:iCs/>
          <w:sz w:val="20"/>
          <w:szCs w:val="20"/>
        </w:rPr>
        <w:t xml:space="preserve"> workforce to provide support, </w:t>
      </w:r>
      <w:r w:rsidRPr="00E10C01">
        <w:rPr>
          <w:iCs/>
          <w:sz w:val="20"/>
          <w:szCs w:val="20"/>
        </w:rPr>
        <w:t xml:space="preserve">and referral pathways </w:t>
      </w:r>
      <w:r w:rsidR="00C033B4" w:rsidRPr="00E10C01">
        <w:rPr>
          <w:iCs/>
          <w:sz w:val="20"/>
          <w:szCs w:val="20"/>
        </w:rPr>
        <w:t>for</w:t>
      </w:r>
      <w:r w:rsidRPr="00E10C01">
        <w:rPr>
          <w:iCs/>
          <w:sz w:val="20"/>
          <w:szCs w:val="20"/>
        </w:rPr>
        <w:t xml:space="preserve"> care at the community level</w:t>
      </w:r>
      <w:r w:rsidR="007C0B7B" w:rsidRPr="00E10C01">
        <w:rPr>
          <w:iCs/>
          <w:sz w:val="20"/>
          <w:szCs w:val="20"/>
        </w:rPr>
        <w:t>,</w:t>
      </w:r>
      <w:r w:rsidRPr="00E10C01">
        <w:rPr>
          <w:iCs/>
          <w:sz w:val="20"/>
          <w:szCs w:val="20"/>
        </w:rPr>
        <w:t xml:space="preserve"> is a priority.</w:t>
      </w:r>
      <w:r>
        <w:rPr>
          <w:iCs/>
          <w:sz w:val="20"/>
          <w:szCs w:val="20"/>
        </w:rPr>
        <w:t xml:space="preserve"> </w:t>
      </w:r>
    </w:p>
    <w:p w:rsidR="00057D0E" w:rsidRPr="00057D0E" w:rsidRDefault="00057D0E" w:rsidP="00057D0E">
      <w:pPr>
        <w:rPr>
          <w:sz w:val="20"/>
          <w:szCs w:val="20"/>
        </w:rPr>
      </w:pPr>
      <w:r w:rsidRPr="00EA1123">
        <w:rPr>
          <w:sz w:val="20"/>
          <w:szCs w:val="20"/>
        </w:rPr>
        <w:t>Opportunities to facilitate the provision of more nurse-led services, including required education, professional development and specialisation opportunities</w:t>
      </w:r>
      <w:r w:rsidR="00E10C01">
        <w:rPr>
          <w:sz w:val="20"/>
          <w:szCs w:val="20"/>
        </w:rPr>
        <w:t>,</w:t>
      </w:r>
      <w:r w:rsidR="00E10C01" w:rsidRPr="00E10C01">
        <w:rPr>
          <w:sz w:val="20"/>
          <w:szCs w:val="20"/>
        </w:rPr>
        <w:t xml:space="preserve"> </w:t>
      </w:r>
      <w:r w:rsidR="00E10C01" w:rsidRPr="00EA1123">
        <w:rPr>
          <w:sz w:val="20"/>
          <w:szCs w:val="20"/>
        </w:rPr>
        <w:t>should be a particular focus</w:t>
      </w:r>
      <w:r w:rsidR="00E10C01">
        <w:rPr>
          <w:sz w:val="20"/>
          <w:szCs w:val="20"/>
        </w:rPr>
        <w:t>.</w:t>
      </w:r>
    </w:p>
    <w:p w:rsidR="00604D70" w:rsidRPr="00E10C01" w:rsidRDefault="00604D70" w:rsidP="00604D70">
      <w:pPr>
        <w:pStyle w:val="Bullet"/>
        <w:spacing w:before="120" w:after="0"/>
        <w:rPr>
          <w:b/>
          <w:sz w:val="20"/>
          <w:szCs w:val="20"/>
        </w:rPr>
      </w:pPr>
      <w:r w:rsidRPr="00E10C01">
        <w:rPr>
          <w:b/>
          <w:sz w:val="20"/>
          <w:szCs w:val="20"/>
        </w:rPr>
        <w:t>Key areas for action</w:t>
      </w:r>
    </w:p>
    <w:p w:rsidR="00604D70" w:rsidRPr="00B073E8" w:rsidRDefault="00604D70" w:rsidP="00604D70">
      <w:pPr>
        <w:pStyle w:val="ColorfulList-Accent11"/>
        <w:numPr>
          <w:ilvl w:val="0"/>
          <w:numId w:val="8"/>
        </w:numPr>
        <w:spacing w:before="120" w:after="0"/>
        <w:contextualSpacing w:val="0"/>
        <w:rPr>
          <w:iCs/>
          <w:sz w:val="20"/>
        </w:rPr>
      </w:pPr>
      <w:r w:rsidRPr="00B073E8">
        <w:rPr>
          <w:sz w:val="20"/>
        </w:rPr>
        <w:t>Ensure delivery of effective training and education for the multidisciplinary workforce to support the delivery of high quality</w:t>
      </w:r>
      <w:r>
        <w:rPr>
          <w:sz w:val="20"/>
        </w:rPr>
        <w:t>, non-stigmatising and culturally appropriate</w:t>
      </w:r>
      <w:r w:rsidRPr="00B073E8">
        <w:rPr>
          <w:sz w:val="20"/>
        </w:rPr>
        <w:t xml:space="preserve"> STI prevention, testing and treatment services across priority populations</w:t>
      </w:r>
    </w:p>
    <w:p w:rsidR="00604D70" w:rsidRPr="00B073E8" w:rsidRDefault="00604D70" w:rsidP="00604D70">
      <w:pPr>
        <w:pStyle w:val="ColorfulList-Accent11"/>
        <w:numPr>
          <w:ilvl w:val="0"/>
          <w:numId w:val="8"/>
        </w:numPr>
        <w:spacing w:before="120" w:after="0"/>
        <w:contextualSpacing w:val="0"/>
        <w:rPr>
          <w:iCs/>
          <w:sz w:val="20"/>
        </w:rPr>
      </w:pPr>
      <w:r w:rsidRPr="00B073E8">
        <w:rPr>
          <w:sz w:val="20"/>
        </w:rPr>
        <w:t xml:space="preserve">Implement initiatives to support the integration of appropriate, </w:t>
      </w:r>
      <w:r w:rsidRPr="00E10C01">
        <w:rPr>
          <w:sz w:val="20"/>
        </w:rPr>
        <w:t>opportunistic</w:t>
      </w:r>
      <w:r w:rsidRPr="00B073E8">
        <w:rPr>
          <w:sz w:val="20"/>
        </w:rPr>
        <w:t xml:space="preserve"> STI prevention and testing into routine </w:t>
      </w:r>
      <w:r>
        <w:rPr>
          <w:sz w:val="20"/>
        </w:rPr>
        <w:t>health</w:t>
      </w:r>
      <w:r w:rsidRPr="00B073E8">
        <w:rPr>
          <w:sz w:val="20"/>
        </w:rPr>
        <w:t xml:space="preserve"> care</w:t>
      </w:r>
    </w:p>
    <w:p w:rsidR="00604D70" w:rsidRPr="00B073E8" w:rsidRDefault="00604D70" w:rsidP="00604D70">
      <w:pPr>
        <w:pStyle w:val="ColorfulList-Accent11"/>
        <w:numPr>
          <w:ilvl w:val="0"/>
          <w:numId w:val="8"/>
        </w:numPr>
        <w:spacing w:before="120" w:after="0"/>
        <w:contextualSpacing w:val="0"/>
        <w:rPr>
          <w:iCs/>
          <w:sz w:val="20"/>
        </w:rPr>
      </w:pPr>
      <w:r w:rsidRPr="00B073E8">
        <w:rPr>
          <w:iCs/>
          <w:sz w:val="20"/>
        </w:rPr>
        <w:t>Continue to explore and share experiences of innovative multidisciplinary models for STI prevention, testing and treatment, particularly in rural and remote areas and areas of workforce shortage</w:t>
      </w:r>
    </w:p>
    <w:p w:rsidR="00604D70" w:rsidRPr="008F33B6" w:rsidRDefault="00604D70" w:rsidP="00604D70">
      <w:pPr>
        <w:pStyle w:val="ColorfulList-Accent11"/>
        <w:numPr>
          <w:ilvl w:val="0"/>
          <w:numId w:val="8"/>
        </w:numPr>
        <w:spacing w:before="120" w:after="0"/>
        <w:contextualSpacing w:val="0"/>
        <w:rPr>
          <w:iCs/>
          <w:sz w:val="20"/>
        </w:rPr>
      </w:pPr>
      <w:r w:rsidRPr="00B073E8">
        <w:rPr>
          <w:sz w:val="20"/>
        </w:rPr>
        <w:t>Support the capacity and role of community organisations to provide education, prevention, support and advocacy services to priority populations</w:t>
      </w:r>
    </w:p>
    <w:tbl>
      <w:tblPr>
        <w:tblW w:w="5000" w:type="pct"/>
        <w:tblLook w:val="04A0" w:firstRow="1" w:lastRow="0" w:firstColumn="1" w:lastColumn="0" w:noHBand="0" w:noVBand="1"/>
      </w:tblPr>
      <w:tblGrid>
        <w:gridCol w:w="9963"/>
      </w:tblGrid>
      <w:tr w:rsidR="00604D70" w:rsidRPr="0015673A" w:rsidTr="002616DD">
        <w:tc>
          <w:tcPr>
            <w:tcW w:w="5000" w:type="pct"/>
            <w:shd w:val="clear" w:color="auto" w:fill="auto"/>
          </w:tcPr>
          <w:p w:rsidR="00604D70" w:rsidRDefault="00604D70" w:rsidP="002616DD">
            <w:pPr>
              <w:rPr>
                <w:b/>
                <w:color w:val="00264D"/>
                <w:szCs w:val="19"/>
              </w:rPr>
            </w:pPr>
          </w:p>
          <w:p w:rsidR="00604D70" w:rsidRPr="00B073E8" w:rsidRDefault="00604D70" w:rsidP="002616DD">
            <w:pPr>
              <w:rPr>
                <w:b/>
                <w:color w:val="00264D"/>
                <w:sz w:val="22"/>
              </w:rPr>
            </w:pPr>
            <w:r w:rsidRPr="00B073E8">
              <w:rPr>
                <w:b/>
                <w:color w:val="00264D"/>
                <w:sz w:val="22"/>
              </w:rPr>
              <w:t>ADDRESSING STIGMA AND CREATING AN ENABLING ENVIRONMENT</w:t>
            </w:r>
          </w:p>
          <w:p w:rsidR="00604D70" w:rsidRPr="00B073E8" w:rsidRDefault="00604D70" w:rsidP="002616DD">
            <w:pPr>
              <w:pStyle w:val="CommentText"/>
              <w:numPr>
                <w:ilvl w:val="0"/>
                <w:numId w:val="13"/>
              </w:numPr>
              <w:spacing w:after="60"/>
              <w:ind w:left="723"/>
              <w:rPr>
                <w:rFonts w:cs="Segoe UI"/>
                <w:i/>
                <w:lang w:val="en-AU" w:eastAsia="en-US"/>
              </w:rPr>
            </w:pPr>
            <w:r w:rsidRPr="00B073E8">
              <w:rPr>
                <w:rFonts w:cs="Segoe UI"/>
                <w:i/>
                <w:lang w:val="en-AU" w:eastAsia="en-US"/>
              </w:rPr>
              <w:t xml:space="preserve">Implement a range of initiatives to </w:t>
            </w:r>
            <w:r w:rsidRPr="00B073E8">
              <w:rPr>
                <w:i/>
              </w:rPr>
              <w:t xml:space="preserve">address </w:t>
            </w:r>
            <w:r w:rsidRPr="00B073E8">
              <w:rPr>
                <w:i/>
                <w:lang w:val="en-AU"/>
              </w:rPr>
              <w:t xml:space="preserve">STI-related </w:t>
            </w:r>
            <w:r w:rsidRPr="00B073E8">
              <w:rPr>
                <w:i/>
              </w:rPr>
              <w:t>stigma and discrimination and minimise the impact on people’s</w:t>
            </w:r>
            <w:r w:rsidRPr="00B073E8">
              <w:rPr>
                <w:i/>
                <w:lang w:val="en-AU"/>
              </w:rPr>
              <w:t xml:space="preserve"> health</w:t>
            </w:r>
            <w:r w:rsidR="00EE457C">
              <w:rPr>
                <w:i/>
                <w:lang w:val="en-AU"/>
              </w:rPr>
              <w:t>-</w:t>
            </w:r>
            <w:r w:rsidRPr="00B073E8">
              <w:rPr>
                <w:i/>
                <w:lang w:val="en-AU"/>
              </w:rPr>
              <w:t>seeking behaviour and</w:t>
            </w:r>
            <w:r w:rsidRPr="00B073E8">
              <w:rPr>
                <w:i/>
              </w:rPr>
              <w:t xml:space="preserve"> health</w:t>
            </w:r>
            <w:r w:rsidRPr="00B073E8">
              <w:rPr>
                <w:i/>
                <w:lang w:val="en-AU"/>
              </w:rPr>
              <w:t xml:space="preserve"> outcomes</w:t>
            </w:r>
          </w:p>
          <w:p w:rsidR="00604D70" w:rsidRPr="00B073E8" w:rsidRDefault="00604D70" w:rsidP="002616DD">
            <w:pPr>
              <w:pStyle w:val="CommentText"/>
              <w:numPr>
                <w:ilvl w:val="0"/>
                <w:numId w:val="13"/>
              </w:numPr>
              <w:spacing w:after="60"/>
              <w:ind w:left="723"/>
              <w:rPr>
                <w:rFonts w:cs="Segoe UI"/>
                <w:i/>
                <w:lang w:val="en-AU" w:eastAsia="en-US"/>
              </w:rPr>
            </w:pPr>
            <w:r w:rsidRPr="00B073E8">
              <w:rPr>
                <w:rFonts w:cs="Segoe UI"/>
                <w:i/>
                <w:lang w:val="en-AU" w:eastAsia="en-US"/>
              </w:rPr>
              <w:t xml:space="preserve">Continue to work towards addressing </w:t>
            </w:r>
            <w:r w:rsidRPr="00B073E8">
              <w:rPr>
                <w:rFonts w:cs="Segoe UI"/>
                <w:i/>
              </w:rPr>
              <w:t>the legal, regulatory and policy barriers which affect priority populations and influence their health</w:t>
            </w:r>
            <w:r w:rsidR="00EE457C">
              <w:rPr>
                <w:rFonts w:cs="Segoe UI"/>
                <w:i/>
              </w:rPr>
              <w:t>-</w:t>
            </w:r>
            <w:r w:rsidRPr="00B073E8">
              <w:rPr>
                <w:rFonts w:cs="Segoe UI"/>
                <w:i/>
              </w:rPr>
              <w:t>seeking behaviours</w:t>
            </w:r>
            <w:r w:rsidRPr="00B073E8">
              <w:rPr>
                <w:rFonts w:cs="Segoe UI"/>
                <w:i/>
                <w:lang w:val="en-AU" w:eastAsia="en-US"/>
              </w:rPr>
              <w:t xml:space="preserve"> </w:t>
            </w:r>
          </w:p>
          <w:p w:rsidR="00604D70" w:rsidRPr="00B073E8" w:rsidRDefault="00604D70" w:rsidP="002616DD">
            <w:pPr>
              <w:rPr>
                <w:sz w:val="20"/>
                <w:szCs w:val="20"/>
              </w:rPr>
            </w:pPr>
            <w:r w:rsidRPr="00B073E8">
              <w:rPr>
                <w:sz w:val="20"/>
                <w:szCs w:val="20"/>
              </w:rPr>
              <w:t>Stigma has long accompanied STI, primarily due to the association with sexuality and ‘taboo’ behaviours.</w:t>
            </w:r>
            <w:r w:rsidR="003B7AEB" w:rsidRPr="003B7AEB">
              <w:rPr>
                <w:sz w:val="20"/>
                <w:szCs w:val="20"/>
                <w:vertAlign w:val="superscript"/>
              </w:rPr>
              <w:t>11</w:t>
            </w:r>
            <w:r w:rsidRPr="00B073E8">
              <w:rPr>
                <w:sz w:val="20"/>
                <w:szCs w:val="20"/>
              </w:rPr>
              <w:t xml:space="preserve"> The </w:t>
            </w:r>
            <w:r w:rsidR="00185281">
              <w:rPr>
                <w:sz w:val="20"/>
                <w:szCs w:val="20"/>
              </w:rPr>
              <w:t xml:space="preserve">expression, </w:t>
            </w:r>
            <w:r w:rsidRPr="00B073E8">
              <w:rPr>
                <w:sz w:val="20"/>
                <w:szCs w:val="20"/>
              </w:rPr>
              <w:t xml:space="preserve">experience and anticipation of stigma and discrimination impacts </w:t>
            </w:r>
            <w:r w:rsidR="00EE457C">
              <w:rPr>
                <w:sz w:val="20"/>
                <w:szCs w:val="20"/>
              </w:rPr>
              <w:t xml:space="preserve">on </w:t>
            </w:r>
            <w:r w:rsidRPr="00B073E8">
              <w:rPr>
                <w:sz w:val="20"/>
                <w:szCs w:val="20"/>
              </w:rPr>
              <w:t>prevention and control efforts as well as the health and quality of life of individuals.</w:t>
            </w:r>
            <w:r w:rsidRPr="00BF7B45">
              <w:rPr>
                <w:vertAlign w:val="superscript"/>
              </w:rPr>
              <w:t>67</w:t>
            </w:r>
            <w:r w:rsidRPr="00B073E8">
              <w:rPr>
                <w:sz w:val="20"/>
                <w:szCs w:val="20"/>
              </w:rPr>
              <w:t xml:space="preserve"> </w:t>
            </w:r>
          </w:p>
          <w:p w:rsidR="00604D70" w:rsidRPr="00B073E8" w:rsidRDefault="00604D70" w:rsidP="002616DD">
            <w:pPr>
              <w:rPr>
                <w:sz w:val="20"/>
                <w:szCs w:val="20"/>
              </w:rPr>
            </w:pPr>
            <w:r w:rsidRPr="00B42C0B">
              <w:rPr>
                <w:sz w:val="20"/>
                <w:szCs w:val="20"/>
              </w:rPr>
              <w:t xml:space="preserve">Stigma and discrimination associated with STI can prevent people from attending health services to discuss their risk of STI; requesting an STI test or being offered a test; taking STI medication; seeking support from their family, friends and healthcare providers; and notifying their sexual partners. The level of stigma varies depending on both the infection and the population. </w:t>
            </w:r>
            <w:r w:rsidR="00185281">
              <w:rPr>
                <w:sz w:val="20"/>
                <w:szCs w:val="20"/>
              </w:rPr>
              <w:t>Legitimate f</w:t>
            </w:r>
            <w:r w:rsidRPr="00B42C0B">
              <w:rPr>
                <w:sz w:val="20"/>
                <w:szCs w:val="20"/>
              </w:rPr>
              <w:t>ear</w:t>
            </w:r>
            <w:r w:rsidR="00185281">
              <w:rPr>
                <w:sz w:val="20"/>
                <w:szCs w:val="20"/>
              </w:rPr>
              <w:t>s</w:t>
            </w:r>
            <w:r w:rsidRPr="00B42C0B">
              <w:rPr>
                <w:sz w:val="20"/>
                <w:szCs w:val="20"/>
              </w:rPr>
              <w:t xml:space="preserve"> of stigmatisation </w:t>
            </w:r>
            <w:r w:rsidR="00185281">
              <w:rPr>
                <w:sz w:val="20"/>
                <w:szCs w:val="20"/>
              </w:rPr>
              <w:t>are</w:t>
            </w:r>
            <w:r w:rsidR="00185281" w:rsidRPr="00B42C0B">
              <w:rPr>
                <w:sz w:val="20"/>
                <w:szCs w:val="20"/>
              </w:rPr>
              <w:t xml:space="preserve"> </w:t>
            </w:r>
            <w:r w:rsidRPr="00B42C0B">
              <w:rPr>
                <w:sz w:val="20"/>
                <w:szCs w:val="20"/>
              </w:rPr>
              <w:t>an important factor which prevents people from seeking STI testing</w:t>
            </w:r>
            <w:r w:rsidR="00EE457C">
              <w:rPr>
                <w:sz w:val="20"/>
                <w:szCs w:val="20"/>
              </w:rPr>
              <w:t xml:space="preserve">. This </w:t>
            </w:r>
            <w:r w:rsidRPr="00B42C0B">
              <w:rPr>
                <w:sz w:val="20"/>
                <w:szCs w:val="20"/>
              </w:rPr>
              <w:t xml:space="preserve">can </w:t>
            </w:r>
            <w:r>
              <w:rPr>
                <w:sz w:val="20"/>
                <w:szCs w:val="20"/>
              </w:rPr>
              <w:t xml:space="preserve">increase the </w:t>
            </w:r>
            <w:r w:rsidRPr="00B42C0B">
              <w:rPr>
                <w:sz w:val="20"/>
                <w:szCs w:val="20"/>
              </w:rPr>
              <w:t>harm caused by the STI and the potential for transmission to new partners.</w:t>
            </w:r>
            <w:r w:rsidRPr="00B42C0B">
              <w:rPr>
                <w:rStyle w:val="EndnoteReference"/>
                <w:sz w:val="20"/>
                <w:szCs w:val="20"/>
              </w:rPr>
              <w:endnoteReference w:id="79"/>
            </w:r>
          </w:p>
          <w:p w:rsidR="00604D70" w:rsidRPr="00B073E8" w:rsidRDefault="00604D70" w:rsidP="002616DD">
            <w:pPr>
              <w:spacing w:before="120"/>
              <w:rPr>
                <w:b/>
                <w:iCs/>
                <w:sz w:val="20"/>
                <w:szCs w:val="20"/>
              </w:rPr>
            </w:pPr>
            <w:r w:rsidRPr="00B073E8">
              <w:rPr>
                <w:sz w:val="20"/>
                <w:szCs w:val="20"/>
              </w:rPr>
              <w:t xml:space="preserve">The stigma and discrimination experienced by </w:t>
            </w:r>
            <w:r>
              <w:rPr>
                <w:sz w:val="20"/>
                <w:szCs w:val="20"/>
              </w:rPr>
              <w:t>individuals</w:t>
            </w:r>
            <w:r w:rsidRPr="00B073E8">
              <w:rPr>
                <w:sz w:val="20"/>
                <w:szCs w:val="20"/>
              </w:rPr>
              <w:t xml:space="preserve"> with STI can also be influenced by intersecting characteristics and the stigma and discrimination associated with those. This includes sexual orientation, gender and gender identity, cultural background, </w:t>
            </w:r>
            <w:r w:rsidRPr="00926F25">
              <w:rPr>
                <w:sz w:val="20"/>
                <w:szCs w:val="20"/>
              </w:rPr>
              <w:t>migrant or refugee status,</w:t>
            </w:r>
            <w:r w:rsidRPr="00B073E8">
              <w:rPr>
                <w:sz w:val="20"/>
                <w:szCs w:val="20"/>
              </w:rPr>
              <w:t xml:space="preserve"> </w:t>
            </w:r>
            <w:r w:rsidR="00185281">
              <w:rPr>
                <w:sz w:val="20"/>
                <w:szCs w:val="20"/>
              </w:rPr>
              <w:t xml:space="preserve">HIV status, </w:t>
            </w:r>
            <w:r w:rsidRPr="00B073E8">
              <w:rPr>
                <w:sz w:val="20"/>
                <w:szCs w:val="20"/>
              </w:rPr>
              <w:t>disability, or being a sex worker or person in a custodial setting. Strategies to address stigma and discrimination must ack</w:t>
            </w:r>
            <w:r>
              <w:rPr>
                <w:sz w:val="20"/>
                <w:szCs w:val="20"/>
              </w:rPr>
              <w:t xml:space="preserve">nowledge and account for these. </w:t>
            </w:r>
            <w:r w:rsidRPr="00B073E8">
              <w:rPr>
                <w:iCs/>
                <w:sz w:val="20"/>
                <w:szCs w:val="20"/>
              </w:rPr>
              <w:t xml:space="preserve">Stigma and discrimination continues to be reported among lesbian, gay, bisexual, trans </w:t>
            </w:r>
            <w:r>
              <w:rPr>
                <w:iCs/>
                <w:sz w:val="20"/>
                <w:szCs w:val="20"/>
              </w:rPr>
              <w:t>a</w:t>
            </w:r>
            <w:r w:rsidRPr="00B073E8">
              <w:rPr>
                <w:iCs/>
                <w:sz w:val="20"/>
                <w:szCs w:val="20"/>
              </w:rPr>
              <w:t>nd gender</w:t>
            </w:r>
            <w:r w:rsidR="00EE457C">
              <w:rPr>
                <w:iCs/>
                <w:sz w:val="20"/>
                <w:szCs w:val="20"/>
              </w:rPr>
              <w:t>-</w:t>
            </w:r>
            <w:r w:rsidRPr="00B073E8">
              <w:rPr>
                <w:iCs/>
                <w:sz w:val="20"/>
                <w:szCs w:val="20"/>
              </w:rPr>
              <w:t>diverse, intersex, queer</w:t>
            </w:r>
            <w:r w:rsidR="000A12E0">
              <w:rPr>
                <w:iCs/>
                <w:sz w:val="20"/>
                <w:szCs w:val="20"/>
              </w:rPr>
              <w:t>, asexual and/or other</w:t>
            </w:r>
            <w:r w:rsidRPr="00B073E8">
              <w:rPr>
                <w:iCs/>
                <w:sz w:val="20"/>
                <w:szCs w:val="20"/>
              </w:rPr>
              <w:t xml:space="preserve"> (LGBTIQ</w:t>
            </w:r>
            <w:r w:rsidR="000A12E0">
              <w:rPr>
                <w:iCs/>
                <w:sz w:val="20"/>
                <w:szCs w:val="20"/>
              </w:rPr>
              <w:t>A+</w:t>
            </w:r>
            <w:r w:rsidRPr="00B073E8">
              <w:rPr>
                <w:iCs/>
                <w:sz w:val="20"/>
                <w:szCs w:val="20"/>
              </w:rPr>
              <w:t xml:space="preserve">) populations, sex workers, </w:t>
            </w:r>
            <w:r w:rsidR="00185281">
              <w:rPr>
                <w:iCs/>
                <w:sz w:val="20"/>
                <w:szCs w:val="20"/>
              </w:rPr>
              <w:t xml:space="preserve">people with HIV, </w:t>
            </w:r>
            <w:r w:rsidRPr="00B073E8">
              <w:rPr>
                <w:iCs/>
                <w:sz w:val="20"/>
                <w:szCs w:val="20"/>
              </w:rPr>
              <w:t xml:space="preserve">people who use drugs, Aboriginal and Torres Strait Islander people and </w:t>
            </w:r>
            <w:r w:rsidRPr="00E10C01">
              <w:rPr>
                <w:iCs/>
                <w:sz w:val="20"/>
                <w:szCs w:val="20"/>
              </w:rPr>
              <w:t>CALD</w:t>
            </w:r>
            <w:r w:rsidRPr="00B073E8">
              <w:rPr>
                <w:iCs/>
                <w:sz w:val="20"/>
                <w:szCs w:val="20"/>
              </w:rPr>
              <w:t xml:space="preserve"> populations. </w:t>
            </w:r>
          </w:p>
          <w:p w:rsidR="00604D70" w:rsidRPr="00B073E8" w:rsidRDefault="00604D70" w:rsidP="002616DD">
            <w:pPr>
              <w:spacing w:before="120"/>
              <w:rPr>
                <w:sz w:val="20"/>
                <w:szCs w:val="20"/>
              </w:rPr>
            </w:pPr>
            <w:r w:rsidRPr="00B073E8">
              <w:rPr>
                <w:sz w:val="20"/>
                <w:szCs w:val="20"/>
              </w:rPr>
              <w:t xml:space="preserve">The level of stigma experienced by patients seeking to access STI testing and treatment </w:t>
            </w:r>
            <w:r w:rsidRPr="00757E6E">
              <w:rPr>
                <w:sz w:val="20"/>
                <w:szCs w:val="20"/>
              </w:rPr>
              <w:t xml:space="preserve">is </w:t>
            </w:r>
            <w:r w:rsidRPr="00E10C01">
              <w:rPr>
                <w:sz w:val="20"/>
                <w:szCs w:val="20"/>
              </w:rPr>
              <w:t>impacted</w:t>
            </w:r>
            <w:r w:rsidRPr="00757E6E">
              <w:rPr>
                <w:sz w:val="20"/>
                <w:szCs w:val="20"/>
              </w:rPr>
              <w:t xml:space="preserve"> by att</w:t>
            </w:r>
            <w:r w:rsidRPr="00B073E8">
              <w:rPr>
                <w:sz w:val="20"/>
                <w:szCs w:val="20"/>
              </w:rPr>
              <w:t xml:space="preserve">itudes of health professionals and clinic staff and also </w:t>
            </w:r>
            <w:r w:rsidR="00EE457C">
              <w:rPr>
                <w:sz w:val="20"/>
                <w:szCs w:val="20"/>
              </w:rPr>
              <w:t xml:space="preserve">by </w:t>
            </w:r>
            <w:r w:rsidRPr="00B073E8">
              <w:rPr>
                <w:sz w:val="20"/>
                <w:szCs w:val="20"/>
              </w:rPr>
              <w:t>physical location and environment.</w:t>
            </w:r>
            <w:r>
              <w:rPr>
                <w:rStyle w:val="EndnoteReference"/>
                <w:sz w:val="20"/>
                <w:szCs w:val="20"/>
              </w:rPr>
              <w:t xml:space="preserve">67 </w:t>
            </w:r>
            <w:r w:rsidRPr="00B073E8">
              <w:rPr>
                <w:sz w:val="20"/>
                <w:szCs w:val="20"/>
              </w:rPr>
              <w:t xml:space="preserve">Education in relation to stigma in healthcare settings is considered an integral part of training programs for staff of all specialist, primary healthcare and community-based service providers. The level of stigma in the general community can also be </w:t>
            </w:r>
            <w:r w:rsidRPr="00E10C01">
              <w:rPr>
                <w:sz w:val="20"/>
                <w:szCs w:val="20"/>
              </w:rPr>
              <w:t>impacted</w:t>
            </w:r>
            <w:r w:rsidRPr="00B073E8">
              <w:rPr>
                <w:sz w:val="20"/>
                <w:szCs w:val="20"/>
              </w:rPr>
              <w:t xml:space="preserve"> by messaging contained in mass and social media</w:t>
            </w:r>
            <w:r w:rsidR="000F62EF">
              <w:rPr>
                <w:sz w:val="20"/>
                <w:szCs w:val="20"/>
              </w:rPr>
              <w:t>,</w:t>
            </w:r>
            <w:r w:rsidRPr="00B073E8">
              <w:rPr>
                <w:sz w:val="20"/>
                <w:szCs w:val="20"/>
              </w:rPr>
              <w:t xml:space="preserve"> which often reinforces stereotypes and negative perceptions. Public health efforts must work to educate and promote effective action as well as counter stigma, fear and blame. </w:t>
            </w:r>
          </w:p>
          <w:p w:rsidR="00604D70" w:rsidRPr="00B073E8" w:rsidRDefault="00604D70" w:rsidP="002616DD">
            <w:pPr>
              <w:spacing w:before="120"/>
              <w:rPr>
                <w:sz w:val="20"/>
                <w:szCs w:val="20"/>
              </w:rPr>
            </w:pPr>
            <w:r w:rsidRPr="00B073E8">
              <w:rPr>
                <w:sz w:val="20"/>
                <w:szCs w:val="20"/>
              </w:rPr>
              <w:t xml:space="preserve">This </w:t>
            </w:r>
            <w:r w:rsidR="000F62EF">
              <w:rPr>
                <w:sz w:val="20"/>
                <w:szCs w:val="20"/>
              </w:rPr>
              <w:t>s</w:t>
            </w:r>
            <w:r w:rsidRPr="00B073E8">
              <w:rPr>
                <w:sz w:val="20"/>
                <w:szCs w:val="20"/>
              </w:rPr>
              <w:t>trategy supports continued partnerships with community and peer support groups which seek to break the isolation and marginalisation of priority populations, which ha</w:t>
            </w:r>
            <w:r w:rsidR="00EE457C">
              <w:rPr>
                <w:sz w:val="20"/>
                <w:szCs w:val="20"/>
              </w:rPr>
              <w:t>ve</w:t>
            </w:r>
            <w:r w:rsidRPr="00B073E8">
              <w:rPr>
                <w:sz w:val="20"/>
                <w:szCs w:val="20"/>
              </w:rPr>
              <w:t xml:space="preserve"> been demonstrated to limit the ability of these populations to seek information, </w:t>
            </w:r>
            <w:r>
              <w:rPr>
                <w:sz w:val="20"/>
                <w:szCs w:val="20"/>
              </w:rPr>
              <w:t xml:space="preserve">health care and </w:t>
            </w:r>
            <w:r w:rsidRPr="00B073E8">
              <w:rPr>
                <w:sz w:val="20"/>
                <w:szCs w:val="20"/>
              </w:rPr>
              <w:t xml:space="preserve">support. Programs that address advocacy and empowerment of priority populations to access STI prevention, treatment, care and support in community, education, workplace, healthcare and legal settings should be promoted. </w:t>
            </w:r>
          </w:p>
          <w:p w:rsidR="00604D70" w:rsidRPr="00B073E8" w:rsidRDefault="00604D70" w:rsidP="002616DD">
            <w:pPr>
              <w:spacing w:before="120"/>
              <w:rPr>
                <w:sz w:val="20"/>
                <w:szCs w:val="20"/>
              </w:rPr>
            </w:pPr>
            <w:r w:rsidRPr="00B073E8">
              <w:rPr>
                <w:sz w:val="20"/>
                <w:szCs w:val="20"/>
              </w:rPr>
              <w:t xml:space="preserve">Further </w:t>
            </w:r>
            <w:r>
              <w:rPr>
                <w:sz w:val="20"/>
                <w:szCs w:val="20"/>
              </w:rPr>
              <w:t xml:space="preserve">research and </w:t>
            </w:r>
            <w:r w:rsidRPr="00B073E8">
              <w:rPr>
                <w:sz w:val="20"/>
                <w:szCs w:val="20"/>
              </w:rPr>
              <w:t>data is needed to fully understand the impact of expressed and experienced stigma in relation to STI. This will assist</w:t>
            </w:r>
            <w:r w:rsidR="007C4D40">
              <w:rPr>
                <w:sz w:val="20"/>
                <w:szCs w:val="20"/>
              </w:rPr>
              <w:t xml:space="preserve"> to</w:t>
            </w:r>
            <w:r w:rsidRPr="00B073E8">
              <w:rPr>
                <w:sz w:val="20"/>
                <w:szCs w:val="20"/>
              </w:rPr>
              <w:t xml:space="preserve"> better target responses and measure their impact.</w:t>
            </w:r>
          </w:p>
          <w:p w:rsidR="00604D70" w:rsidRPr="008941FD" w:rsidRDefault="00604D70" w:rsidP="002616DD">
            <w:pPr>
              <w:spacing w:before="120"/>
              <w:rPr>
                <w:szCs w:val="19"/>
              </w:rPr>
            </w:pPr>
            <w:r w:rsidRPr="00B073E8">
              <w:rPr>
                <w:sz w:val="20"/>
                <w:szCs w:val="20"/>
              </w:rPr>
              <w:t xml:space="preserve">The implementation of this </w:t>
            </w:r>
            <w:r w:rsidR="000F62EF">
              <w:rPr>
                <w:sz w:val="20"/>
                <w:szCs w:val="20"/>
              </w:rPr>
              <w:t>s</w:t>
            </w:r>
            <w:r w:rsidRPr="00B073E8">
              <w:rPr>
                <w:sz w:val="20"/>
                <w:szCs w:val="20"/>
              </w:rPr>
              <w:t xml:space="preserve">trategy rests within the health sector. However, many of the barriers to </w:t>
            </w:r>
            <w:r>
              <w:rPr>
                <w:sz w:val="20"/>
                <w:szCs w:val="20"/>
              </w:rPr>
              <w:t xml:space="preserve">equitable </w:t>
            </w:r>
            <w:r w:rsidRPr="00B073E8">
              <w:rPr>
                <w:sz w:val="20"/>
                <w:szCs w:val="20"/>
              </w:rPr>
              <w:t>access and treatment of affected individuals and communities fall outside of the responsibility of the health system. It is important that effective and meaningful dialogue is maintained across sectors and jurisdictions to support knowledge translation and to discuss the potential impacts of any wider decisions on the health of priority populations.</w:t>
            </w:r>
          </w:p>
        </w:tc>
      </w:tr>
      <w:tr w:rsidR="00604D70" w:rsidRPr="0015673A" w:rsidTr="002616DD">
        <w:trPr>
          <w:trHeight w:val="2520"/>
        </w:trPr>
        <w:tc>
          <w:tcPr>
            <w:tcW w:w="5000" w:type="pct"/>
            <w:shd w:val="clear" w:color="auto" w:fill="auto"/>
          </w:tcPr>
          <w:p w:rsidR="00604D70" w:rsidRPr="00610798" w:rsidRDefault="00604D70" w:rsidP="002616DD">
            <w:pPr>
              <w:pStyle w:val="Bullet"/>
              <w:spacing w:before="120" w:after="0"/>
              <w:rPr>
                <w:b/>
                <w:bCs/>
                <w:color w:val="00264D"/>
                <w:sz w:val="20"/>
                <w:szCs w:val="20"/>
              </w:rPr>
            </w:pPr>
            <w:r w:rsidRPr="00E10C01">
              <w:rPr>
                <w:b/>
                <w:sz w:val="20"/>
                <w:szCs w:val="20"/>
              </w:rPr>
              <w:t>Key areas for action</w:t>
            </w:r>
            <w:r w:rsidRPr="00AF4935" w:rsidDel="00EF1D99">
              <w:rPr>
                <w:b/>
                <w:bCs/>
                <w:color w:val="00264D"/>
                <w:sz w:val="20"/>
                <w:szCs w:val="20"/>
              </w:rPr>
              <w:t xml:space="preserve"> </w:t>
            </w:r>
          </w:p>
          <w:p w:rsidR="00604D70" w:rsidRPr="00B073E8" w:rsidRDefault="00604D70" w:rsidP="002616DD">
            <w:pPr>
              <w:pStyle w:val="Bullet"/>
              <w:numPr>
                <w:ilvl w:val="0"/>
                <w:numId w:val="8"/>
              </w:numPr>
              <w:spacing w:before="120" w:after="0"/>
              <w:rPr>
                <w:sz w:val="20"/>
                <w:szCs w:val="20"/>
              </w:rPr>
            </w:pPr>
            <w:r w:rsidRPr="00B073E8">
              <w:rPr>
                <w:sz w:val="20"/>
                <w:szCs w:val="20"/>
              </w:rPr>
              <w:t xml:space="preserve">Implement </w:t>
            </w:r>
            <w:r>
              <w:rPr>
                <w:sz w:val="20"/>
                <w:szCs w:val="20"/>
              </w:rPr>
              <w:t>initiatives</w:t>
            </w:r>
            <w:r w:rsidRPr="00B073E8">
              <w:rPr>
                <w:sz w:val="20"/>
                <w:szCs w:val="20"/>
              </w:rPr>
              <w:t xml:space="preserve"> to address STI-related stigma and discrimination expressed in community and healthcare settings </w:t>
            </w:r>
          </w:p>
          <w:p w:rsidR="00604D70" w:rsidRPr="00B073E8" w:rsidRDefault="00604D70" w:rsidP="002616DD">
            <w:pPr>
              <w:pStyle w:val="Bullet"/>
              <w:numPr>
                <w:ilvl w:val="0"/>
                <w:numId w:val="8"/>
              </w:numPr>
              <w:spacing w:before="120" w:after="0"/>
              <w:rPr>
                <w:sz w:val="20"/>
                <w:szCs w:val="20"/>
              </w:rPr>
            </w:pPr>
            <w:r w:rsidRPr="00B073E8">
              <w:rPr>
                <w:sz w:val="20"/>
                <w:szCs w:val="20"/>
              </w:rPr>
              <w:t xml:space="preserve">Ensure that STI education, prevention, testing and treatment initiatives support efforts to counteract </w:t>
            </w:r>
            <w:r w:rsidR="003C68CD">
              <w:rPr>
                <w:sz w:val="20"/>
                <w:szCs w:val="20"/>
              </w:rPr>
              <w:br/>
            </w:r>
            <w:r w:rsidRPr="00B073E8">
              <w:rPr>
                <w:sz w:val="20"/>
                <w:szCs w:val="20"/>
              </w:rPr>
              <w:t xml:space="preserve">STI-related stigma </w:t>
            </w:r>
          </w:p>
          <w:p w:rsidR="00604D70" w:rsidRPr="00B073E8" w:rsidRDefault="00604D70" w:rsidP="002616DD">
            <w:pPr>
              <w:pStyle w:val="Bullet"/>
              <w:numPr>
                <w:ilvl w:val="0"/>
                <w:numId w:val="8"/>
              </w:numPr>
              <w:spacing w:before="120" w:after="0"/>
              <w:rPr>
                <w:sz w:val="20"/>
                <w:szCs w:val="20"/>
              </w:rPr>
            </w:pPr>
            <w:r w:rsidRPr="00B073E8">
              <w:rPr>
                <w:sz w:val="20"/>
                <w:szCs w:val="20"/>
              </w:rPr>
              <w:t xml:space="preserve">Monitor laws, policies, stigma and discrimination </w:t>
            </w:r>
            <w:r w:rsidRPr="000F62EF">
              <w:rPr>
                <w:sz w:val="20"/>
                <w:szCs w:val="20"/>
              </w:rPr>
              <w:t xml:space="preserve">which </w:t>
            </w:r>
            <w:r w:rsidRPr="00E10C01">
              <w:rPr>
                <w:sz w:val="20"/>
                <w:szCs w:val="20"/>
              </w:rPr>
              <w:t>impact on</w:t>
            </w:r>
            <w:r w:rsidRPr="000F62EF">
              <w:rPr>
                <w:sz w:val="20"/>
                <w:szCs w:val="20"/>
              </w:rPr>
              <w:t xml:space="preserve"> health</w:t>
            </w:r>
            <w:r w:rsidR="00EE457C">
              <w:rPr>
                <w:sz w:val="20"/>
                <w:szCs w:val="20"/>
              </w:rPr>
              <w:t>-</w:t>
            </w:r>
            <w:r w:rsidRPr="00B073E8">
              <w:rPr>
                <w:sz w:val="20"/>
                <w:szCs w:val="20"/>
              </w:rPr>
              <w:t>seeking behaviour among priority populations and their access to testing and services and work to ameliorate legal, regulatory and policy barriers to an appropriate and evidence-based response</w:t>
            </w:r>
          </w:p>
          <w:p w:rsidR="00604D70" w:rsidRPr="00B073E8" w:rsidRDefault="00604D70" w:rsidP="002616DD">
            <w:pPr>
              <w:pStyle w:val="Bullet"/>
              <w:numPr>
                <w:ilvl w:val="0"/>
                <w:numId w:val="8"/>
              </w:numPr>
              <w:spacing w:before="120" w:after="0"/>
              <w:rPr>
                <w:sz w:val="20"/>
                <w:szCs w:val="20"/>
              </w:rPr>
            </w:pPr>
            <w:r w:rsidRPr="00B073E8">
              <w:rPr>
                <w:sz w:val="20"/>
                <w:szCs w:val="20"/>
              </w:rPr>
              <w:t xml:space="preserve">Review and address institutional, regulatory and system policies which create barriers to equality of STI prevention, testing, treatment and support for priority populations </w:t>
            </w:r>
          </w:p>
          <w:p w:rsidR="00604D70" w:rsidRPr="00B073E8" w:rsidRDefault="00604D70" w:rsidP="002616DD">
            <w:pPr>
              <w:pStyle w:val="Bullet"/>
              <w:numPr>
                <w:ilvl w:val="0"/>
                <w:numId w:val="8"/>
              </w:numPr>
              <w:spacing w:before="120" w:after="0"/>
              <w:rPr>
                <w:sz w:val="20"/>
                <w:szCs w:val="20"/>
              </w:rPr>
            </w:pPr>
            <w:r w:rsidRPr="00B073E8">
              <w:rPr>
                <w:sz w:val="20"/>
                <w:szCs w:val="20"/>
              </w:rPr>
              <w:t xml:space="preserve">Establish a dialogue between health and other sectors aimed at reducing stigma and discrimination against </w:t>
            </w:r>
            <w:r w:rsidR="00E90473">
              <w:rPr>
                <w:sz w:val="20"/>
                <w:szCs w:val="20"/>
              </w:rPr>
              <w:t xml:space="preserve">people with </w:t>
            </w:r>
            <w:r w:rsidRPr="00B073E8">
              <w:rPr>
                <w:sz w:val="20"/>
                <w:szCs w:val="20"/>
              </w:rPr>
              <w:t>STI</w:t>
            </w:r>
            <w:r w:rsidR="00DE5A40">
              <w:rPr>
                <w:sz w:val="20"/>
                <w:szCs w:val="20"/>
              </w:rPr>
              <w:t xml:space="preserve"> </w:t>
            </w:r>
            <w:r w:rsidRPr="00B073E8">
              <w:rPr>
                <w:sz w:val="20"/>
                <w:szCs w:val="20"/>
              </w:rPr>
              <w:t>and affected individuals and communities</w:t>
            </w:r>
          </w:p>
          <w:p w:rsidR="00604D70" w:rsidRDefault="00604D70" w:rsidP="002616DD">
            <w:pPr>
              <w:pStyle w:val="Bullet"/>
              <w:spacing w:before="120" w:after="0"/>
            </w:pPr>
          </w:p>
          <w:p w:rsidR="00604D70" w:rsidRPr="00434A39" w:rsidRDefault="00604D70" w:rsidP="002616DD">
            <w:pPr>
              <w:rPr>
                <w:b/>
                <w:color w:val="00264D"/>
                <w:sz w:val="22"/>
              </w:rPr>
            </w:pPr>
            <w:r w:rsidRPr="00434A39">
              <w:rPr>
                <w:b/>
                <w:color w:val="00264D"/>
                <w:sz w:val="22"/>
              </w:rPr>
              <w:t>DATA, SURVEILLANCE, RESEARCH AND EVALUATION</w:t>
            </w:r>
          </w:p>
          <w:p w:rsidR="00604D70" w:rsidRPr="00340DC0" w:rsidRDefault="00604D70" w:rsidP="002616DD">
            <w:pPr>
              <w:pStyle w:val="CommentText"/>
              <w:numPr>
                <w:ilvl w:val="0"/>
                <w:numId w:val="13"/>
              </w:numPr>
              <w:spacing w:after="60"/>
              <w:ind w:left="723"/>
              <w:rPr>
                <w:rFonts w:cs="Segoe UI"/>
                <w:i/>
                <w:lang w:val="en-AU" w:eastAsia="en-US"/>
              </w:rPr>
            </w:pPr>
            <w:r w:rsidRPr="00340DC0">
              <w:rPr>
                <w:rFonts w:cs="Segoe UI"/>
                <w:i/>
                <w:lang w:val="en-AU" w:eastAsia="en-US"/>
              </w:rPr>
              <w:t>Continue to build a strong evidence base for responding to STI</w:t>
            </w:r>
            <w:r w:rsidR="00505001">
              <w:rPr>
                <w:rFonts w:cs="Segoe UI"/>
                <w:i/>
                <w:lang w:val="en-AU" w:eastAsia="en-US"/>
              </w:rPr>
              <w:t xml:space="preserve"> and associated new and emerging challenges</w:t>
            </w:r>
            <w:r w:rsidRPr="00340DC0">
              <w:rPr>
                <w:rFonts w:cs="Segoe UI"/>
                <w:i/>
                <w:lang w:val="en-AU" w:eastAsia="en-US"/>
              </w:rPr>
              <w:t>, informed by high-quality, timely data and surveillance systems</w:t>
            </w:r>
          </w:p>
          <w:p w:rsidR="00604D70" w:rsidRPr="00B073E8" w:rsidRDefault="00604D70" w:rsidP="002616DD">
            <w:pPr>
              <w:rPr>
                <w:iCs/>
                <w:sz w:val="20"/>
                <w:szCs w:val="20"/>
                <w:lang w:val="en-US" w:eastAsia="x-none"/>
              </w:rPr>
            </w:pPr>
            <w:r w:rsidRPr="00B073E8">
              <w:rPr>
                <w:iCs/>
                <w:sz w:val="20"/>
                <w:szCs w:val="20"/>
                <w:lang w:val="en-US" w:eastAsia="x-none"/>
              </w:rPr>
              <w:t xml:space="preserve">Continuous improvement of data collections and systems is important to support a comprehensive understanding of STI in Australia. However, this must be appropriately targeted to avoid unnecessary burden for health services and frontline staff and ensure effective patient privacy and confidentiality. </w:t>
            </w:r>
          </w:p>
          <w:p w:rsidR="00604D70" w:rsidRPr="00B073E8" w:rsidRDefault="00604D70" w:rsidP="002616DD">
            <w:pPr>
              <w:rPr>
                <w:iCs/>
                <w:sz w:val="20"/>
                <w:szCs w:val="20"/>
                <w:lang w:val="en-US" w:eastAsia="x-none"/>
              </w:rPr>
            </w:pPr>
            <w:r w:rsidRPr="00B073E8">
              <w:rPr>
                <w:iCs/>
                <w:sz w:val="20"/>
                <w:szCs w:val="20"/>
                <w:lang w:val="en-US" w:eastAsia="x-none"/>
              </w:rPr>
              <w:t xml:space="preserve">Opportunities to improve the granularity of data to better identify trends and issues of concern in relation to specific priority populations and other demographics need to be </w:t>
            </w:r>
            <w:r w:rsidR="00E90473">
              <w:rPr>
                <w:iCs/>
                <w:sz w:val="20"/>
                <w:szCs w:val="20"/>
                <w:lang w:val="en-US" w:eastAsia="x-none"/>
              </w:rPr>
              <w:t>explored. These opportunities include</w:t>
            </w:r>
            <w:r>
              <w:rPr>
                <w:iCs/>
                <w:sz w:val="20"/>
                <w:szCs w:val="20"/>
                <w:lang w:val="en-US" w:eastAsia="x-none"/>
              </w:rPr>
              <w:t xml:space="preserve"> i</w:t>
            </w:r>
            <w:r w:rsidRPr="00B073E8">
              <w:rPr>
                <w:iCs/>
                <w:sz w:val="20"/>
                <w:szCs w:val="20"/>
                <w:lang w:val="en-US" w:eastAsia="x-none"/>
              </w:rPr>
              <w:t>mprove</w:t>
            </w:r>
            <w:r>
              <w:rPr>
                <w:iCs/>
                <w:sz w:val="20"/>
                <w:szCs w:val="20"/>
                <w:lang w:val="en-US" w:eastAsia="x-none"/>
              </w:rPr>
              <w:t xml:space="preserve">d </w:t>
            </w:r>
            <w:r w:rsidRPr="00B073E8">
              <w:rPr>
                <w:iCs/>
                <w:sz w:val="20"/>
                <w:szCs w:val="20"/>
                <w:lang w:val="en-US" w:eastAsia="x-none"/>
              </w:rPr>
              <w:t xml:space="preserve">reporting of Aboriginal and Torres Strait Islander status in clinical and pathology settings </w:t>
            </w:r>
            <w:r>
              <w:rPr>
                <w:iCs/>
                <w:sz w:val="20"/>
                <w:szCs w:val="20"/>
                <w:lang w:val="en-US" w:eastAsia="x-none"/>
              </w:rPr>
              <w:t xml:space="preserve">and improved </w:t>
            </w:r>
            <w:r w:rsidRPr="00B073E8">
              <w:rPr>
                <w:iCs/>
                <w:sz w:val="20"/>
                <w:szCs w:val="20"/>
                <w:lang w:val="en-US" w:eastAsia="x-none"/>
              </w:rPr>
              <w:t xml:space="preserve">data on stigma and discrimination, gender and sexuality and quality of life for people with STI. There is also a need to improve the timeliness and consistency of data collections across Australia to better support completeness and comparability. Potential areas for greater involvement of community and peer-based </w:t>
            </w:r>
            <w:proofErr w:type="spellStart"/>
            <w:r w:rsidRPr="00B073E8">
              <w:rPr>
                <w:iCs/>
                <w:sz w:val="20"/>
                <w:szCs w:val="20"/>
                <w:lang w:val="en-US" w:eastAsia="x-none"/>
              </w:rPr>
              <w:t>organisations</w:t>
            </w:r>
            <w:proofErr w:type="spellEnd"/>
            <w:r w:rsidRPr="00B073E8">
              <w:rPr>
                <w:iCs/>
                <w:sz w:val="20"/>
                <w:szCs w:val="20"/>
                <w:lang w:val="en-US" w:eastAsia="x-none"/>
              </w:rPr>
              <w:t xml:space="preserve"> in surveillance also need to be identified given their strong knowledge of priority populations.  </w:t>
            </w:r>
          </w:p>
          <w:p w:rsidR="00604D70" w:rsidRPr="00B073E8" w:rsidRDefault="00604D70" w:rsidP="002616DD">
            <w:pPr>
              <w:rPr>
                <w:iCs/>
                <w:sz w:val="20"/>
                <w:szCs w:val="20"/>
              </w:rPr>
            </w:pPr>
            <w:r w:rsidRPr="00B073E8">
              <w:rPr>
                <w:iCs/>
                <w:sz w:val="20"/>
                <w:szCs w:val="20"/>
              </w:rPr>
              <w:t xml:space="preserve">There has been progress </w:t>
            </w:r>
            <w:r w:rsidR="00EE457C">
              <w:rPr>
                <w:iCs/>
                <w:sz w:val="20"/>
                <w:szCs w:val="20"/>
              </w:rPr>
              <w:t xml:space="preserve">in </w:t>
            </w:r>
            <w:r w:rsidRPr="00B073E8">
              <w:rPr>
                <w:iCs/>
                <w:sz w:val="20"/>
                <w:szCs w:val="20"/>
              </w:rPr>
              <w:t>improv</w:t>
            </w:r>
            <w:r w:rsidR="00EE457C">
              <w:rPr>
                <w:iCs/>
                <w:sz w:val="20"/>
                <w:szCs w:val="20"/>
              </w:rPr>
              <w:t>ing</w:t>
            </w:r>
            <w:r w:rsidRPr="00B073E8">
              <w:rPr>
                <w:iCs/>
                <w:sz w:val="20"/>
                <w:szCs w:val="20"/>
              </w:rPr>
              <w:t xml:space="preserve"> the surveillance of STI incidence and testing coverage among priority populations</w:t>
            </w:r>
            <w:r w:rsidR="00EE457C">
              <w:rPr>
                <w:iCs/>
                <w:sz w:val="20"/>
                <w:szCs w:val="20"/>
              </w:rPr>
              <w:t>.</w:t>
            </w:r>
            <w:r w:rsidRPr="00B073E8">
              <w:rPr>
                <w:iCs/>
                <w:sz w:val="20"/>
                <w:szCs w:val="20"/>
              </w:rPr>
              <w:t xml:space="preserve"> </w:t>
            </w:r>
            <w:r w:rsidR="00EE457C">
              <w:rPr>
                <w:iCs/>
                <w:sz w:val="20"/>
                <w:szCs w:val="20"/>
              </w:rPr>
              <w:t>H</w:t>
            </w:r>
            <w:r w:rsidRPr="00B073E8">
              <w:rPr>
                <w:iCs/>
                <w:sz w:val="20"/>
                <w:szCs w:val="20"/>
              </w:rPr>
              <w:t>owever</w:t>
            </w:r>
            <w:r w:rsidR="00EE457C">
              <w:rPr>
                <w:iCs/>
                <w:sz w:val="20"/>
                <w:szCs w:val="20"/>
              </w:rPr>
              <w:t>,</w:t>
            </w:r>
            <w:r w:rsidRPr="00B073E8">
              <w:rPr>
                <w:iCs/>
                <w:sz w:val="20"/>
                <w:szCs w:val="20"/>
              </w:rPr>
              <w:t xml:space="preserve"> gaps in epidemiological, behavioura</w:t>
            </w:r>
            <w:r>
              <w:rPr>
                <w:iCs/>
                <w:sz w:val="20"/>
                <w:szCs w:val="20"/>
              </w:rPr>
              <w:t xml:space="preserve">l and demographic data remain. </w:t>
            </w:r>
            <w:r w:rsidRPr="00B073E8">
              <w:rPr>
                <w:rFonts w:cs="Gotham Book"/>
                <w:color w:val="000000"/>
                <w:sz w:val="20"/>
                <w:szCs w:val="20"/>
              </w:rPr>
              <w:t>Gaps remain in our knowledge of STI testing coverage and the prevalence, incidence and impact of STI on particular priority populations, including CALD people</w:t>
            </w:r>
            <w:r>
              <w:rPr>
                <w:rFonts w:cs="Gotham Book"/>
                <w:color w:val="000000"/>
                <w:sz w:val="20"/>
                <w:szCs w:val="20"/>
              </w:rPr>
              <w:t xml:space="preserve">, </w:t>
            </w:r>
            <w:r w:rsidRPr="00B073E8">
              <w:rPr>
                <w:rFonts w:cs="Gotham Book"/>
                <w:color w:val="000000"/>
                <w:sz w:val="20"/>
                <w:szCs w:val="20"/>
              </w:rPr>
              <w:t>Aboriginal and Torres Strait Islander people</w:t>
            </w:r>
            <w:r>
              <w:rPr>
                <w:rFonts w:cs="Gotham Book"/>
                <w:color w:val="000000"/>
                <w:sz w:val="20"/>
                <w:szCs w:val="20"/>
              </w:rPr>
              <w:t xml:space="preserve"> and other populations including trans and gender</w:t>
            </w:r>
            <w:r w:rsidR="00EE457C">
              <w:rPr>
                <w:rFonts w:cs="Gotham Book"/>
                <w:color w:val="000000"/>
                <w:sz w:val="20"/>
                <w:szCs w:val="20"/>
              </w:rPr>
              <w:t>-</w:t>
            </w:r>
            <w:r>
              <w:rPr>
                <w:rFonts w:cs="Gotham Book"/>
                <w:color w:val="000000"/>
                <w:sz w:val="20"/>
                <w:szCs w:val="20"/>
              </w:rPr>
              <w:t>diverse people</w:t>
            </w:r>
            <w:r w:rsidRPr="00B073E8">
              <w:rPr>
                <w:rFonts w:cs="Gotham Book"/>
                <w:color w:val="000000"/>
                <w:sz w:val="20"/>
                <w:szCs w:val="20"/>
              </w:rPr>
              <w:t xml:space="preserve">. </w:t>
            </w:r>
            <w:r w:rsidRPr="00B073E8">
              <w:rPr>
                <w:iCs/>
                <w:sz w:val="20"/>
                <w:szCs w:val="20"/>
              </w:rPr>
              <w:t>This limits capacity to rapidly identify and respond to changes in STI incidence as well as other epidemiological and behavioural changes among priority populations.</w:t>
            </w:r>
          </w:p>
          <w:p w:rsidR="00604D70" w:rsidRPr="00B073E8" w:rsidRDefault="00604D70" w:rsidP="002616DD">
            <w:pPr>
              <w:rPr>
                <w:iCs/>
                <w:sz w:val="20"/>
                <w:szCs w:val="20"/>
              </w:rPr>
            </w:pPr>
            <w:r w:rsidRPr="00B073E8">
              <w:rPr>
                <w:iCs/>
                <w:sz w:val="20"/>
                <w:szCs w:val="20"/>
              </w:rPr>
              <w:t>Surveillance data are currently only collected for the four notifiable</w:t>
            </w:r>
            <w:r w:rsidRPr="00B073E8">
              <w:rPr>
                <w:rStyle w:val="FootnoteReference"/>
                <w:iCs/>
                <w:sz w:val="20"/>
                <w:szCs w:val="20"/>
              </w:rPr>
              <w:footnoteReference w:id="9"/>
            </w:r>
            <w:r w:rsidRPr="00B073E8">
              <w:rPr>
                <w:iCs/>
                <w:sz w:val="20"/>
                <w:szCs w:val="20"/>
              </w:rPr>
              <w:t xml:space="preserve"> STI at the national level, limiting understanding of the full impact of STI in Australia. </w:t>
            </w:r>
            <w:r>
              <w:rPr>
                <w:iCs/>
                <w:sz w:val="20"/>
                <w:szCs w:val="20"/>
              </w:rPr>
              <w:t>S</w:t>
            </w:r>
            <w:r w:rsidRPr="00B073E8">
              <w:rPr>
                <w:iCs/>
                <w:sz w:val="20"/>
                <w:szCs w:val="20"/>
              </w:rPr>
              <w:t xml:space="preserve">ome populations and locations </w:t>
            </w:r>
            <w:r>
              <w:rPr>
                <w:iCs/>
                <w:sz w:val="20"/>
                <w:szCs w:val="20"/>
              </w:rPr>
              <w:t xml:space="preserve">are known to </w:t>
            </w:r>
            <w:r w:rsidRPr="00B073E8">
              <w:rPr>
                <w:iCs/>
                <w:sz w:val="20"/>
                <w:szCs w:val="20"/>
              </w:rPr>
              <w:t>experience high rates of non-</w:t>
            </w:r>
            <w:r>
              <w:rPr>
                <w:iCs/>
                <w:sz w:val="20"/>
                <w:szCs w:val="20"/>
              </w:rPr>
              <w:t xml:space="preserve">nationally </w:t>
            </w:r>
            <w:r w:rsidRPr="00B073E8">
              <w:rPr>
                <w:iCs/>
                <w:sz w:val="20"/>
                <w:szCs w:val="20"/>
              </w:rPr>
              <w:t xml:space="preserve">notifiable STI, such as the high rates of </w:t>
            </w:r>
            <w:r w:rsidRPr="00B073E8">
              <w:rPr>
                <w:i/>
                <w:sz w:val="20"/>
                <w:szCs w:val="20"/>
              </w:rPr>
              <w:t xml:space="preserve">Trichomonas vaginalis </w:t>
            </w:r>
            <w:r w:rsidRPr="00B073E8">
              <w:rPr>
                <w:iCs/>
                <w:sz w:val="20"/>
                <w:szCs w:val="20"/>
              </w:rPr>
              <w:t xml:space="preserve">and endemic rates of HTLV-1 among many remote Aboriginal </w:t>
            </w:r>
            <w:r w:rsidR="007C4D40">
              <w:rPr>
                <w:iCs/>
                <w:sz w:val="20"/>
                <w:szCs w:val="20"/>
              </w:rPr>
              <w:t xml:space="preserve">and Torres Strait Islander </w:t>
            </w:r>
            <w:r w:rsidRPr="00B073E8">
              <w:rPr>
                <w:iCs/>
                <w:sz w:val="20"/>
                <w:szCs w:val="20"/>
              </w:rPr>
              <w:t xml:space="preserve">communities. </w:t>
            </w:r>
          </w:p>
          <w:p w:rsidR="00604D70" w:rsidRDefault="00604D70" w:rsidP="002616DD">
            <w:pPr>
              <w:spacing w:before="80"/>
              <w:rPr>
                <w:iCs/>
                <w:sz w:val="20"/>
                <w:szCs w:val="20"/>
              </w:rPr>
            </w:pPr>
            <w:r w:rsidRPr="00B073E8">
              <w:rPr>
                <w:iCs/>
                <w:sz w:val="20"/>
                <w:szCs w:val="20"/>
              </w:rPr>
              <w:t xml:space="preserve">As well as having access to high-quality, timely surveillance data, it is critical that opportunities to improve </w:t>
            </w:r>
            <w:r>
              <w:rPr>
                <w:iCs/>
                <w:sz w:val="20"/>
                <w:szCs w:val="20"/>
              </w:rPr>
              <w:t xml:space="preserve">the </w:t>
            </w:r>
            <w:r w:rsidRPr="00B073E8">
              <w:rPr>
                <w:iCs/>
                <w:sz w:val="20"/>
                <w:szCs w:val="20"/>
              </w:rPr>
              <w:t xml:space="preserve">capacity to </w:t>
            </w:r>
            <w:r>
              <w:rPr>
                <w:iCs/>
                <w:sz w:val="20"/>
                <w:szCs w:val="20"/>
              </w:rPr>
              <w:t xml:space="preserve">respond to </w:t>
            </w:r>
            <w:r w:rsidRPr="00B073E8">
              <w:rPr>
                <w:iCs/>
                <w:sz w:val="20"/>
                <w:szCs w:val="20"/>
              </w:rPr>
              <w:t xml:space="preserve">current and emerging STI issues are </w:t>
            </w:r>
            <w:r>
              <w:rPr>
                <w:iCs/>
                <w:sz w:val="20"/>
                <w:szCs w:val="20"/>
              </w:rPr>
              <w:t>explored</w:t>
            </w:r>
            <w:r w:rsidRPr="00B073E8">
              <w:rPr>
                <w:iCs/>
                <w:sz w:val="20"/>
                <w:szCs w:val="20"/>
              </w:rPr>
              <w:t>. Improved patient mana</w:t>
            </w:r>
            <w:r>
              <w:rPr>
                <w:iCs/>
                <w:sz w:val="20"/>
                <w:szCs w:val="20"/>
              </w:rPr>
              <w:t>gement and notification systems</w:t>
            </w:r>
            <w:r w:rsidRPr="00B073E8">
              <w:rPr>
                <w:iCs/>
                <w:sz w:val="20"/>
                <w:szCs w:val="20"/>
              </w:rPr>
              <w:t xml:space="preserve"> and cl</w:t>
            </w:r>
            <w:r>
              <w:rPr>
                <w:iCs/>
                <w:sz w:val="20"/>
                <w:szCs w:val="20"/>
              </w:rPr>
              <w:t xml:space="preserve">ear roles and responsibilities </w:t>
            </w:r>
            <w:r w:rsidRPr="00B073E8">
              <w:rPr>
                <w:iCs/>
                <w:sz w:val="20"/>
                <w:szCs w:val="20"/>
              </w:rPr>
              <w:t>are necessary to support effective responses to increased STI incidence</w:t>
            </w:r>
            <w:r>
              <w:rPr>
                <w:iCs/>
                <w:sz w:val="20"/>
                <w:szCs w:val="20"/>
              </w:rPr>
              <w:t>, including during outbreaks</w:t>
            </w:r>
            <w:r w:rsidRPr="00B073E8">
              <w:rPr>
                <w:iCs/>
                <w:sz w:val="20"/>
                <w:szCs w:val="20"/>
              </w:rPr>
              <w:t xml:space="preserve">. Comprehensive follow-up treatment and effective contact tracing, measures to prevent further transmission, and review of STI treatment guidelines are all essential elements of an effective response.  </w:t>
            </w:r>
          </w:p>
          <w:p w:rsidR="00604D70" w:rsidRPr="00B073E8" w:rsidRDefault="00604D70" w:rsidP="002616DD">
            <w:pPr>
              <w:spacing w:before="80"/>
              <w:rPr>
                <w:iCs/>
                <w:sz w:val="20"/>
                <w:szCs w:val="20"/>
              </w:rPr>
            </w:pPr>
            <w:r w:rsidRPr="00B073E8">
              <w:rPr>
                <w:iCs/>
                <w:sz w:val="20"/>
                <w:szCs w:val="20"/>
              </w:rPr>
              <w:t>Partnership arrangements involving general practice and s</w:t>
            </w:r>
            <w:r>
              <w:rPr>
                <w:iCs/>
                <w:sz w:val="20"/>
                <w:szCs w:val="20"/>
              </w:rPr>
              <w:t>exual health</w:t>
            </w:r>
            <w:r w:rsidRPr="00B073E8">
              <w:rPr>
                <w:iCs/>
                <w:sz w:val="20"/>
                <w:szCs w:val="20"/>
              </w:rPr>
              <w:t xml:space="preserve"> services may be needed to support active case finding, testing and contact tracing in high</w:t>
            </w:r>
            <w:r w:rsidR="00DE5A40">
              <w:rPr>
                <w:iCs/>
                <w:sz w:val="20"/>
                <w:szCs w:val="20"/>
              </w:rPr>
              <w:t>-</w:t>
            </w:r>
            <w:r w:rsidRPr="00B073E8">
              <w:rPr>
                <w:iCs/>
                <w:sz w:val="20"/>
                <w:szCs w:val="20"/>
              </w:rPr>
              <w:t xml:space="preserve">prevalence areas in order to minimise time between infection and treatment and to reduce incidence and prevalence. In some instances, dedicated local or regional staff may also be needed to support the quality and organisation of responses. </w:t>
            </w:r>
          </w:p>
          <w:p w:rsidR="00604D70" w:rsidRPr="00B073E8" w:rsidRDefault="00604D70" w:rsidP="002616DD">
            <w:pPr>
              <w:rPr>
                <w:iCs/>
                <w:sz w:val="20"/>
                <w:szCs w:val="20"/>
              </w:rPr>
            </w:pPr>
            <w:r w:rsidRPr="00B073E8">
              <w:rPr>
                <w:iCs/>
                <w:sz w:val="20"/>
                <w:szCs w:val="20"/>
              </w:rPr>
              <w:t xml:space="preserve">Surveillance is vital to the detection and monitoring </w:t>
            </w:r>
            <w:r>
              <w:rPr>
                <w:iCs/>
                <w:sz w:val="20"/>
                <w:szCs w:val="20"/>
              </w:rPr>
              <w:t xml:space="preserve">of </w:t>
            </w:r>
            <w:r w:rsidRPr="00B073E8">
              <w:rPr>
                <w:iCs/>
                <w:sz w:val="20"/>
                <w:szCs w:val="20"/>
              </w:rPr>
              <w:t>emerging issues</w:t>
            </w:r>
            <w:r>
              <w:rPr>
                <w:iCs/>
                <w:sz w:val="20"/>
                <w:szCs w:val="20"/>
              </w:rPr>
              <w:t xml:space="preserve">, including AMR in organisms which cause STI, and to inform appropriate clinical and prescribing guidelines and practices. </w:t>
            </w:r>
            <w:r w:rsidRPr="00B073E8">
              <w:rPr>
                <w:iCs/>
                <w:sz w:val="20"/>
                <w:szCs w:val="20"/>
              </w:rPr>
              <w:t>The</w:t>
            </w:r>
            <w:r>
              <w:rPr>
                <w:iCs/>
                <w:sz w:val="20"/>
                <w:szCs w:val="20"/>
              </w:rPr>
              <w:t xml:space="preserve"> National AMR Strategy</w:t>
            </w:r>
            <w:r w:rsidRPr="00B073E8">
              <w:rPr>
                <w:i/>
                <w:sz w:val="20"/>
                <w:szCs w:val="20"/>
              </w:rPr>
              <w:t xml:space="preserve"> </w:t>
            </w:r>
            <w:r w:rsidRPr="00B073E8">
              <w:rPr>
                <w:sz w:val="20"/>
                <w:szCs w:val="20"/>
              </w:rPr>
              <w:t xml:space="preserve">lists </w:t>
            </w:r>
            <w:r w:rsidRPr="00E90473">
              <w:rPr>
                <w:i/>
                <w:sz w:val="20"/>
                <w:szCs w:val="20"/>
              </w:rPr>
              <w:t>Neisseria gonorrhoeae</w:t>
            </w:r>
            <w:r w:rsidRPr="00E90473">
              <w:rPr>
                <w:sz w:val="20"/>
                <w:szCs w:val="20"/>
              </w:rPr>
              <w:t xml:space="preserve"> and </w:t>
            </w:r>
            <w:proofErr w:type="spellStart"/>
            <w:r w:rsidRPr="00E90473">
              <w:rPr>
                <w:i/>
                <w:sz w:val="20"/>
                <w:szCs w:val="20"/>
              </w:rPr>
              <w:t>Shigella</w:t>
            </w:r>
            <w:proofErr w:type="spellEnd"/>
            <w:r w:rsidRPr="00DE5A40">
              <w:rPr>
                <w:sz w:val="20"/>
                <w:szCs w:val="20"/>
              </w:rPr>
              <w:t>,</w:t>
            </w:r>
            <w:r w:rsidRPr="00B073E8">
              <w:rPr>
                <w:sz w:val="20"/>
                <w:szCs w:val="20"/>
              </w:rPr>
              <w:t xml:space="preserve"> both sexually transmissible, as priority organisms for surveillance. </w:t>
            </w:r>
            <w:r w:rsidRPr="00B073E8">
              <w:rPr>
                <w:iCs/>
                <w:sz w:val="20"/>
                <w:szCs w:val="20"/>
              </w:rPr>
              <w:t xml:space="preserve">There is also increasing concern about resistance in </w:t>
            </w:r>
            <w:r w:rsidRPr="00B073E8">
              <w:rPr>
                <w:i/>
                <w:iCs/>
                <w:sz w:val="20"/>
                <w:szCs w:val="20"/>
              </w:rPr>
              <w:t xml:space="preserve">Mycoplasma </w:t>
            </w:r>
            <w:proofErr w:type="spellStart"/>
            <w:r w:rsidRPr="00B073E8">
              <w:rPr>
                <w:i/>
                <w:iCs/>
                <w:sz w:val="20"/>
                <w:szCs w:val="20"/>
              </w:rPr>
              <w:t>genitalium</w:t>
            </w:r>
            <w:proofErr w:type="spellEnd"/>
            <w:r w:rsidRPr="00B073E8">
              <w:rPr>
                <w:i/>
                <w:iCs/>
                <w:sz w:val="20"/>
                <w:szCs w:val="20"/>
              </w:rPr>
              <w:t>.</w:t>
            </w:r>
            <w:r w:rsidRPr="004C6E53">
              <w:rPr>
                <w:rStyle w:val="EndnoteReference"/>
                <w:iCs/>
                <w:sz w:val="20"/>
                <w:szCs w:val="20"/>
              </w:rPr>
              <w:endnoteReference w:id="80"/>
            </w:r>
            <w:r>
              <w:rPr>
                <w:iCs/>
                <w:sz w:val="20"/>
                <w:szCs w:val="20"/>
              </w:rPr>
              <w:t xml:space="preserve"> </w:t>
            </w:r>
            <w:r w:rsidRPr="00B073E8">
              <w:rPr>
                <w:iCs/>
                <w:sz w:val="20"/>
                <w:szCs w:val="20"/>
              </w:rPr>
              <w:t xml:space="preserve">Resistance in </w:t>
            </w:r>
            <w:r w:rsidRPr="00B073E8">
              <w:rPr>
                <w:i/>
                <w:iCs/>
                <w:sz w:val="20"/>
                <w:szCs w:val="20"/>
              </w:rPr>
              <w:t>Chlamydia trachomatis</w:t>
            </w:r>
            <w:r w:rsidRPr="00B073E8">
              <w:rPr>
                <w:iCs/>
                <w:sz w:val="20"/>
                <w:szCs w:val="20"/>
              </w:rPr>
              <w:t xml:space="preserve"> is less common, but </w:t>
            </w:r>
            <w:r w:rsidR="00EE457C">
              <w:rPr>
                <w:iCs/>
                <w:sz w:val="20"/>
                <w:szCs w:val="20"/>
              </w:rPr>
              <w:t xml:space="preserve">it </w:t>
            </w:r>
            <w:r w:rsidRPr="00B073E8">
              <w:rPr>
                <w:iCs/>
                <w:sz w:val="20"/>
                <w:szCs w:val="20"/>
              </w:rPr>
              <w:t xml:space="preserve">remains a risk. </w:t>
            </w:r>
            <w:r w:rsidRPr="00B073E8">
              <w:rPr>
                <w:sz w:val="20"/>
                <w:szCs w:val="20"/>
              </w:rPr>
              <w:t xml:space="preserve">Surveillance arrangements under the National AMR Strategy aim to identify and monitor emerging issues and periodically review the list of priority organisms for inclusion. </w:t>
            </w:r>
          </w:p>
          <w:p w:rsidR="003C68CD" w:rsidRDefault="003C68CD" w:rsidP="002616DD">
            <w:pPr>
              <w:pStyle w:val="Listnumbered"/>
              <w:numPr>
                <w:ilvl w:val="0"/>
                <w:numId w:val="0"/>
              </w:numPr>
              <w:rPr>
                <w:iCs/>
                <w:sz w:val="20"/>
                <w:szCs w:val="20"/>
              </w:rPr>
            </w:pPr>
            <w:r w:rsidRPr="00B073E8">
              <w:rPr>
                <w:sz w:val="20"/>
                <w:szCs w:val="20"/>
              </w:rPr>
              <w:t xml:space="preserve">In partnership with the community sector, research </w:t>
            </w:r>
            <w:r w:rsidR="00DE5A40">
              <w:rPr>
                <w:sz w:val="20"/>
                <w:szCs w:val="20"/>
              </w:rPr>
              <w:t xml:space="preserve">on </w:t>
            </w:r>
            <w:r w:rsidRPr="00B073E8">
              <w:rPr>
                <w:sz w:val="20"/>
                <w:szCs w:val="20"/>
              </w:rPr>
              <w:t>the social, behavioural, clinical and structural drivers for and barriers to achieving optimal sexual health for all Australians</w:t>
            </w:r>
            <w:r w:rsidR="00DE5A40">
              <w:rPr>
                <w:sz w:val="20"/>
                <w:szCs w:val="20"/>
              </w:rPr>
              <w:t xml:space="preserve"> must continue</w:t>
            </w:r>
            <w:r w:rsidRPr="00B073E8">
              <w:rPr>
                <w:sz w:val="20"/>
                <w:szCs w:val="20"/>
              </w:rPr>
              <w:t xml:space="preserve">. </w:t>
            </w:r>
            <w:r>
              <w:rPr>
                <w:iCs/>
                <w:sz w:val="20"/>
                <w:szCs w:val="20"/>
              </w:rPr>
              <w:t xml:space="preserve">The epidemiology of STI in Australia is changing rapidly. Understanding the drivers of these changes is key to developing the most appropriate public health response. </w:t>
            </w:r>
            <w:r w:rsidR="00604D70" w:rsidRPr="00B073E8">
              <w:rPr>
                <w:iCs/>
                <w:sz w:val="20"/>
                <w:szCs w:val="20"/>
              </w:rPr>
              <w:t xml:space="preserve">Research is important to identify and examine the key changes in the epidemiology, </w:t>
            </w:r>
            <w:r w:rsidR="00604D70" w:rsidRPr="00B073E8">
              <w:rPr>
                <w:sz w:val="20"/>
                <w:szCs w:val="20"/>
              </w:rPr>
              <w:t>knowledge and attitudes about sexual health and sexual health behaviours among priority populations</w:t>
            </w:r>
            <w:r w:rsidR="00604D70" w:rsidRPr="00B073E8">
              <w:rPr>
                <w:iCs/>
                <w:sz w:val="20"/>
                <w:szCs w:val="20"/>
              </w:rPr>
              <w:t xml:space="preserve"> (for example, </w:t>
            </w:r>
            <w:r w:rsidR="00604D70" w:rsidRPr="00B073E8">
              <w:rPr>
                <w:sz w:val="20"/>
                <w:szCs w:val="20"/>
              </w:rPr>
              <w:t>patterns of sex work, mobility and migration); drivers of high</w:t>
            </w:r>
            <w:r w:rsidR="00EE457C">
              <w:rPr>
                <w:sz w:val="20"/>
                <w:szCs w:val="20"/>
              </w:rPr>
              <w:t>-</w:t>
            </w:r>
            <w:r w:rsidR="00604D70" w:rsidRPr="00B073E8">
              <w:rPr>
                <w:sz w:val="20"/>
                <w:szCs w:val="20"/>
              </w:rPr>
              <w:t xml:space="preserve">risk behaviours (such as alcohol and drug use); </w:t>
            </w:r>
            <w:r w:rsidR="00604D70" w:rsidRPr="00B073E8">
              <w:rPr>
                <w:iCs/>
                <w:sz w:val="20"/>
                <w:szCs w:val="20"/>
              </w:rPr>
              <w:t>emerging issues and concerns; and barriers and</w:t>
            </w:r>
            <w:r w:rsidR="007C4D40">
              <w:rPr>
                <w:iCs/>
                <w:sz w:val="20"/>
                <w:szCs w:val="20"/>
              </w:rPr>
              <w:t xml:space="preserve"> enablers to accessing evidence</w:t>
            </w:r>
            <w:r w:rsidR="007C4D40">
              <w:rPr>
                <w:iCs/>
                <w:sz w:val="20"/>
                <w:szCs w:val="20"/>
              </w:rPr>
              <w:noBreakHyphen/>
            </w:r>
            <w:r w:rsidR="00604D70" w:rsidRPr="00B073E8">
              <w:rPr>
                <w:iCs/>
                <w:sz w:val="20"/>
                <w:szCs w:val="20"/>
              </w:rPr>
              <w:t xml:space="preserve">based prevention, testing and treatment across jurisdictions. This research is critical in informing targeted responses in priority populations and settings, including identifying </w:t>
            </w:r>
            <w:r w:rsidR="00604D70" w:rsidRPr="00B073E8">
              <w:rPr>
                <w:sz w:val="20"/>
                <w:szCs w:val="20"/>
              </w:rPr>
              <w:t>particularly vulnerable or marginalised people.</w:t>
            </w:r>
            <w:r w:rsidR="00604D70" w:rsidRPr="00B073E8">
              <w:rPr>
                <w:iCs/>
                <w:sz w:val="20"/>
                <w:szCs w:val="20"/>
              </w:rPr>
              <w:t xml:space="preserve"> </w:t>
            </w:r>
          </w:p>
          <w:p w:rsidR="003C68CD" w:rsidRDefault="00604D70" w:rsidP="003C68CD">
            <w:pPr>
              <w:pStyle w:val="Listnumbered"/>
              <w:numPr>
                <w:ilvl w:val="0"/>
                <w:numId w:val="0"/>
              </w:numPr>
              <w:rPr>
                <w:sz w:val="20"/>
                <w:szCs w:val="20"/>
              </w:rPr>
            </w:pPr>
            <w:r w:rsidRPr="00B073E8">
              <w:rPr>
                <w:iCs/>
                <w:sz w:val="20"/>
                <w:szCs w:val="20"/>
              </w:rPr>
              <w:t xml:space="preserve">Partnerships between research institutes, clinicians and community and peer-based organisations are valuable, as </w:t>
            </w:r>
            <w:r>
              <w:rPr>
                <w:iCs/>
                <w:sz w:val="20"/>
                <w:szCs w:val="20"/>
              </w:rPr>
              <w:t xml:space="preserve">clinicians, </w:t>
            </w:r>
            <w:r w:rsidRPr="00B073E8">
              <w:rPr>
                <w:iCs/>
                <w:sz w:val="20"/>
                <w:szCs w:val="20"/>
              </w:rPr>
              <w:t>community and peer-based organisations are often the first to identify changes in behaviours, social interactions and demographics of priority populations. Maintaining a strong research agenda and program that informs and responds to the priority actions of th</w:t>
            </w:r>
            <w:r w:rsidR="00DE5A40">
              <w:rPr>
                <w:iCs/>
                <w:sz w:val="20"/>
                <w:szCs w:val="20"/>
              </w:rPr>
              <w:t>is</w:t>
            </w:r>
            <w:r w:rsidRPr="00B073E8">
              <w:rPr>
                <w:iCs/>
                <w:sz w:val="20"/>
                <w:szCs w:val="20"/>
              </w:rPr>
              <w:t xml:space="preserve"> </w:t>
            </w:r>
            <w:r w:rsidR="00DE5A40">
              <w:rPr>
                <w:iCs/>
                <w:sz w:val="20"/>
                <w:szCs w:val="20"/>
              </w:rPr>
              <w:t>s</w:t>
            </w:r>
            <w:r w:rsidRPr="00B073E8">
              <w:rPr>
                <w:iCs/>
                <w:sz w:val="20"/>
                <w:szCs w:val="20"/>
              </w:rPr>
              <w:t>trategy ensures that implementation is supported by a strong, relevant evidence</w:t>
            </w:r>
            <w:r w:rsidR="00EE457C">
              <w:rPr>
                <w:iCs/>
                <w:sz w:val="20"/>
                <w:szCs w:val="20"/>
              </w:rPr>
              <w:t xml:space="preserve"> </w:t>
            </w:r>
            <w:r w:rsidRPr="00B073E8">
              <w:rPr>
                <w:iCs/>
                <w:sz w:val="20"/>
                <w:szCs w:val="20"/>
              </w:rPr>
              <w:t xml:space="preserve">base. </w:t>
            </w:r>
          </w:p>
          <w:p w:rsidR="00604D70" w:rsidRDefault="00604D70" w:rsidP="002616DD">
            <w:pPr>
              <w:pStyle w:val="Bullet"/>
              <w:spacing w:before="120" w:after="0"/>
              <w:rPr>
                <w:iCs/>
                <w:sz w:val="20"/>
                <w:szCs w:val="20"/>
              </w:rPr>
            </w:pPr>
            <w:r w:rsidRPr="00B073E8">
              <w:rPr>
                <w:iCs/>
                <w:sz w:val="20"/>
                <w:szCs w:val="20"/>
              </w:rPr>
              <w:t xml:space="preserve">The </w:t>
            </w:r>
            <w:r w:rsidRPr="00EE457C">
              <w:rPr>
                <w:iCs/>
                <w:sz w:val="20"/>
                <w:szCs w:val="20"/>
              </w:rPr>
              <w:t>National BBV and STI Surveillance and Monitoring Plan</w:t>
            </w:r>
            <w:r w:rsidRPr="00B073E8">
              <w:rPr>
                <w:iCs/>
                <w:sz w:val="20"/>
                <w:szCs w:val="20"/>
              </w:rPr>
              <w:t xml:space="preserve"> will be developed to measure and monitor the implementation of this </w:t>
            </w:r>
            <w:r w:rsidR="00DE5A40">
              <w:rPr>
                <w:iCs/>
                <w:sz w:val="20"/>
                <w:szCs w:val="20"/>
              </w:rPr>
              <w:t>s</w:t>
            </w:r>
            <w:r w:rsidRPr="00B073E8">
              <w:rPr>
                <w:iCs/>
                <w:sz w:val="20"/>
                <w:szCs w:val="20"/>
              </w:rPr>
              <w:t xml:space="preserve">trategy through the identification and development of indicators to measure progress towards achieving the </w:t>
            </w:r>
            <w:r w:rsidR="00DE5A40">
              <w:rPr>
                <w:iCs/>
                <w:sz w:val="20"/>
                <w:szCs w:val="20"/>
              </w:rPr>
              <w:t>s</w:t>
            </w:r>
            <w:r w:rsidRPr="00B073E8">
              <w:rPr>
                <w:iCs/>
                <w:sz w:val="20"/>
                <w:szCs w:val="20"/>
              </w:rPr>
              <w:t xml:space="preserve">trategy’s targets. The evaluation of existing, and development of new, STI activities and programs will </w:t>
            </w:r>
            <w:r>
              <w:rPr>
                <w:iCs/>
                <w:sz w:val="20"/>
                <w:szCs w:val="20"/>
              </w:rPr>
              <w:t>ensure</w:t>
            </w:r>
            <w:r w:rsidRPr="00B073E8">
              <w:rPr>
                <w:iCs/>
                <w:sz w:val="20"/>
                <w:szCs w:val="20"/>
              </w:rPr>
              <w:t xml:space="preserve"> their alignment with the priority areas for action set out in this </w:t>
            </w:r>
            <w:r w:rsidR="00DE5A40">
              <w:rPr>
                <w:iCs/>
                <w:sz w:val="20"/>
                <w:szCs w:val="20"/>
              </w:rPr>
              <w:t>s</w:t>
            </w:r>
            <w:r w:rsidRPr="00B073E8">
              <w:rPr>
                <w:iCs/>
                <w:sz w:val="20"/>
                <w:szCs w:val="20"/>
              </w:rPr>
              <w:t xml:space="preserve">trategy. </w:t>
            </w:r>
          </w:p>
          <w:tbl>
            <w:tblPr>
              <w:tblW w:w="5000" w:type="pct"/>
              <w:tblLook w:val="04A0" w:firstRow="1" w:lastRow="0" w:firstColumn="1" w:lastColumn="0" w:noHBand="0" w:noVBand="1"/>
            </w:tblPr>
            <w:tblGrid>
              <w:gridCol w:w="9747"/>
            </w:tblGrid>
            <w:tr w:rsidR="00604D70" w:rsidRPr="00B073E8" w:rsidTr="002616DD">
              <w:trPr>
                <w:trHeight w:val="624"/>
              </w:trPr>
              <w:tc>
                <w:tcPr>
                  <w:tcW w:w="5000" w:type="pct"/>
                  <w:shd w:val="clear" w:color="auto" w:fill="auto"/>
                  <w:vAlign w:val="center"/>
                </w:tcPr>
                <w:p w:rsidR="00604D70" w:rsidRPr="00E90473" w:rsidRDefault="00604D70" w:rsidP="002616DD">
                  <w:pPr>
                    <w:pStyle w:val="Bullet"/>
                    <w:spacing w:before="80" w:after="0"/>
                    <w:rPr>
                      <w:b/>
                      <w:sz w:val="20"/>
                      <w:szCs w:val="20"/>
                    </w:rPr>
                  </w:pPr>
                  <w:r w:rsidRPr="00E90473">
                    <w:rPr>
                      <w:b/>
                      <w:sz w:val="20"/>
                      <w:szCs w:val="20"/>
                    </w:rPr>
                    <w:t>Key areas for action</w:t>
                  </w:r>
                  <w:r w:rsidRPr="00E90473" w:rsidDel="00EF1D99">
                    <w:rPr>
                      <w:b/>
                      <w:sz w:val="20"/>
                      <w:szCs w:val="20"/>
                    </w:rPr>
                    <w:t xml:space="preserve"> </w:t>
                  </w:r>
                </w:p>
                <w:p w:rsidR="00604D70" w:rsidRPr="00B073E8" w:rsidRDefault="00604D70" w:rsidP="002616DD">
                  <w:pPr>
                    <w:pStyle w:val="Bullet"/>
                    <w:numPr>
                      <w:ilvl w:val="0"/>
                      <w:numId w:val="8"/>
                    </w:numPr>
                    <w:spacing w:before="80" w:after="0"/>
                    <w:rPr>
                      <w:sz w:val="20"/>
                      <w:szCs w:val="20"/>
                    </w:rPr>
                  </w:pPr>
                  <w:r w:rsidRPr="00B073E8">
                    <w:rPr>
                      <w:sz w:val="20"/>
                      <w:szCs w:val="20"/>
                    </w:rPr>
                    <w:t xml:space="preserve">Strengthen systems for identifying, monitoring and collaboratively addressing </w:t>
                  </w:r>
                  <w:r>
                    <w:rPr>
                      <w:sz w:val="20"/>
                      <w:szCs w:val="20"/>
                    </w:rPr>
                    <w:t xml:space="preserve">STI as well as </w:t>
                  </w:r>
                  <w:r w:rsidRPr="00B073E8">
                    <w:rPr>
                      <w:sz w:val="20"/>
                      <w:szCs w:val="20"/>
                    </w:rPr>
                    <w:t>new and emerging issues, including AMR</w:t>
                  </w:r>
                  <w:r>
                    <w:rPr>
                      <w:sz w:val="20"/>
                      <w:szCs w:val="20"/>
                    </w:rPr>
                    <w:t>, and increases in prevalence and burden</w:t>
                  </w:r>
                </w:p>
                <w:p w:rsidR="00604D70" w:rsidRPr="00E90473" w:rsidRDefault="00604D70" w:rsidP="002616DD">
                  <w:pPr>
                    <w:pStyle w:val="Bullet"/>
                    <w:numPr>
                      <w:ilvl w:val="0"/>
                      <w:numId w:val="8"/>
                    </w:numPr>
                    <w:spacing w:before="80" w:after="0"/>
                    <w:rPr>
                      <w:sz w:val="20"/>
                      <w:szCs w:val="20"/>
                    </w:rPr>
                  </w:pPr>
                  <w:r w:rsidRPr="00DE5A40">
                    <w:rPr>
                      <w:sz w:val="20"/>
                      <w:szCs w:val="20"/>
                    </w:rPr>
                    <w:t xml:space="preserve">Identify </w:t>
                  </w:r>
                  <w:r w:rsidRPr="00E90473">
                    <w:rPr>
                      <w:sz w:val="20"/>
                      <w:szCs w:val="20"/>
                    </w:rPr>
                    <w:t>opportunities to improve the quality, completeness</w:t>
                  </w:r>
                  <w:r w:rsidR="00AE53A0" w:rsidRPr="00E90473">
                    <w:rPr>
                      <w:sz w:val="20"/>
                      <w:szCs w:val="20"/>
                    </w:rPr>
                    <w:t>,</w:t>
                  </w:r>
                  <w:r w:rsidRPr="00E90473">
                    <w:rPr>
                      <w:sz w:val="20"/>
                      <w:szCs w:val="20"/>
                    </w:rPr>
                    <w:t xml:space="preserve"> timeliness and national standardisation of demographic and disease data, including Aboriginal and Torres Strait Islander status as well as opportunities for enhanced data collection, for surveillance purposes</w:t>
                  </w:r>
                </w:p>
                <w:p w:rsidR="00604D70" w:rsidRDefault="00604D70" w:rsidP="002616DD">
                  <w:pPr>
                    <w:pStyle w:val="Bullet"/>
                    <w:numPr>
                      <w:ilvl w:val="0"/>
                      <w:numId w:val="8"/>
                    </w:numPr>
                    <w:spacing w:before="80" w:after="0"/>
                    <w:rPr>
                      <w:sz w:val="20"/>
                      <w:szCs w:val="20"/>
                    </w:rPr>
                  </w:pPr>
                  <w:r w:rsidRPr="00B073E8">
                    <w:rPr>
                      <w:sz w:val="20"/>
                      <w:szCs w:val="20"/>
                    </w:rPr>
                    <w:t>Identify ways to support a more coordinated, prompt response between jurisd</w:t>
                  </w:r>
                  <w:r>
                    <w:rPr>
                      <w:sz w:val="20"/>
                      <w:szCs w:val="20"/>
                    </w:rPr>
                    <w:t>ictions, sexual health services</w:t>
                  </w:r>
                  <w:r w:rsidRPr="00B073E8">
                    <w:rPr>
                      <w:sz w:val="20"/>
                      <w:szCs w:val="20"/>
                    </w:rPr>
                    <w:t xml:space="preserve"> and general practices to STI issues, including real-time accessibility of surveillance data</w:t>
                  </w:r>
                  <w:r>
                    <w:rPr>
                      <w:sz w:val="20"/>
                      <w:szCs w:val="20"/>
                    </w:rPr>
                    <w:t>,</w:t>
                  </w:r>
                  <w:r w:rsidRPr="00B073E8">
                    <w:rPr>
                      <w:sz w:val="20"/>
                      <w:szCs w:val="20"/>
                    </w:rPr>
                    <w:t xml:space="preserve"> </w:t>
                  </w:r>
                  <w:r>
                    <w:rPr>
                      <w:sz w:val="20"/>
                      <w:szCs w:val="20"/>
                    </w:rPr>
                    <w:t xml:space="preserve">improved patient management and notification systems, and </w:t>
                  </w:r>
                  <w:r w:rsidRPr="00B073E8">
                    <w:rPr>
                      <w:sz w:val="20"/>
                      <w:szCs w:val="20"/>
                    </w:rPr>
                    <w:t xml:space="preserve">specialised local and regional </w:t>
                  </w:r>
                  <w:r>
                    <w:rPr>
                      <w:sz w:val="20"/>
                      <w:szCs w:val="20"/>
                    </w:rPr>
                    <w:t xml:space="preserve">support </w:t>
                  </w:r>
                  <w:r w:rsidRPr="00B073E8">
                    <w:rPr>
                      <w:sz w:val="20"/>
                      <w:szCs w:val="20"/>
                    </w:rPr>
                    <w:t>staff</w:t>
                  </w:r>
                  <w:r>
                    <w:rPr>
                      <w:sz w:val="20"/>
                      <w:szCs w:val="20"/>
                    </w:rPr>
                    <w:t xml:space="preserve"> </w:t>
                  </w:r>
                </w:p>
                <w:p w:rsidR="00604D70" w:rsidRPr="00B073E8" w:rsidRDefault="00604D70" w:rsidP="002616DD">
                  <w:pPr>
                    <w:pStyle w:val="Bullet"/>
                    <w:numPr>
                      <w:ilvl w:val="0"/>
                      <w:numId w:val="8"/>
                    </w:numPr>
                    <w:spacing w:before="80" w:after="0"/>
                    <w:rPr>
                      <w:sz w:val="20"/>
                      <w:szCs w:val="20"/>
                    </w:rPr>
                  </w:pPr>
                  <w:r w:rsidRPr="00B073E8">
                    <w:rPr>
                      <w:sz w:val="20"/>
                      <w:szCs w:val="20"/>
                    </w:rPr>
                    <w:t xml:space="preserve">Build on the existing evidence base by supporting research across disciplines to </w:t>
                  </w:r>
                  <w:r>
                    <w:rPr>
                      <w:sz w:val="20"/>
                      <w:szCs w:val="20"/>
                    </w:rPr>
                    <w:t xml:space="preserve">address data gaps and </w:t>
                  </w:r>
                  <w:r w:rsidRPr="00B073E8">
                    <w:rPr>
                      <w:sz w:val="20"/>
                      <w:szCs w:val="20"/>
                    </w:rPr>
                    <w:t>effectively inform the implementation of the priority actions of th</w:t>
                  </w:r>
                  <w:r w:rsidR="00DE5A40">
                    <w:rPr>
                      <w:sz w:val="20"/>
                      <w:szCs w:val="20"/>
                    </w:rPr>
                    <w:t>is</w:t>
                  </w:r>
                  <w:r w:rsidRPr="00B073E8">
                    <w:rPr>
                      <w:sz w:val="20"/>
                      <w:szCs w:val="20"/>
                    </w:rPr>
                    <w:t xml:space="preserve"> strategy</w:t>
                  </w:r>
                </w:p>
                <w:p w:rsidR="00604D70" w:rsidRDefault="00604D70" w:rsidP="002616DD">
                  <w:pPr>
                    <w:pStyle w:val="Bullet"/>
                    <w:numPr>
                      <w:ilvl w:val="0"/>
                      <w:numId w:val="8"/>
                    </w:numPr>
                    <w:spacing w:before="80" w:after="0"/>
                    <w:rPr>
                      <w:sz w:val="20"/>
                      <w:szCs w:val="20"/>
                    </w:rPr>
                  </w:pPr>
                  <w:r w:rsidRPr="00B073E8">
                    <w:rPr>
                      <w:sz w:val="20"/>
                      <w:szCs w:val="20"/>
                    </w:rPr>
                    <w:t>Continue to monitor trends in knowledge and attitudes about sexual health and sexual health behaviours among priority populations, and identify opportunities to expand this data and strengthen collaborative efforts</w:t>
                  </w:r>
                </w:p>
                <w:p w:rsidR="00604D70" w:rsidRPr="00B073E8" w:rsidRDefault="00604D70" w:rsidP="002616DD">
                  <w:pPr>
                    <w:pStyle w:val="Bullet"/>
                    <w:spacing w:before="80" w:after="0"/>
                    <w:rPr>
                      <w:sz w:val="20"/>
                      <w:szCs w:val="20"/>
                    </w:rPr>
                  </w:pPr>
                </w:p>
              </w:tc>
            </w:tr>
          </w:tbl>
          <w:p w:rsidR="00604D70" w:rsidRPr="00F97E23" w:rsidRDefault="00604D70" w:rsidP="002616DD">
            <w:pPr>
              <w:pStyle w:val="Bullet"/>
              <w:spacing w:before="80" w:after="0"/>
            </w:pPr>
          </w:p>
        </w:tc>
      </w:tr>
    </w:tbl>
    <w:p w:rsidR="00604D70" w:rsidRPr="00BB0CF4" w:rsidRDefault="00604D70" w:rsidP="00604D70">
      <w:pPr>
        <w:spacing w:after="160" w:line="259" w:lineRule="auto"/>
        <w:sectPr w:rsidR="00604D70" w:rsidRPr="00BB0CF4" w:rsidSect="005D6336">
          <w:footnotePr>
            <w:numFmt w:val="lowerLetter"/>
          </w:footnotePr>
          <w:endnotePr>
            <w:numFmt w:val="decimal"/>
          </w:endnotePr>
          <w:pgSz w:w="11907" w:h="16839" w:code="9"/>
          <w:pgMar w:top="1440" w:right="1080" w:bottom="1440" w:left="1080" w:header="720" w:footer="720" w:gutter="0"/>
          <w:cols w:space="720"/>
          <w:docGrid w:linePitch="360"/>
        </w:sectPr>
      </w:pPr>
    </w:p>
    <w:p w:rsidR="00604D70" w:rsidRDefault="00604D70" w:rsidP="00130072">
      <w:pPr>
        <w:pStyle w:val="Heading1"/>
        <w:numPr>
          <w:ilvl w:val="0"/>
          <w:numId w:val="26"/>
        </w:numPr>
      </w:pPr>
      <w:bookmarkStart w:id="34" w:name="_Ref512928172"/>
      <w:bookmarkStart w:id="35" w:name="_Toc529473036"/>
      <w:r>
        <w:t xml:space="preserve">Implementing this </w:t>
      </w:r>
      <w:r w:rsidR="00D93921">
        <w:t>s</w:t>
      </w:r>
      <w:r>
        <w:t>trategy</w:t>
      </w:r>
      <w:bookmarkEnd w:id="34"/>
      <w:bookmarkEnd w:id="35"/>
    </w:p>
    <w:p w:rsidR="00604D70" w:rsidRPr="00B073E8" w:rsidRDefault="00604D70" w:rsidP="00604D70">
      <w:pPr>
        <w:rPr>
          <w:b/>
          <w:color w:val="00264D"/>
          <w:sz w:val="20"/>
          <w:szCs w:val="20"/>
        </w:rPr>
      </w:pPr>
      <w:r w:rsidRPr="00B073E8">
        <w:rPr>
          <w:b/>
          <w:color w:val="00264D"/>
          <w:sz w:val="20"/>
          <w:szCs w:val="20"/>
        </w:rPr>
        <w:t>Leadership, partnership and connections to community</w:t>
      </w:r>
    </w:p>
    <w:p w:rsidR="00604D70" w:rsidRPr="00B073E8" w:rsidRDefault="00604D70" w:rsidP="00604D70">
      <w:pPr>
        <w:rPr>
          <w:sz w:val="20"/>
          <w:szCs w:val="20"/>
          <w:lang w:eastAsia="en-AU"/>
        </w:rPr>
      </w:pPr>
      <w:r w:rsidRPr="00B073E8">
        <w:rPr>
          <w:sz w:val="20"/>
          <w:szCs w:val="20"/>
          <w:lang w:eastAsia="en-AU"/>
        </w:rPr>
        <w:t xml:space="preserve">Australia’s response to STI is built on a model of partnership between government, community-based organisations, researchers, health professionals and priority populations. The partnership approach depends on clear leadership roles and accountability for all involved. </w:t>
      </w:r>
    </w:p>
    <w:p w:rsidR="00604D70" w:rsidRPr="00B073E8" w:rsidRDefault="00604D70" w:rsidP="00604D70">
      <w:pPr>
        <w:rPr>
          <w:sz w:val="20"/>
          <w:szCs w:val="20"/>
          <w:lang w:eastAsia="en-AU"/>
        </w:rPr>
      </w:pPr>
      <w:r w:rsidRPr="00B073E8">
        <w:rPr>
          <w:sz w:val="20"/>
          <w:szCs w:val="20"/>
          <w:lang w:eastAsia="en-AU"/>
        </w:rPr>
        <w:t xml:space="preserve">The Australian Government is committed to providing strong national leadership by working across portfolios and jurisdictions to achieve the goals of this </w:t>
      </w:r>
      <w:r w:rsidR="00D93921">
        <w:rPr>
          <w:sz w:val="20"/>
          <w:szCs w:val="20"/>
          <w:lang w:eastAsia="en-AU"/>
        </w:rPr>
        <w:t>s</w:t>
      </w:r>
      <w:r w:rsidRPr="00B073E8">
        <w:rPr>
          <w:sz w:val="20"/>
          <w:szCs w:val="20"/>
          <w:lang w:eastAsia="en-AU"/>
        </w:rPr>
        <w:t xml:space="preserve">trategy. The Australian Government Department of Health leads the coordination of the national response to STI under the </w:t>
      </w:r>
      <w:r w:rsidRPr="00E90473">
        <w:rPr>
          <w:sz w:val="20"/>
          <w:szCs w:val="20"/>
          <w:lang w:eastAsia="en-AU"/>
        </w:rPr>
        <w:t>National STI Strategy</w:t>
      </w:r>
      <w:r w:rsidRPr="00D93921">
        <w:rPr>
          <w:sz w:val="20"/>
          <w:szCs w:val="20"/>
          <w:lang w:eastAsia="en-AU"/>
        </w:rPr>
        <w:t xml:space="preserve">. </w:t>
      </w:r>
      <w:r w:rsidR="00AE53A0" w:rsidRPr="00D93921">
        <w:rPr>
          <w:sz w:val="20"/>
          <w:szCs w:val="20"/>
          <w:lang w:eastAsia="en-AU"/>
        </w:rPr>
        <w:t>However</w:t>
      </w:r>
      <w:r w:rsidR="00AE53A0">
        <w:rPr>
          <w:sz w:val="20"/>
          <w:szCs w:val="20"/>
          <w:lang w:eastAsia="en-AU"/>
        </w:rPr>
        <w:t>, t</w:t>
      </w:r>
      <w:r w:rsidRPr="00B073E8">
        <w:rPr>
          <w:sz w:val="20"/>
          <w:szCs w:val="20"/>
          <w:lang w:eastAsia="en-AU"/>
        </w:rPr>
        <w:t xml:space="preserve">he success of </w:t>
      </w:r>
      <w:r w:rsidRPr="00E90473">
        <w:rPr>
          <w:sz w:val="20"/>
          <w:szCs w:val="20"/>
          <w:lang w:eastAsia="en-AU"/>
        </w:rPr>
        <w:t>th</w:t>
      </w:r>
      <w:r w:rsidR="00D93921" w:rsidRPr="00E90473">
        <w:rPr>
          <w:sz w:val="20"/>
          <w:szCs w:val="20"/>
          <w:lang w:eastAsia="en-AU"/>
        </w:rPr>
        <w:t>is</w:t>
      </w:r>
      <w:r w:rsidRPr="00E90473">
        <w:rPr>
          <w:sz w:val="20"/>
          <w:szCs w:val="20"/>
          <w:lang w:eastAsia="en-AU"/>
        </w:rPr>
        <w:t xml:space="preserve"> </w:t>
      </w:r>
      <w:r w:rsidR="00D93921" w:rsidRPr="00E90473">
        <w:rPr>
          <w:sz w:val="20"/>
          <w:szCs w:val="20"/>
          <w:lang w:eastAsia="en-AU"/>
        </w:rPr>
        <w:t>s</w:t>
      </w:r>
      <w:r w:rsidRPr="00E90473">
        <w:rPr>
          <w:sz w:val="20"/>
          <w:szCs w:val="20"/>
          <w:lang w:eastAsia="en-AU"/>
        </w:rPr>
        <w:t>trategy is</w:t>
      </w:r>
      <w:r w:rsidRPr="00D93921">
        <w:rPr>
          <w:sz w:val="20"/>
          <w:szCs w:val="20"/>
          <w:lang w:eastAsia="en-AU"/>
        </w:rPr>
        <w:t xml:space="preserve"> contingent</w:t>
      </w:r>
      <w:r w:rsidRPr="00B073E8">
        <w:rPr>
          <w:sz w:val="20"/>
          <w:szCs w:val="20"/>
          <w:lang w:eastAsia="en-AU"/>
        </w:rPr>
        <w:t xml:space="preserve"> on productive partnerships between </w:t>
      </w:r>
      <w:r w:rsidR="00AE53A0">
        <w:rPr>
          <w:sz w:val="20"/>
          <w:szCs w:val="20"/>
          <w:lang w:eastAsia="en-AU"/>
        </w:rPr>
        <w:t>Australian</w:t>
      </w:r>
      <w:r w:rsidRPr="00B073E8">
        <w:rPr>
          <w:sz w:val="20"/>
          <w:szCs w:val="20"/>
          <w:lang w:eastAsia="en-AU"/>
        </w:rPr>
        <w:t xml:space="preserve">, </w:t>
      </w:r>
      <w:r w:rsidR="00AE53A0">
        <w:rPr>
          <w:sz w:val="20"/>
          <w:szCs w:val="20"/>
          <w:lang w:eastAsia="en-AU"/>
        </w:rPr>
        <w:t>s</w:t>
      </w:r>
      <w:r w:rsidRPr="00B073E8">
        <w:rPr>
          <w:sz w:val="20"/>
          <w:szCs w:val="20"/>
          <w:lang w:eastAsia="en-AU"/>
        </w:rPr>
        <w:t xml:space="preserve">tate and </w:t>
      </w:r>
      <w:r w:rsidR="00AE53A0">
        <w:rPr>
          <w:sz w:val="20"/>
          <w:szCs w:val="20"/>
          <w:lang w:eastAsia="en-AU"/>
        </w:rPr>
        <w:t>t</w:t>
      </w:r>
      <w:r w:rsidRPr="00B073E8">
        <w:rPr>
          <w:sz w:val="20"/>
          <w:szCs w:val="20"/>
          <w:lang w:eastAsia="en-AU"/>
        </w:rPr>
        <w:t xml:space="preserve">erritory </w:t>
      </w:r>
      <w:r w:rsidR="00AE53A0">
        <w:rPr>
          <w:sz w:val="20"/>
          <w:szCs w:val="20"/>
          <w:lang w:eastAsia="en-AU"/>
        </w:rPr>
        <w:t>g</w:t>
      </w:r>
      <w:r w:rsidRPr="00B073E8">
        <w:rPr>
          <w:sz w:val="20"/>
          <w:szCs w:val="20"/>
          <w:lang w:eastAsia="en-AU"/>
        </w:rPr>
        <w:t xml:space="preserve">overnments and partners, including peak bodies representing communities, health professionals, researchers and others. In the case of research </w:t>
      </w:r>
      <w:r w:rsidR="00AE53A0">
        <w:rPr>
          <w:sz w:val="20"/>
          <w:szCs w:val="20"/>
          <w:lang w:eastAsia="en-AU"/>
        </w:rPr>
        <w:t xml:space="preserve">on </w:t>
      </w:r>
      <w:r w:rsidRPr="00B073E8">
        <w:rPr>
          <w:sz w:val="20"/>
          <w:szCs w:val="20"/>
          <w:lang w:eastAsia="en-AU"/>
        </w:rPr>
        <w:t xml:space="preserve">BBV and STI, it is imperative that this </w:t>
      </w:r>
      <w:r w:rsidRPr="00B073E8">
        <w:rPr>
          <w:sz w:val="20"/>
          <w:szCs w:val="20"/>
        </w:rPr>
        <w:t xml:space="preserve">is conducted in partnership with communities and aligned with the priorities of the </w:t>
      </w:r>
      <w:r w:rsidR="00732EEE">
        <w:rPr>
          <w:sz w:val="20"/>
          <w:szCs w:val="20"/>
        </w:rPr>
        <w:t xml:space="preserve">five </w:t>
      </w:r>
      <w:r w:rsidRPr="00B073E8">
        <w:rPr>
          <w:sz w:val="20"/>
          <w:szCs w:val="20"/>
        </w:rPr>
        <w:t xml:space="preserve">national strategies. </w:t>
      </w:r>
    </w:p>
    <w:p w:rsidR="00604D70" w:rsidRPr="00B073E8" w:rsidRDefault="00604D70" w:rsidP="00604D70">
      <w:pPr>
        <w:spacing w:after="60"/>
        <w:rPr>
          <w:sz w:val="20"/>
          <w:szCs w:val="20"/>
          <w:lang w:eastAsia="en-AU"/>
        </w:rPr>
      </w:pPr>
      <w:r w:rsidRPr="00B073E8">
        <w:rPr>
          <w:sz w:val="20"/>
          <w:szCs w:val="20"/>
        </w:rPr>
        <w:t xml:space="preserve">National community and health peak organisations, and other organisations, </w:t>
      </w:r>
      <w:r w:rsidRPr="00B073E8">
        <w:rPr>
          <w:sz w:val="20"/>
          <w:szCs w:val="20"/>
          <w:lang w:eastAsia="en-AU"/>
        </w:rPr>
        <w:t>representing communities and the clinical workforce remain at the forefront of the STI response in Australia. Organisations including the Australasian Society for HIV, Viral Hepatitis and Sexual Health Medicine</w:t>
      </w:r>
      <w:r w:rsidR="00732EEE">
        <w:rPr>
          <w:sz w:val="20"/>
          <w:szCs w:val="20"/>
          <w:lang w:eastAsia="en-AU"/>
        </w:rPr>
        <w:t>;</w:t>
      </w:r>
      <w:r w:rsidRPr="00B073E8">
        <w:rPr>
          <w:sz w:val="20"/>
          <w:szCs w:val="20"/>
          <w:lang w:eastAsia="en-AU"/>
        </w:rPr>
        <w:t xml:space="preserve"> Scarlet Alliance, Australian Sex Workers’ Association</w:t>
      </w:r>
      <w:r w:rsidR="00732EEE">
        <w:rPr>
          <w:sz w:val="20"/>
          <w:szCs w:val="20"/>
          <w:lang w:eastAsia="en-AU"/>
        </w:rPr>
        <w:t>;</w:t>
      </w:r>
      <w:r w:rsidRPr="00B073E8">
        <w:rPr>
          <w:sz w:val="20"/>
          <w:szCs w:val="20"/>
          <w:lang w:eastAsia="en-AU"/>
        </w:rPr>
        <w:t xml:space="preserve"> </w:t>
      </w:r>
      <w:r w:rsidRPr="008866B8">
        <w:rPr>
          <w:sz w:val="20"/>
          <w:szCs w:val="20"/>
          <w:lang w:eastAsia="en-AU"/>
        </w:rPr>
        <w:t>Australian Federation of AIDS Organisations</w:t>
      </w:r>
      <w:r w:rsidR="00732EEE">
        <w:rPr>
          <w:sz w:val="20"/>
          <w:szCs w:val="20"/>
          <w:lang w:eastAsia="en-AU"/>
        </w:rPr>
        <w:t>;</w:t>
      </w:r>
      <w:r w:rsidRPr="008866B8">
        <w:rPr>
          <w:sz w:val="20"/>
          <w:szCs w:val="20"/>
          <w:lang w:eastAsia="en-AU"/>
        </w:rPr>
        <w:t xml:space="preserve"> and the National Association of People </w:t>
      </w:r>
      <w:r w:rsidR="00732EEE">
        <w:rPr>
          <w:sz w:val="20"/>
          <w:szCs w:val="20"/>
          <w:lang w:eastAsia="en-AU"/>
        </w:rPr>
        <w:t>w</w:t>
      </w:r>
      <w:r w:rsidRPr="008866B8">
        <w:rPr>
          <w:sz w:val="20"/>
          <w:szCs w:val="20"/>
          <w:lang w:eastAsia="en-AU"/>
        </w:rPr>
        <w:t>ith HIV Australia,</w:t>
      </w:r>
      <w:r>
        <w:rPr>
          <w:sz w:val="17"/>
          <w:szCs w:val="17"/>
        </w:rPr>
        <w:t xml:space="preserve"> </w:t>
      </w:r>
      <w:r w:rsidRPr="00B073E8">
        <w:rPr>
          <w:sz w:val="20"/>
          <w:szCs w:val="20"/>
          <w:lang w:eastAsia="en-AU"/>
        </w:rPr>
        <w:t xml:space="preserve">and the relationship these organisations have with their members, have a critical role to play in the implementation of this </w:t>
      </w:r>
      <w:r w:rsidR="00732EEE">
        <w:rPr>
          <w:sz w:val="20"/>
          <w:szCs w:val="20"/>
          <w:lang w:eastAsia="en-AU"/>
        </w:rPr>
        <w:t>s</w:t>
      </w:r>
      <w:r w:rsidRPr="00B073E8">
        <w:rPr>
          <w:sz w:val="20"/>
          <w:szCs w:val="20"/>
          <w:lang w:eastAsia="en-AU"/>
        </w:rPr>
        <w:t xml:space="preserve">trategy. </w:t>
      </w:r>
    </w:p>
    <w:p w:rsidR="00604D70" w:rsidRPr="00B073E8" w:rsidRDefault="00604D70" w:rsidP="00604D70">
      <w:pPr>
        <w:pStyle w:val="ColorfulList-Accent11"/>
        <w:ind w:left="0"/>
        <w:rPr>
          <w:b/>
          <w:sz w:val="20"/>
        </w:rPr>
      </w:pPr>
      <w:r w:rsidRPr="00B073E8">
        <w:rPr>
          <w:b/>
          <w:sz w:val="20"/>
        </w:rPr>
        <w:t xml:space="preserve">Action </w:t>
      </w:r>
      <w:r w:rsidR="00AE53A0">
        <w:rPr>
          <w:b/>
          <w:sz w:val="20"/>
        </w:rPr>
        <w:t>p</w:t>
      </w:r>
      <w:r w:rsidRPr="00B073E8">
        <w:rPr>
          <w:b/>
          <w:sz w:val="20"/>
        </w:rPr>
        <w:t>lan</w:t>
      </w:r>
    </w:p>
    <w:p w:rsidR="00604D70" w:rsidRPr="00B073E8" w:rsidRDefault="00604D70" w:rsidP="00604D70">
      <w:pPr>
        <w:rPr>
          <w:sz w:val="20"/>
          <w:szCs w:val="20"/>
          <w:lang w:eastAsia="en-AU"/>
        </w:rPr>
      </w:pPr>
      <w:r w:rsidRPr="00B073E8">
        <w:rPr>
          <w:sz w:val="20"/>
          <w:szCs w:val="20"/>
          <w:lang w:eastAsia="en-AU"/>
        </w:rPr>
        <w:t xml:space="preserve">The </w:t>
      </w:r>
      <w:r w:rsidRPr="00AE53A0">
        <w:rPr>
          <w:sz w:val="20"/>
          <w:szCs w:val="20"/>
          <w:lang w:eastAsia="en-AU"/>
        </w:rPr>
        <w:t xml:space="preserve">National BBV and STI Strategies </w:t>
      </w:r>
      <w:r w:rsidR="00090887">
        <w:rPr>
          <w:sz w:val="20"/>
          <w:szCs w:val="20"/>
          <w:lang w:eastAsia="en-AU"/>
        </w:rPr>
        <w:t>Action P</w:t>
      </w:r>
      <w:r w:rsidR="007568C8" w:rsidRPr="00AE53A0">
        <w:rPr>
          <w:sz w:val="20"/>
          <w:szCs w:val="20"/>
          <w:lang w:eastAsia="en-AU"/>
        </w:rPr>
        <w:t xml:space="preserve">lan </w:t>
      </w:r>
      <w:r w:rsidRPr="00AE53A0">
        <w:rPr>
          <w:sz w:val="20"/>
          <w:szCs w:val="20"/>
          <w:lang w:eastAsia="en-AU"/>
        </w:rPr>
        <w:t>2018</w:t>
      </w:r>
      <w:r w:rsidR="00AE53A0">
        <w:rPr>
          <w:sz w:val="20"/>
          <w:szCs w:val="20"/>
          <w:lang w:eastAsia="en-AU"/>
        </w:rPr>
        <w:t>–</w:t>
      </w:r>
      <w:r w:rsidRPr="00AE53A0">
        <w:rPr>
          <w:sz w:val="20"/>
          <w:szCs w:val="20"/>
          <w:lang w:eastAsia="en-AU"/>
        </w:rPr>
        <w:t>2022</w:t>
      </w:r>
      <w:r w:rsidRPr="00B073E8">
        <w:rPr>
          <w:sz w:val="20"/>
          <w:szCs w:val="20"/>
          <w:lang w:eastAsia="en-AU"/>
        </w:rPr>
        <w:t xml:space="preserve"> provides the detail of specific actions for governments and partners. The </w:t>
      </w:r>
      <w:r w:rsidR="00AE53A0">
        <w:rPr>
          <w:sz w:val="20"/>
          <w:szCs w:val="20"/>
          <w:lang w:eastAsia="en-AU"/>
        </w:rPr>
        <w:t>a</w:t>
      </w:r>
      <w:r w:rsidRPr="00B073E8">
        <w:rPr>
          <w:sz w:val="20"/>
          <w:szCs w:val="20"/>
          <w:lang w:eastAsia="en-AU"/>
        </w:rPr>
        <w:t xml:space="preserve">ction </w:t>
      </w:r>
      <w:r w:rsidR="00AE53A0">
        <w:rPr>
          <w:sz w:val="20"/>
          <w:szCs w:val="20"/>
          <w:lang w:eastAsia="en-AU"/>
        </w:rPr>
        <w:t>p</w:t>
      </w:r>
      <w:r w:rsidRPr="00B073E8">
        <w:rPr>
          <w:sz w:val="20"/>
          <w:szCs w:val="20"/>
          <w:lang w:eastAsia="en-AU"/>
        </w:rPr>
        <w:t>lan outlines the roles and responsibilities of governments and partners and the time</w:t>
      </w:r>
      <w:r w:rsidR="00AE53A0">
        <w:rPr>
          <w:sz w:val="20"/>
          <w:szCs w:val="20"/>
          <w:lang w:eastAsia="en-AU"/>
        </w:rPr>
        <w:t xml:space="preserve"> </w:t>
      </w:r>
      <w:r w:rsidRPr="00B073E8">
        <w:rPr>
          <w:sz w:val="20"/>
          <w:szCs w:val="20"/>
          <w:lang w:eastAsia="en-AU"/>
        </w:rPr>
        <w:t xml:space="preserve">frames for implementation of the actions. Indicators for measuring the progress towards achievement of the </w:t>
      </w:r>
      <w:r w:rsidR="00AE53A0" w:rsidRPr="00E90473">
        <w:rPr>
          <w:sz w:val="20"/>
          <w:szCs w:val="20"/>
          <w:lang w:eastAsia="en-AU"/>
        </w:rPr>
        <w:t>s</w:t>
      </w:r>
      <w:r w:rsidRPr="00E90473">
        <w:rPr>
          <w:sz w:val="20"/>
          <w:szCs w:val="20"/>
          <w:lang w:eastAsia="en-AU"/>
        </w:rPr>
        <w:t>trategies’</w:t>
      </w:r>
      <w:r w:rsidRPr="00B073E8">
        <w:rPr>
          <w:sz w:val="20"/>
          <w:szCs w:val="20"/>
          <w:lang w:eastAsia="en-AU"/>
        </w:rPr>
        <w:t xml:space="preserve"> targets will also be developed. The </w:t>
      </w:r>
      <w:r w:rsidR="00AE53A0">
        <w:rPr>
          <w:sz w:val="20"/>
          <w:szCs w:val="20"/>
          <w:lang w:eastAsia="en-AU"/>
        </w:rPr>
        <w:t>a</w:t>
      </w:r>
      <w:r w:rsidRPr="00B073E8">
        <w:rPr>
          <w:sz w:val="20"/>
          <w:szCs w:val="20"/>
          <w:lang w:eastAsia="en-AU"/>
        </w:rPr>
        <w:t xml:space="preserve">ction </w:t>
      </w:r>
      <w:r w:rsidR="00AE53A0">
        <w:rPr>
          <w:sz w:val="20"/>
          <w:szCs w:val="20"/>
          <w:lang w:eastAsia="en-AU"/>
        </w:rPr>
        <w:t>p</w:t>
      </w:r>
      <w:r w:rsidRPr="00B073E8">
        <w:rPr>
          <w:sz w:val="20"/>
          <w:szCs w:val="20"/>
          <w:lang w:eastAsia="en-AU"/>
        </w:rPr>
        <w:t xml:space="preserve">lan will be reviewed as required during the lifetime of the </w:t>
      </w:r>
      <w:r w:rsidR="00AE53A0">
        <w:rPr>
          <w:sz w:val="20"/>
          <w:szCs w:val="20"/>
          <w:lang w:eastAsia="en-AU"/>
        </w:rPr>
        <w:t>s</w:t>
      </w:r>
      <w:r w:rsidRPr="00B073E8">
        <w:rPr>
          <w:sz w:val="20"/>
          <w:szCs w:val="20"/>
          <w:lang w:eastAsia="en-AU"/>
        </w:rPr>
        <w:t>trategies.</w:t>
      </w:r>
    </w:p>
    <w:p w:rsidR="00604D70" w:rsidRPr="00B073E8" w:rsidRDefault="007C4D40" w:rsidP="00604D70">
      <w:pPr>
        <w:rPr>
          <w:sz w:val="20"/>
          <w:szCs w:val="20"/>
          <w:lang w:eastAsia="en-AU"/>
        </w:rPr>
      </w:pPr>
      <w:r>
        <w:rPr>
          <w:sz w:val="20"/>
          <w:szCs w:val="20"/>
          <w:lang w:eastAsia="en-AU"/>
        </w:rPr>
        <w:t xml:space="preserve">The five national BBV and STI </w:t>
      </w:r>
      <w:r w:rsidR="00AE53A0">
        <w:rPr>
          <w:sz w:val="20"/>
          <w:szCs w:val="20"/>
          <w:lang w:eastAsia="en-AU"/>
        </w:rPr>
        <w:t>s</w:t>
      </w:r>
      <w:r w:rsidR="00604D70" w:rsidRPr="00B073E8">
        <w:rPr>
          <w:sz w:val="20"/>
          <w:szCs w:val="20"/>
          <w:lang w:eastAsia="en-AU"/>
        </w:rPr>
        <w:t>trategies share a number of key actions related to areas such as workforce, improving data and surveillance, education programs</w:t>
      </w:r>
      <w:r w:rsidR="00732EEE">
        <w:rPr>
          <w:sz w:val="20"/>
          <w:szCs w:val="20"/>
          <w:lang w:eastAsia="en-AU"/>
        </w:rPr>
        <w:t>,</w:t>
      </w:r>
      <w:r w:rsidR="00604D70" w:rsidRPr="00B073E8">
        <w:rPr>
          <w:sz w:val="20"/>
          <w:szCs w:val="20"/>
          <w:lang w:eastAsia="en-AU"/>
        </w:rPr>
        <w:t xml:space="preserve"> and stigma and discrimination. The </w:t>
      </w:r>
      <w:r w:rsidR="00AE53A0">
        <w:rPr>
          <w:sz w:val="20"/>
          <w:szCs w:val="20"/>
          <w:lang w:eastAsia="en-AU"/>
        </w:rPr>
        <w:t>a</w:t>
      </w:r>
      <w:r w:rsidR="00604D70" w:rsidRPr="00B073E8">
        <w:rPr>
          <w:sz w:val="20"/>
          <w:szCs w:val="20"/>
          <w:lang w:eastAsia="en-AU"/>
        </w:rPr>
        <w:t xml:space="preserve">ction </w:t>
      </w:r>
      <w:r w:rsidR="00AE53A0">
        <w:rPr>
          <w:sz w:val="20"/>
          <w:szCs w:val="20"/>
          <w:lang w:eastAsia="en-AU"/>
        </w:rPr>
        <w:t>p</w:t>
      </w:r>
      <w:r w:rsidR="00604D70" w:rsidRPr="00B073E8">
        <w:rPr>
          <w:sz w:val="20"/>
          <w:szCs w:val="20"/>
          <w:lang w:eastAsia="en-AU"/>
        </w:rPr>
        <w:t xml:space="preserve">lan will focus on encouraging connections between existing programs and policies, and build on previously </w:t>
      </w:r>
      <w:r w:rsidR="00604D70" w:rsidRPr="00732EEE">
        <w:rPr>
          <w:sz w:val="20"/>
          <w:szCs w:val="20"/>
          <w:lang w:eastAsia="en-AU"/>
        </w:rPr>
        <w:t>successful approaches</w:t>
      </w:r>
      <w:r w:rsidR="00604D70" w:rsidRPr="00E90473">
        <w:rPr>
          <w:sz w:val="20"/>
          <w:szCs w:val="20"/>
          <w:lang w:eastAsia="en-AU"/>
        </w:rPr>
        <w:t>, to minimise duplication of effort</w:t>
      </w:r>
      <w:r w:rsidR="00604D70" w:rsidRPr="00732EEE">
        <w:rPr>
          <w:sz w:val="20"/>
          <w:szCs w:val="20"/>
          <w:lang w:eastAsia="en-AU"/>
        </w:rPr>
        <w:t>.</w:t>
      </w:r>
      <w:r w:rsidR="00604D70" w:rsidRPr="00B073E8">
        <w:rPr>
          <w:sz w:val="20"/>
          <w:szCs w:val="20"/>
          <w:lang w:eastAsia="en-AU"/>
        </w:rPr>
        <w:t xml:space="preserve"> It will also look for opportunities to learn from and adapt responses used for other diseases where relevant. </w:t>
      </w:r>
    </w:p>
    <w:p w:rsidR="00604D70" w:rsidRPr="00B073E8" w:rsidRDefault="00604D70" w:rsidP="00604D70">
      <w:pPr>
        <w:pStyle w:val="ColorfulList-Accent11"/>
        <w:ind w:left="0"/>
        <w:rPr>
          <w:b/>
          <w:sz w:val="20"/>
          <w:lang w:eastAsia="en-AU"/>
        </w:rPr>
      </w:pPr>
      <w:r w:rsidRPr="00B073E8">
        <w:rPr>
          <w:b/>
          <w:sz w:val="20"/>
          <w:lang w:eastAsia="en-AU"/>
        </w:rPr>
        <w:t>Governance, reporting and evaluation</w:t>
      </w:r>
    </w:p>
    <w:p w:rsidR="00604D70" w:rsidRPr="00B073E8" w:rsidRDefault="00604D70" w:rsidP="00604D70">
      <w:pPr>
        <w:rPr>
          <w:sz w:val="20"/>
          <w:szCs w:val="20"/>
          <w:lang w:eastAsia="en-AU"/>
        </w:rPr>
      </w:pPr>
      <w:r w:rsidRPr="00B073E8">
        <w:rPr>
          <w:sz w:val="20"/>
          <w:szCs w:val="20"/>
          <w:lang w:eastAsia="en-AU"/>
        </w:rPr>
        <w:t xml:space="preserve">The five national BBVs and STI </w:t>
      </w:r>
      <w:r w:rsidR="00AE53A0">
        <w:rPr>
          <w:sz w:val="20"/>
          <w:szCs w:val="20"/>
          <w:lang w:eastAsia="en-AU"/>
        </w:rPr>
        <w:t>s</w:t>
      </w:r>
      <w:r w:rsidR="00AE53A0" w:rsidRPr="00B073E8">
        <w:rPr>
          <w:sz w:val="20"/>
          <w:szCs w:val="20"/>
          <w:lang w:eastAsia="en-AU"/>
        </w:rPr>
        <w:t xml:space="preserve">trategies </w:t>
      </w:r>
      <w:r w:rsidRPr="00B073E8">
        <w:rPr>
          <w:sz w:val="20"/>
          <w:szCs w:val="20"/>
          <w:lang w:eastAsia="en-AU"/>
        </w:rPr>
        <w:t>are endorsed by Australia’s Health Ministers and governed through relevant committees of the Australian Health Ministers’ Advi</w:t>
      </w:r>
      <w:r w:rsidR="000A39CE">
        <w:rPr>
          <w:sz w:val="20"/>
          <w:szCs w:val="20"/>
          <w:lang w:eastAsia="en-AU"/>
        </w:rPr>
        <w:t xml:space="preserve">sory Council (AHMAC). The Blood </w:t>
      </w:r>
      <w:r w:rsidRPr="00B073E8">
        <w:rPr>
          <w:sz w:val="20"/>
          <w:szCs w:val="20"/>
          <w:lang w:eastAsia="en-AU"/>
        </w:rPr>
        <w:t>Borne Viruses and Sexually Transmissible Infections Standing Committee (BBVSS) coordinate</w:t>
      </w:r>
      <w:r w:rsidR="00AE53A0">
        <w:rPr>
          <w:sz w:val="20"/>
          <w:szCs w:val="20"/>
          <w:lang w:eastAsia="en-AU"/>
        </w:rPr>
        <w:t>s</w:t>
      </w:r>
      <w:r w:rsidRPr="00B073E8">
        <w:rPr>
          <w:sz w:val="20"/>
          <w:szCs w:val="20"/>
          <w:lang w:eastAsia="en-AU"/>
        </w:rPr>
        <w:t xml:space="preserve"> implementation efforts across jurisdictions and reports to the Australian Health Protection Principal Committee (AHPPC) on progress in the implementation of the national </w:t>
      </w:r>
      <w:r w:rsidR="00AE53A0">
        <w:rPr>
          <w:sz w:val="20"/>
          <w:szCs w:val="20"/>
          <w:lang w:eastAsia="en-AU"/>
        </w:rPr>
        <w:t>s</w:t>
      </w:r>
      <w:r w:rsidRPr="00B073E8">
        <w:rPr>
          <w:sz w:val="20"/>
          <w:szCs w:val="20"/>
          <w:lang w:eastAsia="en-AU"/>
        </w:rPr>
        <w:t xml:space="preserve">trategies. BBVSS and the Communicable Diseases Network Australia (CDNA) will jointly monitor progress towards the targets of each </w:t>
      </w:r>
      <w:r w:rsidR="00D45247">
        <w:rPr>
          <w:sz w:val="20"/>
          <w:szCs w:val="20"/>
          <w:lang w:eastAsia="en-AU"/>
        </w:rPr>
        <w:t>s</w:t>
      </w:r>
      <w:r w:rsidRPr="00B073E8">
        <w:rPr>
          <w:sz w:val="20"/>
          <w:szCs w:val="20"/>
          <w:lang w:eastAsia="en-AU"/>
        </w:rPr>
        <w:t>trategy and identify emerging issues and opportunities for action.</w:t>
      </w:r>
    </w:p>
    <w:p w:rsidR="00604D70" w:rsidRPr="00B073E8" w:rsidRDefault="00604D70" w:rsidP="00604D70">
      <w:pPr>
        <w:pStyle w:val="ColorfulList-Accent11"/>
        <w:ind w:left="0"/>
        <w:rPr>
          <w:b/>
          <w:sz w:val="20"/>
          <w:lang w:eastAsia="en-AU"/>
        </w:rPr>
      </w:pPr>
      <w:r w:rsidRPr="00E90473">
        <w:rPr>
          <w:b/>
          <w:sz w:val="20"/>
          <w:lang w:eastAsia="en-AU"/>
        </w:rPr>
        <w:t xml:space="preserve">Surveillance and </w:t>
      </w:r>
      <w:r w:rsidR="00D45247" w:rsidRPr="00E90473">
        <w:rPr>
          <w:b/>
          <w:sz w:val="20"/>
          <w:lang w:eastAsia="en-AU"/>
        </w:rPr>
        <w:t>m</w:t>
      </w:r>
      <w:r w:rsidRPr="00E90473">
        <w:rPr>
          <w:b/>
          <w:sz w:val="20"/>
          <w:lang w:eastAsia="en-AU"/>
        </w:rPr>
        <w:t xml:space="preserve">onitoring </w:t>
      </w:r>
      <w:r w:rsidR="00D45247" w:rsidRPr="00E90473">
        <w:rPr>
          <w:b/>
          <w:sz w:val="20"/>
          <w:lang w:eastAsia="en-AU"/>
        </w:rPr>
        <w:t>p</w:t>
      </w:r>
      <w:r w:rsidRPr="00E90473">
        <w:rPr>
          <w:b/>
          <w:sz w:val="20"/>
          <w:lang w:eastAsia="en-AU"/>
        </w:rPr>
        <w:t>lan</w:t>
      </w:r>
    </w:p>
    <w:p w:rsidR="00762C7A" w:rsidRDefault="00604D70" w:rsidP="00762C7A">
      <w:pPr>
        <w:rPr>
          <w:sz w:val="20"/>
          <w:szCs w:val="20"/>
          <w:lang w:eastAsia="en-AU"/>
        </w:rPr>
      </w:pPr>
      <w:r w:rsidRPr="00B073E8">
        <w:rPr>
          <w:sz w:val="20"/>
          <w:szCs w:val="20"/>
          <w:lang w:eastAsia="en-AU"/>
        </w:rPr>
        <w:t xml:space="preserve">The </w:t>
      </w:r>
      <w:r w:rsidRPr="00D45247">
        <w:rPr>
          <w:sz w:val="20"/>
          <w:szCs w:val="20"/>
          <w:lang w:eastAsia="en-AU"/>
        </w:rPr>
        <w:t>National BBV and STI Surveillance and Monitoring Plan 2018</w:t>
      </w:r>
      <w:r w:rsidR="00D45247">
        <w:rPr>
          <w:sz w:val="20"/>
          <w:szCs w:val="20"/>
          <w:lang w:eastAsia="en-AU"/>
        </w:rPr>
        <w:t>–</w:t>
      </w:r>
      <w:r w:rsidRPr="00D45247">
        <w:rPr>
          <w:sz w:val="20"/>
          <w:szCs w:val="20"/>
          <w:lang w:eastAsia="en-AU"/>
        </w:rPr>
        <w:t>2022</w:t>
      </w:r>
      <w:r w:rsidRPr="00B073E8">
        <w:rPr>
          <w:sz w:val="20"/>
          <w:szCs w:val="20"/>
          <w:lang w:eastAsia="en-AU"/>
        </w:rPr>
        <w:t xml:space="preserve"> supports the </w:t>
      </w:r>
      <w:r w:rsidR="00732EEE">
        <w:rPr>
          <w:sz w:val="20"/>
          <w:szCs w:val="20"/>
          <w:lang w:eastAsia="en-AU"/>
        </w:rPr>
        <w:t xml:space="preserve">five </w:t>
      </w:r>
      <w:r w:rsidRPr="00B073E8">
        <w:rPr>
          <w:sz w:val="20"/>
          <w:szCs w:val="20"/>
          <w:lang w:eastAsia="en-AU"/>
        </w:rPr>
        <w:t xml:space="preserve">national </w:t>
      </w:r>
      <w:r w:rsidR="00732EEE">
        <w:rPr>
          <w:sz w:val="20"/>
          <w:szCs w:val="20"/>
          <w:lang w:eastAsia="en-AU"/>
        </w:rPr>
        <w:t xml:space="preserve">BBV and STI </w:t>
      </w:r>
      <w:r w:rsidR="00D45247">
        <w:rPr>
          <w:sz w:val="20"/>
          <w:szCs w:val="20"/>
          <w:lang w:eastAsia="en-AU"/>
        </w:rPr>
        <w:t>s</w:t>
      </w:r>
      <w:r w:rsidRPr="00B073E8">
        <w:rPr>
          <w:sz w:val="20"/>
          <w:szCs w:val="20"/>
          <w:lang w:eastAsia="en-AU"/>
        </w:rPr>
        <w:t xml:space="preserve">trategies and informs and monitors progress on achieving the goals and targets of each </w:t>
      </w:r>
      <w:r w:rsidR="00D45247">
        <w:rPr>
          <w:sz w:val="20"/>
          <w:szCs w:val="20"/>
          <w:lang w:eastAsia="en-AU"/>
        </w:rPr>
        <w:t>s</w:t>
      </w:r>
      <w:r w:rsidRPr="00B073E8">
        <w:rPr>
          <w:sz w:val="20"/>
          <w:szCs w:val="20"/>
          <w:lang w:eastAsia="en-AU"/>
        </w:rPr>
        <w:t xml:space="preserve">trategy. A subcommittee of the CDNA is </w:t>
      </w:r>
      <w:r w:rsidR="0089525E">
        <w:rPr>
          <w:sz w:val="20"/>
          <w:szCs w:val="20"/>
          <w:lang w:eastAsia="en-AU"/>
        </w:rPr>
        <w:t>responsible for overseeing the surveillance and monitoring p</w:t>
      </w:r>
      <w:r w:rsidRPr="00B073E8">
        <w:rPr>
          <w:sz w:val="20"/>
          <w:szCs w:val="20"/>
          <w:lang w:eastAsia="en-AU"/>
        </w:rPr>
        <w:t>lan and reporting on progress to the CDNA and BBVSS.</w:t>
      </w:r>
      <w:bookmarkStart w:id="36" w:name="_Toc529473037"/>
      <w:bookmarkEnd w:id="25"/>
      <w:bookmarkEnd w:id="26"/>
      <w:bookmarkEnd w:id="27"/>
      <w:bookmarkEnd w:id="28"/>
      <w:bookmarkEnd w:id="29"/>
      <w:bookmarkEnd w:id="30"/>
      <w:bookmarkEnd w:id="31"/>
      <w:bookmarkEnd w:id="32"/>
      <w:bookmarkEnd w:id="33"/>
      <w:bookmarkEnd w:id="20"/>
    </w:p>
    <w:p w:rsidR="00762C7A" w:rsidRDefault="00762C7A">
      <w:pPr>
        <w:spacing w:after="0"/>
        <w:rPr>
          <w:sz w:val="20"/>
          <w:szCs w:val="20"/>
          <w:lang w:eastAsia="en-AU"/>
        </w:rPr>
      </w:pPr>
      <w:r>
        <w:rPr>
          <w:sz w:val="20"/>
          <w:szCs w:val="20"/>
          <w:lang w:eastAsia="en-AU"/>
        </w:rPr>
        <w:br w:type="page"/>
      </w:r>
    </w:p>
    <w:p w:rsidR="006F2DC2" w:rsidRDefault="00E76320" w:rsidP="00762C7A">
      <w:r w:rsidRPr="006B3C1E">
        <w:t>References</w:t>
      </w:r>
      <w:bookmarkEnd w:id="21"/>
      <w:bookmarkEnd w:id="22"/>
      <w:bookmarkEnd w:id="23"/>
      <w:bookmarkEnd w:id="24"/>
      <w:bookmarkEnd w:id="36"/>
    </w:p>
    <w:p w:rsidR="00227A9B" w:rsidRPr="00227A9B" w:rsidRDefault="00227A9B" w:rsidP="00227A9B">
      <w:pPr>
        <w:rPr>
          <w:lang w:eastAsia="en-AU"/>
        </w:rPr>
      </w:pPr>
    </w:p>
    <w:sectPr w:rsidR="00227A9B" w:rsidRPr="00227A9B" w:rsidSect="0072379F">
      <w:endnotePr>
        <w:numFmt w:val="decimal"/>
      </w:endnotePr>
      <w:pgSz w:w="11907" w:h="16839" w:code="9"/>
      <w:pgMar w:top="1440" w:right="1077" w:bottom="1440"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4C4" w:rsidRDefault="00E114C4" w:rsidP="00302076">
      <w:pPr>
        <w:spacing w:after="0"/>
      </w:pPr>
      <w:r>
        <w:separator/>
      </w:r>
    </w:p>
  </w:endnote>
  <w:endnote w:type="continuationSeparator" w:id="0">
    <w:p w:rsidR="00E114C4" w:rsidRDefault="00E114C4" w:rsidP="00302076">
      <w:pPr>
        <w:spacing w:after="0"/>
      </w:pPr>
      <w:r>
        <w:continuationSeparator/>
      </w:r>
    </w:p>
  </w:endnote>
  <w:endnote w:type="continuationNotice" w:id="1">
    <w:p w:rsidR="00E114C4" w:rsidRDefault="00E114C4">
      <w:pPr>
        <w:spacing w:after="0"/>
      </w:pPr>
    </w:p>
  </w:endnote>
  <w:endnote w:id="2">
    <w:p w:rsidR="00E90473" w:rsidRPr="00B65740" w:rsidRDefault="00E90473" w:rsidP="00870156">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r w:rsidRPr="00B65740">
        <w:rPr>
          <w:rFonts w:cs="Segoe UI"/>
          <w:sz w:val="18"/>
          <w:szCs w:val="18"/>
          <w:lang w:val="en-AU"/>
        </w:rPr>
        <w:t xml:space="preserve">Ali, H., B. Donovan, H. Wand, T. R. H. Read, D. G. Read, A. E. </w:t>
      </w:r>
      <w:proofErr w:type="spellStart"/>
      <w:r w:rsidRPr="00B65740">
        <w:rPr>
          <w:rFonts w:cs="Segoe UI"/>
          <w:sz w:val="18"/>
          <w:szCs w:val="18"/>
          <w:lang w:val="en-AU"/>
        </w:rPr>
        <w:t>Grulich</w:t>
      </w:r>
      <w:proofErr w:type="spellEnd"/>
      <w:r w:rsidRPr="00B65740">
        <w:rPr>
          <w:rFonts w:cs="Segoe UI"/>
          <w:sz w:val="18"/>
          <w:szCs w:val="18"/>
          <w:lang w:val="en-AU"/>
        </w:rPr>
        <w:t xml:space="preserve">, C. K. Fairley and R. J. Guy. (2013). </w:t>
      </w:r>
      <w:r>
        <w:rPr>
          <w:rFonts w:cs="Segoe UI"/>
          <w:sz w:val="18"/>
          <w:szCs w:val="18"/>
          <w:lang w:val="en-AU"/>
        </w:rPr>
        <w:t>‘</w:t>
      </w:r>
      <w:r w:rsidRPr="00B65740">
        <w:rPr>
          <w:rFonts w:cs="Segoe UI"/>
          <w:sz w:val="18"/>
          <w:szCs w:val="18"/>
          <w:lang w:val="en-AU"/>
        </w:rPr>
        <w:t>Genital warts in young Australians five years into national human papillomavirus vaccination programme: national surveillance data.</w:t>
      </w:r>
      <w:r>
        <w:rPr>
          <w:rFonts w:cs="Segoe UI"/>
          <w:sz w:val="18"/>
          <w:szCs w:val="18"/>
          <w:lang w:val="en-AU"/>
        </w:rPr>
        <w:t>’</w:t>
      </w:r>
      <w:r w:rsidRPr="00B65740">
        <w:rPr>
          <w:rFonts w:cs="Segoe UI"/>
          <w:sz w:val="18"/>
          <w:szCs w:val="18"/>
          <w:lang w:val="en-AU"/>
        </w:rPr>
        <w:t xml:space="preserve"> </w:t>
      </w:r>
      <w:r w:rsidRPr="00B65740">
        <w:rPr>
          <w:rFonts w:cs="Segoe UI"/>
          <w:sz w:val="18"/>
          <w:szCs w:val="18"/>
          <w:u w:val="single"/>
          <w:lang w:val="en-AU"/>
        </w:rPr>
        <w:t>BMJ,</w:t>
      </w:r>
      <w:r w:rsidRPr="00B65740">
        <w:rPr>
          <w:rFonts w:cs="Segoe UI"/>
          <w:sz w:val="18"/>
          <w:szCs w:val="18"/>
          <w:lang w:val="en-AU"/>
        </w:rPr>
        <w:t xml:space="preserve"> </w:t>
      </w:r>
      <w:r w:rsidRPr="00B65740">
        <w:rPr>
          <w:rFonts w:cs="Segoe UI"/>
          <w:b/>
          <w:sz w:val="18"/>
          <w:szCs w:val="18"/>
          <w:lang w:val="en-AU"/>
        </w:rPr>
        <w:t>346</w:t>
      </w:r>
      <w:r w:rsidRPr="00B65740">
        <w:rPr>
          <w:rFonts w:cs="Segoe UI"/>
          <w:sz w:val="18"/>
          <w:szCs w:val="18"/>
          <w:lang w:val="en-AU"/>
        </w:rPr>
        <w:t>:f2032.</w:t>
      </w:r>
    </w:p>
  </w:endnote>
  <w:endnote w:id="3">
    <w:p w:rsidR="00E90473" w:rsidRPr="00B65740" w:rsidRDefault="00E90473" w:rsidP="000611DA">
      <w:pPr>
        <w:rPr>
          <w:rFonts w:cs="Segoe UI"/>
          <w:sz w:val="18"/>
          <w:szCs w:val="18"/>
        </w:rPr>
      </w:pPr>
      <w:r w:rsidRPr="00B65740">
        <w:rPr>
          <w:rStyle w:val="EndnoteReference"/>
          <w:rFonts w:cs="Segoe UI"/>
          <w:sz w:val="18"/>
          <w:szCs w:val="18"/>
        </w:rPr>
        <w:endnoteRef/>
      </w:r>
      <w:r w:rsidRPr="00B65740">
        <w:rPr>
          <w:rFonts w:cs="Segoe UI"/>
          <w:sz w:val="18"/>
          <w:szCs w:val="18"/>
        </w:rPr>
        <w:t xml:space="preserve"> </w:t>
      </w:r>
      <w:r w:rsidRPr="00B65740">
        <w:rPr>
          <w:rFonts w:cs="Segoe UI"/>
          <w:sz w:val="18"/>
          <w:szCs w:val="18"/>
          <w:lang w:val="da-DK"/>
        </w:rPr>
        <w:t xml:space="preserve">Tabrizi, S.N., J. M. Brotherton, J. M. Kaldor, S. R. Skinner, E. Cummins E, B. Liu, D. Bateson, K. McNamee, M. Garefalakis and S. M. Garland. (2012). </w:t>
      </w:r>
      <w:r>
        <w:rPr>
          <w:rFonts w:cs="Segoe UI"/>
          <w:sz w:val="18"/>
          <w:szCs w:val="18"/>
        </w:rPr>
        <w:t>‘F</w:t>
      </w:r>
      <w:r w:rsidRPr="00B65740">
        <w:rPr>
          <w:rFonts w:cs="Segoe UI"/>
          <w:sz w:val="18"/>
          <w:szCs w:val="18"/>
        </w:rPr>
        <w:t>all in human papillomavirus prevalence following a national vaccination program.</w:t>
      </w:r>
      <w:r>
        <w:rPr>
          <w:rFonts w:cs="Segoe UI"/>
          <w:sz w:val="18"/>
          <w:szCs w:val="18"/>
        </w:rPr>
        <w:t>’</w:t>
      </w:r>
      <w:r w:rsidRPr="00B65740">
        <w:rPr>
          <w:rFonts w:cs="Segoe UI"/>
          <w:sz w:val="18"/>
          <w:szCs w:val="18"/>
        </w:rPr>
        <w:t xml:space="preserve"> </w:t>
      </w:r>
      <w:r w:rsidRPr="00B65740">
        <w:rPr>
          <w:rFonts w:cs="Segoe UI"/>
          <w:sz w:val="18"/>
          <w:szCs w:val="18"/>
          <w:u w:val="single"/>
        </w:rPr>
        <w:t>Journal of Infectious Diseases</w:t>
      </w:r>
      <w:r w:rsidRPr="00B65740">
        <w:rPr>
          <w:rFonts w:cs="Segoe UI"/>
          <w:sz w:val="18"/>
          <w:szCs w:val="18"/>
        </w:rPr>
        <w:t xml:space="preserve">, </w:t>
      </w:r>
      <w:r w:rsidRPr="00B65740">
        <w:rPr>
          <w:rFonts w:cs="Segoe UI"/>
          <w:b/>
          <w:sz w:val="18"/>
          <w:szCs w:val="18"/>
        </w:rPr>
        <w:t>206</w:t>
      </w:r>
      <w:r w:rsidRPr="00B65740">
        <w:rPr>
          <w:rFonts w:cs="Segoe UI"/>
          <w:sz w:val="18"/>
          <w:szCs w:val="18"/>
        </w:rPr>
        <w:t>:1645</w:t>
      </w:r>
      <w:r>
        <w:rPr>
          <w:rFonts w:cs="Segoe UI"/>
          <w:sz w:val="18"/>
          <w:szCs w:val="18"/>
        </w:rPr>
        <w:t>–</w:t>
      </w:r>
      <w:r w:rsidRPr="00B65740">
        <w:rPr>
          <w:rFonts w:cs="Segoe UI"/>
          <w:sz w:val="18"/>
          <w:szCs w:val="18"/>
        </w:rPr>
        <w:t>1651.</w:t>
      </w:r>
    </w:p>
  </w:endnote>
  <w:endnote w:id="4">
    <w:p w:rsidR="00E90473" w:rsidRPr="00B65740" w:rsidRDefault="00E90473" w:rsidP="000611DA">
      <w:pPr>
        <w:rPr>
          <w:rFonts w:cs="Segoe UI"/>
          <w:sz w:val="18"/>
          <w:szCs w:val="18"/>
        </w:rPr>
      </w:pPr>
      <w:r w:rsidRPr="00B65740">
        <w:rPr>
          <w:rStyle w:val="EndnoteReference"/>
          <w:rFonts w:cs="Segoe UI"/>
          <w:sz w:val="18"/>
          <w:szCs w:val="18"/>
        </w:rPr>
        <w:endnoteRef/>
      </w:r>
      <w:r w:rsidRPr="00B65740">
        <w:rPr>
          <w:rFonts w:cs="Segoe UI"/>
          <w:sz w:val="18"/>
          <w:szCs w:val="18"/>
        </w:rPr>
        <w:t xml:space="preserve"> </w:t>
      </w:r>
      <w:r w:rsidRPr="00B65740">
        <w:rPr>
          <w:rFonts w:cs="Segoe UI"/>
          <w:color w:val="000000"/>
          <w:sz w:val="18"/>
          <w:szCs w:val="18"/>
          <w:lang w:val="da-DK"/>
        </w:rPr>
        <w:t xml:space="preserve">Chow, E.P., T.R. Read, </w:t>
      </w:r>
      <w:r>
        <w:rPr>
          <w:rFonts w:cs="Segoe UI"/>
          <w:color w:val="000000"/>
          <w:sz w:val="18"/>
          <w:szCs w:val="18"/>
          <w:lang w:val="da-DK"/>
        </w:rPr>
        <w:t xml:space="preserve">and </w:t>
      </w:r>
      <w:r w:rsidRPr="00B65740">
        <w:rPr>
          <w:rFonts w:cs="Segoe UI"/>
          <w:color w:val="000000"/>
          <w:sz w:val="18"/>
          <w:szCs w:val="18"/>
          <w:lang w:val="da-DK"/>
        </w:rPr>
        <w:t xml:space="preserve">R. Wigan. (2015). </w:t>
      </w:r>
      <w:r>
        <w:rPr>
          <w:rFonts w:cs="Segoe UI"/>
          <w:color w:val="000000"/>
          <w:sz w:val="18"/>
          <w:szCs w:val="18"/>
        </w:rPr>
        <w:t>‘O</w:t>
      </w:r>
      <w:r w:rsidRPr="00B65740">
        <w:rPr>
          <w:rFonts w:cs="Segoe UI"/>
          <w:color w:val="000000"/>
          <w:sz w:val="18"/>
          <w:szCs w:val="18"/>
        </w:rPr>
        <w:t>ngoing decline in genital warts among young heterosexuals 7 years after the Australian human papillomavirus (HPV) vaccination programme.</w:t>
      </w:r>
      <w:r>
        <w:rPr>
          <w:rFonts w:cs="Segoe UI"/>
          <w:color w:val="000000"/>
          <w:sz w:val="18"/>
          <w:szCs w:val="18"/>
        </w:rPr>
        <w:t>’</w:t>
      </w:r>
      <w:r w:rsidRPr="00B65740">
        <w:rPr>
          <w:rFonts w:cs="Segoe UI"/>
          <w:color w:val="000000"/>
          <w:sz w:val="18"/>
          <w:szCs w:val="18"/>
        </w:rPr>
        <w:t xml:space="preserve"> </w:t>
      </w:r>
      <w:r w:rsidRPr="00B65740">
        <w:rPr>
          <w:rFonts w:cs="Segoe UI"/>
          <w:color w:val="000000"/>
          <w:sz w:val="18"/>
          <w:szCs w:val="18"/>
          <w:u w:val="single"/>
        </w:rPr>
        <w:t>Sexually Transmitted Infections</w:t>
      </w:r>
      <w:r w:rsidRPr="00B65740">
        <w:rPr>
          <w:rFonts w:cs="Segoe UI"/>
          <w:color w:val="000000"/>
          <w:sz w:val="18"/>
          <w:szCs w:val="18"/>
        </w:rPr>
        <w:t xml:space="preserve">, </w:t>
      </w:r>
      <w:r w:rsidRPr="00B65740">
        <w:rPr>
          <w:rFonts w:cs="Segoe UI"/>
          <w:b/>
          <w:color w:val="000000"/>
          <w:sz w:val="18"/>
          <w:szCs w:val="18"/>
        </w:rPr>
        <w:t>91</w:t>
      </w:r>
      <w:r w:rsidRPr="00B65740">
        <w:rPr>
          <w:rFonts w:cs="Segoe UI"/>
          <w:color w:val="000000"/>
          <w:sz w:val="18"/>
          <w:szCs w:val="18"/>
        </w:rPr>
        <w:t>:214</w:t>
      </w:r>
      <w:r>
        <w:rPr>
          <w:rFonts w:cs="Segoe UI"/>
          <w:color w:val="000000"/>
          <w:sz w:val="18"/>
          <w:szCs w:val="18"/>
        </w:rPr>
        <w:t>–</w:t>
      </w:r>
      <w:r w:rsidRPr="00B65740">
        <w:rPr>
          <w:rFonts w:cs="Segoe UI"/>
          <w:color w:val="000000"/>
          <w:sz w:val="18"/>
          <w:szCs w:val="18"/>
        </w:rPr>
        <w:t>219.</w:t>
      </w:r>
    </w:p>
  </w:endnote>
  <w:endnote w:id="5">
    <w:p w:rsidR="00E90473" w:rsidRPr="00B65740" w:rsidRDefault="00E90473" w:rsidP="000611DA">
      <w:pPr>
        <w:rPr>
          <w:rFonts w:cs="Segoe UI"/>
          <w:color w:val="000000"/>
          <w:sz w:val="18"/>
          <w:szCs w:val="18"/>
        </w:rPr>
      </w:pPr>
      <w:r w:rsidRPr="00B65740">
        <w:rPr>
          <w:rStyle w:val="EndnoteReference"/>
          <w:rFonts w:cs="Segoe UI"/>
          <w:sz w:val="18"/>
          <w:szCs w:val="18"/>
        </w:rPr>
        <w:endnoteRef/>
      </w:r>
      <w:r w:rsidRPr="00B65740">
        <w:rPr>
          <w:rFonts w:cs="Segoe UI"/>
          <w:sz w:val="18"/>
          <w:szCs w:val="18"/>
        </w:rPr>
        <w:t xml:space="preserve"> </w:t>
      </w:r>
      <w:r w:rsidRPr="00B65740">
        <w:rPr>
          <w:rFonts w:cs="Segoe UI"/>
          <w:color w:val="000000"/>
          <w:sz w:val="18"/>
          <w:szCs w:val="18"/>
        </w:rPr>
        <w:t xml:space="preserve">Harrison, C., H. Britt, S. Garland, </w:t>
      </w:r>
      <w:r>
        <w:rPr>
          <w:rFonts w:cs="Segoe UI"/>
          <w:color w:val="000000"/>
          <w:sz w:val="18"/>
          <w:szCs w:val="18"/>
        </w:rPr>
        <w:t xml:space="preserve">and </w:t>
      </w:r>
      <w:r w:rsidRPr="00B65740">
        <w:rPr>
          <w:rFonts w:cs="Segoe UI"/>
          <w:color w:val="000000"/>
          <w:sz w:val="18"/>
          <w:szCs w:val="18"/>
        </w:rPr>
        <w:t xml:space="preserve">L. Conway. (2014). </w:t>
      </w:r>
      <w:r>
        <w:rPr>
          <w:rFonts w:cs="Segoe UI"/>
          <w:color w:val="000000"/>
          <w:sz w:val="18"/>
          <w:szCs w:val="18"/>
        </w:rPr>
        <w:t>‘</w:t>
      </w:r>
      <w:proofErr w:type="gramStart"/>
      <w:r w:rsidRPr="00B65740">
        <w:rPr>
          <w:rFonts w:cs="Segoe UI"/>
          <w:color w:val="000000"/>
          <w:sz w:val="18"/>
          <w:szCs w:val="18"/>
        </w:rPr>
        <w:t>Decreased</w:t>
      </w:r>
      <w:proofErr w:type="gramEnd"/>
      <w:r w:rsidRPr="00B65740">
        <w:rPr>
          <w:rFonts w:cs="Segoe UI"/>
          <w:color w:val="000000"/>
          <w:sz w:val="18"/>
          <w:szCs w:val="18"/>
        </w:rPr>
        <w:t xml:space="preserve"> management of genital warts in young women in Australian general practice post introduction of national HPV vaccination program: results from a nationally representative cross-sectional general practice study.</w:t>
      </w:r>
      <w:r>
        <w:rPr>
          <w:rFonts w:cs="Segoe UI"/>
          <w:color w:val="000000"/>
          <w:sz w:val="18"/>
          <w:szCs w:val="18"/>
        </w:rPr>
        <w:t>’</w:t>
      </w:r>
      <w:r w:rsidRPr="00B65740">
        <w:rPr>
          <w:rFonts w:cs="Segoe UI"/>
          <w:color w:val="000000"/>
          <w:sz w:val="18"/>
          <w:szCs w:val="18"/>
        </w:rPr>
        <w:t xml:space="preserve"> </w:t>
      </w:r>
      <w:proofErr w:type="spellStart"/>
      <w:r w:rsidRPr="00B65740">
        <w:rPr>
          <w:rFonts w:cs="Segoe UI"/>
          <w:color w:val="000000"/>
          <w:sz w:val="18"/>
          <w:szCs w:val="18"/>
          <w:u w:val="single"/>
        </w:rPr>
        <w:t>PLoS</w:t>
      </w:r>
      <w:proofErr w:type="spellEnd"/>
      <w:r w:rsidRPr="00B65740">
        <w:rPr>
          <w:rFonts w:cs="Segoe UI"/>
          <w:color w:val="000000"/>
          <w:sz w:val="18"/>
          <w:szCs w:val="18"/>
          <w:u w:val="single"/>
        </w:rPr>
        <w:t xml:space="preserve"> One</w:t>
      </w:r>
      <w:r w:rsidRPr="00B65740">
        <w:rPr>
          <w:rFonts w:cs="Segoe UI"/>
          <w:color w:val="000000"/>
          <w:sz w:val="18"/>
          <w:szCs w:val="18"/>
        </w:rPr>
        <w:t xml:space="preserve">, </w:t>
      </w:r>
      <w:r w:rsidRPr="00B65740">
        <w:rPr>
          <w:rFonts w:cs="Segoe UI"/>
          <w:b/>
          <w:color w:val="000000"/>
          <w:sz w:val="18"/>
          <w:szCs w:val="18"/>
        </w:rPr>
        <w:t>9</w:t>
      </w:r>
      <w:r w:rsidRPr="00B65740">
        <w:rPr>
          <w:rFonts w:cs="Segoe UI"/>
          <w:color w:val="000000"/>
          <w:sz w:val="18"/>
          <w:szCs w:val="18"/>
        </w:rPr>
        <w:t>:e105967.</w:t>
      </w:r>
    </w:p>
  </w:endnote>
  <w:endnote w:id="6">
    <w:p w:rsidR="00E90473" w:rsidRPr="00B65740" w:rsidRDefault="00E90473" w:rsidP="000611DA">
      <w:pPr>
        <w:rPr>
          <w:rFonts w:cs="Segoe UI"/>
          <w:color w:val="000000"/>
          <w:sz w:val="18"/>
          <w:szCs w:val="18"/>
        </w:rPr>
      </w:pPr>
      <w:r w:rsidRPr="00B65740">
        <w:rPr>
          <w:rStyle w:val="EndnoteReference"/>
          <w:rFonts w:cs="Segoe UI"/>
          <w:sz w:val="18"/>
          <w:szCs w:val="18"/>
        </w:rPr>
        <w:endnoteRef/>
      </w:r>
      <w:r w:rsidRPr="00B65740">
        <w:rPr>
          <w:rFonts w:cs="Segoe UI"/>
          <w:sz w:val="18"/>
          <w:szCs w:val="18"/>
        </w:rPr>
        <w:t xml:space="preserve"> </w:t>
      </w:r>
      <w:proofErr w:type="spellStart"/>
      <w:r w:rsidRPr="00B65740">
        <w:rPr>
          <w:rFonts w:cs="Segoe UI"/>
          <w:color w:val="000000"/>
          <w:sz w:val="18"/>
          <w:szCs w:val="18"/>
        </w:rPr>
        <w:t>Brotherton</w:t>
      </w:r>
      <w:proofErr w:type="spellEnd"/>
      <w:r w:rsidRPr="00B65740">
        <w:rPr>
          <w:rFonts w:cs="Segoe UI"/>
          <w:color w:val="000000"/>
          <w:sz w:val="18"/>
          <w:szCs w:val="18"/>
        </w:rPr>
        <w:t xml:space="preserve">, J.M.L., M. Malloy, A. C. Budd, M. Saville, K.T. </w:t>
      </w:r>
      <w:proofErr w:type="spellStart"/>
      <w:r w:rsidRPr="00B65740">
        <w:rPr>
          <w:rFonts w:cs="Segoe UI"/>
          <w:color w:val="000000"/>
          <w:sz w:val="18"/>
          <w:szCs w:val="18"/>
        </w:rPr>
        <w:t>Drennan</w:t>
      </w:r>
      <w:proofErr w:type="spellEnd"/>
      <w:r>
        <w:rPr>
          <w:rFonts w:cs="Segoe UI"/>
          <w:color w:val="000000"/>
          <w:sz w:val="18"/>
          <w:szCs w:val="18"/>
        </w:rPr>
        <w:t>,</w:t>
      </w:r>
      <w:r w:rsidRPr="00B65740">
        <w:rPr>
          <w:rFonts w:cs="Segoe UI"/>
          <w:color w:val="000000"/>
          <w:sz w:val="18"/>
          <w:szCs w:val="18"/>
        </w:rPr>
        <w:t xml:space="preserve"> and D. M. </w:t>
      </w:r>
      <w:proofErr w:type="spellStart"/>
      <w:r w:rsidR="00541006">
        <w:rPr>
          <w:rFonts w:cs="Segoe UI"/>
          <w:color w:val="000000"/>
          <w:sz w:val="18"/>
          <w:szCs w:val="18"/>
        </w:rPr>
        <w:t>Gertig</w:t>
      </w:r>
      <w:proofErr w:type="spellEnd"/>
      <w:r>
        <w:rPr>
          <w:rFonts w:cs="Segoe UI"/>
          <w:color w:val="000000"/>
          <w:sz w:val="18"/>
          <w:szCs w:val="18"/>
        </w:rPr>
        <w:t xml:space="preserve">. </w:t>
      </w:r>
      <w:r w:rsidRPr="00B65740">
        <w:rPr>
          <w:rFonts w:cs="Segoe UI"/>
          <w:color w:val="000000"/>
          <w:sz w:val="18"/>
          <w:szCs w:val="18"/>
        </w:rPr>
        <w:t xml:space="preserve">(2015). </w:t>
      </w:r>
      <w:r>
        <w:rPr>
          <w:rFonts w:cs="Segoe UI"/>
          <w:color w:val="000000"/>
          <w:sz w:val="18"/>
          <w:szCs w:val="18"/>
        </w:rPr>
        <w:t>‘</w:t>
      </w:r>
      <w:r w:rsidRPr="00B65740">
        <w:rPr>
          <w:rFonts w:cs="Segoe UI"/>
          <w:color w:val="000000"/>
          <w:sz w:val="18"/>
          <w:szCs w:val="18"/>
        </w:rPr>
        <w:t xml:space="preserve">Effectiveness of less than three doses of </w:t>
      </w:r>
      <w:proofErr w:type="spellStart"/>
      <w:r w:rsidRPr="00B65740">
        <w:rPr>
          <w:rFonts w:cs="Segoe UI"/>
          <w:color w:val="000000"/>
          <w:sz w:val="18"/>
          <w:szCs w:val="18"/>
        </w:rPr>
        <w:t>quadrivalent</w:t>
      </w:r>
      <w:proofErr w:type="spellEnd"/>
      <w:r w:rsidRPr="00B65740">
        <w:rPr>
          <w:rFonts w:cs="Segoe UI"/>
          <w:color w:val="000000"/>
          <w:sz w:val="18"/>
          <w:szCs w:val="18"/>
        </w:rPr>
        <w:t xml:space="preserve"> human papillomavirus vaccine against cervical intraepithelial neoplasia when administered using a standard dose spacing schedule: Observational cohort of young women in Australia.</w:t>
      </w:r>
      <w:r>
        <w:rPr>
          <w:rFonts w:cs="Segoe UI"/>
          <w:color w:val="000000"/>
          <w:sz w:val="18"/>
          <w:szCs w:val="18"/>
        </w:rPr>
        <w:t>’</w:t>
      </w:r>
      <w:r w:rsidRPr="00B65740">
        <w:rPr>
          <w:rFonts w:cs="Segoe UI"/>
          <w:color w:val="000000"/>
          <w:sz w:val="18"/>
          <w:szCs w:val="18"/>
        </w:rPr>
        <w:t xml:space="preserve"> </w:t>
      </w:r>
      <w:r w:rsidRPr="00B65740">
        <w:rPr>
          <w:rFonts w:cs="Segoe UI"/>
          <w:color w:val="000000"/>
          <w:sz w:val="18"/>
          <w:szCs w:val="18"/>
          <w:u w:val="single"/>
        </w:rPr>
        <w:t>Papillomavirus Research (PVR)</w:t>
      </w:r>
      <w:r w:rsidRPr="00B65740">
        <w:rPr>
          <w:rFonts w:cs="Segoe UI"/>
          <w:color w:val="000000"/>
          <w:sz w:val="18"/>
          <w:szCs w:val="18"/>
        </w:rPr>
        <w:t xml:space="preserve">, </w:t>
      </w:r>
      <w:r w:rsidRPr="00B65740">
        <w:rPr>
          <w:rFonts w:cs="Segoe UI"/>
          <w:b/>
          <w:color w:val="000000"/>
          <w:sz w:val="18"/>
          <w:szCs w:val="18"/>
        </w:rPr>
        <w:t>1</w:t>
      </w:r>
      <w:r w:rsidRPr="00B65740">
        <w:rPr>
          <w:rFonts w:cs="Segoe UI"/>
          <w:color w:val="000000"/>
          <w:sz w:val="18"/>
          <w:szCs w:val="18"/>
        </w:rPr>
        <w:t>:59</w:t>
      </w:r>
      <w:r>
        <w:rPr>
          <w:rFonts w:cs="Segoe UI"/>
          <w:color w:val="000000"/>
          <w:sz w:val="18"/>
          <w:szCs w:val="18"/>
        </w:rPr>
        <w:t>–</w:t>
      </w:r>
      <w:r w:rsidRPr="00B65740">
        <w:rPr>
          <w:rFonts w:cs="Segoe UI"/>
          <w:color w:val="000000"/>
          <w:sz w:val="18"/>
          <w:szCs w:val="18"/>
        </w:rPr>
        <w:t>73.</w:t>
      </w:r>
    </w:p>
  </w:endnote>
  <w:endnote w:id="7">
    <w:p w:rsidR="00E90473" w:rsidRPr="00B65740" w:rsidRDefault="00E90473" w:rsidP="000611DA">
      <w:pPr>
        <w:rPr>
          <w:rFonts w:cs="Segoe UI"/>
          <w:color w:val="000000"/>
          <w:sz w:val="18"/>
          <w:szCs w:val="18"/>
        </w:rPr>
      </w:pPr>
      <w:r w:rsidRPr="00B65740">
        <w:rPr>
          <w:rStyle w:val="EndnoteReference"/>
          <w:rFonts w:cs="Segoe UI"/>
          <w:sz w:val="18"/>
          <w:szCs w:val="18"/>
        </w:rPr>
        <w:endnoteRef/>
      </w:r>
      <w:r w:rsidRPr="00B65740">
        <w:rPr>
          <w:rFonts w:cs="Segoe UI"/>
          <w:sz w:val="18"/>
          <w:szCs w:val="18"/>
        </w:rPr>
        <w:t xml:space="preserve"> </w:t>
      </w:r>
      <w:r w:rsidRPr="00B65740">
        <w:rPr>
          <w:rFonts w:cs="Segoe UI"/>
          <w:color w:val="000000"/>
          <w:sz w:val="18"/>
          <w:szCs w:val="18"/>
        </w:rPr>
        <w:t xml:space="preserve">Crowe, E., N. </w:t>
      </w:r>
      <w:proofErr w:type="spellStart"/>
      <w:r w:rsidRPr="00B65740">
        <w:rPr>
          <w:rFonts w:cs="Segoe UI"/>
          <w:color w:val="000000"/>
          <w:sz w:val="18"/>
          <w:szCs w:val="18"/>
        </w:rPr>
        <w:t>Pandeya</w:t>
      </w:r>
      <w:proofErr w:type="spellEnd"/>
      <w:r w:rsidRPr="00B65740">
        <w:rPr>
          <w:rFonts w:cs="Segoe UI"/>
          <w:color w:val="000000"/>
          <w:sz w:val="18"/>
          <w:szCs w:val="18"/>
        </w:rPr>
        <w:t xml:space="preserve">, J. M. </w:t>
      </w:r>
      <w:proofErr w:type="spellStart"/>
      <w:r w:rsidRPr="00B65740">
        <w:rPr>
          <w:rFonts w:cs="Segoe UI"/>
          <w:color w:val="000000"/>
          <w:sz w:val="18"/>
          <w:szCs w:val="18"/>
        </w:rPr>
        <w:t>Brotherton</w:t>
      </w:r>
      <w:proofErr w:type="spellEnd"/>
      <w:r w:rsidRPr="00B65740">
        <w:rPr>
          <w:rFonts w:cs="Segoe UI"/>
          <w:color w:val="000000"/>
          <w:sz w:val="18"/>
          <w:szCs w:val="18"/>
        </w:rPr>
        <w:t xml:space="preserve"> </w:t>
      </w:r>
      <w:r w:rsidRPr="00F537E8">
        <w:rPr>
          <w:rFonts w:cs="Segoe UI"/>
          <w:i/>
          <w:color w:val="000000"/>
          <w:sz w:val="18"/>
          <w:szCs w:val="18"/>
        </w:rPr>
        <w:t>et al.</w:t>
      </w:r>
      <w:r w:rsidRPr="00B65740">
        <w:rPr>
          <w:rFonts w:cs="Segoe UI"/>
          <w:color w:val="000000"/>
          <w:sz w:val="18"/>
          <w:szCs w:val="18"/>
        </w:rPr>
        <w:t xml:space="preserve"> (2014). </w:t>
      </w:r>
      <w:r>
        <w:rPr>
          <w:rFonts w:cs="Segoe UI"/>
          <w:color w:val="000000"/>
          <w:sz w:val="18"/>
          <w:szCs w:val="18"/>
        </w:rPr>
        <w:t>‘</w:t>
      </w:r>
      <w:r w:rsidRPr="00B65740">
        <w:rPr>
          <w:rFonts w:cs="Segoe UI"/>
          <w:color w:val="000000"/>
          <w:sz w:val="18"/>
          <w:szCs w:val="18"/>
        </w:rPr>
        <w:t xml:space="preserve">Effectiveness of </w:t>
      </w:r>
      <w:proofErr w:type="spellStart"/>
      <w:r w:rsidRPr="00B65740">
        <w:rPr>
          <w:rFonts w:cs="Segoe UI"/>
          <w:color w:val="000000"/>
          <w:sz w:val="18"/>
          <w:szCs w:val="18"/>
        </w:rPr>
        <w:t>quadrivalent</w:t>
      </w:r>
      <w:proofErr w:type="spellEnd"/>
      <w:r w:rsidRPr="00B65740">
        <w:rPr>
          <w:rFonts w:cs="Segoe UI"/>
          <w:color w:val="000000"/>
          <w:sz w:val="18"/>
          <w:szCs w:val="18"/>
        </w:rPr>
        <w:t xml:space="preserve"> human papillomavirus vaccine for the prevention of cervical abnormalities: case-control study nested within a population based screening programme in Australia.</w:t>
      </w:r>
      <w:r>
        <w:rPr>
          <w:rFonts w:cs="Segoe UI"/>
          <w:color w:val="000000"/>
          <w:sz w:val="18"/>
          <w:szCs w:val="18"/>
        </w:rPr>
        <w:t>’</w:t>
      </w:r>
      <w:r w:rsidRPr="00B65740">
        <w:rPr>
          <w:rFonts w:cs="Segoe UI"/>
          <w:color w:val="000000"/>
          <w:sz w:val="18"/>
          <w:szCs w:val="18"/>
        </w:rPr>
        <w:t xml:space="preserve"> </w:t>
      </w:r>
      <w:r w:rsidRPr="00B65740">
        <w:rPr>
          <w:rFonts w:cs="Segoe UI"/>
          <w:color w:val="000000"/>
          <w:sz w:val="18"/>
          <w:szCs w:val="18"/>
          <w:u w:val="single"/>
        </w:rPr>
        <w:t>BMJ</w:t>
      </w:r>
      <w:r w:rsidRPr="00B65740">
        <w:rPr>
          <w:rFonts w:cs="Segoe UI"/>
          <w:color w:val="000000"/>
          <w:sz w:val="18"/>
          <w:szCs w:val="18"/>
        </w:rPr>
        <w:t xml:space="preserve">, </w:t>
      </w:r>
      <w:r w:rsidRPr="00B65740">
        <w:rPr>
          <w:rFonts w:cs="Segoe UI"/>
          <w:b/>
          <w:color w:val="000000"/>
          <w:sz w:val="18"/>
          <w:szCs w:val="18"/>
        </w:rPr>
        <w:t>348</w:t>
      </w:r>
      <w:r w:rsidRPr="00B65740">
        <w:rPr>
          <w:rFonts w:cs="Segoe UI"/>
          <w:color w:val="000000"/>
          <w:sz w:val="18"/>
          <w:szCs w:val="18"/>
        </w:rPr>
        <w:t>:g1458.</w:t>
      </w:r>
    </w:p>
  </w:endnote>
  <w:endnote w:id="8">
    <w:p w:rsidR="00E90473" w:rsidRPr="00B65740" w:rsidRDefault="00E90473" w:rsidP="000611DA">
      <w:pPr>
        <w:rPr>
          <w:rFonts w:cs="Segoe UI"/>
          <w:color w:val="000000"/>
          <w:sz w:val="18"/>
          <w:szCs w:val="18"/>
        </w:rPr>
      </w:pPr>
      <w:r w:rsidRPr="00B65740">
        <w:rPr>
          <w:rStyle w:val="EndnoteReference"/>
          <w:rFonts w:cs="Segoe UI"/>
          <w:sz w:val="18"/>
          <w:szCs w:val="18"/>
        </w:rPr>
        <w:endnoteRef/>
      </w:r>
      <w:r w:rsidRPr="00B65740">
        <w:rPr>
          <w:rFonts w:cs="Segoe UI"/>
          <w:sz w:val="18"/>
          <w:szCs w:val="18"/>
        </w:rPr>
        <w:t xml:space="preserve"> </w:t>
      </w:r>
      <w:proofErr w:type="spellStart"/>
      <w:r w:rsidRPr="00B65740">
        <w:rPr>
          <w:rFonts w:cs="Segoe UI"/>
          <w:color w:val="000000"/>
          <w:sz w:val="18"/>
          <w:szCs w:val="18"/>
        </w:rPr>
        <w:t>Gertig</w:t>
      </w:r>
      <w:proofErr w:type="spellEnd"/>
      <w:r w:rsidRPr="00B65740">
        <w:rPr>
          <w:rFonts w:cs="Segoe UI"/>
          <w:color w:val="000000"/>
          <w:sz w:val="18"/>
          <w:szCs w:val="18"/>
        </w:rPr>
        <w:t>, D.</w:t>
      </w:r>
      <w:r>
        <w:rPr>
          <w:rFonts w:cs="Segoe UI"/>
          <w:color w:val="000000"/>
          <w:sz w:val="18"/>
          <w:szCs w:val="18"/>
        </w:rPr>
        <w:t xml:space="preserve"> </w:t>
      </w:r>
      <w:r w:rsidRPr="00B65740">
        <w:rPr>
          <w:rFonts w:cs="Segoe UI"/>
          <w:color w:val="000000"/>
          <w:sz w:val="18"/>
          <w:szCs w:val="18"/>
        </w:rPr>
        <w:t xml:space="preserve">M., J. M. </w:t>
      </w:r>
      <w:proofErr w:type="spellStart"/>
      <w:r w:rsidRPr="00B65740">
        <w:rPr>
          <w:rFonts w:cs="Segoe UI"/>
          <w:color w:val="000000"/>
          <w:sz w:val="18"/>
          <w:szCs w:val="18"/>
        </w:rPr>
        <w:t>Brotherton</w:t>
      </w:r>
      <w:proofErr w:type="spellEnd"/>
      <w:r w:rsidRPr="00B65740">
        <w:rPr>
          <w:rFonts w:cs="Segoe UI"/>
          <w:color w:val="000000"/>
          <w:sz w:val="18"/>
          <w:szCs w:val="18"/>
        </w:rPr>
        <w:t>, A.</w:t>
      </w:r>
      <w:r>
        <w:rPr>
          <w:rFonts w:cs="Segoe UI"/>
          <w:color w:val="000000"/>
          <w:sz w:val="18"/>
          <w:szCs w:val="18"/>
        </w:rPr>
        <w:t xml:space="preserve"> </w:t>
      </w:r>
      <w:r w:rsidRPr="00B65740">
        <w:rPr>
          <w:rFonts w:cs="Segoe UI"/>
          <w:color w:val="000000"/>
          <w:sz w:val="18"/>
          <w:szCs w:val="18"/>
        </w:rPr>
        <w:t xml:space="preserve">C. Budd, K. </w:t>
      </w:r>
      <w:proofErr w:type="spellStart"/>
      <w:r w:rsidRPr="00B65740">
        <w:rPr>
          <w:rFonts w:cs="Segoe UI"/>
          <w:color w:val="000000"/>
          <w:sz w:val="18"/>
          <w:szCs w:val="18"/>
        </w:rPr>
        <w:t>Drennan</w:t>
      </w:r>
      <w:proofErr w:type="spellEnd"/>
      <w:r w:rsidRPr="00B65740">
        <w:rPr>
          <w:rFonts w:cs="Segoe UI"/>
          <w:color w:val="000000"/>
          <w:sz w:val="18"/>
          <w:szCs w:val="18"/>
        </w:rPr>
        <w:t>, G. Chappell</w:t>
      </w:r>
      <w:r>
        <w:rPr>
          <w:rFonts w:cs="Segoe UI"/>
          <w:color w:val="000000"/>
          <w:sz w:val="18"/>
          <w:szCs w:val="18"/>
        </w:rPr>
        <w:t>,</w:t>
      </w:r>
      <w:r w:rsidRPr="00B65740">
        <w:rPr>
          <w:rFonts w:cs="Segoe UI"/>
          <w:color w:val="000000"/>
          <w:sz w:val="18"/>
          <w:szCs w:val="18"/>
        </w:rPr>
        <w:t xml:space="preserve"> and A. M. Saville. (2013). </w:t>
      </w:r>
      <w:r>
        <w:rPr>
          <w:rFonts w:cs="Segoe UI"/>
          <w:color w:val="000000"/>
          <w:sz w:val="18"/>
          <w:szCs w:val="18"/>
        </w:rPr>
        <w:t>‘</w:t>
      </w:r>
      <w:r w:rsidRPr="00B65740">
        <w:rPr>
          <w:rFonts w:cs="Segoe UI"/>
          <w:color w:val="000000"/>
          <w:sz w:val="18"/>
          <w:szCs w:val="18"/>
        </w:rPr>
        <w:t>Impact of a population-based HPV vaccination program on cervical abnormalities: a data linkage study.</w:t>
      </w:r>
      <w:r>
        <w:rPr>
          <w:rFonts w:cs="Segoe UI"/>
          <w:color w:val="000000"/>
          <w:sz w:val="18"/>
          <w:szCs w:val="18"/>
        </w:rPr>
        <w:t>’</w:t>
      </w:r>
      <w:r w:rsidRPr="00B65740">
        <w:rPr>
          <w:rFonts w:cs="Segoe UI"/>
          <w:color w:val="000000"/>
          <w:sz w:val="18"/>
          <w:szCs w:val="18"/>
        </w:rPr>
        <w:t xml:space="preserve"> </w:t>
      </w:r>
      <w:r w:rsidRPr="00B65740">
        <w:rPr>
          <w:rFonts w:cs="Segoe UI"/>
          <w:color w:val="000000"/>
          <w:sz w:val="18"/>
          <w:szCs w:val="18"/>
          <w:u w:val="single"/>
        </w:rPr>
        <w:t>BMC Medicine</w:t>
      </w:r>
      <w:r w:rsidRPr="00B65740">
        <w:rPr>
          <w:rFonts w:cs="Segoe UI"/>
          <w:color w:val="000000"/>
          <w:sz w:val="18"/>
          <w:szCs w:val="18"/>
        </w:rPr>
        <w:t xml:space="preserve">, </w:t>
      </w:r>
      <w:r w:rsidRPr="00B65740">
        <w:rPr>
          <w:rFonts w:cs="Segoe UI"/>
          <w:b/>
          <w:color w:val="000000"/>
          <w:sz w:val="18"/>
          <w:szCs w:val="18"/>
        </w:rPr>
        <w:t>11</w:t>
      </w:r>
      <w:r w:rsidRPr="00B65740">
        <w:rPr>
          <w:rFonts w:cs="Segoe UI"/>
          <w:color w:val="000000"/>
          <w:sz w:val="18"/>
          <w:szCs w:val="18"/>
        </w:rPr>
        <w:t>:227.</w:t>
      </w:r>
    </w:p>
  </w:endnote>
  <w:endnote w:id="9">
    <w:p w:rsidR="00E90473" w:rsidRPr="00B65740" w:rsidRDefault="00E90473" w:rsidP="000611DA">
      <w:pPr>
        <w:rPr>
          <w:rFonts w:cs="Segoe UI"/>
          <w:color w:val="000000"/>
          <w:sz w:val="18"/>
          <w:szCs w:val="18"/>
        </w:rPr>
      </w:pPr>
      <w:r w:rsidRPr="00B65740">
        <w:rPr>
          <w:rStyle w:val="EndnoteReference"/>
          <w:rFonts w:cs="Segoe UI"/>
          <w:sz w:val="18"/>
          <w:szCs w:val="18"/>
        </w:rPr>
        <w:endnoteRef/>
      </w:r>
      <w:r w:rsidRPr="00B65740">
        <w:rPr>
          <w:rFonts w:cs="Segoe UI"/>
          <w:sz w:val="18"/>
          <w:szCs w:val="18"/>
        </w:rPr>
        <w:t xml:space="preserve"> </w:t>
      </w:r>
      <w:proofErr w:type="spellStart"/>
      <w:r w:rsidRPr="00B65740">
        <w:rPr>
          <w:rFonts w:cs="Segoe UI"/>
          <w:color w:val="000000"/>
          <w:sz w:val="18"/>
          <w:szCs w:val="18"/>
        </w:rPr>
        <w:t>Brotherton</w:t>
      </w:r>
      <w:proofErr w:type="spellEnd"/>
      <w:r w:rsidRPr="00B65740">
        <w:rPr>
          <w:rFonts w:cs="Segoe UI"/>
          <w:color w:val="000000"/>
          <w:sz w:val="18"/>
          <w:szCs w:val="18"/>
        </w:rPr>
        <w:t xml:space="preserve">, J.M., M. </w:t>
      </w:r>
      <w:proofErr w:type="spellStart"/>
      <w:r w:rsidRPr="00B65740">
        <w:rPr>
          <w:rFonts w:cs="Segoe UI"/>
          <w:color w:val="000000"/>
          <w:sz w:val="18"/>
          <w:szCs w:val="18"/>
        </w:rPr>
        <w:t>Fridman</w:t>
      </w:r>
      <w:proofErr w:type="spellEnd"/>
      <w:r w:rsidRPr="00B65740">
        <w:rPr>
          <w:rFonts w:cs="Segoe UI"/>
          <w:color w:val="000000"/>
          <w:sz w:val="18"/>
          <w:szCs w:val="18"/>
        </w:rPr>
        <w:t xml:space="preserve">, C. L. May, G. Chappell, A. M. </w:t>
      </w:r>
      <w:proofErr w:type="spellStart"/>
      <w:r w:rsidRPr="00B65740">
        <w:rPr>
          <w:rFonts w:cs="Segoe UI"/>
          <w:color w:val="000000"/>
          <w:sz w:val="18"/>
          <w:szCs w:val="18"/>
        </w:rPr>
        <w:t>Savill</w:t>
      </w:r>
      <w:proofErr w:type="spellEnd"/>
      <w:r>
        <w:rPr>
          <w:rFonts w:cs="Segoe UI"/>
          <w:color w:val="000000"/>
          <w:sz w:val="18"/>
          <w:szCs w:val="18"/>
        </w:rPr>
        <w:t>,</w:t>
      </w:r>
      <w:r w:rsidRPr="00B65740">
        <w:rPr>
          <w:rFonts w:cs="Segoe UI"/>
          <w:color w:val="000000"/>
          <w:sz w:val="18"/>
          <w:szCs w:val="18"/>
        </w:rPr>
        <w:t xml:space="preserve"> and D. M. </w:t>
      </w:r>
      <w:proofErr w:type="spellStart"/>
      <w:r w:rsidRPr="00B65740">
        <w:rPr>
          <w:rFonts w:cs="Segoe UI"/>
          <w:color w:val="000000"/>
          <w:sz w:val="18"/>
          <w:szCs w:val="18"/>
        </w:rPr>
        <w:t>Gertig</w:t>
      </w:r>
      <w:proofErr w:type="spellEnd"/>
      <w:r w:rsidRPr="00B65740">
        <w:rPr>
          <w:rFonts w:cs="Segoe UI"/>
          <w:color w:val="000000"/>
          <w:sz w:val="18"/>
          <w:szCs w:val="18"/>
        </w:rPr>
        <w:t xml:space="preserve">. (2011). </w:t>
      </w:r>
      <w:r>
        <w:rPr>
          <w:rFonts w:cs="Segoe UI"/>
          <w:color w:val="000000"/>
          <w:sz w:val="18"/>
          <w:szCs w:val="18"/>
        </w:rPr>
        <w:t>‘</w:t>
      </w:r>
      <w:proofErr w:type="gramStart"/>
      <w:r w:rsidRPr="00B65740">
        <w:rPr>
          <w:rFonts w:cs="Segoe UI"/>
          <w:color w:val="000000"/>
          <w:sz w:val="18"/>
          <w:szCs w:val="18"/>
        </w:rPr>
        <w:t>Early</w:t>
      </w:r>
      <w:proofErr w:type="gramEnd"/>
      <w:r w:rsidRPr="00B65740">
        <w:rPr>
          <w:rFonts w:cs="Segoe UI"/>
          <w:color w:val="000000"/>
          <w:sz w:val="18"/>
          <w:szCs w:val="18"/>
        </w:rPr>
        <w:t xml:space="preserve"> effect of the HPV vaccination programme on cervical abnormalities in Victoria, Australia: an ecological study.</w:t>
      </w:r>
      <w:r>
        <w:rPr>
          <w:rFonts w:cs="Segoe UI"/>
          <w:color w:val="000000"/>
          <w:sz w:val="18"/>
          <w:szCs w:val="18"/>
        </w:rPr>
        <w:t>’</w:t>
      </w:r>
      <w:r w:rsidRPr="00B65740">
        <w:rPr>
          <w:rFonts w:cs="Segoe UI"/>
          <w:color w:val="000000"/>
          <w:sz w:val="18"/>
          <w:szCs w:val="18"/>
        </w:rPr>
        <w:t xml:space="preserve"> </w:t>
      </w:r>
      <w:r w:rsidRPr="00B65740">
        <w:rPr>
          <w:rFonts w:cs="Segoe UI"/>
          <w:color w:val="000000"/>
          <w:sz w:val="18"/>
          <w:szCs w:val="18"/>
          <w:u w:val="single"/>
        </w:rPr>
        <w:t>Lancet</w:t>
      </w:r>
      <w:r w:rsidRPr="00B65740">
        <w:rPr>
          <w:rFonts w:cs="Segoe UI"/>
          <w:color w:val="000000"/>
          <w:sz w:val="18"/>
          <w:szCs w:val="18"/>
        </w:rPr>
        <w:t xml:space="preserve">, </w:t>
      </w:r>
      <w:r w:rsidRPr="00B65740">
        <w:rPr>
          <w:rFonts w:cs="Segoe UI"/>
          <w:b/>
          <w:color w:val="000000"/>
          <w:sz w:val="18"/>
          <w:szCs w:val="18"/>
        </w:rPr>
        <w:t>377</w:t>
      </w:r>
      <w:r w:rsidRPr="00B65740">
        <w:rPr>
          <w:rFonts w:cs="Segoe UI"/>
          <w:color w:val="000000"/>
          <w:sz w:val="18"/>
          <w:szCs w:val="18"/>
        </w:rPr>
        <w:t>:2085</w:t>
      </w:r>
      <w:r>
        <w:rPr>
          <w:rFonts w:cs="Segoe UI"/>
          <w:color w:val="000000"/>
          <w:sz w:val="18"/>
          <w:szCs w:val="18"/>
        </w:rPr>
        <w:t>–</w:t>
      </w:r>
      <w:r w:rsidRPr="00B65740">
        <w:rPr>
          <w:rFonts w:cs="Segoe UI"/>
          <w:color w:val="000000"/>
          <w:sz w:val="18"/>
          <w:szCs w:val="18"/>
        </w:rPr>
        <w:t>2092.</w:t>
      </w:r>
    </w:p>
  </w:endnote>
  <w:endnote w:id="10">
    <w:p w:rsidR="00E90473" w:rsidRPr="00B65740" w:rsidRDefault="00E90473" w:rsidP="000611DA">
      <w:pPr>
        <w:rPr>
          <w:rFonts w:cs="Segoe UI"/>
          <w:color w:val="000000"/>
          <w:sz w:val="18"/>
          <w:szCs w:val="18"/>
        </w:rPr>
      </w:pPr>
      <w:r w:rsidRPr="00B65740">
        <w:rPr>
          <w:rStyle w:val="EndnoteReference"/>
          <w:rFonts w:cs="Segoe UI"/>
          <w:sz w:val="18"/>
          <w:szCs w:val="18"/>
        </w:rPr>
        <w:endnoteRef/>
      </w:r>
      <w:r w:rsidRPr="00B65740">
        <w:rPr>
          <w:rFonts w:cs="Segoe UI"/>
          <w:sz w:val="18"/>
          <w:szCs w:val="18"/>
        </w:rPr>
        <w:t xml:space="preserve"> </w:t>
      </w:r>
      <w:proofErr w:type="spellStart"/>
      <w:r w:rsidRPr="00B65740">
        <w:rPr>
          <w:rFonts w:cs="Segoe UI"/>
          <w:color w:val="000000"/>
          <w:sz w:val="18"/>
          <w:szCs w:val="18"/>
        </w:rPr>
        <w:t>Brotherton</w:t>
      </w:r>
      <w:proofErr w:type="spellEnd"/>
      <w:r w:rsidRPr="00B65740">
        <w:rPr>
          <w:rFonts w:cs="Segoe UI"/>
          <w:color w:val="000000"/>
          <w:sz w:val="18"/>
          <w:szCs w:val="18"/>
        </w:rPr>
        <w:t>, J.</w:t>
      </w:r>
      <w:r>
        <w:rPr>
          <w:rFonts w:cs="Segoe UI"/>
          <w:color w:val="000000"/>
          <w:sz w:val="18"/>
          <w:szCs w:val="18"/>
        </w:rPr>
        <w:t xml:space="preserve"> </w:t>
      </w:r>
      <w:r w:rsidRPr="00B65740">
        <w:rPr>
          <w:rFonts w:cs="Segoe UI"/>
          <w:color w:val="000000"/>
          <w:sz w:val="18"/>
          <w:szCs w:val="18"/>
        </w:rPr>
        <w:t>M.</w:t>
      </w:r>
      <w:r>
        <w:rPr>
          <w:rFonts w:cs="Segoe UI"/>
          <w:color w:val="000000"/>
          <w:sz w:val="18"/>
          <w:szCs w:val="18"/>
        </w:rPr>
        <w:t xml:space="preserve"> </w:t>
      </w:r>
      <w:r w:rsidRPr="00B65740">
        <w:rPr>
          <w:rFonts w:cs="Segoe UI"/>
          <w:color w:val="000000"/>
          <w:sz w:val="18"/>
          <w:szCs w:val="18"/>
        </w:rPr>
        <w:t>L., C. L. May, G. Chappell</w:t>
      </w:r>
      <w:r>
        <w:rPr>
          <w:rFonts w:cs="Segoe UI"/>
          <w:color w:val="000000"/>
          <w:sz w:val="18"/>
          <w:szCs w:val="18"/>
        </w:rPr>
        <w:t>,</w:t>
      </w:r>
      <w:r w:rsidRPr="00B65740">
        <w:rPr>
          <w:rFonts w:cs="Segoe UI"/>
          <w:color w:val="000000"/>
          <w:sz w:val="18"/>
          <w:szCs w:val="18"/>
        </w:rPr>
        <w:t xml:space="preserve"> and D. M. </w:t>
      </w:r>
      <w:proofErr w:type="spellStart"/>
      <w:r w:rsidRPr="00B65740">
        <w:rPr>
          <w:rFonts w:cs="Segoe UI"/>
          <w:color w:val="000000"/>
          <w:sz w:val="18"/>
          <w:szCs w:val="18"/>
        </w:rPr>
        <w:t>Gertig</w:t>
      </w:r>
      <w:proofErr w:type="spellEnd"/>
      <w:r w:rsidRPr="00B65740">
        <w:rPr>
          <w:rFonts w:cs="Segoe UI"/>
          <w:color w:val="000000"/>
          <w:sz w:val="18"/>
          <w:szCs w:val="18"/>
        </w:rPr>
        <w:t xml:space="preserve">. (2015). </w:t>
      </w:r>
      <w:r>
        <w:rPr>
          <w:rFonts w:cs="Segoe UI"/>
          <w:color w:val="000000"/>
          <w:sz w:val="18"/>
          <w:szCs w:val="18"/>
        </w:rPr>
        <w:t>‘H</w:t>
      </w:r>
      <w:r w:rsidRPr="00B65740">
        <w:rPr>
          <w:rFonts w:cs="Segoe UI"/>
          <w:color w:val="000000"/>
          <w:sz w:val="18"/>
          <w:szCs w:val="18"/>
        </w:rPr>
        <w:t>uman papillomavirus vaccination is changing the epidemiology of high-grade cervical lesions in Australia.</w:t>
      </w:r>
      <w:r>
        <w:rPr>
          <w:rFonts w:cs="Segoe UI"/>
          <w:color w:val="000000"/>
          <w:sz w:val="18"/>
          <w:szCs w:val="18"/>
        </w:rPr>
        <w:t>’</w:t>
      </w:r>
      <w:r w:rsidRPr="00B65740">
        <w:rPr>
          <w:rFonts w:cs="Segoe UI"/>
          <w:color w:val="000000"/>
          <w:sz w:val="18"/>
          <w:szCs w:val="18"/>
        </w:rPr>
        <w:t xml:space="preserve"> </w:t>
      </w:r>
      <w:r w:rsidRPr="00B65740">
        <w:rPr>
          <w:rFonts w:cs="Segoe UI"/>
          <w:color w:val="000000"/>
          <w:sz w:val="18"/>
          <w:szCs w:val="18"/>
          <w:u w:val="single"/>
        </w:rPr>
        <w:t>Cancer Causes Control</w:t>
      </w:r>
      <w:r w:rsidRPr="00B65740">
        <w:rPr>
          <w:rFonts w:cs="Segoe UI"/>
          <w:color w:val="000000"/>
          <w:sz w:val="18"/>
          <w:szCs w:val="18"/>
        </w:rPr>
        <w:t xml:space="preserve">, </w:t>
      </w:r>
      <w:r w:rsidRPr="00B65740">
        <w:rPr>
          <w:rFonts w:cs="Segoe UI"/>
          <w:b/>
          <w:color w:val="000000"/>
          <w:sz w:val="18"/>
          <w:szCs w:val="18"/>
        </w:rPr>
        <w:t>26</w:t>
      </w:r>
      <w:r w:rsidRPr="00B65740">
        <w:rPr>
          <w:rFonts w:cs="Segoe UI"/>
          <w:color w:val="000000"/>
          <w:sz w:val="18"/>
          <w:szCs w:val="18"/>
        </w:rPr>
        <w:t>:953–954.</w:t>
      </w:r>
    </w:p>
  </w:endnote>
  <w:endnote w:id="11">
    <w:p w:rsidR="00E90473" w:rsidRPr="00B65740" w:rsidRDefault="00E90473" w:rsidP="00870156">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lang w:val="en-AU"/>
        </w:rPr>
        <w:t xml:space="preserve"> Australian Government. (2017). </w:t>
      </w:r>
      <w:r w:rsidRPr="00B65740">
        <w:rPr>
          <w:rFonts w:cs="Segoe UI"/>
          <w:sz w:val="18"/>
          <w:szCs w:val="18"/>
          <w:u w:val="single"/>
          <w:lang w:val="en-AU"/>
        </w:rPr>
        <w:t>Announcement of the addition of Gardasil 9 to the National Immunisation Program. Office of the Prime Minister, Malcolm Turnbull</w:t>
      </w:r>
      <w:r w:rsidRPr="00B65740">
        <w:rPr>
          <w:rFonts w:cs="Segoe UI"/>
          <w:sz w:val="18"/>
          <w:szCs w:val="18"/>
          <w:lang w:val="en-AU"/>
        </w:rPr>
        <w:t xml:space="preserve">. Accessed 1 May 2018 at: </w:t>
      </w:r>
      <w:hyperlink r:id="rId1" w:tooltip="Australian Government" w:history="1">
        <w:r w:rsidRPr="00B65740">
          <w:rPr>
            <w:rStyle w:val="Hyperlink"/>
            <w:rFonts w:cs="Segoe UI"/>
            <w:sz w:val="18"/>
            <w:szCs w:val="18"/>
          </w:rPr>
          <w:t>https://www.malcolmturnbull.com.au/media/announcement-of-the-addition-of-gardasil-9-to-the-national-immunisation-pro</w:t>
        </w:r>
      </w:hyperlink>
      <w:r w:rsidRPr="00B65740">
        <w:rPr>
          <w:rFonts w:cs="Segoe UI"/>
          <w:sz w:val="18"/>
          <w:szCs w:val="18"/>
          <w:lang w:val="en-AU"/>
        </w:rPr>
        <w:t xml:space="preserve"> </w:t>
      </w:r>
    </w:p>
  </w:endnote>
  <w:endnote w:id="12">
    <w:p w:rsidR="00E90473" w:rsidRPr="00B65740" w:rsidRDefault="00E90473" w:rsidP="003B7AEB">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r w:rsidRPr="00B65740">
        <w:rPr>
          <w:rFonts w:cs="Segoe UI"/>
          <w:sz w:val="18"/>
          <w:szCs w:val="18"/>
          <w:lang w:val="en-AU"/>
        </w:rPr>
        <w:t>Hood, J. E.</w:t>
      </w:r>
      <w:r>
        <w:rPr>
          <w:rFonts w:cs="Segoe UI"/>
          <w:sz w:val="18"/>
          <w:szCs w:val="18"/>
          <w:lang w:val="en-AU"/>
        </w:rPr>
        <w:t>,</w:t>
      </w:r>
      <w:r w:rsidRPr="00B65740">
        <w:rPr>
          <w:rFonts w:cs="Segoe UI"/>
          <w:sz w:val="18"/>
          <w:szCs w:val="18"/>
          <w:lang w:val="en-AU"/>
        </w:rPr>
        <w:t xml:space="preserve"> and A. L. Friedman. (2011). </w:t>
      </w:r>
      <w:r>
        <w:rPr>
          <w:rFonts w:cs="Segoe UI"/>
          <w:sz w:val="18"/>
          <w:szCs w:val="18"/>
          <w:lang w:val="en-AU"/>
        </w:rPr>
        <w:t>‘</w:t>
      </w:r>
      <w:r w:rsidRPr="00B65740">
        <w:rPr>
          <w:rFonts w:cs="Segoe UI"/>
          <w:sz w:val="18"/>
          <w:szCs w:val="18"/>
        </w:rPr>
        <w:t>Unveiling the hidden epidemic: a review of stigma</w:t>
      </w:r>
      <w:r w:rsidRPr="00B65740">
        <w:rPr>
          <w:rFonts w:cs="Segoe UI"/>
          <w:sz w:val="18"/>
          <w:szCs w:val="18"/>
          <w:lang w:val="en-AU"/>
        </w:rPr>
        <w:t xml:space="preserve"> </w:t>
      </w:r>
      <w:r w:rsidRPr="00B65740">
        <w:rPr>
          <w:rFonts w:cs="Segoe UI"/>
          <w:sz w:val="18"/>
          <w:szCs w:val="18"/>
        </w:rPr>
        <w:t>associated with sexually transmissible infections</w:t>
      </w:r>
      <w:r w:rsidRPr="00B65740">
        <w:rPr>
          <w:rFonts w:cs="Segoe UI"/>
          <w:sz w:val="18"/>
          <w:szCs w:val="18"/>
          <w:lang w:val="en-AU"/>
        </w:rPr>
        <w:t>.</w:t>
      </w:r>
      <w:r>
        <w:rPr>
          <w:rFonts w:cs="Segoe UI"/>
          <w:sz w:val="18"/>
          <w:szCs w:val="18"/>
          <w:lang w:val="en-AU"/>
        </w:rPr>
        <w:t>’</w:t>
      </w:r>
      <w:r w:rsidRPr="00B65740">
        <w:rPr>
          <w:rFonts w:cs="Segoe UI"/>
          <w:sz w:val="18"/>
          <w:szCs w:val="18"/>
          <w:lang w:val="en-AU"/>
        </w:rPr>
        <w:t xml:space="preserve"> </w:t>
      </w:r>
      <w:r w:rsidRPr="00B65740">
        <w:rPr>
          <w:rFonts w:cs="Segoe UI"/>
          <w:sz w:val="18"/>
          <w:szCs w:val="18"/>
          <w:u w:val="single"/>
          <w:lang w:val="en-AU"/>
        </w:rPr>
        <w:t>Sex Health</w:t>
      </w:r>
      <w:r w:rsidRPr="00B65740">
        <w:rPr>
          <w:rFonts w:cs="Segoe UI"/>
          <w:sz w:val="18"/>
          <w:szCs w:val="18"/>
          <w:lang w:val="en-AU"/>
        </w:rPr>
        <w:t xml:space="preserve">, </w:t>
      </w:r>
      <w:r w:rsidRPr="00B65740">
        <w:rPr>
          <w:rFonts w:cs="Segoe UI"/>
          <w:b/>
          <w:sz w:val="18"/>
          <w:szCs w:val="18"/>
          <w:lang w:val="en-AU"/>
        </w:rPr>
        <w:t>8</w:t>
      </w:r>
      <w:r w:rsidRPr="00B65740">
        <w:rPr>
          <w:rFonts w:cs="Segoe UI"/>
          <w:sz w:val="18"/>
          <w:szCs w:val="18"/>
          <w:lang w:val="en-AU"/>
        </w:rPr>
        <w:t>(2):159</w:t>
      </w:r>
      <w:r>
        <w:rPr>
          <w:rFonts w:cs="Segoe UI"/>
          <w:sz w:val="18"/>
          <w:szCs w:val="18"/>
          <w:lang w:val="en-AU"/>
        </w:rPr>
        <w:t>–1</w:t>
      </w:r>
      <w:r w:rsidRPr="00B65740">
        <w:rPr>
          <w:rFonts w:cs="Segoe UI"/>
          <w:sz w:val="18"/>
          <w:szCs w:val="18"/>
          <w:lang w:val="en-AU"/>
        </w:rPr>
        <w:t>70.</w:t>
      </w:r>
    </w:p>
  </w:endnote>
  <w:endnote w:id="13">
    <w:p w:rsidR="00E90473" w:rsidRPr="00B65740" w:rsidRDefault="00E90473" w:rsidP="002542E3">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proofErr w:type="spellStart"/>
      <w:r w:rsidRPr="00B65740">
        <w:rPr>
          <w:rFonts w:cs="Segoe UI"/>
          <w:sz w:val="18"/>
          <w:szCs w:val="18"/>
          <w:lang w:val="en-AU"/>
        </w:rPr>
        <w:t>Enomoto</w:t>
      </w:r>
      <w:proofErr w:type="spellEnd"/>
      <w:r w:rsidRPr="00B65740">
        <w:rPr>
          <w:rFonts w:cs="Segoe UI"/>
          <w:sz w:val="18"/>
          <w:szCs w:val="18"/>
          <w:lang w:val="en-AU"/>
        </w:rPr>
        <w:t xml:space="preserve">, C., S. Noor and B. </w:t>
      </w:r>
      <w:proofErr w:type="spellStart"/>
      <w:r w:rsidRPr="00B65740">
        <w:rPr>
          <w:rFonts w:cs="Segoe UI"/>
          <w:sz w:val="18"/>
          <w:szCs w:val="18"/>
          <w:lang w:val="en-AU"/>
        </w:rPr>
        <w:t>Widner</w:t>
      </w:r>
      <w:proofErr w:type="spellEnd"/>
      <w:r w:rsidRPr="00B65740">
        <w:rPr>
          <w:rFonts w:cs="Segoe UI"/>
          <w:sz w:val="18"/>
          <w:szCs w:val="18"/>
          <w:lang w:val="en-AU"/>
        </w:rPr>
        <w:t xml:space="preserve">. (2017). </w:t>
      </w:r>
      <w:r>
        <w:rPr>
          <w:rFonts w:cs="Segoe UI"/>
          <w:sz w:val="18"/>
          <w:szCs w:val="18"/>
          <w:lang w:val="en-AU"/>
        </w:rPr>
        <w:t>‘</w:t>
      </w:r>
      <w:r w:rsidRPr="00B65740">
        <w:rPr>
          <w:rFonts w:cs="Segoe UI"/>
          <w:sz w:val="18"/>
          <w:szCs w:val="18"/>
          <w:lang w:val="en-AU"/>
        </w:rPr>
        <w:t>Is social media to blame for the sharp rise in STDs?</w:t>
      </w:r>
      <w:r>
        <w:rPr>
          <w:rFonts w:cs="Segoe UI"/>
          <w:sz w:val="18"/>
          <w:szCs w:val="18"/>
          <w:lang w:val="en-AU"/>
        </w:rPr>
        <w:t>’</w:t>
      </w:r>
      <w:r w:rsidRPr="00B65740">
        <w:rPr>
          <w:rFonts w:cs="Segoe UI"/>
          <w:sz w:val="18"/>
          <w:szCs w:val="18"/>
          <w:lang w:val="en-AU"/>
        </w:rPr>
        <w:t xml:space="preserve"> </w:t>
      </w:r>
      <w:r w:rsidRPr="00B65740">
        <w:rPr>
          <w:rFonts w:cs="Segoe UI"/>
          <w:sz w:val="18"/>
          <w:szCs w:val="18"/>
          <w:u w:val="single"/>
          <w:lang w:val="en-AU"/>
        </w:rPr>
        <w:t>Social Sciences</w:t>
      </w:r>
      <w:r w:rsidRPr="00F537E8">
        <w:rPr>
          <w:rFonts w:cs="Segoe UI"/>
          <w:sz w:val="18"/>
          <w:szCs w:val="18"/>
          <w:lang w:val="en-AU"/>
        </w:rPr>
        <w:t>,</w:t>
      </w:r>
      <w:r w:rsidRPr="00B65740">
        <w:rPr>
          <w:rFonts w:cs="Segoe UI"/>
          <w:b/>
          <w:sz w:val="18"/>
          <w:szCs w:val="18"/>
          <w:lang w:val="en-AU"/>
        </w:rPr>
        <w:t xml:space="preserve"> 6</w:t>
      </w:r>
      <w:r w:rsidRPr="00B65740">
        <w:rPr>
          <w:rFonts w:cs="Segoe UI"/>
          <w:sz w:val="18"/>
          <w:szCs w:val="18"/>
          <w:lang w:val="en-AU"/>
        </w:rPr>
        <w:t>(78).</w:t>
      </w:r>
    </w:p>
  </w:endnote>
  <w:endnote w:id="14">
    <w:p w:rsidR="00E90473" w:rsidRPr="00B65740" w:rsidRDefault="00E90473" w:rsidP="002542E3">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r w:rsidRPr="00B65740">
        <w:rPr>
          <w:rFonts w:cs="Segoe UI"/>
          <w:sz w:val="18"/>
          <w:szCs w:val="18"/>
          <w:lang w:val="en-AU"/>
        </w:rPr>
        <w:t xml:space="preserve">Australian Research Centre in Sex, Health and Society. (2014). </w:t>
      </w:r>
      <w:r w:rsidRPr="00B65740">
        <w:rPr>
          <w:rFonts w:cs="Segoe UI"/>
          <w:sz w:val="18"/>
          <w:szCs w:val="18"/>
          <w:u w:val="single"/>
          <w:lang w:val="en-AU"/>
        </w:rPr>
        <w:t>5</w:t>
      </w:r>
      <w:r w:rsidRPr="00B65740">
        <w:rPr>
          <w:rFonts w:cs="Segoe UI"/>
          <w:sz w:val="18"/>
          <w:szCs w:val="18"/>
          <w:u w:val="single"/>
          <w:vertAlign w:val="superscript"/>
          <w:lang w:val="en-AU"/>
        </w:rPr>
        <w:t>th</w:t>
      </w:r>
      <w:r w:rsidRPr="00B65740">
        <w:rPr>
          <w:rFonts w:cs="Segoe UI"/>
          <w:sz w:val="18"/>
          <w:szCs w:val="18"/>
          <w:u w:val="single"/>
          <w:lang w:val="en-AU"/>
        </w:rPr>
        <w:t xml:space="preserve"> National Survey of Australian Secondary Students and Sexual Health 2013</w:t>
      </w:r>
      <w:r w:rsidRPr="00B65740">
        <w:rPr>
          <w:rFonts w:cs="Segoe UI"/>
          <w:sz w:val="18"/>
          <w:szCs w:val="18"/>
          <w:lang w:val="en-AU"/>
        </w:rPr>
        <w:t>. La Trobe University: Melbourne.</w:t>
      </w:r>
    </w:p>
  </w:endnote>
  <w:endnote w:id="15">
    <w:p w:rsidR="00E90473" w:rsidRPr="00B65740" w:rsidRDefault="00E90473" w:rsidP="002542E3">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r w:rsidRPr="00B65740">
        <w:rPr>
          <w:rFonts w:cs="Segoe UI"/>
          <w:sz w:val="18"/>
          <w:szCs w:val="18"/>
          <w:lang w:val="en-AU"/>
        </w:rPr>
        <w:t xml:space="preserve">Centre for Social Research in Health. (2017). </w:t>
      </w:r>
      <w:r w:rsidRPr="00B65740">
        <w:rPr>
          <w:rFonts w:cs="Segoe UI"/>
          <w:sz w:val="18"/>
          <w:szCs w:val="18"/>
          <w:u w:val="single"/>
          <w:lang w:val="en-AU"/>
        </w:rPr>
        <w:t>Annual Report of Trends in Behaviour 2017</w:t>
      </w:r>
      <w:r>
        <w:rPr>
          <w:rFonts w:cs="Segoe UI"/>
          <w:sz w:val="18"/>
          <w:szCs w:val="18"/>
          <w:u w:val="single"/>
          <w:lang w:val="en-AU"/>
        </w:rPr>
        <w:t>—</w:t>
      </w:r>
      <w:r w:rsidRPr="00B65740">
        <w:rPr>
          <w:rFonts w:cs="Segoe UI"/>
          <w:sz w:val="18"/>
          <w:szCs w:val="18"/>
          <w:u w:val="single"/>
          <w:lang w:val="en-AU"/>
        </w:rPr>
        <w:t>HIV and STIs in Australia</w:t>
      </w:r>
      <w:r w:rsidRPr="00B65740">
        <w:rPr>
          <w:rFonts w:cs="Segoe UI"/>
          <w:sz w:val="18"/>
          <w:szCs w:val="18"/>
          <w:lang w:val="en-AU"/>
        </w:rPr>
        <w:t>. University of New South Wales: Sydney.</w:t>
      </w:r>
    </w:p>
  </w:endnote>
  <w:endnote w:id="16">
    <w:p w:rsidR="00E90473" w:rsidRPr="00B65740" w:rsidRDefault="00E90473" w:rsidP="00F6450E">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r w:rsidRPr="00B65740">
        <w:rPr>
          <w:rFonts w:cs="Segoe UI"/>
          <w:sz w:val="18"/>
          <w:szCs w:val="18"/>
          <w:lang w:val="en-AU"/>
        </w:rPr>
        <w:t xml:space="preserve">The Department of Health. (2018). </w:t>
      </w:r>
      <w:r w:rsidRPr="00B65740">
        <w:rPr>
          <w:rFonts w:cs="Segoe UI"/>
          <w:sz w:val="18"/>
          <w:szCs w:val="18"/>
          <w:u w:val="single"/>
          <w:lang w:val="en-AU"/>
        </w:rPr>
        <w:t>Multi-drug resistant gonorrhoea</w:t>
      </w:r>
      <w:r w:rsidRPr="00B65740">
        <w:rPr>
          <w:rFonts w:cs="Segoe UI"/>
          <w:sz w:val="18"/>
          <w:szCs w:val="18"/>
          <w:lang w:val="en-AU"/>
        </w:rPr>
        <w:t xml:space="preserve"> </w:t>
      </w:r>
      <w:r>
        <w:rPr>
          <w:rFonts w:cs="Segoe UI"/>
          <w:sz w:val="18"/>
          <w:szCs w:val="18"/>
          <w:lang w:val="en-AU"/>
        </w:rPr>
        <w:t>[press r</w:t>
      </w:r>
      <w:r w:rsidRPr="00B65740">
        <w:rPr>
          <w:rFonts w:cs="Segoe UI"/>
          <w:sz w:val="18"/>
          <w:szCs w:val="18"/>
          <w:lang w:val="en-AU"/>
        </w:rPr>
        <w:t>elease</w:t>
      </w:r>
      <w:r>
        <w:rPr>
          <w:rFonts w:cs="Segoe UI"/>
          <w:sz w:val="18"/>
          <w:szCs w:val="18"/>
          <w:lang w:val="en-AU"/>
        </w:rPr>
        <w:t>]</w:t>
      </w:r>
      <w:r w:rsidRPr="00B65740">
        <w:rPr>
          <w:rFonts w:cs="Segoe UI"/>
          <w:sz w:val="18"/>
          <w:szCs w:val="18"/>
          <w:lang w:val="en-AU"/>
        </w:rPr>
        <w:t xml:space="preserve">, 17 April 2018. Professor Brendan Murphy, Commonwealth Chief Medical Officer. Accessed 1 May </w:t>
      </w:r>
      <w:r>
        <w:rPr>
          <w:rFonts w:cs="Segoe UI"/>
          <w:sz w:val="18"/>
          <w:szCs w:val="18"/>
          <w:lang w:val="en-AU"/>
        </w:rPr>
        <w:t xml:space="preserve">2018 </w:t>
      </w:r>
      <w:r w:rsidRPr="00B65740">
        <w:rPr>
          <w:rFonts w:cs="Segoe UI"/>
          <w:sz w:val="18"/>
          <w:szCs w:val="18"/>
          <w:lang w:val="en-AU"/>
        </w:rPr>
        <w:t>at</w:t>
      </w:r>
      <w:r>
        <w:rPr>
          <w:rFonts w:cs="Segoe UI"/>
          <w:sz w:val="18"/>
          <w:szCs w:val="18"/>
          <w:lang w:val="en-AU"/>
        </w:rPr>
        <w:t>:</w:t>
      </w:r>
      <w:r w:rsidRPr="00B65740">
        <w:rPr>
          <w:rFonts w:cs="Segoe UI"/>
          <w:sz w:val="18"/>
          <w:szCs w:val="18"/>
          <w:lang w:val="en-AU"/>
        </w:rPr>
        <w:t xml:space="preserve"> </w:t>
      </w:r>
      <w:hyperlink r:id="rId2" w:tooltip="Australian Department of Health" w:history="1">
        <w:r w:rsidRPr="00B65740">
          <w:rPr>
            <w:rStyle w:val="Hyperlink"/>
            <w:rFonts w:cs="Segoe UI"/>
            <w:sz w:val="18"/>
            <w:szCs w:val="18"/>
          </w:rPr>
          <w:t>http://www.health.gov.au/internet/main/publishing.nsf/Content/mr-yr18-dept-dept004.htm</w:t>
        </w:r>
      </w:hyperlink>
      <w:r w:rsidRPr="00B65740">
        <w:rPr>
          <w:rFonts w:cs="Segoe UI"/>
          <w:color w:val="222222"/>
          <w:sz w:val="18"/>
          <w:szCs w:val="18"/>
          <w:lang w:val="en-AU"/>
        </w:rPr>
        <w:t xml:space="preserve"> </w:t>
      </w:r>
    </w:p>
  </w:endnote>
  <w:endnote w:id="17">
    <w:p w:rsidR="00E90473" w:rsidRPr="00B65740" w:rsidRDefault="00E90473" w:rsidP="008D2381">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r w:rsidRPr="00B65740">
        <w:rPr>
          <w:rFonts w:cs="Segoe UI"/>
          <w:sz w:val="18"/>
          <w:szCs w:val="18"/>
          <w:lang w:val="en-AU"/>
        </w:rPr>
        <w:t xml:space="preserve">Health Victoria. (2017). </w:t>
      </w:r>
      <w:r w:rsidRPr="00B65740">
        <w:rPr>
          <w:rFonts w:cs="Segoe UI"/>
          <w:sz w:val="18"/>
          <w:szCs w:val="18"/>
          <w:u w:val="single"/>
          <w:lang w:val="en-AU"/>
        </w:rPr>
        <w:t>Hepatitis A outbreak</w:t>
      </w:r>
      <w:r>
        <w:rPr>
          <w:rFonts w:cs="Segoe UI"/>
          <w:sz w:val="18"/>
          <w:szCs w:val="18"/>
          <w:u w:val="single"/>
          <w:lang w:val="en-AU"/>
        </w:rPr>
        <w:t>—</w:t>
      </w:r>
      <w:r w:rsidRPr="00B65740">
        <w:rPr>
          <w:rFonts w:cs="Segoe UI"/>
          <w:sz w:val="18"/>
          <w:szCs w:val="18"/>
          <w:u w:val="single"/>
          <w:lang w:val="en-AU"/>
        </w:rPr>
        <w:t>23 March 2018</w:t>
      </w:r>
      <w:r w:rsidRPr="00B65740">
        <w:rPr>
          <w:rFonts w:cs="Segoe UI"/>
          <w:sz w:val="18"/>
          <w:szCs w:val="18"/>
          <w:lang w:val="en-AU"/>
        </w:rPr>
        <w:t xml:space="preserve"> (Outbreak alert 170014). Accessed 1 May 2018 at</w:t>
      </w:r>
      <w:r>
        <w:rPr>
          <w:rFonts w:cs="Segoe UI"/>
          <w:sz w:val="18"/>
          <w:szCs w:val="18"/>
          <w:lang w:val="en-AU"/>
        </w:rPr>
        <w:t>:</w:t>
      </w:r>
      <w:r w:rsidRPr="00B65740">
        <w:rPr>
          <w:rFonts w:cs="Segoe UI"/>
          <w:sz w:val="18"/>
          <w:szCs w:val="18"/>
          <w:lang w:val="en-AU"/>
        </w:rPr>
        <w:t xml:space="preserve"> </w:t>
      </w:r>
      <w:hyperlink r:id="rId3" w:tooltip="Health Victoria" w:history="1">
        <w:r w:rsidRPr="00B65740">
          <w:rPr>
            <w:rStyle w:val="Hyperlink"/>
            <w:rFonts w:cs="Segoe UI"/>
            <w:sz w:val="18"/>
            <w:szCs w:val="18"/>
            <w:lang w:val="en-AU"/>
          </w:rPr>
          <w:t>https://www2.health.vic.gov.au/about/news-and-events/healthalerts/alert-hepatitis-a-november-2017</w:t>
        </w:r>
      </w:hyperlink>
    </w:p>
  </w:endnote>
  <w:endnote w:id="18">
    <w:p w:rsidR="00E90473" w:rsidRPr="00B65740" w:rsidRDefault="00E90473" w:rsidP="008D2381">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r w:rsidRPr="00B65740">
        <w:rPr>
          <w:rFonts w:cs="Segoe UI"/>
          <w:sz w:val="18"/>
          <w:szCs w:val="18"/>
          <w:lang w:val="en-AU"/>
        </w:rPr>
        <w:t xml:space="preserve">World Health Organization (WHO). (2017). </w:t>
      </w:r>
      <w:r>
        <w:rPr>
          <w:rFonts w:cs="Segoe UI"/>
          <w:sz w:val="18"/>
          <w:szCs w:val="18"/>
          <w:lang w:val="en-AU"/>
        </w:rPr>
        <w:t>‘</w:t>
      </w:r>
      <w:r w:rsidRPr="00B65740">
        <w:rPr>
          <w:rFonts w:cs="Segoe UI"/>
          <w:sz w:val="18"/>
          <w:szCs w:val="18"/>
          <w:lang w:val="en-AU"/>
        </w:rPr>
        <w:t>Hepatitis A outbreaks mostly affecting men who have sex with men</w:t>
      </w:r>
      <w:r>
        <w:rPr>
          <w:rFonts w:cs="Segoe UI"/>
          <w:sz w:val="18"/>
          <w:szCs w:val="18"/>
          <w:lang w:val="en-AU"/>
        </w:rPr>
        <w:t>—</w:t>
      </w:r>
      <w:r w:rsidRPr="00B65740">
        <w:rPr>
          <w:rFonts w:cs="Segoe UI"/>
          <w:sz w:val="18"/>
          <w:szCs w:val="18"/>
          <w:lang w:val="en-AU"/>
        </w:rPr>
        <w:t>European Region and the Americas.</w:t>
      </w:r>
      <w:r>
        <w:rPr>
          <w:rFonts w:cs="Segoe UI"/>
          <w:sz w:val="18"/>
          <w:szCs w:val="18"/>
          <w:lang w:val="en-AU"/>
        </w:rPr>
        <w:t>’</w:t>
      </w:r>
      <w:r w:rsidRPr="00B65740">
        <w:rPr>
          <w:rFonts w:cs="Segoe UI"/>
          <w:sz w:val="18"/>
          <w:szCs w:val="18"/>
          <w:lang w:val="en-AU"/>
        </w:rPr>
        <w:t xml:space="preserve"> </w:t>
      </w:r>
      <w:r w:rsidRPr="00B65740">
        <w:rPr>
          <w:rFonts w:cs="Segoe UI"/>
          <w:sz w:val="18"/>
          <w:szCs w:val="18"/>
          <w:u w:val="single"/>
          <w:lang w:val="en-AU"/>
        </w:rPr>
        <w:t>Disease Outbreak News</w:t>
      </w:r>
      <w:r w:rsidRPr="00B65740">
        <w:rPr>
          <w:rFonts w:cs="Segoe UI"/>
          <w:sz w:val="18"/>
          <w:szCs w:val="18"/>
          <w:lang w:val="en-AU"/>
        </w:rPr>
        <w:t>, 7 June 2017. Accessed on 20 February 2018 at</w:t>
      </w:r>
      <w:r>
        <w:rPr>
          <w:rFonts w:cs="Segoe UI"/>
          <w:sz w:val="18"/>
          <w:szCs w:val="18"/>
          <w:lang w:val="en-AU"/>
        </w:rPr>
        <w:t>:</w:t>
      </w:r>
      <w:r w:rsidRPr="00B65740">
        <w:rPr>
          <w:rFonts w:cs="Segoe UI"/>
          <w:sz w:val="18"/>
          <w:szCs w:val="18"/>
          <w:lang w:val="en-AU"/>
        </w:rPr>
        <w:t xml:space="preserve"> </w:t>
      </w:r>
      <w:hyperlink r:id="rId4" w:tooltip="World Health Organization" w:history="1">
        <w:r w:rsidRPr="00B65740">
          <w:rPr>
            <w:rStyle w:val="Hyperlink"/>
            <w:rFonts w:cs="Segoe UI"/>
            <w:sz w:val="18"/>
            <w:szCs w:val="18"/>
            <w:lang w:val="en-AU"/>
          </w:rPr>
          <w:t>http://www.who.int/csr/don/07-june-2017-hepatitis-a/en/</w:t>
        </w:r>
      </w:hyperlink>
    </w:p>
  </w:endnote>
  <w:endnote w:id="19">
    <w:p w:rsidR="00E90473" w:rsidRPr="00B65740" w:rsidRDefault="00E90473" w:rsidP="008D2381">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r w:rsidRPr="00B65740">
        <w:rPr>
          <w:rFonts w:cs="Segoe UI"/>
          <w:sz w:val="18"/>
          <w:szCs w:val="18"/>
          <w:lang w:val="en-AU"/>
        </w:rPr>
        <w:t xml:space="preserve">NSW Health. (2017). </w:t>
      </w:r>
      <w:r w:rsidRPr="00B65740">
        <w:rPr>
          <w:rFonts w:cs="Segoe UI"/>
          <w:sz w:val="18"/>
          <w:szCs w:val="18"/>
          <w:u w:val="single"/>
          <w:lang w:val="en-AU"/>
        </w:rPr>
        <w:t>Hepatitis A Outbreak Update</w:t>
      </w:r>
      <w:proofErr w:type="gramStart"/>
      <w:r w:rsidRPr="00B65740">
        <w:rPr>
          <w:rFonts w:cs="Segoe UI"/>
          <w:sz w:val="18"/>
          <w:szCs w:val="18"/>
          <w:lang w:val="en-AU"/>
        </w:rPr>
        <w:t>,15</w:t>
      </w:r>
      <w:proofErr w:type="gramEnd"/>
      <w:r w:rsidRPr="00B65740">
        <w:rPr>
          <w:rFonts w:cs="Segoe UI"/>
          <w:sz w:val="18"/>
          <w:szCs w:val="18"/>
          <w:lang w:val="en-AU"/>
        </w:rPr>
        <w:t xml:space="preserve"> September 2017. Accessed 20 February 2018 at</w:t>
      </w:r>
      <w:r>
        <w:rPr>
          <w:rFonts w:cs="Segoe UI"/>
          <w:sz w:val="18"/>
          <w:szCs w:val="18"/>
          <w:lang w:val="en-AU"/>
        </w:rPr>
        <w:t>:</w:t>
      </w:r>
      <w:r w:rsidRPr="00B65740">
        <w:rPr>
          <w:rFonts w:cs="Segoe UI"/>
          <w:sz w:val="18"/>
          <w:szCs w:val="18"/>
          <w:lang w:val="en-AU"/>
        </w:rPr>
        <w:t xml:space="preserve"> </w:t>
      </w:r>
      <w:hyperlink r:id="rId5" w:tooltip="NSW Health" w:history="1">
        <w:r w:rsidRPr="00B65740">
          <w:rPr>
            <w:rStyle w:val="Hyperlink"/>
            <w:rFonts w:cs="Segoe UI"/>
            <w:sz w:val="18"/>
            <w:szCs w:val="18"/>
            <w:lang w:val="en-AU"/>
          </w:rPr>
          <w:t>http://www.health.nsw.gov.au/Infectious/hepatitisA/Documents/hepa-syd-shc-update-15sept2017.pdf</w:t>
        </w:r>
      </w:hyperlink>
    </w:p>
  </w:endnote>
  <w:endnote w:id="20">
    <w:p w:rsidR="00E90473" w:rsidRPr="00B65740" w:rsidRDefault="00E90473" w:rsidP="002E0FD8">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r w:rsidRPr="00B65740">
        <w:rPr>
          <w:rFonts w:cs="Segoe UI"/>
          <w:sz w:val="18"/>
          <w:szCs w:val="18"/>
          <w:lang w:val="en-AU"/>
        </w:rPr>
        <w:t>NSW Health</w:t>
      </w:r>
      <w:r>
        <w:rPr>
          <w:rFonts w:cs="Segoe UI"/>
          <w:sz w:val="18"/>
          <w:szCs w:val="18"/>
          <w:lang w:val="en-AU"/>
        </w:rPr>
        <w:t>.</w:t>
      </w:r>
      <w:r w:rsidRPr="00B65740">
        <w:rPr>
          <w:rFonts w:cs="Segoe UI"/>
          <w:sz w:val="18"/>
          <w:szCs w:val="18"/>
          <w:lang w:val="en-AU"/>
        </w:rPr>
        <w:t xml:space="preserve"> (2016). </w:t>
      </w:r>
      <w:proofErr w:type="spellStart"/>
      <w:r w:rsidRPr="00B65740">
        <w:rPr>
          <w:rFonts w:cs="Segoe UI"/>
          <w:sz w:val="18"/>
          <w:szCs w:val="18"/>
          <w:u w:val="single"/>
          <w:lang w:val="en-AU"/>
        </w:rPr>
        <w:t>Shigella</w:t>
      </w:r>
      <w:proofErr w:type="spellEnd"/>
      <w:r w:rsidRPr="00B65740">
        <w:rPr>
          <w:rFonts w:cs="Segoe UI"/>
          <w:sz w:val="18"/>
          <w:szCs w:val="18"/>
          <w:u w:val="single"/>
          <w:lang w:val="en-AU"/>
        </w:rPr>
        <w:t xml:space="preserve"> alert</w:t>
      </w:r>
      <w:r w:rsidRPr="00B65740">
        <w:rPr>
          <w:rFonts w:cs="Segoe UI"/>
          <w:sz w:val="18"/>
          <w:szCs w:val="18"/>
          <w:lang w:val="en-AU"/>
        </w:rPr>
        <w:t>. 13 July 2016. Accessed 8 May 2018 at</w:t>
      </w:r>
      <w:r>
        <w:rPr>
          <w:rFonts w:cs="Segoe UI"/>
          <w:sz w:val="18"/>
          <w:szCs w:val="18"/>
          <w:lang w:val="en-AU"/>
        </w:rPr>
        <w:t>:</w:t>
      </w:r>
      <w:r w:rsidRPr="00B65740">
        <w:rPr>
          <w:rFonts w:cs="Segoe UI"/>
          <w:sz w:val="18"/>
          <w:szCs w:val="18"/>
          <w:lang w:val="en-AU"/>
        </w:rPr>
        <w:t xml:space="preserve"> </w:t>
      </w:r>
      <w:hyperlink r:id="rId6" w:tooltip="NSW Health" w:history="1">
        <w:r w:rsidRPr="00B65740">
          <w:rPr>
            <w:rStyle w:val="Hyperlink"/>
            <w:rFonts w:cs="Segoe UI"/>
            <w:sz w:val="18"/>
            <w:szCs w:val="18"/>
            <w:lang w:val="en-AU"/>
          </w:rPr>
          <w:t>http://www.health.nsw.gov.au/Infectious/alerts/Documents/2016/Shigellosis-Clinician-alert-15July2016.pdf</w:t>
        </w:r>
      </w:hyperlink>
      <w:r w:rsidRPr="00B65740">
        <w:rPr>
          <w:rFonts w:cs="Segoe UI"/>
          <w:sz w:val="18"/>
          <w:szCs w:val="18"/>
          <w:lang w:val="en-AU"/>
        </w:rPr>
        <w:t xml:space="preserve"> </w:t>
      </w:r>
    </w:p>
  </w:endnote>
  <w:endnote w:id="21">
    <w:p w:rsidR="00E90473" w:rsidRPr="00B65740" w:rsidRDefault="00E90473" w:rsidP="00F6450E">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r w:rsidRPr="00B65740">
        <w:rPr>
          <w:rFonts w:cs="Segoe UI"/>
          <w:sz w:val="18"/>
          <w:szCs w:val="18"/>
          <w:lang w:val="en-AU"/>
        </w:rPr>
        <w:t>Austral</w:t>
      </w:r>
      <w:r>
        <w:rPr>
          <w:rFonts w:cs="Segoe UI"/>
          <w:sz w:val="18"/>
          <w:szCs w:val="18"/>
          <w:lang w:val="en-AU"/>
        </w:rPr>
        <w:t>ian Sexual Health Alliance</w:t>
      </w:r>
      <w:r w:rsidRPr="00B65740">
        <w:rPr>
          <w:rFonts w:cs="Segoe UI"/>
          <w:sz w:val="18"/>
          <w:szCs w:val="18"/>
          <w:lang w:val="en-AU"/>
        </w:rPr>
        <w:t xml:space="preserve">. (2016). </w:t>
      </w:r>
      <w:r w:rsidRPr="00B65740">
        <w:rPr>
          <w:rFonts w:cs="Segoe UI"/>
          <w:sz w:val="18"/>
          <w:szCs w:val="18"/>
          <w:u w:val="single"/>
          <w:lang w:val="en-AU"/>
        </w:rPr>
        <w:t>Australian STI Management Guidelines for use in Primary Care</w:t>
      </w:r>
      <w:r w:rsidRPr="00B65740">
        <w:rPr>
          <w:rFonts w:cs="Segoe UI"/>
          <w:sz w:val="18"/>
          <w:szCs w:val="18"/>
          <w:lang w:val="en-AU"/>
        </w:rPr>
        <w:t>. Accessed 1 May 2018 at</w:t>
      </w:r>
      <w:r>
        <w:rPr>
          <w:rFonts w:cs="Segoe UI"/>
          <w:sz w:val="18"/>
          <w:szCs w:val="18"/>
          <w:lang w:val="en-AU"/>
        </w:rPr>
        <w:t>:</w:t>
      </w:r>
      <w:r w:rsidRPr="00B65740">
        <w:rPr>
          <w:rFonts w:cs="Segoe UI"/>
          <w:sz w:val="18"/>
          <w:szCs w:val="18"/>
          <w:lang w:val="en-AU"/>
        </w:rPr>
        <w:t xml:space="preserve"> </w:t>
      </w:r>
      <w:hyperlink r:id="rId7" w:tooltip="Australian Sexual Health Alliance" w:history="1">
        <w:r w:rsidRPr="00B65740">
          <w:rPr>
            <w:rStyle w:val="Hyperlink"/>
            <w:rFonts w:cs="Segoe UI"/>
            <w:sz w:val="18"/>
            <w:szCs w:val="18"/>
            <w:lang w:val="en-AU"/>
          </w:rPr>
          <w:t>http://www.sti.guidelines.org.au/</w:t>
        </w:r>
      </w:hyperlink>
      <w:r w:rsidRPr="00B65740">
        <w:rPr>
          <w:rFonts w:cs="Segoe UI"/>
          <w:sz w:val="18"/>
          <w:szCs w:val="18"/>
          <w:lang w:val="en-AU"/>
        </w:rPr>
        <w:t xml:space="preserve"> </w:t>
      </w:r>
    </w:p>
  </w:endnote>
  <w:endnote w:id="22">
    <w:p w:rsidR="00E90473" w:rsidRPr="00B65740" w:rsidRDefault="00E90473" w:rsidP="00BC1C5B">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r w:rsidRPr="00B65740">
        <w:rPr>
          <w:rFonts w:cs="Segoe UI"/>
          <w:color w:val="222222"/>
          <w:sz w:val="18"/>
          <w:szCs w:val="18"/>
          <w:lang w:val="en-AU" w:eastAsia="en-US"/>
        </w:rPr>
        <w:t xml:space="preserve">Australian Technical Advisory Group on Immunisation (ATAGI). (2017). </w:t>
      </w:r>
      <w:r w:rsidRPr="00B65740">
        <w:rPr>
          <w:rFonts w:cs="Segoe UI"/>
          <w:iCs/>
          <w:color w:val="222222"/>
          <w:sz w:val="18"/>
          <w:szCs w:val="18"/>
          <w:u w:val="single"/>
          <w:lang w:val="en-AU" w:eastAsia="en-US"/>
        </w:rPr>
        <w:t>The Australian Immunisation Handbook</w:t>
      </w:r>
      <w:r w:rsidRPr="00B65740">
        <w:rPr>
          <w:rFonts w:cs="Segoe UI"/>
          <w:i/>
          <w:iCs/>
          <w:color w:val="222222"/>
          <w:sz w:val="18"/>
          <w:szCs w:val="18"/>
          <w:lang w:val="en-AU" w:eastAsia="en-US"/>
        </w:rPr>
        <w:t>,</w:t>
      </w:r>
      <w:r w:rsidRPr="00B65740">
        <w:rPr>
          <w:rFonts w:cs="Segoe UI"/>
          <w:color w:val="222222"/>
          <w:sz w:val="18"/>
          <w:szCs w:val="18"/>
          <w:lang w:val="en-AU" w:eastAsia="en-US"/>
        </w:rPr>
        <w:t xml:space="preserve"> 10</w:t>
      </w:r>
      <w:r w:rsidRPr="00B65740">
        <w:rPr>
          <w:rFonts w:cs="Segoe UI"/>
          <w:color w:val="222222"/>
          <w:sz w:val="18"/>
          <w:szCs w:val="18"/>
          <w:vertAlign w:val="superscript"/>
          <w:lang w:val="en-AU" w:eastAsia="en-US"/>
        </w:rPr>
        <w:t>th</w:t>
      </w:r>
      <w:r w:rsidRPr="00B65740">
        <w:rPr>
          <w:rFonts w:cs="Segoe UI"/>
          <w:color w:val="222222"/>
          <w:sz w:val="18"/>
          <w:szCs w:val="18"/>
          <w:lang w:val="en-AU" w:eastAsia="en-US"/>
        </w:rPr>
        <w:t xml:space="preserve"> edition. Australian Government Department of Health: Canberra.</w:t>
      </w:r>
    </w:p>
  </w:endnote>
  <w:endnote w:id="23">
    <w:p w:rsidR="00E90473" w:rsidRPr="00B65740" w:rsidRDefault="00E90473" w:rsidP="00BC1C5B">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r w:rsidRPr="00B65740">
        <w:rPr>
          <w:rFonts w:cs="Segoe UI"/>
          <w:sz w:val="18"/>
          <w:szCs w:val="18"/>
          <w:lang w:val="en-AU"/>
        </w:rPr>
        <w:t xml:space="preserve">The </w:t>
      </w:r>
      <w:r w:rsidRPr="00B65740">
        <w:rPr>
          <w:rFonts w:cs="Segoe UI"/>
          <w:sz w:val="18"/>
          <w:szCs w:val="18"/>
        </w:rPr>
        <w:t>Kirby Institute</w:t>
      </w:r>
      <w:r w:rsidRPr="00B65740">
        <w:rPr>
          <w:rFonts w:cs="Segoe UI"/>
          <w:sz w:val="18"/>
          <w:szCs w:val="18"/>
          <w:lang w:val="en-AU"/>
        </w:rPr>
        <w:t>. (2017).</w:t>
      </w:r>
      <w:r w:rsidRPr="00B65740">
        <w:rPr>
          <w:rFonts w:cs="Segoe UI"/>
          <w:sz w:val="18"/>
          <w:szCs w:val="18"/>
        </w:rPr>
        <w:t xml:space="preserve"> </w:t>
      </w:r>
      <w:r w:rsidRPr="00B65740">
        <w:rPr>
          <w:rFonts w:cs="Segoe UI"/>
          <w:sz w:val="18"/>
          <w:szCs w:val="18"/>
          <w:u w:val="single"/>
        </w:rPr>
        <w:t>HIV, viral hepatitis and sexually transmissible infections in Australia: Annual Surveillance Report 2017</w:t>
      </w:r>
      <w:r w:rsidRPr="00B65740">
        <w:rPr>
          <w:rFonts w:cs="Segoe UI"/>
          <w:sz w:val="18"/>
          <w:szCs w:val="18"/>
          <w:u w:val="single"/>
          <w:lang w:val="en-AU"/>
        </w:rPr>
        <w:t>.</w:t>
      </w:r>
      <w:r w:rsidRPr="00B65740">
        <w:rPr>
          <w:rFonts w:cs="Segoe UI"/>
          <w:sz w:val="18"/>
          <w:szCs w:val="18"/>
        </w:rPr>
        <w:t xml:space="preserve"> University of New South Wales</w:t>
      </w:r>
      <w:r w:rsidRPr="00B65740">
        <w:rPr>
          <w:rFonts w:cs="Segoe UI"/>
          <w:sz w:val="18"/>
          <w:szCs w:val="18"/>
          <w:lang w:val="en-AU"/>
        </w:rPr>
        <w:t>:</w:t>
      </w:r>
      <w:r w:rsidRPr="00B65740">
        <w:rPr>
          <w:rFonts w:cs="Segoe UI"/>
          <w:sz w:val="18"/>
          <w:szCs w:val="18"/>
        </w:rPr>
        <w:t xml:space="preserve"> Sydney</w:t>
      </w:r>
      <w:r w:rsidRPr="00B65740">
        <w:rPr>
          <w:rFonts w:cs="Segoe UI"/>
          <w:sz w:val="18"/>
          <w:szCs w:val="18"/>
          <w:lang w:val="en-AU"/>
        </w:rPr>
        <w:t>.</w:t>
      </w:r>
    </w:p>
  </w:endnote>
  <w:endnote w:id="24">
    <w:p w:rsidR="00E90473" w:rsidRPr="00B65740" w:rsidRDefault="00E90473" w:rsidP="00BC1C5B">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r w:rsidRPr="00B65740">
        <w:rPr>
          <w:rFonts w:cs="Segoe UI"/>
          <w:sz w:val="18"/>
          <w:szCs w:val="18"/>
          <w:lang w:val="en-AU"/>
        </w:rPr>
        <w:t xml:space="preserve">The </w:t>
      </w:r>
      <w:r w:rsidRPr="00B65740">
        <w:rPr>
          <w:rFonts w:cs="Segoe UI"/>
          <w:sz w:val="18"/>
          <w:szCs w:val="18"/>
        </w:rPr>
        <w:t>Kirby Institute</w:t>
      </w:r>
      <w:r>
        <w:rPr>
          <w:rFonts w:cs="Segoe UI"/>
          <w:sz w:val="18"/>
          <w:szCs w:val="18"/>
        </w:rPr>
        <w:t>.</w:t>
      </w:r>
      <w:r w:rsidRPr="00B65740">
        <w:rPr>
          <w:rFonts w:cs="Segoe UI"/>
          <w:sz w:val="18"/>
          <w:szCs w:val="18"/>
          <w:lang w:val="en-AU"/>
        </w:rPr>
        <w:t xml:space="preserve"> (2017).</w:t>
      </w:r>
      <w:r w:rsidRPr="00B65740">
        <w:rPr>
          <w:rFonts w:cs="Segoe UI"/>
          <w:sz w:val="18"/>
          <w:szCs w:val="18"/>
        </w:rPr>
        <w:t xml:space="preserve"> </w:t>
      </w:r>
      <w:proofErr w:type="spellStart"/>
      <w:r w:rsidRPr="00B65740">
        <w:rPr>
          <w:rFonts w:cs="Segoe UI"/>
          <w:sz w:val="18"/>
          <w:szCs w:val="18"/>
          <w:u w:val="single"/>
        </w:rPr>
        <w:t>Bloodborne</w:t>
      </w:r>
      <w:proofErr w:type="spellEnd"/>
      <w:r w:rsidRPr="00B65740">
        <w:rPr>
          <w:rFonts w:cs="Segoe UI"/>
          <w:sz w:val="18"/>
          <w:szCs w:val="18"/>
          <w:u w:val="single"/>
        </w:rPr>
        <w:t xml:space="preserve"> viral and sexually transmissible infections in Aboriginal and Torres Strait Islander people: Annual Surveillance Report 2017</w:t>
      </w:r>
      <w:r>
        <w:rPr>
          <w:rFonts w:cs="Segoe UI"/>
          <w:sz w:val="18"/>
          <w:szCs w:val="18"/>
        </w:rPr>
        <w:t>.</w:t>
      </w:r>
      <w:r w:rsidRPr="00B65740">
        <w:rPr>
          <w:rFonts w:cs="Segoe UI"/>
          <w:sz w:val="18"/>
          <w:szCs w:val="18"/>
        </w:rPr>
        <w:t xml:space="preserve"> University of New South Wales</w:t>
      </w:r>
      <w:r w:rsidRPr="00B65740">
        <w:rPr>
          <w:rFonts w:cs="Segoe UI"/>
          <w:sz w:val="18"/>
          <w:szCs w:val="18"/>
          <w:lang w:val="en-AU"/>
        </w:rPr>
        <w:t>:</w:t>
      </w:r>
      <w:r w:rsidRPr="00B65740">
        <w:rPr>
          <w:rFonts w:cs="Segoe UI"/>
          <w:sz w:val="18"/>
          <w:szCs w:val="18"/>
        </w:rPr>
        <w:t xml:space="preserve"> Sydney</w:t>
      </w:r>
      <w:r w:rsidRPr="00B65740">
        <w:rPr>
          <w:rFonts w:cs="Segoe UI"/>
          <w:sz w:val="18"/>
          <w:szCs w:val="18"/>
          <w:lang w:val="en-AU"/>
        </w:rPr>
        <w:t>.</w:t>
      </w:r>
    </w:p>
  </w:endnote>
  <w:endnote w:id="25">
    <w:p w:rsidR="00E90473" w:rsidRPr="00B65740" w:rsidRDefault="00E90473" w:rsidP="0086497F">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proofErr w:type="spellStart"/>
      <w:r w:rsidRPr="00B65740">
        <w:rPr>
          <w:rFonts w:cs="Segoe UI"/>
          <w:sz w:val="18"/>
          <w:szCs w:val="18"/>
          <w:lang w:val="en-AU"/>
        </w:rPr>
        <w:t>Centers</w:t>
      </w:r>
      <w:proofErr w:type="spellEnd"/>
      <w:r w:rsidRPr="00B65740">
        <w:rPr>
          <w:rFonts w:cs="Segoe UI"/>
          <w:sz w:val="18"/>
          <w:szCs w:val="18"/>
          <w:lang w:val="en-AU"/>
        </w:rPr>
        <w:t xml:space="preserve"> for Disease Control and Prevention (CDC)</w:t>
      </w:r>
      <w:r>
        <w:rPr>
          <w:rFonts w:cs="Segoe UI"/>
          <w:sz w:val="18"/>
          <w:szCs w:val="18"/>
          <w:lang w:val="en-AU"/>
        </w:rPr>
        <w:t>.</w:t>
      </w:r>
      <w:r w:rsidRPr="00B65740">
        <w:rPr>
          <w:rFonts w:cs="Segoe UI"/>
          <w:sz w:val="18"/>
          <w:szCs w:val="18"/>
          <w:lang w:val="en-AU"/>
        </w:rPr>
        <w:t xml:space="preserve"> (2011). </w:t>
      </w:r>
      <w:r w:rsidRPr="00B65740">
        <w:rPr>
          <w:rFonts w:cs="Segoe UI"/>
          <w:sz w:val="18"/>
          <w:szCs w:val="18"/>
          <w:u w:val="single"/>
          <w:lang w:val="en-AU"/>
        </w:rPr>
        <w:t>10 ways STDs impact women differently from men</w:t>
      </w:r>
      <w:r w:rsidRPr="00B65740">
        <w:rPr>
          <w:rFonts w:cs="Segoe UI"/>
          <w:sz w:val="18"/>
          <w:szCs w:val="18"/>
          <w:lang w:val="en-AU"/>
        </w:rPr>
        <w:t>, CDC fact sheet. Accessed 1 May 2018 at</w:t>
      </w:r>
      <w:r>
        <w:rPr>
          <w:rFonts w:cs="Segoe UI"/>
          <w:sz w:val="18"/>
          <w:szCs w:val="18"/>
          <w:lang w:val="en-AU"/>
        </w:rPr>
        <w:t>:</w:t>
      </w:r>
      <w:r w:rsidRPr="00B65740">
        <w:rPr>
          <w:rFonts w:cs="Segoe UI"/>
          <w:sz w:val="18"/>
          <w:szCs w:val="18"/>
          <w:lang w:val="en-AU"/>
        </w:rPr>
        <w:t xml:space="preserve"> </w:t>
      </w:r>
      <w:hyperlink r:id="rId8" w:tooltip="CDC" w:history="1">
        <w:r w:rsidRPr="00B65740">
          <w:rPr>
            <w:rStyle w:val="Hyperlink"/>
            <w:rFonts w:cs="Segoe UI"/>
            <w:sz w:val="18"/>
            <w:szCs w:val="18"/>
          </w:rPr>
          <w:t>https://www.cdc.gov/std/health-disparities/stds-women-042011.pdf</w:t>
        </w:r>
      </w:hyperlink>
      <w:r w:rsidRPr="00B65740">
        <w:rPr>
          <w:rFonts w:cs="Segoe UI"/>
          <w:sz w:val="18"/>
          <w:szCs w:val="18"/>
          <w:lang w:val="en-AU"/>
        </w:rPr>
        <w:t xml:space="preserve"> </w:t>
      </w:r>
    </w:p>
  </w:endnote>
  <w:endnote w:id="26">
    <w:p w:rsidR="00E90473" w:rsidRPr="00B65740" w:rsidRDefault="00E90473" w:rsidP="0086497F">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r w:rsidRPr="00B65740">
        <w:rPr>
          <w:rFonts w:cs="Segoe UI"/>
          <w:sz w:val="18"/>
          <w:szCs w:val="18"/>
          <w:lang w:val="en-AU"/>
        </w:rPr>
        <w:t xml:space="preserve">American Addiction </w:t>
      </w:r>
      <w:proofErr w:type="spellStart"/>
      <w:r w:rsidRPr="00B65740">
        <w:rPr>
          <w:rFonts w:cs="Segoe UI"/>
          <w:sz w:val="18"/>
          <w:szCs w:val="18"/>
          <w:lang w:val="en-AU"/>
        </w:rPr>
        <w:t>Centers</w:t>
      </w:r>
      <w:proofErr w:type="spellEnd"/>
      <w:r w:rsidRPr="00B65740">
        <w:rPr>
          <w:rFonts w:cs="Segoe UI"/>
          <w:sz w:val="18"/>
          <w:szCs w:val="18"/>
          <w:lang w:val="en-AU"/>
        </w:rPr>
        <w:t xml:space="preserve">. (2018). </w:t>
      </w:r>
      <w:proofErr w:type="gramStart"/>
      <w:r w:rsidRPr="00B65740">
        <w:rPr>
          <w:rFonts w:cs="Segoe UI"/>
          <w:sz w:val="18"/>
          <w:szCs w:val="18"/>
          <w:u w:val="single"/>
        </w:rPr>
        <w:t>The</w:t>
      </w:r>
      <w:proofErr w:type="gramEnd"/>
      <w:r w:rsidRPr="00B65740">
        <w:rPr>
          <w:rFonts w:cs="Segoe UI"/>
          <w:sz w:val="18"/>
          <w:szCs w:val="18"/>
          <w:u w:val="single"/>
        </w:rPr>
        <w:t xml:space="preserve"> Connection Between Substance Abuse &amp; HIV/AIDS</w:t>
      </w:r>
      <w:r>
        <w:rPr>
          <w:rFonts w:cs="Segoe UI"/>
          <w:sz w:val="18"/>
          <w:szCs w:val="18"/>
          <w:lang w:val="en-AU"/>
        </w:rPr>
        <w:t xml:space="preserve">. </w:t>
      </w:r>
      <w:r w:rsidRPr="00B65740">
        <w:rPr>
          <w:rFonts w:cs="Segoe UI"/>
          <w:sz w:val="18"/>
          <w:szCs w:val="18"/>
          <w:lang w:val="en-AU"/>
        </w:rPr>
        <w:t xml:space="preserve">Accessed 1 May 2018 at </w:t>
      </w:r>
      <w:hyperlink r:id="rId9" w:tooltip="American Addiction Centres" w:history="1">
        <w:r w:rsidRPr="00B65740">
          <w:rPr>
            <w:rStyle w:val="Hyperlink"/>
            <w:rFonts w:cs="Segoe UI"/>
            <w:sz w:val="18"/>
            <w:szCs w:val="18"/>
            <w:lang w:val="en-AU"/>
          </w:rPr>
          <w:t>https://americanaddictioncenters.org/substance-abuse-hiv/</w:t>
        </w:r>
      </w:hyperlink>
      <w:r w:rsidRPr="00B65740">
        <w:rPr>
          <w:rFonts w:cs="Segoe UI"/>
          <w:sz w:val="18"/>
          <w:szCs w:val="18"/>
          <w:lang w:val="en-AU"/>
        </w:rPr>
        <w:t xml:space="preserve"> </w:t>
      </w:r>
    </w:p>
  </w:endnote>
  <w:endnote w:id="27">
    <w:p w:rsidR="00E90473" w:rsidRPr="00B65740" w:rsidRDefault="00E90473" w:rsidP="0086497F">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r w:rsidRPr="00B65740">
        <w:rPr>
          <w:rFonts w:cs="Segoe UI"/>
          <w:sz w:val="18"/>
          <w:szCs w:val="18"/>
          <w:lang w:val="en-AU"/>
        </w:rPr>
        <w:t>Wand, H</w:t>
      </w:r>
      <w:r>
        <w:rPr>
          <w:rFonts w:cs="Segoe UI"/>
          <w:sz w:val="18"/>
          <w:szCs w:val="18"/>
          <w:lang w:val="en-AU"/>
        </w:rPr>
        <w:t>.</w:t>
      </w:r>
      <w:r w:rsidRPr="00B65740">
        <w:rPr>
          <w:rFonts w:cs="Segoe UI"/>
          <w:sz w:val="18"/>
          <w:szCs w:val="18"/>
          <w:lang w:val="en-AU"/>
        </w:rPr>
        <w:t>, J. Ward, J. Bryant, D. Delaney-Thiele, H. Worth, M. Pitts</w:t>
      </w:r>
      <w:r>
        <w:rPr>
          <w:rFonts w:cs="Segoe UI"/>
          <w:sz w:val="18"/>
          <w:szCs w:val="18"/>
          <w:lang w:val="en-AU"/>
        </w:rPr>
        <w:t>,</w:t>
      </w:r>
      <w:r w:rsidRPr="00B65740">
        <w:rPr>
          <w:rFonts w:cs="Segoe UI"/>
          <w:sz w:val="18"/>
          <w:szCs w:val="18"/>
          <w:lang w:val="en-AU"/>
        </w:rPr>
        <w:t xml:space="preserve"> and J.M. </w:t>
      </w:r>
      <w:proofErr w:type="spellStart"/>
      <w:r w:rsidRPr="00B65740">
        <w:rPr>
          <w:rFonts w:cs="Segoe UI"/>
          <w:sz w:val="18"/>
          <w:szCs w:val="18"/>
          <w:lang w:val="en-AU"/>
        </w:rPr>
        <w:t>Kaldor</w:t>
      </w:r>
      <w:proofErr w:type="spellEnd"/>
      <w:r w:rsidRPr="00B65740">
        <w:rPr>
          <w:rFonts w:cs="Segoe UI"/>
          <w:sz w:val="18"/>
          <w:szCs w:val="18"/>
          <w:lang w:val="en-AU"/>
        </w:rPr>
        <w:t xml:space="preserve">. (2016). </w:t>
      </w:r>
      <w:r>
        <w:rPr>
          <w:rFonts w:cs="Segoe UI"/>
          <w:sz w:val="18"/>
          <w:szCs w:val="18"/>
          <w:lang w:val="en-AU"/>
        </w:rPr>
        <w:t>‘</w:t>
      </w:r>
      <w:r w:rsidRPr="00B65740">
        <w:rPr>
          <w:rFonts w:cs="Segoe UI"/>
          <w:sz w:val="18"/>
          <w:szCs w:val="18"/>
          <w:lang w:val="en-AU"/>
        </w:rPr>
        <w:t>Individual and population level impacts of illicit drug use, sexual risk behaviours on sexually transmitted infections among young Aboriginal and Torres Strait Islander people: results from GOANNA survey.</w:t>
      </w:r>
      <w:r>
        <w:rPr>
          <w:rFonts w:cs="Segoe UI"/>
          <w:sz w:val="18"/>
          <w:szCs w:val="18"/>
          <w:lang w:val="en-AU"/>
        </w:rPr>
        <w:t>’</w:t>
      </w:r>
      <w:r w:rsidRPr="00B65740">
        <w:rPr>
          <w:rFonts w:cs="Segoe UI"/>
          <w:sz w:val="18"/>
          <w:szCs w:val="18"/>
          <w:lang w:val="en-AU"/>
        </w:rPr>
        <w:t xml:space="preserve"> </w:t>
      </w:r>
      <w:r w:rsidRPr="00B65740">
        <w:rPr>
          <w:rFonts w:cs="Segoe UI"/>
          <w:sz w:val="18"/>
          <w:szCs w:val="18"/>
          <w:u w:val="single"/>
          <w:lang w:val="en-AU"/>
        </w:rPr>
        <w:t>BMC Public Health</w:t>
      </w:r>
      <w:r w:rsidRPr="00B65740">
        <w:rPr>
          <w:rFonts w:cs="Segoe UI"/>
          <w:sz w:val="18"/>
          <w:szCs w:val="18"/>
          <w:lang w:val="en-AU"/>
        </w:rPr>
        <w:t xml:space="preserve">, </w:t>
      </w:r>
      <w:r w:rsidRPr="00B65740">
        <w:rPr>
          <w:rFonts w:cs="Segoe UI"/>
          <w:b/>
          <w:sz w:val="18"/>
          <w:szCs w:val="18"/>
          <w:lang w:val="en-AU"/>
        </w:rPr>
        <w:t>16</w:t>
      </w:r>
      <w:r w:rsidRPr="00B65740">
        <w:rPr>
          <w:rFonts w:cs="Segoe UI"/>
          <w:sz w:val="18"/>
          <w:szCs w:val="18"/>
          <w:lang w:val="en-AU"/>
        </w:rPr>
        <w:t>:600.</w:t>
      </w:r>
    </w:p>
  </w:endnote>
  <w:endnote w:id="28">
    <w:p w:rsidR="00E90473" w:rsidRPr="00B65740" w:rsidRDefault="00E90473" w:rsidP="00272D04">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r w:rsidRPr="00B65740">
        <w:rPr>
          <w:rFonts w:cs="Segoe UI"/>
          <w:sz w:val="18"/>
          <w:szCs w:val="18"/>
          <w:lang w:val="en-AU"/>
        </w:rPr>
        <w:t>CDC. (2017).</w:t>
      </w:r>
      <w:r w:rsidRPr="00B65740">
        <w:rPr>
          <w:rFonts w:cs="Segoe UI"/>
          <w:sz w:val="18"/>
          <w:szCs w:val="18"/>
          <w:u w:val="single"/>
          <w:lang w:val="en-AU"/>
        </w:rPr>
        <w:t xml:space="preserve"> STDS and HIV</w:t>
      </w:r>
      <w:r w:rsidRPr="00B65740">
        <w:rPr>
          <w:rFonts w:cs="Segoe UI"/>
          <w:sz w:val="18"/>
          <w:szCs w:val="18"/>
          <w:lang w:val="en-AU"/>
        </w:rPr>
        <w:t>, CDC Fact Sheet. Accessed 1 May 2018 at</w:t>
      </w:r>
      <w:r>
        <w:rPr>
          <w:rFonts w:cs="Segoe UI"/>
          <w:sz w:val="18"/>
          <w:szCs w:val="18"/>
          <w:lang w:val="en-AU"/>
        </w:rPr>
        <w:t>:</w:t>
      </w:r>
      <w:r w:rsidRPr="00B65740">
        <w:rPr>
          <w:rFonts w:cs="Segoe UI"/>
          <w:sz w:val="18"/>
          <w:szCs w:val="18"/>
          <w:lang w:val="en-AU"/>
        </w:rPr>
        <w:t xml:space="preserve"> </w:t>
      </w:r>
      <w:hyperlink r:id="rId10" w:tooltip="CDC" w:history="1">
        <w:r w:rsidRPr="00B65740">
          <w:rPr>
            <w:rStyle w:val="Hyperlink"/>
            <w:rFonts w:cs="Segoe UI"/>
            <w:sz w:val="18"/>
            <w:szCs w:val="18"/>
          </w:rPr>
          <w:t>https://www.cdc.gov/std/hiv/stdfact-std-hiv-detailed.htm</w:t>
        </w:r>
      </w:hyperlink>
      <w:r w:rsidRPr="00B65740">
        <w:rPr>
          <w:rFonts w:cs="Segoe UI"/>
          <w:sz w:val="18"/>
          <w:szCs w:val="18"/>
          <w:lang w:val="en-AU"/>
        </w:rPr>
        <w:t xml:space="preserve"> </w:t>
      </w:r>
    </w:p>
  </w:endnote>
  <w:endnote w:id="29">
    <w:p w:rsidR="00E90473" w:rsidRPr="00B65740" w:rsidRDefault="00E90473" w:rsidP="00272D04">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lang w:val="en-AU"/>
        </w:rPr>
        <w:t xml:space="preserve"> Hutton, H. E., M. E. </w:t>
      </w:r>
      <w:proofErr w:type="spellStart"/>
      <w:r w:rsidRPr="00B65740">
        <w:rPr>
          <w:rFonts w:cs="Segoe UI"/>
          <w:sz w:val="18"/>
          <w:szCs w:val="18"/>
          <w:lang w:val="en-AU"/>
        </w:rPr>
        <w:t>McCaul</w:t>
      </w:r>
      <w:proofErr w:type="spellEnd"/>
      <w:r w:rsidRPr="00B65740">
        <w:rPr>
          <w:rFonts w:cs="Segoe UI"/>
          <w:sz w:val="18"/>
          <w:szCs w:val="18"/>
          <w:lang w:val="en-AU"/>
        </w:rPr>
        <w:t xml:space="preserve">, P. B. </w:t>
      </w:r>
      <w:proofErr w:type="spellStart"/>
      <w:r w:rsidRPr="00B65740">
        <w:rPr>
          <w:rFonts w:cs="Segoe UI"/>
          <w:sz w:val="18"/>
          <w:szCs w:val="18"/>
          <w:lang w:val="en-AU"/>
        </w:rPr>
        <w:t>Santora</w:t>
      </w:r>
      <w:proofErr w:type="spellEnd"/>
      <w:r>
        <w:rPr>
          <w:rFonts w:cs="Segoe UI"/>
          <w:sz w:val="18"/>
          <w:szCs w:val="18"/>
          <w:lang w:val="en-AU"/>
        </w:rPr>
        <w:t>,</w:t>
      </w:r>
      <w:r w:rsidRPr="00B65740">
        <w:rPr>
          <w:rFonts w:cs="Segoe UI"/>
          <w:sz w:val="18"/>
          <w:szCs w:val="18"/>
          <w:lang w:val="en-AU"/>
        </w:rPr>
        <w:t xml:space="preserve"> and E. J. </w:t>
      </w:r>
      <w:proofErr w:type="spellStart"/>
      <w:r w:rsidRPr="00B65740">
        <w:rPr>
          <w:rFonts w:cs="Segoe UI"/>
          <w:sz w:val="18"/>
          <w:szCs w:val="18"/>
          <w:lang w:val="en-AU"/>
        </w:rPr>
        <w:t>Erbelding</w:t>
      </w:r>
      <w:proofErr w:type="spellEnd"/>
      <w:r w:rsidRPr="00B65740">
        <w:rPr>
          <w:rFonts w:cs="Segoe UI"/>
          <w:sz w:val="18"/>
          <w:szCs w:val="18"/>
          <w:lang w:val="en-AU"/>
        </w:rPr>
        <w:t xml:space="preserve">. (2008). </w:t>
      </w:r>
      <w:r>
        <w:rPr>
          <w:rFonts w:cs="Segoe UI"/>
          <w:sz w:val="18"/>
          <w:szCs w:val="18"/>
          <w:lang w:val="en-AU"/>
        </w:rPr>
        <w:t>‘</w:t>
      </w:r>
      <w:r w:rsidRPr="00B65740">
        <w:rPr>
          <w:rFonts w:cs="Segoe UI"/>
          <w:sz w:val="18"/>
          <w:szCs w:val="18"/>
          <w:lang w:val="en-AU"/>
        </w:rPr>
        <w:t>The relationship between recent alcohol use and sexual behaviours.</w:t>
      </w:r>
      <w:r>
        <w:rPr>
          <w:rFonts w:cs="Segoe UI"/>
          <w:sz w:val="18"/>
          <w:szCs w:val="18"/>
          <w:lang w:val="en-AU"/>
        </w:rPr>
        <w:t>’</w:t>
      </w:r>
      <w:r w:rsidRPr="00B65740">
        <w:rPr>
          <w:rFonts w:cs="Segoe UI"/>
          <w:sz w:val="18"/>
          <w:szCs w:val="18"/>
          <w:lang w:val="en-AU"/>
        </w:rPr>
        <w:t xml:space="preserve"> </w:t>
      </w:r>
      <w:r w:rsidRPr="00B65740">
        <w:rPr>
          <w:rFonts w:cs="Segoe UI"/>
          <w:sz w:val="18"/>
          <w:szCs w:val="18"/>
          <w:u w:val="single"/>
          <w:lang w:val="en-AU"/>
        </w:rPr>
        <w:t>Alcoholism: Clinical and Experimental Research</w:t>
      </w:r>
      <w:r w:rsidRPr="00B65740">
        <w:rPr>
          <w:rFonts w:cs="Segoe UI"/>
          <w:sz w:val="18"/>
          <w:szCs w:val="18"/>
          <w:lang w:val="en-AU"/>
        </w:rPr>
        <w:t>, 32(</w:t>
      </w:r>
      <w:r w:rsidRPr="00B65740">
        <w:rPr>
          <w:rFonts w:cs="Segoe UI"/>
          <w:b/>
          <w:sz w:val="18"/>
          <w:szCs w:val="18"/>
          <w:lang w:val="en-AU"/>
        </w:rPr>
        <w:t>11</w:t>
      </w:r>
      <w:r w:rsidRPr="00B65740">
        <w:rPr>
          <w:rFonts w:cs="Segoe UI"/>
          <w:sz w:val="18"/>
          <w:szCs w:val="18"/>
          <w:lang w:val="en-AU"/>
        </w:rPr>
        <w:t>):2008</w:t>
      </w:r>
      <w:r>
        <w:rPr>
          <w:rFonts w:cs="Segoe UI"/>
          <w:sz w:val="18"/>
          <w:szCs w:val="18"/>
          <w:lang w:val="en-AU"/>
        </w:rPr>
        <w:t>–</w:t>
      </w:r>
      <w:r w:rsidRPr="00B65740">
        <w:rPr>
          <w:rFonts w:cs="Segoe UI"/>
          <w:sz w:val="18"/>
          <w:szCs w:val="18"/>
          <w:lang w:val="en-AU"/>
        </w:rPr>
        <w:t>2015.</w:t>
      </w:r>
      <w:r w:rsidRPr="00B65740">
        <w:rPr>
          <w:rFonts w:cs="Segoe UI"/>
          <w:sz w:val="18"/>
          <w:szCs w:val="18"/>
        </w:rPr>
        <w:t xml:space="preserve"> </w:t>
      </w:r>
    </w:p>
  </w:endnote>
  <w:endnote w:id="30">
    <w:p w:rsidR="00E90473" w:rsidRPr="006B18D0" w:rsidRDefault="00E90473" w:rsidP="006B18D0">
      <w:pPr>
        <w:pStyle w:val="EndnoteText"/>
        <w:spacing w:after="120"/>
        <w:rPr>
          <w:sz w:val="18"/>
          <w:szCs w:val="18"/>
          <w:lang w:val="en-AU"/>
        </w:rPr>
      </w:pPr>
      <w:r w:rsidRPr="006B18D0">
        <w:rPr>
          <w:rStyle w:val="EndnoteReference"/>
          <w:sz w:val="18"/>
          <w:szCs w:val="18"/>
        </w:rPr>
        <w:endnoteRef/>
      </w:r>
      <w:r w:rsidRPr="006B18D0">
        <w:rPr>
          <w:sz w:val="18"/>
          <w:szCs w:val="18"/>
        </w:rPr>
        <w:t xml:space="preserve"> </w:t>
      </w:r>
      <w:r w:rsidRPr="006B18D0">
        <w:rPr>
          <w:sz w:val="18"/>
          <w:szCs w:val="18"/>
          <w:lang w:val="en-AU"/>
        </w:rPr>
        <w:t xml:space="preserve">Jones, A. A., C. W. </w:t>
      </w:r>
      <w:proofErr w:type="spellStart"/>
      <w:r w:rsidRPr="006B18D0">
        <w:rPr>
          <w:sz w:val="18"/>
          <w:szCs w:val="18"/>
          <w:lang w:val="en-AU"/>
        </w:rPr>
        <w:t>Striley</w:t>
      </w:r>
      <w:proofErr w:type="spellEnd"/>
      <w:r>
        <w:rPr>
          <w:sz w:val="18"/>
          <w:szCs w:val="18"/>
          <w:lang w:val="en-AU"/>
        </w:rPr>
        <w:t>,</w:t>
      </w:r>
      <w:r w:rsidRPr="006B18D0">
        <w:rPr>
          <w:sz w:val="18"/>
          <w:szCs w:val="18"/>
          <w:lang w:val="en-AU"/>
        </w:rPr>
        <w:t xml:space="preserve"> and L. B. </w:t>
      </w:r>
      <w:proofErr w:type="spellStart"/>
      <w:r w:rsidRPr="006B18D0">
        <w:rPr>
          <w:sz w:val="18"/>
          <w:szCs w:val="18"/>
          <w:lang w:val="en-AU"/>
        </w:rPr>
        <w:t>Cottler</w:t>
      </w:r>
      <w:proofErr w:type="spellEnd"/>
      <w:r w:rsidRPr="006B18D0">
        <w:rPr>
          <w:sz w:val="18"/>
          <w:szCs w:val="18"/>
          <w:lang w:val="en-AU"/>
        </w:rPr>
        <w:t xml:space="preserve">. (2016). </w:t>
      </w:r>
      <w:r>
        <w:rPr>
          <w:sz w:val="18"/>
          <w:szCs w:val="18"/>
          <w:lang w:val="en-AU"/>
        </w:rPr>
        <w:t>‘</w:t>
      </w:r>
      <w:r w:rsidRPr="006B18D0">
        <w:rPr>
          <w:sz w:val="18"/>
          <w:szCs w:val="18"/>
          <w:lang w:val="en-AU"/>
        </w:rPr>
        <w:t xml:space="preserve">Prescription </w:t>
      </w:r>
      <w:proofErr w:type="spellStart"/>
      <w:r w:rsidRPr="006B18D0">
        <w:rPr>
          <w:sz w:val="18"/>
          <w:szCs w:val="18"/>
          <w:lang w:val="en-AU"/>
        </w:rPr>
        <w:t>opiod</w:t>
      </w:r>
      <w:proofErr w:type="spellEnd"/>
      <w:r w:rsidRPr="006B18D0">
        <w:rPr>
          <w:sz w:val="18"/>
          <w:szCs w:val="18"/>
          <w:lang w:val="en-AU"/>
        </w:rPr>
        <w:t xml:space="preserve"> use, illicit drug use, and sexually transmitted infections among participants from ac community engagement program in North Central Florida.</w:t>
      </w:r>
      <w:r>
        <w:rPr>
          <w:sz w:val="18"/>
          <w:szCs w:val="18"/>
          <w:lang w:val="en-AU"/>
        </w:rPr>
        <w:t>’</w:t>
      </w:r>
      <w:r w:rsidRPr="006B18D0">
        <w:rPr>
          <w:sz w:val="18"/>
          <w:szCs w:val="18"/>
          <w:lang w:val="en-AU"/>
        </w:rPr>
        <w:t xml:space="preserve"> </w:t>
      </w:r>
      <w:r w:rsidRPr="006B18D0">
        <w:rPr>
          <w:sz w:val="18"/>
          <w:szCs w:val="18"/>
          <w:u w:val="single"/>
          <w:lang w:val="en-AU"/>
        </w:rPr>
        <w:t>Journal of Substance Use</w:t>
      </w:r>
      <w:r w:rsidRPr="006B18D0">
        <w:rPr>
          <w:sz w:val="18"/>
          <w:szCs w:val="18"/>
          <w:lang w:val="en-AU"/>
        </w:rPr>
        <w:t xml:space="preserve">, </w:t>
      </w:r>
      <w:r w:rsidRPr="006B18D0">
        <w:rPr>
          <w:b/>
          <w:sz w:val="18"/>
          <w:szCs w:val="18"/>
          <w:lang w:val="en-AU"/>
        </w:rPr>
        <w:t>22</w:t>
      </w:r>
      <w:r w:rsidRPr="006B18D0">
        <w:rPr>
          <w:sz w:val="18"/>
          <w:szCs w:val="18"/>
          <w:lang w:val="en-AU"/>
        </w:rPr>
        <w:t>(1):90</w:t>
      </w:r>
      <w:r>
        <w:rPr>
          <w:sz w:val="18"/>
          <w:szCs w:val="18"/>
          <w:lang w:val="en-AU"/>
        </w:rPr>
        <w:t>–</w:t>
      </w:r>
      <w:r w:rsidRPr="006B18D0">
        <w:rPr>
          <w:sz w:val="18"/>
          <w:szCs w:val="18"/>
          <w:lang w:val="en-AU"/>
        </w:rPr>
        <w:t>95</w:t>
      </w:r>
      <w:r>
        <w:rPr>
          <w:sz w:val="18"/>
          <w:szCs w:val="18"/>
          <w:lang w:val="en-AU"/>
        </w:rPr>
        <w:t>.</w:t>
      </w:r>
    </w:p>
  </w:endnote>
  <w:endnote w:id="31">
    <w:p w:rsidR="00E90473" w:rsidRPr="006B18D0" w:rsidRDefault="00E90473" w:rsidP="006B18D0">
      <w:pPr>
        <w:pStyle w:val="EndnoteText"/>
        <w:spacing w:after="120"/>
        <w:rPr>
          <w:sz w:val="18"/>
          <w:szCs w:val="18"/>
          <w:lang w:val="en-AU"/>
        </w:rPr>
      </w:pPr>
      <w:r w:rsidRPr="006B18D0">
        <w:rPr>
          <w:rStyle w:val="EndnoteReference"/>
          <w:sz w:val="18"/>
          <w:szCs w:val="18"/>
        </w:rPr>
        <w:endnoteRef/>
      </w:r>
      <w:r w:rsidRPr="006B18D0">
        <w:rPr>
          <w:sz w:val="18"/>
          <w:szCs w:val="18"/>
        </w:rPr>
        <w:t xml:space="preserve"> </w:t>
      </w:r>
      <w:proofErr w:type="spellStart"/>
      <w:r w:rsidRPr="006B18D0">
        <w:rPr>
          <w:sz w:val="18"/>
          <w:szCs w:val="18"/>
          <w:lang w:val="en-AU"/>
        </w:rPr>
        <w:t>Semaan</w:t>
      </w:r>
      <w:proofErr w:type="spellEnd"/>
      <w:r w:rsidRPr="006B18D0">
        <w:rPr>
          <w:sz w:val="18"/>
          <w:szCs w:val="18"/>
          <w:lang w:val="en-AU"/>
        </w:rPr>
        <w:t xml:space="preserve">, S., D. C. Des </w:t>
      </w:r>
      <w:proofErr w:type="spellStart"/>
      <w:r w:rsidRPr="006B18D0">
        <w:rPr>
          <w:sz w:val="18"/>
          <w:szCs w:val="18"/>
          <w:lang w:val="en-AU"/>
        </w:rPr>
        <w:t>Jarlais</w:t>
      </w:r>
      <w:proofErr w:type="spellEnd"/>
      <w:r>
        <w:rPr>
          <w:sz w:val="18"/>
          <w:szCs w:val="18"/>
          <w:lang w:val="en-AU"/>
        </w:rPr>
        <w:t>,</w:t>
      </w:r>
      <w:r w:rsidRPr="006B18D0">
        <w:rPr>
          <w:sz w:val="18"/>
          <w:szCs w:val="18"/>
          <w:lang w:val="en-AU"/>
        </w:rPr>
        <w:t xml:space="preserve"> and R. M. Marlow. (2007). </w:t>
      </w:r>
      <w:r>
        <w:rPr>
          <w:sz w:val="18"/>
          <w:szCs w:val="18"/>
          <w:lang w:val="en-AU"/>
        </w:rPr>
        <w:t>‘</w:t>
      </w:r>
      <w:r w:rsidRPr="006B18D0">
        <w:rPr>
          <w:sz w:val="18"/>
          <w:szCs w:val="18"/>
          <w:lang w:val="en-AU"/>
        </w:rPr>
        <w:t>Sexually transmitted diseases among illicit drug users in the United States: the need for interventions.</w:t>
      </w:r>
      <w:r>
        <w:rPr>
          <w:sz w:val="18"/>
          <w:szCs w:val="18"/>
          <w:lang w:val="en-AU"/>
        </w:rPr>
        <w:t>’</w:t>
      </w:r>
      <w:r w:rsidRPr="006B18D0">
        <w:rPr>
          <w:sz w:val="18"/>
          <w:szCs w:val="18"/>
          <w:lang w:val="en-AU"/>
        </w:rPr>
        <w:t xml:space="preserve"> In: </w:t>
      </w:r>
      <w:r>
        <w:rPr>
          <w:sz w:val="18"/>
          <w:szCs w:val="18"/>
          <w:lang w:val="en-AU"/>
        </w:rPr>
        <w:t xml:space="preserve">S. O. Aral and J. M. Douglas (editors). </w:t>
      </w:r>
      <w:r w:rsidRPr="006B18D0">
        <w:rPr>
          <w:sz w:val="18"/>
          <w:szCs w:val="18"/>
          <w:u w:val="single"/>
          <w:lang w:val="en-AU"/>
        </w:rPr>
        <w:t>Behavioural intervention for prevention and control of sexually transmitted diseases</w:t>
      </w:r>
      <w:r w:rsidRPr="006B18D0">
        <w:rPr>
          <w:sz w:val="18"/>
          <w:szCs w:val="18"/>
          <w:lang w:val="en-AU"/>
        </w:rPr>
        <w:t>, Chapter 17. Springer-SBM: New York.</w:t>
      </w:r>
    </w:p>
  </w:endnote>
  <w:endnote w:id="32">
    <w:p w:rsidR="00E90473" w:rsidRPr="006B18D0" w:rsidRDefault="00E90473" w:rsidP="006B18D0">
      <w:pPr>
        <w:pStyle w:val="EndnoteText"/>
        <w:spacing w:after="120"/>
        <w:rPr>
          <w:sz w:val="18"/>
          <w:szCs w:val="18"/>
          <w:lang w:val="en-AU"/>
        </w:rPr>
      </w:pPr>
      <w:r w:rsidRPr="006B18D0">
        <w:rPr>
          <w:rStyle w:val="EndnoteReference"/>
          <w:sz w:val="18"/>
          <w:szCs w:val="18"/>
        </w:rPr>
        <w:endnoteRef/>
      </w:r>
      <w:r w:rsidRPr="006B18D0">
        <w:rPr>
          <w:sz w:val="18"/>
          <w:szCs w:val="18"/>
        </w:rPr>
        <w:t xml:space="preserve"> </w:t>
      </w:r>
      <w:r w:rsidRPr="006B18D0">
        <w:rPr>
          <w:sz w:val="18"/>
          <w:szCs w:val="18"/>
          <w:lang w:val="en-AU"/>
        </w:rPr>
        <w:t>Ross, J. D.</w:t>
      </w:r>
      <w:r>
        <w:rPr>
          <w:sz w:val="18"/>
          <w:szCs w:val="18"/>
          <w:lang w:val="en-AU"/>
        </w:rPr>
        <w:t>,</w:t>
      </w:r>
      <w:r w:rsidRPr="006B18D0">
        <w:rPr>
          <w:sz w:val="18"/>
          <w:szCs w:val="18"/>
          <w:lang w:val="en-AU"/>
        </w:rPr>
        <w:t xml:space="preserve"> and </w:t>
      </w:r>
      <w:r>
        <w:rPr>
          <w:sz w:val="18"/>
          <w:szCs w:val="18"/>
          <w:lang w:val="en-AU"/>
        </w:rPr>
        <w:t xml:space="preserve">K. W. </w:t>
      </w:r>
      <w:r w:rsidRPr="006B18D0">
        <w:rPr>
          <w:sz w:val="18"/>
          <w:szCs w:val="18"/>
          <w:lang w:val="en-AU"/>
        </w:rPr>
        <w:t xml:space="preserve">Radcliffe. (2006). </w:t>
      </w:r>
      <w:r>
        <w:rPr>
          <w:sz w:val="18"/>
          <w:szCs w:val="18"/>
          <w:lang w:val="en-AU"/>
        </w:rPr>
        <w:t>‘</w:t>
      </w:r>
      <w:r w:rsidRPr="006B18D0">
        <w:rPr>
          <w:sz w:val="18"/>
          <w:szCs w:val="18"/>
          <w:lang w:val="en-AU"/>
        </w:rPr>
        <w:t>Why do those using illicit drugs have higher rates of sexually transmitted infection?</w:t>
      </w:r>
      <w:r>
        <w:rPr>
          <w:sz w:val="18"/>
          <w:szCs w:val="18"/>
          <w:lang w:val="en-AU"/>
        </w:rPr>
        <w:t>’</w:t>
      </w:r>
      <w:r w:rsidRPr="006B18D0">
        <w:rPr>
          <w:sz w:val="18"/>
          <w:szCs w:val="18"/>
          <w:lang w:val="en-AU"/>
        </w:rPr>
        <w:t xml:space="preserve"> </w:t>
      </w:r>
      <w:r w:rsidRPr="006B18D0">
        <w:rPr>
          <w:sz w:val="18"/>
          <w:szCs w:val="18"/>
          <w:u w:val="single"/>
          <w:lang w:val="en-AU"/>
        </w:rPr>
        <w:t>International Journal of STD and AIDS</w:t>
      </w:r>
      <w:r w:rsidRPr="006B18D0">
        <w:rPr>
          <w:sz w:val="18"/>
          <w:szCs w:val="18"/>
          <w:lang w:val="en-AU"/>
        </w:rPr>
        <w:t xml:space="preserve">, </w:t>
      </w:r>
      <w:r w:rsidRPr="006B18D0">
        <w:rPr>
          <w:b/>
          <w:sz w:val="18"/>
          <w:szCs w:val="18"/>
          <w:lang w:val="en-AU"/>
        </w:rPr>
        <w:t>17</w:t>
      </w:r>
      <w:r w:rsidRPr="006B18D0">
        <w:rPr>
          <w:sz w:val="18"/>
          <w:szCs w:val="18"/>
          <w:lang w:val="en-AU"/>
        </w:rPr>
        <w:t>(4):247</w:t>
      </w:r>
      <w:r>
        <w:rPr>
          <w:sz w:val="18"/>
          <w:szCs w:val="18"/>
          <w:lang w:val="en-AU"/>
        </w:rPr>
        <w:t>–2</w:t>
      </w:r>
      <w:r w:rsidRPr="006B18D0">
        <w:rPr>
          <w:sz w:val="18"/>
          <w:szCs w:val="18"/>
          <w:lang w:val="en-AU"/>
        </w:rPr>
        <w:t>53.</w:t>
      </w:r>
    </w:p>
  </w:endnote>
  <w:endnote w:id="33">
    <w:p w:rsidR="00E90473" w:rsidRPr="00B65740" w:rsidRDefault="00E90473" w:rsidP="00D01831">
      <w:pPr>
        <w:rPr>
          <w:rFonts w:cs="Segoe UI"/>
          <w:sz w:val="18"/>
          <w:szCs w:val="18"/>
        </w:rPr>
      </w:pPr>
      <w:r w:rsidRPr="007D71BD">
        <w:rPr>
          <w:rStyle w:val="EndnoteReference"/>
          <w:rFonts w:cs="Segoe UI"/>
          <w:sz w:val="18"/>
          <w:szCs w:val="18"/>
        </w:rPr>
        <w:endnoteRef/>
      </w:r>
      <w:r w:rsidRPr="007D71BD">
        <w:rPr>
          <w:rFonts w:cs="Segoe UI"/>
          <w:sz w:val="18"/>
          <w:szCs w:val="18"/>
        </w:rPr>
        <w:t xml:space="preserve"> Bara, S. D., T. </w:t>
      </w:r>
      <w:proofErr w:type="spellStart"/>
      <w:r w:rsidRPr="007D71BD">
        <w:rPr>
          <w:rFonts w:cs="Segoe UI"/>
          <w:sz w:val="18"/>
          <w:szCs w:val="18"/>
        </w:rPr>
        <w:t>Poteat</w:t>
      </w:r>
      <w:proofErr w:type="spellEnd"/>
      <w:r w:rsidRPr="007D71BD">
        <w:rPr>
          <w:rFonts w:cs="Segoe UI"/>
          <w:sz w:val="18"/>
          <w:szCs w:val="18"/>
        </w:rPr>
        <w:t xml:space="preserve">, S. </w:t>
      </w:r>
      <w:proofErr w:type="spellStart"/>
      <w:r w:rsidRPr="007D71BD">
        <w:rPr>
          <w:rFonts w:cs="Segoe UI"/>
          <w:sz w:val="18"/>
          <w:szCs w:val="18"/>
        </w:rPr>
        <w:t>Stromdahl</w:t>
      </w:r>
      <w:proofErr w:type="spellEnd"/>
      <w:r w:rsidRPr="007D71BD">
        <w:rPr>
          <w:rFonts w:cs="Segoe UI"/>
          <w:sz w:val="18"/>
          <w:szCs w:val="18"/>
        </w:rPr>
        <w:t xml:space="preserve">, A. L. </w:t>
      </w:r>
      <w:proofErr w:type="spellStart"/>
      <w:r w:rsidRPr="007D71BD">
        <w:rPr>
          <w:rFonts w:cs="Segoe UI"/>
          <w:sz w:val="18"/>
          <w:szCs w:val="18"/>
        </w:rPr>
        <w:t>Wirtz</w:t>
      </w:r>
      <w:proofErr w:type="spellEnd"/>
      <w:r w:rsidRPr="007D71BD">
        <w:rPr>
          <w:rFonts w:cs="Segoe UI"/>
          <w:sz w:val="18"/>
          <w:szCs w:val="18"/>
        </w:rPr>
        <w:t xml:space="preserve">, T. E. </w:t>
      </w:r>
      <w:proofErr w:type="spellStart"/>
      <w:r w:rsidRPr="007D71BD">
        <w:rPr>
          <w:rFonts w:cs="Segoe UI"/>
          <w:sz w:val="18"/>
          <w:szCs w:val="18"/>
        </w:rPr>
        <w:t>Guadamuz</w:t>
      </w:r>
      <w:proofErr w:type="spellEnd"/>
      <w:r>
        <w:rPr>
          <w:rFonts w:cs="Segoe UI"/>
          <w:sz w:val="18"/>
          <w:szCs w:val="18"/>
        </w:rPr>
        <w:t>,</w:t>
      </w:r>
      <w:r w:rsidRPr="007D71BD">
        <w:rPr>
          <w:rFonts w:cs="Segoe UI"/>
          <w:sz w:val="18"/>
          <w:szCs w:val="18"/>
        </w:rPr>
        <w:t xml:space="preserve"> and C. </w:t>
      </w:r>
      <w:proofErr w:type="spellStart"/>
      <w:r w:rsidRPr="007D71BD">
        <w:rPr>
          <w:rFonts w:cs="Segoe UI"/>
          <w:sz w:val="18"/>
          <w:szCs w:val="18"/>
        </w:rPr>
        <w:t>Beyrer</w:t>
      </w:r>
      <w:proofErr w:type="spellEnd"/>
      <w:r w:rsidRPr="007D71BD">
        <w:rPr>
          <w:rFonts w:cs="Segoe UI"/>
          <w:sz w:val="18"/>
          <w:szCs w:val="18"/>
        </w:rPr>
        <w:t xml:space="preserve">. (2013). </w:t>
      </w:r>
      <w:r>
        <w:rPr>
          <w:rFonts w:cs="Segoe UI"/>
          <w:sz w:val="18"/>
          <w:szCs w:val="18"/>
        </w:rPr>
        <w:t>‘</w:t>
      </w:r>
      <w:proofErr w:type="gramStart"/>
      <w:r w:rsidRPr="007D71BD">
        <w:rPr>
          <w:rFonts w:cs="Segoe UI"/>
          <w:sz w:val="18"/>
          <w:szCs w:val="18"/>
        </w:rPr>
        <w:t>Worldwide</w:t>
      </w:r>
      <w:proofErr w:type="gramEnd"/>
      <w:r w:rsidRPr="007D71BD">
        <w:rPr>
          <w:rFonts w:cs="Segoe UI"/>
          <w:sz w:val="18"/>
          <w:szCs w:val="18"/>
        </w:rPr>
        <w:t xml:space="preserve"> burden of HIV in transgender women: a systematic review and meta-analysis.</w:t>
      </w:r>
      <w:r>
        <w:rPr>
          <w:rFonts w:cs="Segoe UI"/>
          <w:sz w:val="18"/>
          <w:szCs w:val="18"/>
        </w:rPr>
        <w:t>’</w:t>
      </w:r>
      <w:r w:rsidRPr="007D71BD">
        <w:rPr>
          <w:rFonts w:cs="Segoe UI"/>
          <w:sz w:val="18"/>
          <w:szCs w:val="18"/>
        </w:rPr>
        <w:t xml:space="preserve"> </w:t>
      </w:r>
      <w:r w:rsidRPr="007D71BD">
        <w:rPr>
          <w:rFonts w:cs="Segoe UI"/>
          <w:sz w:val="18"/>
          <w:szCs w:val="18"/>
          <w:u w:val="single"/>
        </w:rPr>
        <w:t>The Lancet Infectious Disease</w:t>
      </w:r>
      <w:r w:rsidRPr="007D71BD">
        <w:rPr>
          <w:rFonts w:cs="Segoe UI"/>
          <w:sz w:val="18"/>
          <w:szCs w:val="18"/>
        </w:rPr>
        <w:t>,</w:t>
      </w:r>
      <w:r w:rsidRPr="007D71BD">
        <w:rPr>
          <w:rFonts w:cs="Segoe UI"/>
          <w:b/>
          <w:sz w:val="18"/>
          <w:szCs w:val="18"/>
        </w:rPr>
        <w:t xml:space="preserve"> 13</w:t>
      </w:r>
      <w:r w:rsidRPr="007D71BD">
        <w:rPr>
          <w:rFonts w:cs="Segoe UI"/>
          <w:sz w:val="18"/>
          <w:szCs w:val="18"/>
        </w:rPr>
        <w:t>(4):214–222.</w:t>
      </w:r>
      <w:r w:rsidRPr="00B65740">
        <w:rPr>
          <w:rFonts w:cs="Segoe UI"/>
          <w:sz w:val="18"/>
          <w:szCs w:val="18"/>
        </w:rPr>
        <w:t xml:space="preserve"> </w:t>
      </w:r>
    </w:p>
  </w:endnote>
  <w:endnote w:id="34">
    <w:p w:rsidR="00E90473" w:rsidRPr="00B65740" w:rsidRDefault="00E90473" w:rsidP="004C6E53">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Grant, J. M., L. </w:t>
      </w:r>
      <w:proofErr w:type="spellStart"/>
      <w:r w:rsidRPr="00B65740">
        <w:rPr>
          <w:rFonts w:cs="Segoe UI"/>
          <w:sz w:val="18"/>
          <w:szCs w:val="18"/>
        </w:rPr>
        <w:t>Mottet</w:t>
      </w:r>
      <w:proofErr w:type="spellEnd"/>
      <w:r w:rsidRPr="00B65740">
        <w:rPr>
          <w:rFonts w:cs="Segoe UI"/>
          <w:sz w:val="18"/>
          <w:szCs w:val="18"/>
        </w:rPr>
        <w:t>, J. Tanis, J. Harrison, J. L. Herman</w:t>
      </w:r>
      <w:r>
        <w:rPr>
          <w:rFonts w:cs="Segoe UI"/>
          <w:sz w:val="18"/>
          <w:szCs w:val="18"/>
        </w:rPr>
        <w:t>,</w:t>
      </w:r>
      <w:r w:rsidRPr="00B65740">
        <w:rPr>
          <w:rFonts w:cs="Segoe UI"/>
          <w:sz w:val="18"/>
          <w:szCs w:val="18"/>
        </w:rPr>
        <w:t xml:space="preserve"> and M. </w:t>
      </w:r>
      <w:proofErr w:type="spellStart"/>
      <w:r w:rsidRPr="00B65740">
        <w:rPr>
          <w:rFonts w:cs="Segoe UI"/>
          <w:sz w:val="18"/>
          <w:szCs w:val="18"/>
        </w:rPr>
        <w:t>Keisling</w:t>
      </w:r>
      <w:proofErr w:type="spellEnd"/>
      <w:r w:rsidRPr="00B65740">
        <w:rPr>
          <w:rFonts w:cs="Segoe UI"/>
          <w:sz w:val="18"/>
          <w:szCs w:val="18"/>
        </w:rPr>
        <w:t xml:space="preserve">. (2011). </w:t>
      </w:r>
      <w:r w:rsidRPr="00B65740">
        <w:rPr>
          <w:rFonts w:cs="Segoe UI"/>
          <w:sz w:val="18"/>
          <w:szCs w:val="18"/>
          <w:u w:val="single"/>
        </w:rPr>
        <w:t>Injustice at every turn: a report of the National Transgender Discrimination Survey</w:t>
      </w:r>
      <w:r w:rsidRPr="00B65740">
        <w:rPr>
          <w:rFonts w:cs="Segoe UI"/>
          <w:sz w:val="18"/>
          <w:szCs w:val="18"/>
        </w:rPr>
        <w:t xml:space="preserve">. The National Gay and Lesbian Task Force and the National </w:t>
      </w:r>
      <w:proofErr w:type="spellStart"/>
      <w:r w:rsidRPr="00B65740">
        <w:rPr>
          <w:rFonts w:cs="Segoe UI"/>
          <w:sz w:val="18"/>
          <w:szCs w:val="18"/>
        </w:rPr>
        <w:t>Center</w:t>
      </w:r>
      <w:proofErr w:type="spellEnd"/>
      <w:r w:rsidRPr="00B65740">
        <w:rPr>
          <w:rFonts w:cs="Segoe UI"/>
          <w:sz w:val="18"/>
          <w:szCs w:val="18"/>
        </w:rPr>
        <w:t xml:space="preserve"> for Transgender Equality: Washington.</w:t>
      </w:r>
    </w:p>
  </w:endnote>
  <w:endnote w:id="35">
    <w:p w:rsidR="00E90473" w:rsidRPr="00B65740" w:rsidRDefault="00E90473" w:rsidP="00B430B6">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r w:rsidRPr="00B65740">
        <w:rPr>
          <w:rFonts w:cs="Segoe UI"/>
          <w:sz w:val="18"/>
          <w:szCs w:val="18"/>
          <w:lang w:val="en-AU"/>
        </w:rPr>
        <w:t>W</w:t>
      </w:r>
      <w:proofErr w:type="spellStart"/>
      <w:r w:rsidRPr="00B65740">
        <w:rPr>
          <w:rFonts w:cs="Segoe UI"/>
          <w:color w:val="1C1D1E"/>
          <w:sz w:val="18"/>
          <w:szCs w:val="18"/>
          <w:lang w:val="en"/>
        </w:rPr>
        <w:t>elsh</w:t>
      </w:r>
      <w:proofErr w:type="spellEnd"/>
      <w:r w:rsidRPr="00B65740">
        <w:rPr>
          <w:rFonts w:cs="Segoe UI"/>
          <w:color w:val="1C1D1E"/>
          <w:sz w:val="18"/>
          <w:szCs w:val="18"/>
          <w:lang w:val="en"/>
        </w:rPr>
        <w:t xml:space="preserve">, D. P., C. M. </w:t>
      </w:r>
      <w:proofErr w:type="spellStart"/>
      <w:r w:rsidRPr="00B65740">
        <w:rPr>
          <w:rFonts w:cs="Segoe UI"/>
          <w:color w:val="1C1D1E"/>
          <w:sz w:val="18"/>
          <w:szCs w:val="18"/>
          <w:lang w:val="en"/>
        </w:rPr>
        <w:t>Grello</w:t>
      </w:r>
      <w:proofErr w:type="spellEnd"/>
      <w:r>
        <w:rPr>
          <w:rFonts w:cs="Segoe UI"/>
          <w:color w:val="1C1D1E"/>
          <w:sz w:val="18"/>
          <w:szCs w:val="18"/>
          <w:lang w:val="en"/>
        </w:rPr>
        <w:t>,</w:t>
      </w:r>
      <w:r w:rsidRPr="00B65740">
        <w:rPr>
          <w:rFonts w:cs="Segoe UI"/>
          <w:color w:val="1C1D1E"/>
          <w:sz w:val="18"/>
          <w:szCs w:val="18"/>
          <w:lang w:val="en"/>
        </w:rPr>
        <w:t xml:space="preserve"> and M. S. Harper. (2006). </w:t>
      </w:r>
      <w:r>
        <w:rPr>
          <w:rFonts w:cs="Segoe UI"/>
          <w:color w:val="1C1D1E"/>
          <w:sz w:val="18"/>
          <w:szCs w:val="18"/>
          <w:lang w:val="en"/>
        </w:rPr>
        <w:t>‘</w:t>
      </w:r>
      <w:r w:rsidRPr="00B65740">
        <w:rPr>
          <w:rStyle w:val="articletitle"/>
          <w:rFonts w:cs="Segoe UI"/>
          <w:color w:val="1C1D1E"/>
          <w:sz w:val="18"/>
          <w:szCs w:val="18"/>
          <w:lang w:val="en"/>
        </w:rPr>
        <w:t>No strings attached: The nature of casual sex in college students</w:t>
      </w:r>
      <w:r w:rsidRPr="00B65740">
        <w:rPr>
          <w:rFonts w:cs="Segoe UI"/>
          <w:color w:val="1C1D1E"/>
          <w:sz w:val="18"/>
          <w:szCs w:val="18"/>
          <w:lang w:val="en"/>
        </w:rPr>
        <w:t>.</w:t>
      </w:r>
      <w:r>
        <w:rPr>
          <w:rFonts w:cs="Segoe UI"/>
          <w:color w:val="1C1D1E"/>
          <w:sz w:val="18"/>
          <w:szCs w:val="18"/>
          <w:lang w:val="en"/>
        </w:rPr>
        <w:t>’</w:t>
      </w:r>
      <w:r w:rsidRPr="00B65740">
        <w:rPr>
          <w:rFonts w:cs="Segoe UI"/>
          <w:color w:val="1C1D1E"/>
          <w:sz w:val="18"/>
          <w:szCs w:val="18"/>
          <w:lang w:val="en"/>
        </w:rPr>
        <w:t xml:space="preserve"> </w:t>
      </w:r>
      <w:r w:rsidRPr="00B65740">
        <w:rPr>
          <w:rFonts w:cs="Segoe UI"/>
          <w:iCs/>
          <w:color w:val="1C1D1E"/>
          <w:sz w:val="18"/>
          <w:szCs w:val="18"/>
          <w:u w:val="single"/>
          <w:lang w:val="en"/>
        </w:rPr>
        <w:t>Journal of Sexual Research</w:t>
      </w:r>
      <w:r w:rsidRPr="00B65740">
        <w:rPr>
          <w:rFonts w:cs="Segoe UI"/>
          <w:color w:val="1C1D1E"/>
          <w:sz w:val="18"/>
          <w:szCs w:val="18"/>
          <w:lang w:val="en"/>
        </w:rPr>
        <w:t>,</w:t>
      </w:r>
      <w:r w:rsidRPr="00B65740">
        <w:rPr>
          <w:rFonts w:cs="Segoe UI"/>
          <w:b/>
          <w:color w:val="1C1D1E"/>
          <w:sz w:val="18"/>
          <w:szCs w:val="18"/>
          <w:lang w:val="en"/>
        </w:rPr>
        <w:t xml:space="preserve"> </w:t>
      </w:r>
      <w:r w:rsidRPr="00B65740">
        <w:rPr>
          <w:rStyle w:val="vol3"/>
          <w:rFonts w:cs="Segoe UI"/>
          <w:b/>
          <w:color w:val="1C1D1E"/>
          <w:sz w:val="18"/>
          <w:szCs w:val="18"/>
          <w:lang w:val="en"/>
        </w:rPr>
        <w:t>43</w:t>
      </w:r>
      <w:r w:rsidRPr="00B65740">
        <w:rPr>
          <w:rFonts w:cs="Segoe UI"/>
          <w:color w:val="1C1D1E"/>
          <w:sz w:val="18"/>
          <w:szCs w:val="18"/>
          <w:lang w:val="en"/>
        </w:rPr>
        <w:t>(3):255–</w:t>
      </w:r>
      <w:r>
        <w:rPr>
          <w:rFonts w:cs="Segoe UI"/>
          <w:color w:val="1C1D1E"/>
          <w:sz w:val="18"/>
          <w:szCs w:val="18"/>
          <w:lang w:val="en"/>
        </w:rPr>
        <w:t>2</w:t>
      </w:r>
      <w:r w:rsidRPr="00B65740">
        <w:rPr>
          <w:rFonts w:cs="Segoe UI"/>
          <w:color w:val="1C1D1E"/>
          <w:sz w:val="18"/>
          <w:szCs w:val="18"/>
          <w:lang w:val="en"/>
        </w:rPr>
        <w:t>67.</w:t>
      </w:r>
    </w:p>
  </w:endnote>
  <w:endnote w:id="36">
    <w:p w:rsidR="00E90473" w:rsidRPr="00B65740" w:rsidRDefault="00E90473" w:rsidP="00964F75">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r w:rsidRPr="00B65740">
        <w:rPr>
          <w:rFonts w:cs="Segoe UI"/>
          <w:sz w:val="18"/>
          <w:szCs w:val="18"/>
          <w:lang w:val="en-AU"/>
        </w:rPr>
        <w:t>L</w:t>
      </w:r>
      <w:proofErr w:type="spellStart"/>
      <w:r w:rsidRPr="00B65740">
        <w:rPr>
          <w:rFonts w:cs="Segoe UI"/>
          <w:color w:val="1C1D1E"/>
          <w:sz w:val="18"/>
          <w:szCs w:val="18"/>
          <w:lang w:val="en"/>
        </w:rPr>
        <w:t>ewis</w:t>
      </w:r>
      <w:proofErr w:type="spellEnd"/>
      <w:r w:rsidRPr="00B65740">
        <w:rPr>
          <w:rFonts w:cs="Segoe UI"/>
          <w:color w:val="1C1D1E"/>
          <w:sz w:val="18"/>
          <w:szCs w:val="18"/>
          <w:lang w:val="en"/>
        </w:rPr>
        <w:t xml:space="preserve">, J. E., M. </w:t>
      </w:r>
      <w:proofErr w:type="spellStart"/>
      <w:r w:rsidRPr="00B65740">
        <w:rPr>
          <w:rFonts w:cs="Segoe UI"/>
          <w:color w:val="1C1D1E"/>
          <w:sz w:val="18"/>
          <w:szCs w:val="18"/>
          <w:lang w:val="en"/>
        </w:rPr>
        <w:t>Miguez‐Burban</w:t>
      </w:r>
      <w:proofErr w:type="spellEnd"/>
      <w:r>
        <w:rPr>
          <w:rFonts w:cs="Segoe UI"/>
          <w:color w:val="1C1D1E"/>
          <w:sz w:val="18"/>
          <w:szCs w:val="18"/>
          <w:lang w:val="en"/>
        </w:rPr>
        <w:t>,</w:t>
      </w:r>
      <w:r w:rsidRPr="00B65740">
        <w:rPr>
          <w:rFonts w:cs="Segoe UI"/>
          <w:color w:val="1C1D1E"/>
          <w:sz w:val="18"/>
          <w:szCs w:val="18"/>
          <w:lang w:val="en"/>
        </w:rPr>
        <w:t xml:space="preserve"> and R. M. </w:t>
      </w:r>
      <w:proofErr w:type="spellStart"/>
      <w:r w:rsidRPr="00B65740">
        <w:rPr>
          <w:rFonts w:cs="Segoe UI"/>
          <w:color w:val="1C1D1E"/>
          <w:sz w:val="18"/>
          <w:szCs w:val="18"/>
          <w:lang w:val="en"/>
        </w:rPr>
        <w:t>Malow</w:t>
      </w:r>
      <w:proofErr w:type="spellEnd"/>
      <w:r>
        <w:rPr>
          <w:rFonts w:cs="Segoe UI"/>
          <w:color w:val="1C1D1E"/>
          <w:sz w:val="18"/>
          <w:szCs w:val="18"/>
          <w:lang w:val="en"/>
        </w:rPr>
        <w:t>.</w:t>
      </w:r>
      <w:r w:rsidRPr="00B65740">
        <w:rPr>
          <w:rFonts w:cs="Segoe UI"/>
          <w:color w:val="1C1D1E"/>
          <w:sz w:val="18"/>
          <w:szCs w:val="18"/>
          <w:lang w:val="en"/>
        </w:rPr>
        <w:t xml:space="preserve"> (2009). </w:t>
      </w:r>
      <w:r>
        <w:rPr>
          <w:rFonts w:cs="Segoe UI"/>
          <w:color w:val="1C1D1E"/>
          <w:sz w:val="18"/>
          <w:szCs w:val="18"/>
          <w:lang w:val="en"/>
        </w:rPr>
        <w:t>‘</w:t>
      </w:r>
      <w:r w:rsidRPr="00B65740">
        <w:rPr>
          <w:rStyle w:val="articletitle"/>
          <w:rFonts w:cs="Segoe UI"/>
          <w:color w:val="1C1D1E"/>
          <w:sz w:val="18"/>
          <w:szCs w:val="18"/>
          <w:lang w:val="en"/>
        </w:rPr>
        <w:t>HIV risk behavior among college students in the United States</w:t>
      </w:r>
      <w:r w:rsidRPr="00B65740">
        <w:rPr>
          <w:rFonts w:cs="Segoe UI"/>
          <w:color w:val="1C1D1E"/>
          <w:sz w:val="18"/>
          <w:szCs w:val="18"/>
          <w:lang w:val="en"/>
        </w:rPr>
        <w:t>.</w:t>
      </w:r>
      <w:r>
        <w:rPr>
          <w:rFonts w:cs="Segoe UI"/>
          <w:color w:val="1C1D1E"/>
          <w:sz w:val="18"/>
          <w:szCs w:val="18"/>
          <w:lang w:val="en"/>
        </w:rPr>
        <w:t>’</w:t>
      </w:r>
      <w:r w:rsidRPr="00B65740">
        <w:rPr>
          <w:rFonts w:cs="Segoe UI"/>
          <w:color w:val="1C1D1E"/>
          <w:sz w:val="18"/>
          <w:szCs w:val="18"/>
          <w:lang w:val="en"/>
        </w:rPr>
        <w:t xml:space="preserve"> </w:t>
      </w:r>
      <w:r w:rsidRPr="00B65740">
        <w:rPr>
          <w:rFonts w:cs="Segoe UI"/>
          <w:iCs/>
          <w:color w:val="1C1D1E"/>
          <w:sz w:val="18"/>
          <w:szCs w:val="18"/>
          <w:u w:val="single"/>
          <w:lang w:val="en"/>
        </w:rPr>
        <w:t>College Student Journal</w:t>
      </w:r>
      <w:r w:rsidRPr="00B65740">
        <w:rPr>
          <w:rFonts w:cs="Segoe UI"/>
          <w:color w:val="1C1D1E"/>
          <w:sz w:val="18"/>
          <w:szCs w:val="18"/>
          <w:u w:val="single"/>
          <w:lang w:val="en"/>
        </w:rPr>
        <w:t>.</w:t>
      </w:r>
      <w:r w:rsidRPr="00B65740">
        <w:rPr>
          <w:rFonts w:cs="Segoe UI"/>
          <w:color w:val="1C1D1E"/>
          <w:sz w:val="18"/>
          <w:szCs w:val="18"/>
          <w:lang w:val="en"/>
        </w:rPr>
        <w:t xml:space="preserve"> </w:t>
      </w:r>
      <w:r w:rsidRPr="00B65740">
        <w:rPr>
          <w:rStyle w:val="vol3"/>
          <w:rFonts w:cs="Segoe UI"/>
          <w:b/>
          <w:color w:val="1C1D1E"/>
          <w:sz w:val="18"/>
          <w:szCs w:val="18"/>
          <w:lang w:val="en"/>
        </w:rPr>
        <w:t>42</w:t>
      </w:r>
      <w:r w:rsidRPr="00B65740">
        <w:rPr>
          <w:rFonts w:cs="Segoe UI"/>
          <w:color w:val="1C1D1E"/>
          <w:sz w:val="18"/>
          <w:szCs w:val="18"/>
          <w:lang w:val="en"/>
        </w:rPr>
        <w:t>:475–</w:t>
      </w:r>
      <w:r>
        <w:rPr>
          <w:rFonts w:cs="Segoe UI"/>
          <w:color w:val="1C1D1E"/>
          <w:sz w:val="18"/>
          <w:szCs w:val="18"/>
          <w:lang w:val="en"/>
        </w:rPr>
        <w:t>4</w:t>
      </w:r>
      <w:r w:rsidRPr="00B65740">
        <w:rPr>
          <w:rFonts w:cs="Segoe UI"/>
          <w:color w:val="1C1D1E"/>
          <w:sz w:val="18"/>
          <w:szCs w:val="18"/>
          <w:lang w:val="en"/>
        </w:rPr>
        <w:t>91.</w:t>
      </w:r>
    </w:p>
  </w:endnote>
  <w:endnote w:id="37">
    <w:p w:rsidR="00E90473" w:rsidRPr="00B65740" w:rsidRDefault="00E90473" w:rsidP="00964F75">
      <w:pPr>
        <w:pStyle w:val="EndnoteText"/>
        <w:spacing w:after="120"/>
        <w:rPr>
          <w:rFonts w:cs="Segoe UI"/>
          <w:color w:val="1C1D1E"/>
          <w:sz w:val="18"/>
          <w:szCs w:val="18"/>
          <w:lang w:val="en"/>
        </w:rPr>
      </w:pPr>
      <w:r w:rsidRPr="00B65740">
        <w:rPr>
          <w:rStyle w:val="EndnoteReference"/>
          <w:rFonts w:cs="Segoe UI"/>
          <w:sz w:val="18"/>
          <w:szCs w:val="18"/>
        </w:rPr>
        <w:endnoteRef/>
      </w:r>
      <w:r w:rsidRPr="00B65740">
        <w:rPr>
          <w:rFonts w:cs="Segoe UI"/>
          <w:color w:val="1C1D1E"/>
          <w:sz w:val="18"/>
          <w:szCs w:val="18"/>
          <w:lang w:val="en"/>
        </w:rPr>
        <w:t xml:space="preserve"> </w:t>
      </w:r>
      <w:proofErr w:type="spellStart"/>
      <w:r w:rsidRPr="00B65740">
        <w:rPr>
          <w:rFonts w:cs="Segoe UI"/>
          <w:color w:val="1C1D1E"/>
          <w:sz w:val="18"/>
          <w:szCs w:val="18"/>
          <w:lang w:val="en"/>
        </w:rPr>
        <w:t>Karam</w:t>
      </w:r>
      <w:proofErr w:type="spellEnd"/>
      <w:r w:rsidRPr="00B65740">
        <w:rPr>
          <w:rFonts w:cs="Segoe UI"/>
          <w:color w:val="1C1D1E"/>
          <w:sz w:val="18"/>
          <w:szCs w:val="18"/>
          <w:lang w:val="en"/>
        </w:rPr>
        <w:t xml:space="preserve">, E., K. </w:t>
      </w:r>
      <w:proofErr w:type="spellStart"/>
      <w:r w:rsidRPr="00B65740">
        <w:rPr>
          <w:rFonts w:cs="Segoe UI"/>
          <w:color w:val="1C1D1E"/>
          <w:sz w:val="18"/>
          <w:szCs w:val="18"/>
          <w:lang w:val="en"/>
        </w:rPr>
        <w:t>Kypri</w:t>
      </w:r>
      <w:proofErr w:type="spellEnd"/>
      <w:r>
        <w:rPr>
          <w:rFonts w:cs="Segoe UI"/>
          <w:color w:val="1C1D1E"/>
          <w:sz w:val="18"/>
          <w:szCs w:val="18"/>
          <w:lang w:val="en"/>
        </w:rPr>
        <w:t>,</w:t>
      </w:r>
      <w:r w:rsidRPr="00B65740">
        <w:rPr>
          <w:rFonts w:cs="Segoe UI"/>
          <w:color w:val="1C1D1E"/>
          <w:sz w:val="18"/>
          <w:szCs w:val="18"/>
          <w:lang w:val="en"/>
        </w:rPr>
        <w:t xml:space="preserve"> and M. </w:t>
      </w:r>
      <w:proofErr w:type="spellStart"/>
      <w:r w:rsidRPr="00B65740">
        <w:rPr>
          <w:rFonts w:cs="Segoe UI"/>
          <w:color w:val="1C1D1E"/>
          <w:sz w:val="18"/>
          <w:szCs w:val="18"/>
          <w:lang w:val="en"/>
        </w:rPr>
        <w:t>Salamoun</w:t>
      </w:r>
      <w:proofErr w:type="spellEnd"/>
      <w:r w:rsidRPr="00B65740">
        <w:rPr>
          <w:rFonts w:cs="Segoe UI"/>
          <w:color w:val="1C1D1E"/>
          <w:sz w:val="18"/>
          <w:szCs w:val="18"/>
          <w:lang w:val="en"/>
        </w:rPr>
        <w:t xml:space="preserve">. (2007). </w:t>
      </w:r>
      <w:r>
        <w:rPr>
          <w:rFonts w:cs="Segoe UI"/>
          <w:color w:val="1C1D1E"/>
          <w:sz w:val="18"/>
          <w:szCs w:val="18"/>
          <w:lang w:val="en"/>
        </w:rPr>
        <w:t>‘</w:t>
      </w:r>
      <w:r w:rsidRPr="00B65740">
        <w:rPr>
          <w:rStyle w:val="articletitle"/>
          <w:rFonts w:cs="Segoe UI"/>
          <w:color w:val="1C1D1E"/>
          <w:sz w:val="18"/>
          <w:szCs w:val="18"/>
          <w:lang w:val="en"/>
        </w:rPr>
        <w:t xml:space="preserve">Alcohol use among college students: </w:t>
      </w:r>
      <w:r>
        <w:rPr>
          <w:rStyle w:val="articletitle"/>
          <w:rFonts w:cs="Segoe UI"/>
          <w:color w:val="1C1D1E"/>
          <w:sz w:val="18"/>
          <w:szCs w:val="18"/>
          <w:lang w:val="en"/>
        </w:rPr>
        <w:t>a</w:t>
      </w:r>
      <w:r w:rsidRPr="00B65740">
        <w:rPr>
          <w:rStyle w:val="articletitle"/>
          <w:rFonts w:cs="Segoe UI"/>
          <w:color w:val="1C1D1E"/>
          <w:sz w:val="18"/>
          <w:szCs w:val="18"/>
          <w:lang w:val="en"/>
        </w:rPr>
        <w:t>n international perspective</w:t>
      </w:r>
      <w:r w:rsidRPr="00B65740">
        <w:rPr>
          <w:rFonts w:cs="Segoe UI"/>
          <w:color w:val="1C1D1E"/>
          <w:sz w:val="18"/>
          <w:szCs w:val="18"/>
          <w:lang w:val="en"/>
        </w:rPr>
        <w:t>.</w:t>
      </w:r>
      <w:r>
        <w:rPr>
          <w:rFonts w:cs="Segoe UI"/>
          <w:color w:val="1C1D1E"/>
          <w:sz w:val="18"/>
          <w:szCs w:val="18"/>
          <w:lang w:val="en"/>
        </w:rPr>
        <w:t>’</w:t>
      </w:r>
      <w:r w:rsidRPr="00B65740">
        <w:rPr>
          <w:rFonts w:cs="Segoe UI"/>
          <w:color w:val="1C1D1E"/>
          <w:sz w:val="18"/>
          <w:szCs w:val="18"/>
          <w:lang w:val="en"/>
        </w:rPr>
        <w:t xml:space="preserve"> </w:t>
      </w:r>
      <w:r w:rsidRPr="00F537E8">
        <w:rPr>
          <w:rFonts w:cs="Segoe UI"/>
          <w:iCs/>
          <w:color w:val="1C1D1E"/>
          <w:sz w:val="18"/>
          <w:szCs w:val="18"/>
          <w:u w:val="single"/>
          <w:lang w:val="en"/>
        </w:rPr>
        <w:t>Current Opinion in Psychology</w:t>
      </w:r>
      <w:r w:rsidRPr="00B65740">
        <w:rPr>
          <w:rFonts w:cs="Segoe UI"/>
          <w:color w:val="1C1D1E"/>
          <w:sz w:val="18"/>
          <w:szCs w:val="18"/>
          <w:lang w:val="en"/>
        </w:rPr>
        <w:t xml:space="preserve">, </w:t>
      </w:r>
      <w:r w:rsidRPr="00B65740">
        <w:rPr>
          <w:rStyle w:val="vol3"/>
          <w:rFonts w:cs="Segoe UI"/>
          <w:b/>
          <w:color w:val="1C1D1E"/>
          <w:sz w:val="18"/>
          <w:szCs w:val="18"/>
          <w:lang w:val="en"/>
        </w:rPr>
        <w:t>20</w:t>
      </w:r>
      <w:r w:rsidRPr="00B65740">
        <w:rPr>
          <w:rFonts w:cs="Segoe UI"/>
          <w:color w:val="1C1D1E"/>
          <w:sz w:val="18"/>
          <w:szCs w:val="18"/>
          <w:lang w:val="en"/>
        </w:rPr>
        <w:t>(3):213–</w:t>
      </w:r>
      <w:r>
        <w:rPr>
          <w:rFonts w:cs="Segoe UI"/>
          <w:color w:val="1C1D1E"/>
          <w:sz w:val="18"/>
          <w:szCs w:val="18"/>
          <w:lang w:val="en"/>
        </w:rPr>
        <w:t>2</w:t>
      </w:r>
      <w:r w:rsidRPr="00B65740">
        <w:rPr>
          <w:rFonts w:cs="Segoe UI"/>
          <w:color w:val="1C1D1E"/>
          <w:sz w:val="18"/>
          <w:szCs w:val="18"/>
          <w:lang w:val="en"/>
        </w:rPr>
        <w:t>21.</w:t>
      </w:r>
    </w:p>
  </w:endnote>
  <w:endnote w:id="38">
    <w:p w:rsidR="00E90473" w:rsidRPr="00B65740" w:rsidRDefault="00E90473" w:rsidP="00964F75">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color w:val="1C1D1E"/>
          <w:sz w:val="18"/>
          <w:szCs w:val="18"/>
          <w:lang w:val="en"/>
        </w:rPr>
        <w:t xml:space="preserve"> </w:t>
      </w:r>
      <w:proofErr w:type="spellStart"/>
      <w:r w:rsidRPr="00B65740">
        <w:rPr>
          <w:rFonts w:cs="Segoe UI"/>
          <w:color w:val="1C1D1E"/>
          <w:sz w:val="18"/>
          <w:szCs w:val="18"/>
          <w:lang w:val="en"/>
        </w:rPr>
        <w:t>Kypri</w:t>
      </w:r>
      <w:proofErr w:type="spellEnd"/>
      <w:r w:rsidRPr="00B65740">
        <w:rPr>
          <w:rFonts w:cs="Segoe UI"/>
          <w:color w:val="1C1D1E"/>
          <w:sz w:val="18"/>
          <w:szCs w:val="18"/>
          <w:lang w:val="en"/>
        </w:rPr>
        <w:t>, K., J. D. Langley, R. McGee, J. R. Saunders</w:t>
      </w:r>
      <w:r>
        <w:rPr>
          <w:rFonts w:cs="Segoe UI"/>
          <w:color w:val="1C1D1E"/>
          <w:sz w:val="18"/>
          <w:szCs w:val="18"/>
          <w:lang w:val="en"/>
        </w:rPr>
        <w:t>,</w:t>
      </w:r>
      <w:r w:rsidRPr="00B65740">
        <w:rPr>
          <w:rFonts w:cs="Segoe UI"/>
          <w:color w:val="1C1D1E"/>
          <w:sz w:val="18"/>
          <w:szCs w:val="18"/>
          <w:lang w:val="en"/>
        </w:rPr>
        <w:t xml:space="preserve"> and S. Williams. (2002). </w:t>
      </w:r>
      <w:r>
        <w:rPr>
          <w:rFonts w:cs="Segoe UI"/>
          <w:color w:val="1C1D1E"/>
          <w:sz w:val="18"/>
          <w:szCs w:val="18"/>
          <w:lang w:val="en"/>
        </w:rPr>
        <w:t>‘</w:t>
      </w:r>
      <w:r w:rsidRPr="00B65740">
        <w:rPr>
          <w:rStyle w:val="articletitle"/>
          <w:rFonts w:cs="Segoe UI"/>
          <w:color w:val="1C1D1E"/>
          <w:sz w:val="18"/>
          <w:szCs w:val="18"/>
          <w:lang w:val="en"/>
        </w:rPr>
        <w:t>High prevalence, persistent hazardous drinking among New Zealand tertiary students</w:t>
      </w:r>
      <w:r w:rsidRPr="00B65740">
        <w:rPr>
          <w:rFonts w:cs="Segoe UI"/>
          <w:color w:val="1C1D1E"/>
          <w:sz w:val="18"/>
          <w:szCs w:val="18"/>
          <w:lang w:val="en"/>
        </w:rPr>
        <w:t>.</w:t>
      </w:r>
      <w:r w:rsidRPr="00541006">
        <w:rPr>
          <w:rFonts w:cs="Segoe UI"/>
          <w:color w:val="1C1D1E"/>
          <w:sz w:val="18"/>
          <w:szCs w:val="18"/>
          <w:lang w:val="en"/>
        </w:rPr>
        <w:t xml:space="preserve">’ </w:t>
      </w:r>
      <w:r w:rsidRPr="00541006">
        <w:rPr>
          <w:rFonts w:cs="Segoe UI"/>
          <w:iCs/>
          <w:color w:val="1C1D1E"/>
          <w:sz w:val="18"/>
          <w:szCs w:val="18"/>
          <w:u w:val="single"/>
          <w:lang w:val="en"/>
        </w:rPr>
        <w:t xml:space="preserve">Alcohol </w:t>
      </w:r>
      <w:proofErr w:type="spellStart"/>
      <w:r w:rsidRPr="00541006">
        <w:rPr>
          <w:rFonts w:cs="Segoe UI"/>
          <w:iCs/>
          <w:color w:val="1C1D1E"/>
          <w:sz w:val="18"/>
          <w:szCs w:val="18"/>
          <w:u w:val="single"/>
          <w:lang w:val="en"/>
        </w:rPr>
        <w:t>Alcohol</w:t>
      </w:r>
      <w:proofErr w:type="spellEnd"/>
      <w:r w:rsidRPr="00B65740">
        <w:rPr>
          <w:rFonts w:cs="Segoe UI"/>
          <w:color w:val="1C1D1E"/>
          <w:sz w:val="18"/>
          <w:szCs w:val="18"/>
          <w:u w:val="single"/>
          <w:lang w:val="en"/>
        </w:rPr>
        <w:t xml:space="preserve">, </w:t>
      </w:r>
      <w:r w:rsidRPr="00B65740">
        <w:rPr>
          <w:rStyle w:val="vol3"/>
          <w:rFonts w:cs="Segoe UI"/>
          <w:b/>
          <w:color w:val="1C1D1E"/>
          <w:sz w:val="18"/>
          <w:szCs w:val="18"/>
          <w:lang w:val="en"/>
        </w:rPr>
        <w:t>37</w:t>
      </w:r>
      <w:r w:rsidRPr="00B65740">
        <w:rPr>
          <w:rFonts w:cs="Segoe UI"/>
          <w:color w:val="1C1D1E"/>
          <w:sz w:val="18"/>
          <w:szCs w:val="18"/>
          <w:lang w:val="en"/>
        </w:rPr>
        <w:t>(5):457–</w:t>
      </w:r>
      <w:r>
        <w:rPr>
          <w:rFonts w:cs="Segoe UI"/>
          <w:color w:val="1C1D1E"/>
          <w:sz w:val="18"/>
          <w:szCs w:val="18"/>
          <w:lang w:val="en"/>
        </w:rPr>
        <w:t>4</w:t>
      </w:r>
      <w:r w:rsidRPr="00B65740">
        <w:rPr>
          <w:rFonts w:cs="Segoe UI"/>
          <w:color w:val="1C1D1E"/>
          <w:sz w:val="18"/>
          <w:szCs w:val="18"/>
          <w:lang w:val="en"/>
        </w:rPr>
        <w:t>64</w:t>
      </w:r>
      <w:r w:rsidR="00541006">
        <w:rPr>
          <w:rFonts w:cs="Segoe UI"/>
          <w:color w:val="1C1D1E"/>
          <w:sz w:val="18"/>
          <w:szCs w:val="18"/>
          <w:lang w:val="en"/>
        </w:rPr>
        <w:t>.</w:t>
      </w:r>
    </w:p>
  </w:endnote>
  <w:endnote w:id="39">
    <w:p w:rsidR="00E90473" w:rsidRPr="00B65740" w:rsidRDefault="00E90473" w:rsidP="0018231C">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r w:rsidRPr="00B65740">
        <w:rPr>
          <w:rFonts w:cs="Segoe UI"/>
          <w:sz w:val="18"/>
          <w:szCs w:val="18"/>
          <w:lang w:val="en-AU"/>
        </w:rPr>
        <w:t xml:space="preserve">Denison, H. K., C. </w:t>
      </w:r>
      <w:proofErr w:type="spellStart"/>
      <w:r w:rsidRPr="00B65740">
        <w:rPr>
          <w:rFonts w:cs="Segoe UI"/>
          <w:sz w:val="18"/>
          <w:szCs w:val="18"/>
          <w:lang w:val="en-AU"/>
        </w:rPr>
        <w:t>Bromhead</w:t>
      </w:r>
      <w:proofErr w:type="spellEnd"/>
      <w:r w:rsidRPr="00B65740">
        <w:rPr>
          <w:rFonts w:cs="Segoe UI"/>
          <w:sz w:val="18"/>
          <w:szCs w:val="18"/>
          <w:lang w:val="en-AU"/>
        </w:rPr>
        <w:t>, R. Grainger, E. M. Dennison</w:t>
      </w:r>
      <w:r>
        <w:rPr>
          <w:rFonts w:cs="Segoe UI"/>
          <w:sz w:val="18"/>
          <w:szCs w:val="18"/>
          <w:lang w:val="en-AU"/>
        </w:rPr>
        <w:t>,</w:t>
      </w:r>
      <w:r w:rsidRPr="00B65740">
        <w:rPr>
          <w:rFonts w:cs="Segoe UI"/>
          <w:sz w:val="18"/>
          <w:szCs w:val="18"/>
          <w:lang w:val="en-AU"/>
        </w:rPr>
        <w:t xml:space="preserve"> and A. </w:t>
      </w:r>
      <w:proofErr w:type="spellStart"/>
      <w:r w:rsidRPr="00B65740">
        <w:rPr>
          <w:rFonts w:cs="Segoe UI"/>
          <w:sz w:val="18"/>
          <w:szCs w:val="18"/>
          <w:lang w:val="en-AU"/>
        </w:rPr>
        <w:t>Jutel</w:t>
      </w:r>
      <w:proofErr w:type="spellEnd"/>
      <w:r w:rsidRPr="00B65740">
        <w:rPr>
          <w:rFonts w:cs="Segoe UI"/>
          <w:sz w:val="18"/>
          <w:szCs w:val="18"/>
          <w:lang w:val="en-AU"/>
        </w:rPr>
        <w:t xml:space="preserve">. </w:t>
      </w:r>
      <w:r>
        <w:rPr>
          <w:rFonts w:cs="Segoe UI"/>
          <w:sz w:val="18"/>
          <w:szCs w:val="18"/>
          <w:lang w:val="en-AU"/>
        </w:rPr>
        <w:t>(</w:t>
      </w:r>
      <w:r w:rsidRPr="00B65740">
        <w:rPr>
          <w:rFonts w:cs="Segoe UI"/>
          <w:sz w:val="18"/>
          <w:szCs w:val="18"/>
          <w:lang w:val="en-AU"/>
        </w:rPr>
        <w:t>2016</w:t>
      </w:r>
      <w:r>
        <w:rPr>
          <w:rFonts w:cs="Segoe UI"/>
          <w:sz w:val="18"/>
          <w:szCs w:val="18"/>
          <w:lang w:val="en-AU"/>
        </w:rPr>
        <w:t>)</w:t>
      </w:r>
      <w:r w:rsidRPr="00B65740">
        <w:rPr>
          <w:rFonts w:cs="Segoe UI"/>
          <w:sz w:val="18"/>
          <w:szCs w:val="18"/>
          <w:lang w:val="en-AU"/>
        </w:rPr>
        <w:t xml:space="preserve">. </w:t>
      </w:r>
      <w:r>
        <w:rPr>
          <w:rFonts w:cs="Segoe UI"/>
          <w:sz w:val="18"/>
          <w:szCs w:val="18"/>
          <w:lang w:val="en-AU"/>
        </w:rPr>
        <w:t>‘</w:t>
      </w:r>
      <w:r w:rsidRPr="00B65740">
        <w:rPr>
          <w:rFonts w:cs="Segoe UI"/>
          <w:sz w:val="18"/>
          <w:szCs w:val="18"/>
          <w:lang w:val="en-AU"/>
        </w:rPr>
        <w:t>Barriers to sexually transmitted infection testing in New Zealand: a qualitative study.</w:t>
      </w:r>
      <w:r>
        <w:rPr>
          <w:rFonts w:cs="Segoe UI"/>
          <w:sz w:val="18"/>
          <w:szCs w:val="18"/>
          <w:lang w:val="en-AU"/>
        </w:rPr>
        <w:t>’</w:t>
      </w:r>
      <w:r w:rsidRPr="00B65740">
        <w:rPr>
          <w:rFonts w:cs="Segoe UI"/>
          <w:sz w:val="18"/>
          <w:szCs w:val="18"/>
          <w:lang w:val="en-AU"/>
        </w:rPr>
        <w:t xml:space="preserve"> </w:t>
      </w:r>
      <w:r w:rsidRPr="00B65740">
        <w:rPr>
          <w:rFonts w:cs="Segoe UI"/>
          <w:sz w:val="18"/>
          <w:szCs w:val="18"/>
          <w:u w:val="single"/>
          <w:lang w:val="en-AU"/>
        </w:rPr>
        <w:t>Australian and New Zealand Journal of Public Health</w:t>
      </w:r>
      <w:r w:rsidRPr="00B65740">
        <w:rPr>
          <w:rFonts w:cs="Segoe UI"/>
          <w:sz w:val="18"/>
          <w:szCs w:val="18"/>
          <w:lang w:val="en-AU"/>
        </w:rPr>
        <w:t xml:space="preserve">, </w:t>
      </w:r>
      <w:r w:rsidRPr="00B65740">
        <w:rPr>
          <w:rFonts w:cs="Segoe UI"/>
          <w:b/>
          <w:sz w:val="18"/>
          <w:szCs w:val="18"/>
          <w:lang w:val="en-AU"/>
        </w:rPr>
        <w:t>41</w:t>
      </w:r>
      <w:r w:rsidRPr="00B65740">
        <w:rPr>
          <w:rFonts w:cs="Segoe UI"/>
          <w:sz w:val="18"/>
          <w:szCs w:val="18"/>
          <w:lang w:val="en-AU"/>
        </w:rPr>
        <w:t>(4):432</w:t>
      </w:r>
      <w:r>
        <w:rPr>
          <w:rFonts w:cs="Segoe UI"/>
          <w:sz w:val="18"/>
          <w:szCs w:val="18"/>
          <w:lang w:val="en-AU"/>
        </w:rPr>
        <w:t>–43</w:t>
      </w:r>
      <w:r w:rsidRPr="00B65740">
        <w:rPr>
          <w:rFonts w:cs="Segoe UI"/>
          <w:sz w:val="18"/>
          <w:szCs w:val="18"/>
          <w:lang w:val="en-AU"/>
        </w:rPr>
        <w:t>7.</w:t>
      </w:r>
    </w:p>
  </w:endnote>
  <w:endnote w:id="40">
    <w:p w:rsidR="00E90473" w:rsidRPr="00B65740" w:rsidRDefault="00E90473" w:rsidP="0078482B">
      <w:pPr>
        <w:pStyle w:val="EndnoteText"/>
        <w:spacing w:after="120"/>
        <w:rPr>
          <w:rFonts w:cs="Segoe UI"/>
          <w:sz w:val="18"/>
          <w:szCs w:val="18"/>
        </w:rPr>
      </w:pPr>
      <w:r w:rsidRPr="00B65740">
        <w:rPr>
          <w:rStyle w:val="EndnoteReference"/>
          <w:rFonts w:cs="Segoe UI"/>
          <w:sz w:val="18"/>
          <w:szCs w:val="18"/>
        </w:rPr>
        <w:endnoteRef/>
      </w:r>
      <w:r>
        <w:rPr>
          <w:rFonts w:cs="Segoe UI"/>
          <w:sz w:val="18"/>
          <w:szCs w:val="18"/>
          <w:lang w:val="en-AU"/>
        </w:rPr>
        <w:t xml:space="preserve"> </w:t>
      </w:r>
      <w:proofErr w:type="spellStart"/>
      <w:r w:rsidRPr="00B65740">
        <w:rPr>
          <w:rFonts w:cs="Segoe UI"/>
          <w:sz w:val="18"/>
          <w:szCs w:val="18"/>
        </w:rPr>
        <w:t>Einsiedel</w:t>
      </w:r>
      <w:proofErr w:type="spellEnd"/>
      <w:r w:rsidRPr="00B65740">
        <w:rPr>
          <w:rFonts w:cs="Segoe UI"/>
          <w:sz w:val="18"/>
          <w:szCs w:val="18"/>
          <w:lang w:val="en-AU"/>
        </w:rPr>
        <w:t xml:space="preserve">, </w:t>
      </w:r>
      <w:r w:rsidRPr="00B65740">
        <w:rPr>
          <w:rFonts w:cs="Segoe UI"/>
          <w:sz w:val="18"/>
          <w:szCs w:val="18"/>
        </w:rPr>
        <w:t>L</w:t>
      </w:r>
      <w:r w:rsidRPr="00B65740">
        <w:rPr>
          <w:rFonts w:cs="Segoe UI"/>
          <w:sz w:val="18"/>
          <w:szCs w:val="18"/>
          <w:lang w:val="en-AU"/>
        </w:rPr>
        <w:t>.</w:t>
      </w:r>
      <w:r w:rsidRPr="00B65740">
        <w:rPr>
          <w:rFonts w:cs="Segoe UI"/>
          <w:sz w:val="18"/>
          <w:szCs w:val="18"/>
        </w:rPr>
        <w:t xml:space="preserve">, </w:t>
      </w:r>
      <w:r w:rsidRPr="00B65740">
        <w:rPr>
          <w:rFonts w:cs="Segoe UI"/>
          <w:sz w:val="18"/>
          <w:szCs w:val="18"/>
          <w:lang w:val="en-AU"/>
        </w:rPr>
        <w:t xml:space="preserve">R. J. </w:t>
      </w:r>
      <w:r w:rsidRPr="00B65740">
        <w:rPr>
          <w:rFonts w:cs="Segoe UI"/>
          <w:sz w:val="18"/>
          <w:szCs w:val="18"/>
        </w:rPr>
        <w:t xml:space="preserve">Woodman, </w:t>
      </w:r>
      <w:r w:rsidRPr="00B65740">
        <w:rPr>
          <w:rFonts w:cs="Segoe UI"/>
          <w:sz w:val="18"/>
          <w:szCs w:val="18"/>
          <w:lang w:val="en-AU"/>
        </w:rPr>
        <w:t xml:space="preserve">M. </w:t>
      </w:r>
      <w:r w:rsidRPr="00B65740">
        <w:rPr>
          <w:rFonts w:cs="Segoe UI"/>
          <w:sz w:val="18"/>
          <w:szCs w:val="18"/>
        </w:rPr>
        <w:t xml:space="preserve">Flynn, </w:t>
      </w:r>
      <w:r w:rsidRPr="00B65740">
        <w:rPr>
          <w:rFonts w:cs="Segoe UI"/>
          <w:sz w:val="18"/>
          <w:szCs w:val="18"/>
          <w:lang w:val="en-AU"/>
        </w:rPr>
        <w:t xml:space="preserve">K. </w:t>
      </w:r>
      <w:r w:rsidRPr="00B65740">
        <w:rPr>
          <w:rFonts w:cs="Segoe UI"/>
          <w:sz w:val="18"/>
          <w:szCs w:val="18"/>
        </w:rPr>
        <w:t>Wilson</w:t>
      </w:r>
      <w:r>
        <w:rPr>
          <w:rFonts w:cs="Segoe UI"/>
          <w:sz w:val="18"/>
          <w:szCs w:val="18"/>
        </w:rPr>
        <w:t>,</w:t>
      </w:r>
      <w:r w:rsidRPr="00B65740">
        <w:rPr>
          <w:rFonts w:cs="Segoe UI"/>
          <w:sz w:val="18"/>
          <w:szCs w:val="18"/>
          <w:lang w:val="en-AU"/>
        </w:rPr>
        <w:t xml:space="preserve"> and</w:t>
      </w:r>
      <w:r w:rsidRPr="00B65740">
        <w:rPr>
          <w:rFonts w:cs="Segoe UI"/>
          <w:sz w:val="18"/>
          <w:szCs w:val="18"/>
        </w:rPr>
        <w:t xml:space="preserve"> </w:t>
      </w:r>
      <w:r w:rsidRPr="00B65740">
        <w:rPr>
          <w:rFonts w:cs="Segoe UI"/>
          <w:sz w:val="18"/>
          <w:szCs w:val="18"/>
          <w:lang w:val="en-AU"/>
        </w:rPr>
        <w:t xml:space="preserve">G. A. </w:t>
      </w:r>
      <w:proofErr w:type="spellStart"/>
      <w:r w:rsidRPr="00B65740">
        <w:rPr>
          <w:rFonts w:cs="Segoe UI"/>
          <w:sz w:val="18"/>
          <w:szCs w:val="18"/>
        </w:rPr>
        <w:t>Cassar</w:t>
      </w:r>
      <w:proofErr w:type="spellEnd"/>
      <w:r w:rsidRPr="00B65740">
        <w:rPr>
          <w:rFonts w:cs="Segoe UI"/>
          <w:sz w:val="18"/>
          <w:szCs w:val="18"/>
        </w:rPr>
        <w:t>.</w:t>
      </w:r>
      <w:r w:rsidRPr="00B65740">
        <w:rPr>
          <w:rFonts w:cs="Segoe UI"/>
          <w:sz w:val="18"/>
          <w:szCs w:val="18"/>
          <w:lang w:val="en-AU"/>
        </w:rPr>
        <w:t xml:space="preserve"> (2016).</w:t>
      </w:r>
      <w:r w:rsidRPr="00B65740">
        <w:rPr>
          <w:rFonts w:cs="Segoe UI"/>
          <w:sz w:val="18"/>
          <w:szCs w:val="18"/>
        </w:rPr>
        <w:t xml:space="preserve"> </w:t>
      </w:r>
      <w:r>
        <w:rPr>
          <w:rFonts w:cs="Segoe UI"/>
          <w:sz w:val="18"/>
          <w:szCs w:val="18"/>
        </w:rPr>
        <w:t>‘</w:t>
      </w:r>
      <w:r w:rsidRPr="00B65740">
        <w:rPr>
          <w:rFonts w:cs="Segoe UI"/>
          <w:sz w:val="18"/>
          <w:szCs w:val="18"/>
        </w:rPr>
        <w:t>Human T-</w:t>
      </w:r>
      <w:proofErr w:type="spellStart"/>
      <w:r w:rsidRPr="00B65740">
        <w:rPr>
          <w:rFonts w:cs="Segoe UI"/>
          <w:sz w:val="18"/>
          <w:szCs w:val="18"/>
        </w:rPr>
        <w:t>Lymphotropic</w:t>
      </w:r>
      <w:proofErr w:type="spellEnd"/>
      <w:r w:rsidRPr="00B65740">
        <w:rPr>
          <w:rFonts w:cs="Segoe UI"/>
          <w:sz w:val="18"/>
          <w:szCs w:val="18"/>
        </w:rPr>
        <w:t xml:space="preserve"> Virus type 1 infection in an Indigenous Australian population: epidemiological insights from a hospital-based cohort study.</w:t>
      </w:r>
      <w:r>
        <w:rPr>
          <w:rFonts w:cs="Segoe UI"/>
          <w:sz w:val="18"/>
          <w:szCs w:val="18"/>
        </w:rPr>
        <w:t>’</w:t>
      </w:r>
      <w:r w:rsidRPr="00B65740">
        <w:rPr>
          <w:rFonts w:cs="Segoe UI"/>
          <w:sz w:val="18"/>
          <w:szCs w:val="18"/>
        </w:rPr>
        <w:t xml:space="preserve"> </w:t>
      </w:r>
      <w:r w:rsidRPr="00B65740">
        <w:rPr>
          <w:rFonts w:cs="Segoe UI"/>
          <w:sz w:val="18"/>
          <w:szCs w:val="18"/>
          <w:u w:val="single"/>
        </w:rPr>
        <w:t>BMC</w:t>
      </w:r>
      <w:r w:rsidRPr="00B65740">
        <w:rPr>
          <w:rFonts w:cs="Segoe UI"/>
          <w:sz w:val="18"/>
          <w:szCs w:val="18"/>
          <w:u w:val="single"/>
          <w:lang w:val="en-AU"/>
        </w:rPr>
        <w:t> </w:t>
      </w:r>
      <w:r w:rsidRPr="00B65740">
        <w:rPr>
          <w:rFonts w:cs="Segoe UI"/>
          <w:sz w:val="18"/>
          <w:szCs w:val="18"/>
          <w:u w:val="single"/>
        </w:rPr>
        <w:t>Public</w:t>
      </w:r>
      <w:r w:rsidRPr="00B65740">
        <w:rPr>
          <w:rFonts w:cs="Segoe UI"/>
          <w:sz w:val="18"/>
          <w:szCs w:val="18"/>
          <w:u w:val="single"/>
          <w:lang w:val="en-AU"/>
        </w:rPr>
        <w:t> </w:t>
      </w:r>
      <w:r w:rsidRPr="00B65740">
        <w:rPr>
          <w:rFonts w:cs="Segoe UI"/>
          <w:sz w:val="18"/>
          <w:szCs w:val="18"/>
          <w:u w:val="single"/>
        </w:rPr>
        <w:t>Health</w:t>
      </w:r>
      <w:r w:rsidRPr="00B65740">
        <w:rPr>
          <w:rFonts w:cs="Segoe UI"/>
          <w:sz w:val="18"/>
          <w:szCs w:val="18"/>
        </w:rPr>
        <w:t>, </w:t>
      </w:r>
      <w:r w:rsidRPr="00B65740">
        <w:rPr>
          <w:rFonts w:cs="Segoe UI"/>
          <w:b/>
          <w:sz w:val="18"/>
          <w:szCs w:val="18"/>
        </w:rPr>
        <w:t>16</w:t>
      </w:r>
      <w:r w:rsidRPr="00B65740">
        <w:rPr>
          <w:rFonts w:cs="Segoe UI"/>
          <w:sz w:val="18"/>
          <w:szCs w:val="18"/>
        </w:rPr>
        <w:t xml:space="preserve">:787. </w:t>
      </w:r>
    </w:p>
  </w:endnote>
  <w:endnote w:id="41">
    <w:p w:rsidR="00E90473" w:rsidRPr="00B65740" w:rsidRDefault="00E90473" w:rsidP="00C97EC4">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r w:rsidRPr="00B65740">
        <w:rPr>
          <w:rFonts w:cs="Segoe UI"/>
          <w:sz w:val="18"/>
          <w:szCs w:val="18"/>
          <w:lang w:val="en-AU"/>
        </w:rPr>
        <w:t xml:space="preserve">Australasian Society for HIV, Viral Hepatitis and Sexual Health Medicine. (2016). </w:t>
      </w:r>
      <w:r w:rsidRPr="00B65740">
        <w:rPr>
          <w:rFonts w:cs="Segoe UI"/>
          <w:sz w:val="18"/>
          <w:szCs w:val="18"/>
          <w:u w:val="single"/>
          <w:lang w:val="en-AU"/>
        </w:rPr>
        <w:t>Australian STI Management Guidelines for use in Primary Care: MSM</w:t>
      </w:r>
      <w:r>
        <w:rPr>
          <w:rFonts w:cs="Segoe UI"/>
          <w:sz w:val="18"/>
          <w:szCs w:val="18"/>
          <w:u w:val="single"/>
          <w:lang w:val="en-AU"/>
        </w:rPr>
        <w:t>—</w:t>
      </w:r>
      <w:r w:rsidRPr="00B65740">
        <w:rPr>
          <w:rFonts w:cs="Segoe UI"/>
          <w:sz w:val="18"/>
          <w:szCs w:val="18"/>
          <w:u w:val="single"/>
          <w:lang w:val="en-AU"/>
        </w:rPr>
        <w:t>men who have sex with men</w:t>
      </w:r>
      <w:r w:rsidRPr="00B65740">
        <w:rPr>
          <w:rFonts w:cs="Segoe UI"/>
          <w:sz w:val="18"/>
          <w:szCs w:val="18"/>
          <w:lang w:val="en-AU"/>
        </w:rPr>
        <w:t>. Accessed 1 May 2018 at</w:t>
      </w:r>
      <w:r>
        <w:rPr>
          <w:rFonts w:cs="Segoe UI"/>
          <w:sz w:val="18"/>
          <w:szCs w:val="18"/>
          <w:lang w:val="en-AU"/>
        </w:rPr>
        <w:t>:</w:t>
      </w:r>
      <w:r w:rsidRPr="00B65740">
        <w:rPr>
          <w:rFonts w:cs="Segoe UI"/>
          <w:sz w:val="18"/>
          <w:szCs w:val="18"/>
          <w:lang w:val="en-AU"/>
        </w:rPr>
        <w:t xml:space="preserve"> </w:t>
      </w:r>
      <w:hyperlink r:id="rId11" w:tooltip="ASHM" w:history="1">
        <w:r w:rsidRPr="00B65740">
          <w:rPr>
            <w:rStyle w:val="Hyperlink"/>
            <w:rFonts w:cs="Segoe UI"/>
            <w:sz w:val="18"/>
            <w:szCs w:val="18"/>
          </w:rPr>
          <w:t>http://www.sti.guidelines.org.au/populations-and-situations/msm</w:t>
        </w:r>
      </w:hyperlink>
      <w:r w:rsidRPr="00B65740">
        <w:rPr>
          <w:rFonts w:cs="Segoe UI"/>
          <w:sz w:val="18"/>
          <w:szCs w:val="18"/>
          <w:lang w:val="en-AU"/>
        </w:rPr>
        <w:t xml:space="preserve"> </w:t>
      </w:r>
    </w:p>
  </w:endnote>
  <w:endnote w:id="42">
    <w:p w:rsidR="00E90473" w:rsidRPr="00B65740" w:rsidRDefault="00E90473" w:rsidP="00C97EC4">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r w:rsidRPr="00B65740">
        <w:rPr>
          <w:rFonts w:cs="Segoe UI"/>
          <w:sz w:val="18"/>
          <w:szCs w:val="18"/>
          <w:lang w:val="en-AU"/>
        </w:rPr>
        <w:t>Health Victoria. (2017).</w:t>
      </w:r>
      <w:r w:rsidRPr="00B65740">
        <w:rPr>
          <w:rFonts w:cs="Segoe UI"/>
          <w:sz w:val="18"/>
          <w:szCs w:val="18"/>
          <w:u w:val="single"/>
          <w:lang w:val="en-AU"/>
        </w:rPr>
        <w:t xml:space="preserve"> Increase in syphilis and gonorrhoea in men who sex with men (MSM)</w:t>
      </w:r>
      <w:r>
        <w:rPr>
          <w:rFonts w:cs="Segoe UI"/>
          <w:sz w:val="18"/>
          <w:szCs w:val="18"/>
          <w:u w:val="single"/>
          <w:lang w:val="en-AU"/>
        </w:rPr>
        <w:t>—</w:t>
      </w:r>
      <w:r w:rsidRPr="00B65740">
        <w:rPr>
          <w:rFonts w:cs="Segoe UI"/>
          <w:sz w:val="18"/>
          <w:szCs w:val="18"/>
          <w:u w:val="single"/>
          <w:lang w:val="en-AU"/>
        </w:rPr>
        <w:t>update to advisory issued 7 December</w:t>
      </w:r>
      <w:r>
        <w:rPr>
          <w:rFonts w:cs="Segoe UI"/>
          <w:sz w:val="18"/>
          <w:szCs w:val="18"/>
          <w:lang w:val="en-AU"/>
        </w:rPr>
        <w:t>.</w:t>
      </w:r>
      <w:r w:rsidRPr="00B65740">
        <w:rPr>
          <w:rFonts w:cs="Segoe UI"/>
          <w:sz w:val="18"/>
          <w:szCs w:val="18"/>
          <w:lang w:val="en-AU"/>
        </w:rPr>
        <w:t xml:space="preserve"> Health advisory #170005</w:t>
      </w:r>
      <w:r>
        <w:rPr>
          <w:rFonts w:cs="Segoe UI"/>
          <w:sz w:val="18"/>
          <w:szCs w:val="18"/>
          <w:lang w:val="en-AU"/>
        </w:rPr>
        <w:t>.</w:t>
      </w:r>
      <w:r w:rsidRPr="00B65740">
        <w:rPr>
          <w:rFonts w:cs="Segoe UI"/>
          <w:sz w:val="18"/>
          <w:szCs w:val="18"/>
          <w:lang w:val="en-AU"/>
        </w:rPr>
        <w:t xml:space="preserve"> Accessed 1 May 2018 at</w:t>
      </w:r>
      <w:r>
        <w:rPr>
          <w:rFonts w:cs="Segoe UI"/>
          <w:sz w:val="18"/>
          <w:szCs w:val="18"/>
          <w:lang w:val="en-AU"/>
        </w:rPr>
        <w:t>:</w:t>
      </w:r>
      <w:r w:rsidRPr="00B65740">
        <w:rPr>
          <w:rFonts w:cs="Segoe UI"/>
          <w:sz w:val="18"/>
          <w:szCs w:val="18"/>
          <w:lang w:val="en-AU"/>
        </w:rPr>
        <w:t xml:space="preserve"> </w:t>
      </w:r>
      <w:hyperlink r:id="rId12" w:tooltip="Health Victoria" w:history="1">
        <w:r w:rsidRPr="00B65740">
          <w:rPr>
            <w:rStyle w:val="Hyperlink"/>
            <w:rFonts w:cs="Segoe UI"/>
            <w:sz w:val="18"/>
            <w:szCs w:val="18"/>
            <w:lang w:val="en-AU"/>
          </w:rPr>
          <w:t>https://www2.health.vic.gov.au/about/news-and-events/healthalerts/advisory-2017-06-syphilis-gonorrhoea-increase-men-16-june-17</w:t>
        </w:r>
      </w:hyperlink>
      <w:r w:rsidRPr="00B65740">
        <w:rPr>
          <w:rFonts w:cs="Segoe UI"/>
          <w:sz w:val="18"/>
          <w:szCs w:val="18"/>
          <w:lang w:val="en-AU"/>
        </w:rPr>
        <w:t xml:space="preserve"> </w:t>
      </w:r>
    </w:p>
  </w:endnote>
  <w:endnote w:id="43">
    <w:p w:rsidR="00E90473" w:rsidRPr="00B65740" w:rsidRDefault="00E90473" w:rsidP="00DC21C6">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r w:rsidRPr="00B65740">
        <w:rPr>
          <w:rFonts w:cs="Segoe UI"/>
          <w:sz w:val="18"/>
          <w:szCs w:val="18"/>
          <w:lang w:val="en-AU"/>
        </w:rPr>
        <w:t>Botham, S. J.,</w:t>
      </w:r>
      <w:r>
        <w:rPr>
          <w:rFonts w:cs="Segoe UI"/>
          <w:sz w:val="18"/>
          <w:szCs w:val="18"/>
          <w:lang w:val="en-AU"/>
        </w:rPr>
        <w:t xml:space="preserve"> </w:t>
      </w:r>
      <w:r w:rsidRPr="00B65740">
        <w:rPr>
          <w:rFonts w:cs="Segoe UI"/>
          <w:sz w:val="18"/>
          <w:szCs w:val="18"/>
          <w:lang w:val="en-AU"/>
        </w:rPr>
        <w:t>K-A. Ressler, P. Maywood, K.</w:t>
      </w:r>
      <w:r>
        <w:rPr>
          <w:rFonts w:cs="Segoe UI"/>
          <w:sz w:val="18"/>
          <w:szCs w:val="18"/>
          <w:lang w:val="en-AU"/>
        </w:rPr>
        <w:t xml:space="preserve"> </w:t>
      </w:r>
      <w:r w:rsidRPr="00B65740">
        <w:rPr>
          <w:rFonts w:cs="Segoe UI"/>
          <w:sz w:val="18"/>
          <w:szCs w:val="18"/>
          <w:lang w:val="en-AU"/>
        </w:rPr>
        <w:t xml:space="preserve">G. Hope, C. P. Bourne, S. J. </w:t>
      </w:r>
      <w:proofErr w:type="spellStart"/>
      <w:r w:rsidRPr="00B65740">
        <w:rPr>
          <w:rFonts w:cs="Segoe UI"/>
          <w:sz w:val="18"/>
          <w:szCs w:val="18"/>
          <w:lang w:val="en-AU"/>
        </w:rPr>
        <w:t>Conaty</w:t>
      </w:r>
      <w:proofErr w:type="spellEnd"/>
      <w:r w:rsidRPr="00B65740">
        <w:rPr>
          <w:rFonts w:cs="Segoe UI"/>
          <w:sz w:val="18"/>
          <w:szCs w:val="18"/>
          <w:lang w:val="en-AU"/>
        </w:rPr>
        <w:t xml:space="preserve">, M. J. </w:t>
      </w:r>
      <w:proofErr w:type="spellStart"/>
      <w:r w:rsidRPr="00B65740">
        <w:rPr>
          <w:rFonts w:cs="Segoe UI"/>
          <w:sz w:val="18"/>
          <w:szCs w:val="18"/>
          <w:lang w:val="en-AU"/>
        </w:rPr>
        <w:t>Ferson</w:t>
      </w:r>
      <w:proofErr w:type="spellEnd"/>
      <w:r w:rsidRPr="00B65740">
        <w:rPr>
          <w:rFonts w:cs="Segoe UI"/>
          <w:sz w:val="18"/>
          <w:szCs w:val="18"/>
          <w:lang w:val="en-AU"/>
        </w:rPr>
        <w:t xml:space="preserve">, and D. J. Mayne. (2013). </w:t>
      </w:r>
      <w:r>
        <w:rPr>
          <w:rFonts w:cs="Segoe UI"/>
          <w:sz w:val="18"/>
          <w:szCs w:val="18"/>
          <w:lang w:val="en-AU"/>
        </w:rPr>
        <w:t>‘</w:t>
      </w:r>
      <w:r w:rsidRPr="00B65740">
        <w:rPr>
          <w:rFonts w:cs="Segoe UI"/>
          <w:sz w:val="18"/>
          <w:szCs w:val="18"/>
          <w:lang w:val="en-AU"/>
        </w:rPr>
        <w:t>Men who have sex with men, infectious syphilis and HIV coinfection in inner Sydney: results of enhanced surveillance.</w:t>
      </w:r>
      <w:r>
        <w:rPr>
          <w:rFonts w:cs="Segoe UI"/>
          <w:sz w:val="18"/>
          <w:szCs w:val="18"/>
          <w:lang w:val="en-AU"/>
        </w:rPr>
        <w:t>’</w:t>
      </w:r>
      <w:r w:rsidRPr="00B65740">
        <w:rPr>
          <w:rFonts w:cs="Segoe UI"/>
          <w:sz w:val="18"/>
          <w:szCs w:val="18"/>
          <w:lang w:val="en-AU"/>
        </w:rPr>
        <w:t xml:space="preserve"> </w:t>
      </w:r>
      <w:r w:rsidRPr="00B65740">
        <w:rPr>
          <w:rFonts w:cs="Segoe UI"/>
          <w:sz w:val="18"/>
          <w:szCs w:val="18"/>
          <w:u w:val="single"/>
          <w:lang w:val="en-AU"/>
        </w:rPr>
        <w:t>Sexual Health</w:t>
      </w:r>
      <w:r w:rsidRPr="00B65740">
        <w:rPr>
          <w:rFonts w:cs="Segoe UI"/>
          <w:sz w:val="18"/>
          <w:szCs w:val="18"/>
          <w:lang w:val="en-AU"/>
        </w:rPr>
        <w:t xml:space="preserve">, </w:t>
      </w:r>
      <w:r w:rsidRPr="00B65740">
        <w:rPr>
          <w:rFonts w:cs="Segoe UI"/>
          <w:b/>
          <w:sz w:val="18"/>
          <w:szCs w:val="18"/>
          <w:lang w:val="en-AU"/>
        </w:rPr>
        <w:t>10</w:t>
      </w:r>
      <w:r w:rsidRPr="00B65740">
        <w:rPr>
          <w:rFonts w:cs="Segoe UI"/>
          <w:sz w:val="18"/>
          <w:szCs w:val="18"/>
          <w:lang w:val="en-AU"/>
        </w:rPr>
        <w:t>(4):291</w:t>
      </w:r>
      <w:r>
        <w:rPr>
          <w:rFonts w:cs="Segoe UI"/>
          <w:sz w:val="18"/>
          <w:szCs w:val="18"/>
          <w:lang w:val="en-AU"/>
        </w:rPr>
        <w:t>–</w:t>
      </w:r>
      <w:r w:rsidRPr="00B65740">
        <w:rPr>
          <w:rFonts w:cs="Segoe UI"/>
          <w:sz w:val="18"/>
          <w:szCs w:val="18"/>
          <w:lang w:val="en-AU"/>
        </w:rPr>
        <w:t xml:space="preserve">298. </w:t>
      </w:r>
    </w:p>
  </w:endnote>
  <w:endnote w:id="44">
    <w:p w:rsidR="00E90473" w:rsidRPr="00B65740" w:rsidRDefault="00E90473" w:rsidP="006B37D5">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r w:rsidRPr="00B65740">
        <w:rPr>
          <w:rFonts w:cs="Segoe UI"/>
          <w:sz w:val="18"/>
          <w:szCs w:val="18"/>
          <w:lang w:val="en-AU"/>
        </w:rPr>
        <w:t xml:space="preserve">Centre for Social Research in Health, University of New South Wales. (2017). </w:t>
      </w:r>
      <w:r w:rsidRPr="00B65740">
        <w:rPr>
          <w:rFonts w:cs="Segoe UI"/>
          <w:sz w:val="18"/>
          <w:szCs w:val="18"/>
          <w:u w:val="single"/>
          <w:lang w:val="en-AU"/>
        </w:rPr>
        <w:t>Annual report of trends in behaviour 2017: HIV and STIs in Australia</w:t>
      </w:r>
      <w:r w:rsidRPr="00B65740">
        <w:rPr>
          <w:rFonts w:cs="Segoe UI"/>
          <w:sz w:val="18"/>
          <w:szCs w:val="18"/>
          <w:lang w:val="en-AU"/>
        </w:rPr>
        <w:t xml:space="preserve">. University of New South Wales: Sydney. </w:t>
      </w:r>
    </w:p>
  </w:endnote>
  <w:endnote w:id="45">
    <w:p w:rsidR="00E90473" w:rsidRPr="00B65740" w:rsidRDefault="00E90473" w:rsidP="006B4B8D">
      <w:pPr>
        <w:pStyle w:val="EndnoteText"/>
        <w:spacing w:after="120"/>
        <w:rPr>
          <w:rFonts w:cs="Segoe UI"/>
          <w:sz w:val="18"/>
          <w:szCs w:val="18"/>
          <w:highlight w:val="yellow"/>
          <w:vertAlign w:val="superscript"/>
          <w:lang w:val="en-AU"/>
        </w:rPr>
      </w:pPr>
      <w:r w:rsidRPr="00B65740">
        <w:rPr>
          <w:rFonts w:cs="Segoe UI"/>
          <w:sz w:val="18"/>
          <w:szCs w:val="18"/>
          <w:vertAlign w:val="superscript"/>
        </w:rPr>
        <w:endnoteRef/>
      </w:r>
      <w:r w:rsidRPr="00B65740">
        <w:rPr>
          <w:rFonts w:cs="Segoe UI"/>
          <w:sz w:val="18"/>
          <w:szCs w:val="18"/>
          <w:vertAlign w:val="superscript"/>
        </w:rPr>
        <w:t xml:space="preserve"> </w:t>
      </w:r>
      <w:r w:rsidRPr="00B65740">
        <w:rPr>
          <w:rFonts w:cs="Segoe UI"/>
          <w:sz w:val="18"/>
          <w:szCs w:val="18"/>
          <w:lang w:val="en-AU"/>
        </w:rPr>
        <w:t>World Health Organization</w:t>
      </w:r>
      <w:r>
        <w:rPr>
          <w:rFonts w:cs="Segoe UI"/>
          <w:sz w:val="18"/>
          <w:szCs w:val="18"/>
          <w:lang w:val="en-AU"/>
        </w:rPr>
        <w:t xml:space="preserve"> (WHO)</w:t>
      </w:r>
      <w:r w:rsidRPr="00B65740">
        <w:rPr>
          <w:rFonts w:cs="Segoe UI"/>
          <w:sz w:val="18"/>
          <w:szCs w:val="18"/>
          <w:lang w:val="en-AU"/>
        </w:rPr>
        <w:t xml:space="preserve">. (2017). </w:t>
      </w:r>
      <w:r w:rsidRPr="00B65740">
        <w:rPr>
          <w:rFonts w:cs="Segoe UI"/>
          <w:sz w:val="18"/>
          <w:szCs w:val="18"/>
          <w:u w:val="single"/>
          <w:lang w:val="en-AU"/>
        </w:rPr>
        <w:t>Hepatitis A outbreaks mostly affecting men who have sex with men</w:t>
      </w:r>
      <w:r>
        <w:rPr>
          <w:rFonts w:cs="Segoe UI"/>
          <w:sz w:val="18"/>
          <w:szCs w:val="18"/>
          <w:u w:val="single"/>
          <w:lang w:val="en-AU"/>
        </w:rPr>
        <w:t>—</w:t>
      </w:r>
      <w:r w:rsidRPr="00B65740">
        <w:rPr>
          <w:rFonts w:cs="Segoe UI"/>
          <w:sz w:val="18"/>
          <w:szCs w:val="18"/>
          <w:u w:val="single"/>
          <w:lang w:val="en-AU"/>
        </w:rPr>
        <w:t>European region and the Americas</w:t>
      </w:r>
      <w:r w:rsidRPr="00B65740">
        <w:rPr>
          <w:rFonts w:cs="Segoe UI"/>
          <w:sz w:val="18"/>
          <w:szCs w:val="18"/>
          <w:lang w:val="en-AU"/>
        </w:rPr>
        <w:t>. Disease Outbreak News, 7 June 2017. Accessed 1 May 2018 at</w:t>
      </w:r>
      <w:r>
        <w:rPr>
          <w:rFonts w:cs="Segoe UI"/>
          <w:sz w:val="18"/>
          <w:szCs w:val="18"/>
          <w:lang w:val="en-AU"/>
        </w:rPr>
        <w:t>:</w:t>
      </w:r>
      <w:r w:rsidRPr="00B65740">
        <w:rPr>
          <w:rFonts w:cs="Segoe UI"/>
          <w:sz w:val="18"/>
          <w:szCs w:val="18"/>
          <w:lang w:val="en-AU"/>
        </w:rPr>
        <w:t xml:space="preserve"> </w:t>
      </w:r>
      <w:r w:rsidRPr="00762C7A">
        <w:rPr>
          <w:rFonts w:cs="Segoe UI"/>
          <w:sz w:val="18"/>
          <w:szCs w:val="18"/>
        </w:rPr>
        <w:t>http://www.who.int/csr/don/07-june-2017-hepatitis-a/en/</w:t>
      </w:r>
      <w:r w:rsidRPr="00B65740">
        <w:rPr>
          <w:rFonts w:cs="Segoe UI"/>
          <w:sz w:val="18"/>
          <w:szCs w:val="18"/>
          <w:lang w:val="en-AU"/>
        </w:rPr>
        <w:t xml:space="preserve"> </w:t>
      </w:r>
    </w:p>
  </w:endnote>
  <w:endnote w:id="46">
    <w:p w:rsidR="00E90473" w:rsidRPr="00B65740" w:rsidRDefault="00E90473" w:rsidP="008941FD">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ASHM. </w:t>
      </w:r>
      <w:r>
        <w:rPr>
          <w:rFonts w:cs="Segoe UI"/>
          <w:sz w:val="18"/>
          <w:szCs w:val="18"/>
        </w:rPr>
        <w:t xml:space="preserve">(2018). </w:t>
      </w:r>
      <w:r w:rsidRPr="00F537E8">
        <w:rPr>
          <w:rFonts w:cs="Segoe UI"/>
          <w:sz w:val="18"/>
          <w:szCs w:val="18"/>
          <w:u w:val="single"/>
        </w:rPr>
        <w:t>Guide to Australian HIV laws and policies for healthcare professionals</w:t>
      </w:r>
      <w:r w:rsidRPr="00B65740">
        <w:rPr>
          <w:rFonts w:cs="Segoe UI"/>
          <w:sz w:val="18"/>
          <w:szCs w:val="18"/>
        </w:rPr>
        <w:t>. Accessed 23 February 2018 at</w:t>
      </w:r>
      <w:r>
        <w:rPr>
          <w:rFonts w:cs="Segoe UI"/>
          <w:sz w:val="18"/>
          <w:szCs w:val="18"/>
        </w:rPr>
        <w:t>:</w:t>
      </w:r>
      <w:r w:rsidRPr="00B65740">
        <w:rPr>
          <w:rFonts w:cs="Segoe UI"/>
          <w:sz w:val="18"/>
          <w:szCs w:val="18"/>
        </w:rPr>
        <w:t xml:space="preserve"> </w:t>
      </w:r>
      <w:hyperlink r:id="rId13" w:tooltip="ASHM" w:history="1">
        <w:r w:rsidRPr="00B65740">
          <w:rPr>
            <w:rStyle w:val="Hyperlink"/>
            <w:rFonts w:cs="Segoe UI"/>
            <w:sz w:val="18"/>
            <w:szCs w:val="18"/>
          </w:rPr>
          <w:t>http://hivlegal.ashm.org.au/index.php/guide-to-australian-hiv-laws-and-policies-for-healthcare-professionals</w:t>
        </w:r>
      </w:hyperlink>
      <w:r w:rsidRPr="00B65740">
        <w:rPr>
          <w:rFonts w:cs="Segoe UI"/>
          <w:sz w:val="18"/>
          <w:szCs w:val="18"/>
        </w:rPr>
        <w:t xml:space="preserve"> </w:t>
      </w:r>
    </w:p>
  </w:endnote>
  <w:endnote w:id="47">
    <w:p w:rsidR="00E90473" w:rsidRPr="00B65740" w:rsidRDefault="00E90473" w:rsidP="004C0EDD">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Shannon, K., S. A. </w:t>
      </w:r>
      <w:proofErr w:type="spellStart"/>
      <w:r w:rsidRPr="00B65740">
        <w:rPr>
          <w:rFonts w:cs="Segoe UI"/>
          <w:sz w:val="18"/>
          <w:szCs w:val="18"/>
        </w:rPr>
        <w:t>Strathdee</w:t>
      </w:r>
      <w:proofErr w:type="spellEnd"/>
      <w:r w:rsidRPr="00B65740">
        <w:rPr>
          <w:rFonts w:cs="Segoe UI"/>
          <w:sz w:val="18"/>
          <w:szCs w:val="18"/>
        </w:rPr>
        <w:t xml:space="preserve">, S. M. Goldenberg </w:t>
      </w:r>
      <w:r w:rsidRPr="00B65740">
        <w:rPr>
          <w:rFonts w:cs="Segoe UI"/>
          <w:i/>
          <w:sz w:val="18"/>
          <w:szCs w:val="18"/>
        </w:rPr>
        <w:t>et al</w:t>
      </w:r>
      <w:r w:rsidRPr="00B65740">
        <w:rPr>
          <w:rFonts w:cs="Segoe UI"/>
          <w:sz w:val="18"/>
          <w:szCs w:val="18"/>
        </w:rPr>
        <w:t xml:space="preserve">. </w:t>
      </w:r>
      <w:r w:rsidRPr="00B65740">
        <w:rPr>
          <w:rFonts w:cs="Segoe UI"/>
          <w:sz w:val="18"/>
          <w:szCs w:val="18"/>
          <w:lang w:val="en-AU"/>
        </w:rPr>
        <w:t xml:space="preserve">(2015). </w:t>
      </w:r>
      <w:r>
        <w:rPr>
          <w:rFonts w:cs="Segoe UI"/>
          <w:sz w:val="18"/>
          <w:szCs w:val="18"/>
        </w:rPr>
        <w:t>‘</w:t>
      </w:r>
      <w:r w:rsidRPr="00B65740">
        <w:rPr>
          <w:rFonts w:cs="Segoe UI"/>
          <w:sz w:val="18"/>
          <w:szCs w:val="18"/>
        </w:rPr>
        <w:t>Global epidemiology of HIV among female sex workers: influence of structural determinants.</w:t>
      </w:r>
      <w:r>
        <w:rPr>
          <w:rFonts w:cs="Segoe UI"/>
          <w:sz w:val="18"/>
          <w:szCs w:val="18"/>
        </w:rPr>
        <w:t>’</w:t>
      </w:r>
      <w:r w:rsidRPr="00B65740">
        <w:rPr>
          <w:rFonts w:cs="Segoe UI"/>
          <w:sz w:val="18"/>
          <w:szCs w:val="18"/>
        </w:rPr>
        <w:t xml:space="preserve"> </w:t>
      </w:r>
      <w:r w:rsidRPr="00B65740">
        <w:rPr>
          <w:rFonts w:cs="Segoe UI"/>
          <w:sz w:val="18"/>
          <w:szCs w:val="18"/>
          <w:u w:val="single"/>
        </w:rPr>
        <w:t>The Lancet</w:t>
      </w:r>
      <w:r w:rsidRPr="00B65740">
        <w:rPr>
          <w:rFonts w:cs="Segoe UI"/>
          <w:sz w:val="18"/>
          <w:szCs w:val="18"/>
        </w:rPr>
        <w:t>,</w:t>
      </w:r>
      <w:r w:rsidRPr="00B65740">
        <w:rPr>
          <w:rFonts w:cs="Segoe UI"/>
          <w:b/>
          <w:sz w:val="18"/>
          <w:szCs w:val="18"/>
        </w:rPr>
        <w:t xml:space="preserve"> 385</w:t>
      </w:r>
      <w:r w:rsidRPr="00B65740">
        <w:rPr>
          <w:rFonts w:cs="Segoe UI"/>
          <w:sz w:val="18"/>
          <w:szCs w:val="18"/>
        </w:rPr>
        <w:t>(9962):55</w:t>
      </w:r>
      <w:r>
        <w:rPr>
          <w:rFonts w:cs="Segoe UI"/>
          <w:sz w:val="18"/>
          <w:szCs w:val="18"/>
        </w:rPr>
        <w:t>–</w:t>
      </w:r>
      <w:r w:rsidRPr="00B65740">
        <w:rPr>
          <w:rFonts w:cs="Segoe UI"/>
          <w:sz w:val="18"/>
          <w:szCs w:val="18"/>
        </w:rPr>
        <w:t>71</w:t>
      </w:r>
      <w:r w:rsidRPr="00B65740">
        <w:rPr>
          <w:rFonts w:cs="Segoe UI"/>
          <w:sz w:val="18"/>
          <w:szCs w:val="18"/>
          <w:lang w:val="en-AU"/>
        </w:rPr>
        <w:t>.</w:t>
      </w:r>
    </w:p>
  </w:endnote>
  <w:endnote w:id="48">
    <w:p w:rsidR="00E90473" w:rsidRPr="00B65740" w:rsidRDefault="00E90473" w:rsidP="0078482B">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Lusk, M. J., Z. </w:t>
      </w:r>
      <w:proofErr w:type="spellStart"/>
      <w:r w:rsidRPr="00B65740">
        <w:rPr>
          <w:rFonts w:cs="Segoe UI"/>
          <w:sz w:val="18"/>
          <w:szCs w:val="18"/>
        </w:rPr>
        <w:t>Naing</w:t>
      </w:r>
      <w:proofErr w:type="spellEnd"/>
      <w:r w:rsidRPr="00B65740">
        <w:rPr>
          <w:rFonts w:cs="Segoe UI"/>
          <w:sz w:val="18"/>
          <w:szCs w:val="18"/>
          <w:lang w:val="en-AU"/>
        </w:rPr>
        <w:t>,</w:t>
      </w:r>
      <w:r w:rsidRPr="00B65740">
        <w:rPr>
          <w:rFonts w:cs="Segoe UI"/>
          <w:sz w:val="18"/>
          <w:szCs w:val="18"/>
        </w:rPr>
        <w:t xml:space="preserve"> B. Rayner</w:t>
      </w:r>
      <w:r w:rsidRPr="00B65740">
        <w:rPr>
          <w:rFonts w:cs="Segoe UI"/>
          <w:sz w:val="18"/>
          <w:szCs w:val="18"/>
          <w:lang w:val="en-AU"/>
        </w:rPr>
        <w:t xml:space="preserve">, N. </w:t>
      </w:r>
      <w:proofErr w:type="spellStart"/>
      <w:r w:rsidRPr="00B65740">
        <w:rPr>
          <w:rFonts w:cs="Segoe UI"/>
          <w:sz w:val="18"/>
          <w:szCs w:val="18"/>
          <w:lang w:val="en-AU"/>
        </w:rPr>
        <w:t>Rismanto</w:t>
      </w:r>
      <w:proofErr w:type="spellEnd"/>
      <w:r w:rsidRPr="00B65740">
        <w:rPr>
          <w:rFonts w:cs="Segoe UI"/>
          <w:sz w:val="18"/>
          <w:szCs w:val="18"/>
          <w:lang w:val="en-AU"/>
        </w:rPr>
        <w:t xml:space="preserve">, C. J. McIver, R. G. Cumming, K. </w:t>
      </w:r>
      <w:proofErr w:type="spellStart"/>
      <w:r w:rsidRPr="00B65740">
        <w:rPr>
          <w:rFonts w:cs="Segoe UI"/>
          <w:sz w:val="18"/>
          <w:szCs w:val="18"/>
          <w:lang w:val="en-AU"/>
        </w:rPr>
        <w:t>McGeechan</w:t>
      </w:r>
      <w:proofErr w:type="spellEnd"/>
      <w:r w:rsidRPr="00B65740">
        <w:rPr>
          <w:rFonts w:cs="Segoe UI"/>
          <w:sz w:val="18"/>
          <w:szCs w:val="18"/>
          <w:lang w:val="en-AU"/>
        </w:rPr>
        <w:t>, W.D. Rawlinson</w:t>
      </w:r>
      <w:r>
        <w:rPr>
          <w:rFonts w:cs="Segoe UI"/>
          <w:sz w:val="18"/>
          <w:szCs w:val="18"/>
          <w:lang w:val="en-AU"/>
        </w:rPr>
        <w:t>,</w:t>
      </w:r>
      <w:r w:rsidRPr="00B65740">
        <w:rPr>
          <w:rFonts w:cs="Segoe UI"/>
          <w:sz w:val="18"/>
          <w:szCs w:val="18"/>
          <w:lang w:val="en-AU"/>
        </w:rPr>
        <w:t xml:space="preserve"> and P. </w:t>
      </w:r>
      <w:proofErr w:type="spellStart"/>
      <w:r w:rsidRPr="00B65740">
        <w:rPr>
          <w:rFonts w:cs="Segoe UI"/>
          <w:sz w:val="18"/>
          <w:szCs w:val="18"/>
          <w:lang w:val="en-AU"/>
        </w:rPr>
        <w:t>Konecny</w:t>
      </w:r>
      <w:proofErr w:type="spellEnd"/>
      <w:r w:rsidRPr="00B65740">
        <w:rPr>
          <w:rFonts w:cs="Segoe UI"/>
          <w:sz w:val="18"/>
          <w:szCs w:val="18"/>
          <w:lang w:val="en-AU"/>
        </w:rPr>
        <w:t>. (2010).</w:t>
      </w:r>
      <w:r w:rsidRPr="00B65740">
        <w:rPr>
          <w:rFonts w:cs="Segoe UI"/>
          <w:sz w:val="18"/>
          <w:szCs w:val="18"/>
        </w:rPr>
        <w:t xml:space="preserve"> </w:t>
      </w:r>
      <w:r>
        <w:rPr>
          <w:rFonts w:cs="Segoe UI"/>
          <w:sz w:val="18"/>
          <w:szCs w:val="18"/>
          <w:lang w:val="en-AU"/>
        </w:rPr>
        <w:t>‘</w:t>
      </w:r>
      <w:proofErr w:type="spellStart"/>
      <w:r w:rsidRPr="00B65740">
        <w:rPr>
          <w:rFonts w:cs="Segoe UI"/>
          <w:sz w:val="18"/>
          <w:szCs w:val="18"/>
        </w:rPr>
        <w:t>Trichomas</w:t>
      </w:r>
      <w:proofErr w:type="spellEnd"/>
      <w:r w:rsidRPr="00B65740">
        <w:rPr>
          <w:rFonts w:cs="Segoe UI"/>
          <w:sz w:val="18"/>
          <w:szCs w:val="18"/>
        </w:rPr>
        <w:t xml:space="preserve"> vaginalis: </w:t>
      </w:r>
      <w:proofErr w:type="spellStart"/>
      <w:r w:rsidRPr="00B65740">
        <w:rPr>
          <w:rFonts w:cs="Segoe UI"/>
          <w:sz w:val="18"/>
          <w:szCs w:val="18"/>
        </w:rPr>
        <w:t>underdiagnosis</w:t>
      </w:r>
      <w:proofErr w:type="spellEnd"/>
      <w:r w:rsidRPr="00B65740">
        <w:rPr>
          <w:rFonts w:cs="Segoe UI"/>
          <w:sz w:val="18"/>
          <w:szCs w:val="18"/>
        </w:rPr>
        <w:t xml:space="preserve"> in urban Australia could facilitate re-emergence.</w:t>
      </w:r>
      <w:r>
        <w:rPr>
          <w:rFonts w:cs="Segoe UI"/>
          <w:sz w:val="18"/>
          <w:szCs w:val="18"/>
          <w:lang w:val="en-AU"/>
        </w:rPr>
        <w:t>’</w:t>
      </w:r>
      <w:r w:rsidRPr="00B65740">
        <w:rPr>
          <w:rFonts w:cs="Segoe UI"/>
          <w:sz w:val="18"/>
          <w:szCs w:val="18"/>
        </w:rPr>
        <w:t xml:space="preserve"> </w:t>
      </w:r>
      <w:r w:rsidRPr="00B65740">
        <w:rPr>
          <w:rFonts w:cs="Segoe UI"/>
          <w:sz w:val="18"/>
          <w:szCs w:val="18"/>
          <w:u w:val="single"/>
        </w:rPr>
        <w:t>Sexually Transmitted Infections</w:t>
      </w:r>
      <w:r w:rsidRPr="00B65740">
        <w:rPr>
          <w:rFonts w:cs="Segoe UI"/>
          <w:sz w:val="18"/>
          <w:szCs w:val="18"/>
          <w:lang w:val="en-AU"/>
        </w:rPr>
        <w:t>,</w:t>
      </w:r>
      <w:r w:rsidRPr="00B65740">
        <w:rPr>
          <w:rFonts w:cs="Segoe UI"/>
          <w:sz w:val="18"/>
          <w:szCs w:val="18"/>
        </w:rPr>
        <w:t xml:space="preserve"> </w:t>
      </w:r>
      <w:r w:rsidRPr="00B65740">
        <w:rPr>
          <w:rFonts w:cs="Segoe UI"/>
          <w:b/>
          <w:sz w:val="18"/>
          <w:szCs w:val="18"/>
        </w:rPr>
        <w:t>86</w:t>
      </w:r>
      <w:r w:rsidRPr="00B65740">
        <w:rPr>
          <w:rFonts w:cs="Segoe UI"/>
          <w:sz w:val="18"/>
          <w:szCs w:val="18"/>
        </w:rPr>
        <w:t>:227</w:t>
      </w:r>
      <w:r>
        <w:rPr>
          <w:rFonts w:cs="Segoe UI"/>
          <w:sz w:val="18"/>
          <w:szCs w:val="18"/>
        </w:rPr>
        <w:t>–2</w:t>
      </w:r>
      <w:r w:rsidRPr="00B65740">
        <w:rPr>
          <w:rFonts w:cs="Segoe UI"/>
          <w:sz w:val="18"/>
          <w:szCs w:val="18"/>
        </w:rPr>
        <w:t>30</w:t>
      </w:r>
      <w:r w:rsidRPr="00B65740">
        <w:rPr>
          <w:rFonts w:cs="Segoe UI"/>
          <w:sz w:val="18"/>
          <w:szCs w:val="18"/>
          <w:lang w:val="en-AU"/>
        </w:rPr>
        <w:t>.</w:t>
      </w:r>
    </w:p>
  </w:endnote>
  <w:endnote w:id="49">
    <w:p w:rsidR="00E90473" w:rsidRPr="00B65740" w:rsidRDefault="00E90473" w:rsidP="0078482B">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McMichael, C</w:t>
      </w:r>
      <w:r>
        <w:rPr>
          <w:rFonts w:cs="Segoe UI"/>
          <w:sz w:val="18"/>
          <w:szCs w:val="18"/>
        </w:rPr>
        <w:t>.,</w:t>
      </w:r>
      <w:r w:rsidRPr="00B65740">
        <w:rPr>
          <w:rFonts w:cs="Segoe UI"/>
          <w:sz w:val="18"/>
          <w:szCs w:val="18"/>
        </w:rPr>
        <w:t xml:space="preserve"> and S. Gifford. </w:t>
      </w:r>
      <w:r w:rsidRPr="00B65740">
        <w:rPr>
          <w:rFonts w:cs="Segoe UI"/>
          <w:sz w:val="18"/>
          <w:szCs w:val="18"/>
          <w:lang w:val="en-AU"/>
        </w:rPr>
        <w:t xml:space="preserve">(2010). </w:t>
      </w:r>
      <w:r>
        <w:rPr>
          <w:rFonts w:cs="Segoe UI"/>
          <w:sz w:val="18"/>
          <w:szCs w:val="18"/>
          <w:lang w:val="en-AU"/>
        </w:rPr>
        <w:t>‘</w:t>
      </w:r>
      <w:r w:rsidRPr="00B65740">
        <w:rPr>
          <w:rFonts w:cs="Segoe UI"/>
          <w:sz w:val="18"/>
          <w:szCs w:val="18"/>
        </w:rPr>
        <w:t>Narratives of sexual health risk and protection amongst young people from refugee backgrounds in Melbourne, Australia.</w:t>
      </w:r>
      <w:r>
        <w:rPr>
          <w:rFonts w:cs="Segoe UI"/>
          <w:sz w:val="18"/>
          <w:szCs w:val="18"/>
          <w:lang w:val="en-AU"/>
        </w:rPr>
        <w:t>’</w:t>
      </w:r>
      <w:r w:rsidRPr="00B65740">
        <w:rPr>
          <w:rFonts w:cs="Segoe UI"/>
          <w:sz w:val="18"/>
          <w:szCs w:val="18"/>
        </w:rPr>
        <w:t xml:space="preserve"> </w:t>
      </w:r>
      <w:r w:rsidRPr="00B65740">
        <w:rPr>
          <w:rFonts w:cs="Segoe UI"/>
          <w:sz w:val="18"/>
          <w:szCs w:val="18"/>
          <w:u w:val="single"/>
        </w:rPr>
        <w:t xml:space="preserve">Culture, Health and </w:t>
      </w:r>
      <w:r w:rsidRPr="00B65740">
        <w:rPr>
          <w:rFonts w:cs="Segoe UI"/>
          <w:sz w:val="18"/>
          <w:szCs w:val="18"/>
          <w:u w:val="single"/>
          <w:lang w:val="en-AU"/>
        </w:rPr>
        <w:t>S</w:t>
      </w:r>
      <w:proofErr w:type="spellStart"/>
      <w:r w:rsidRPr="00B65740">
        <w:rPr>
          <w:rFonts w:cs="Segoe UI"/>
          <w:sz w:val="18"/>
          <w:szCs w:val="18"/>
          <w:u w:val="single"/>
        </w:rPr>
        <w:t>exuality</w:t>
      </w:r>
      <w:proofErr w:type="spellEnd"/>
      <w:r w:rsidRPr="00B65740">
        <w:rPr>
          <w:rFonts w:cs="Segoe UI"/>
          <w:sz w:val="18"/>
          <w:szCs w:val="18"/>
        </w:rPr>
        <w:t xml:space="preserve">, </w:t>
      </w:r>
      <w:r w:rsidRPr="00B65740">
        <w:rPr>
          <w:rFonts w:cs="Segoe UI"/>
          <w:b/>
          <w:sz w:val="18"/>
          <w:szCs w:val="18"/>
        </w:rPr>
        <w:t>12</w:t>
      </w:r>
      <w:r w:rsidRPr="00B65740">
        <w:rPr>
          <w:rFonts w:cs="Segoe UI"/>
          <w:sz w:val="18"/>
          <w:szCs w:val="18"/>
        </w:rPr>
        <w:t>(3)</w:t>
      </w:r>
      <w:r w:rsidRPr="00B65740">
        <w:rPr>
          <w:rFonts w:cs="Segoe UI"/>
          <w:sz w:val="18"/>
          <w:szCs w:val="18"/>
          <w:lang w:val="en-AU"/>
        </w:rPr>
        <w:t>:263-77.</w:t>
      </w:r>
    </w:p>
  </w:endnote>
  <w:endnote w:id="50">
    <w:p w:rsidR="00E90473" w:rsidRPr="00B65740" w:rsidRDefault="00E90473" w:rsidP="0078482B">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Rawson, H. A. and P. </w:t>
      </w:r>
      <w:proofErr w:type="spellStart"/>
      <w:r w:rsidRPr="00B65740">
        <w:rPr>
          <w:rFonts w:cs="Segoe UI"/>
          <w:sz w:val="18"/>
          <w:szCs w:val="18"/>
        </w:rPr>
        <w:t>Liamputtong</w:t>
      </w:r>
      <w:proofErr w:type="spellEnd"/>
      <w:r w:rsidRPr="00B65740">
        <w:rPr>
          <w:rFonts w:cs="Segoe UI"/>
          <w:sz w:val="18"/>
          <w:szCs w:val="18"/>
        </w:rPr>
        <w:t xml:space="preserve">. </w:t>
      </w:r>
      <w:r w:rsidRPr="00B65740">
        <w:rPr>
          <w:rFonts w:cs="Segoe UI"/>
          <w:sz w:val="18"/>
          <w:szCs w:val="18"/>
          <w:lang w:val="en-AU"/>
        </w:rPr>
        <w:t>(2010). “</w:t>
      </w:r>
      <w:r w:rsidRPr="00B65740">
        <w:rPr>
          <w:rFonts w:cs="Segoe UI"/>
          <w:sz w:val="18"/>
          <w:szCs w:val="18"/>
        </w:rPr>
        <w:t>Culture and sex education: the acquisition of sexual knowledge for a group of Vietnamese Australian young women.</w:t>
      </w:r>
      <w:r w:rsidRPr="00B65740">
        <w:rPr>
          <w:rFonts w:cs="Segoe UI"/>
          <w:sz w:val="18"/>
          <w:szCs w:val="18"/>
          <w:lang w:val="en-AU"/>
        </w:rPr>
        <w:t>”</w:t>
      </w:r>
      <w:r w:rsidRPr="00B65740">
        <w:rPr>
          <w:rFonts w:cs="Segoe UI"/>
          <w:sz w:val="18"/>
          <w:szCs w:val="18"/>
        </w:rPr>
        <w:t xml:space="preserve"> </w:t>
      </w:r>
      <w:r w:rsidRPr="00B65740">
        <w:rPr>
          <w:rFonts w:cs="Segoe UI"/>
          <w:sz w:val="18"/>
          <w:szCs w:val="18"/>
          <w:u w:val="single"/>
        </w:rPr>
        <w:t>Ethnicity and Health</w:t>
      </w:r>
      <w:r w:rsidRPr="00B65740">
        <w:rPr>
          <w:rFonts w:cs="Segoe UI"/>
          <w:sz w:val="18"/>
          <w:szCs w:val="18"/>
        </w:rPr>
        <w:t xml:space="preserve">, </w:t>
      </w:r>
      <w:r w:rsidRPr="00B65740">
        <w:rPr>
          <w:rFonts w:cs="Segoe UI"/>
          <w:b/>
          <w:sz w:val="18"/>
          <w:szCs w:val="18"/>
        </w:rPr>
        <w:t>15</w:t>
      </w:r>
      <w:r w:rsidRPr="00B65740">
        <w:rPr>
          <w:rFonts w:cs="Segoe UI"/>
          <w:sz w:val="18"/>
          <w:szCs w:val="18"/>
        </w:rPr>
        <w:t>(4)</w:t>
      </w:r>
      <w:r w:rsidRPr="00B65740">
        <w:rPr>
          <w:rFonts w:cs="Segoe UI"/>
          <w:sz w:val="18"/>
          <w:szCs w:val="18"/>
          <w:lang w:val="en-AU"/>
        </w:rPr>
        <w:t>:343</w:t>
      </w:r>
      <w:r>
        <w:rPr>
          <w:rFonts w:cs="Segoe UI"/>
          <w:sz w:val="18"/>
          <w:szCs w:val="18"/>
          <w:lang w:val="en-AU"/>
        </w:rPr>
        <w:t>–3</w:t>
      </w:r>
      <w:r w:rsidRPr="00B65740">
        <w:rPr>
          <w:rFonts w:cs="Segoe UI"/>
          <w:sz w:val="18"/>
          <w:szCs w:val="18"/>
          <w:lang w:val="en-AU"/>
        </w:rPr>
        <w:t>64.</w:t>
      </w:r>
    </w:p>
  </w:endnote>
  <w:endnote w:id="51">
    <w:p w:rsidR="00E90473" w:rsidRPr="00B65740" w:rsidRDefault="00E90473" w:rsidP="004C0EDD">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r w:rsidRPr="00B65740">
        <w:rPr>
          <w:rFonts w:cs="Segoe UI"/>
          <w:sz w:val="18"/>
          <w:szCs w:val="18"/>
          <w:lang w:val="en-AU"/>
        </w:rPr>
        <w:t xml:space="preserve">Australian Department of Education and Training. (2018). </w:t>
      </w:r>
      <w:r w:rsidRPr="00B65740">
        <w:rPr>
          <w:rFonts w:cs="Segoe UI"/>
          <w:sz w:val="18"/>
          <w:szCs w:val="18"/>
          <w:u w:val="single"/>
          <w:lang w:val="en-AU"/>
        </w:rPr>
        <w:t>International Student Data</w:t>
      </w:r>
      <w:r>
        <w:rPr>
          <w:rFonts w:cs="Segoe UI"/>
          <w:sz w:val="18"/>
          <w:szCs w:val="18"/>
          <w:u w:val="single"/>
          <w:lang w:val="en-AU"/>
        </w:rPr>
        <w:t>—</w:t>
      </w:r>
      <w:r w:rsidRPr="00B65740">
        <w:rPr>
          <w:rFonts w:cs="Segoe UI"/>
          <w:sz w:val="18"/>
          <w:szCs w:val="18"/>
          <w:u w:val="single"/>
          <w:lang w:val="en-AU"/>
        </w:rPr>
        <w:t>February 2018 monthly summary</w:t>
      </w:r>
      <w:r w:rsidRPr="00B65740">
        <w:rPr>
          <w:rFonts w:cs="Segoe UI"/>
          <w:sz w:val="18"/>
          <w:szCs w:val="18"/>
          <w:lang w:val="en-AU"/>
        </w:rPr>
        <w:t>. Accessed 18 April 2018 at</w:t>
      </w:r>
      <w:r>
        <w:rPr>
          <w:rFonts w:cs="Segoe UI"/>
          <w:sz w:val="18"/>
          <w:szCs w:val="18"/>
          <w:lang w:val="en-AU"/>
        </w:rPr>
        <w:t>:</w:t>
      </w:r>
      <w:r w:rsidRPr="00B65740">
        <w:rPr>
          <w:rFonts w:cs="Segoe UI"/>
          <w:sz w:val="18"/>
          <w:szCs w:val="18"/>
          <w:lang w:val="en-AU"/>
        </w:rPr>
        <w:t xml:space="preserve"> </w:t>
      </w:r>
      <w:hyperlink r:id="rId14" w:tooltip="Australian Department of Education and Training" w:history="1">
        <w:r w:rsidRPr="00B65740">
          <w:rPr>
            <w:rStyle w:val="Hyperlink"/>
            <w:rFonts w:cs="Segoe UI"/>
            <w:sz w:val="18"/>
            <w:szCs w:val="18"/>
            <w:lang w:val="en-AU"/>
          </w:rPr>
          <w:t>https://internationaleducation.gov.au/research/International-Student-Data/Documents/MONTHLY%20SUMMARIES/2018/Feb%202018%20MonthlyInfographic.pdf</w:t>
        </w:r>
      </w:hyperlink>
      <w:r w:rsidRPr="00B65740">
        <w:rPr>
          <w:rFonts w:cs="Segoe UI"/>
          <w:sz w:val="18"/>
          <w:szCs w:val="18"/>
          <w:lang w:val="en-AU"/>
        </w:rPr>
        <w:t xml:space="preserve"> </w:t>
      </w:r>
    </w:p>
  </w:endnote>
  <w:endnote w:id="52">
    <w:p w:rsidR="00E90473" w:rsidRPr="00B65740" w:rsidRDefault="00E90473" w:rsidP="004C0EDD">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r w:rsidRPr="00B65740">
        <w:rPr>
          <w:rFonts w:cs="Segoe UI"/>
          <w:sz w:val="18"/>
          <w:szCs w:val="18"/>
          <w:lang w:val="en-AU"/>
        </w:rPr>
        <w:t xml:space="preserve">Australian Bureau of Statistics. (2016). </w:t>
      </w:r>
      <w:r w:rsidRPr="00B65740">
        <w:rPr>
          <w:rFonts w:cs="Segoe UI"/>
          <w:sz w:val="18"/>
          <w:szCs w:val="18"/>
          <w:u w:val="single"/>
          <w:lang w:val="en-AU"/>
        </w:rPr>
        <w:t xml:space="preserve">2016 Census </w:t>
      </w:r>
      <w:proofErr w:type="spellStart"/>
      <w:r w:rsidRPr="00B65740">
        <w:rPr>
          <w:rFonts w:cs="Segoe UI"/>
          <w:sz w:val="18"/>
          <w:szCs w:val="18"/>
          <w:u w:val="single"/>
          <w:lang w:val="en-AU"/>
        </w:rPr>
        <w:t>QuickStats</w:t>
      </w:r>
      <w:proofErr w:type="spellEnd"/>
      <w:r w:rsidRPr="00B65740">
        <w:rPr>
          <w:rFonts w:cs="Segoe UI"/>
          <w:sz w:val="18"/>
          <w:szCs w:val="18"/>
          <w:lang w:val="en-AU"/>
        </w:rPr>
        <w:t xml:space="preserve">. Accessed 18 April 2018 at: </w:t>
      </w:r>
      <w:hyperlink r:id="rId15" w:tooltip="ABS" w:history="1">
        <w:r w:rsidRPr="00B65740">
          <w:rPr>
            <w:rStyle w:val="Hyperlink"/>
            <w:rFonts w:cs="Segoe UI"/>
            <w:sz w:val="18"/>
            <w:szCs w:val="18"/>
            <w:lang w:val="en-AU"/>
          </w:rPr>
          <w:t>http://www.censusdata.abs.gov.au/census_services/getproduct/census/2016/quickstat/036</w:t>
        </w:r>
      </w:hyperlink>
      <w:r w:rsidRPr="00B65740">
        <w:rPr>
          <w:rFonts w:cs="Segoe UI"/>
          <w:sz w:val="18"/>
          <w:szCs w:val="18"/>
          <w:lang w:val="en-AU"/>
        </w:rPr>
        <w:t xml:space="preserve"> </w:t>
      </w:r>
    </w:p>
  </w:endnote>
  <w:endnote w:id="53">
    <w:p w:rsidR="00E90473" w:rsidRPr="000834EF" w:rsidRDefault="00E90473" w:rsidP="000834EF">
      <w:pPr>
        <w:pStyle w:val="EndnoteText"/>
        <w:spacing w:after="120"/>
        <w:rPr>
          <w:lang w:val="en-AU"/>
        </w:rPr>
      </w:pPr>
      <w:r w:rsidRPr="000834EF">
        <w:rPr>
          <w:rStyle w:val="EndnoteReference"/>
          <w:sz w:val="18"/>
        </w:rPr>
        <w:endnoteRef/>
      </w:r>
      <w:r w:rsidRPr="000834EF">
        <w:rPr>
          <w:sz w:val="18"/>
          <w:lang w:val="en-AU"/>
        </w:rPr>
        <w:t xml:space="preserve"> WHO. (2016). </w:t>
      </w:r>
      <w:r w:rsidRPr="007136F6">
        <w:rPr>
          <w:sz w:val="18"/>
          <w:u w:val="single"/>
          <w:lang w:val="en-AU"/>
        </w:rPr>
        <w:t>Report on globally sexually transmitted infection surveillance, 2015</w:t>
      </w:r>
      <w:r w:rsidRPr="000834EF">
        <w:rPr>
          <w:sz w:val="18"/>
          <w:lang w:val="en-AU"/>
        </w:rPr>
        <w:t>.WHO Press: Geneva, Switzerland.</w:t>
      </w:r>
    </w:p>
  </w:endnote>
  <w:endnote w:id="54">
    <w:p w:rsidR="00E90473" w:rsidRPr="007136F6" w:rsidRDefault="00E90473" w:rsidP="007136F6">
      <w:pPr>
        <w:pStyle w:val="EndnoteText"/>
        <w:spacing w:after="120"/>
        <w:rPr>
          <w:lang w:val="en-AU"/>
        </w:rPr>
      </w:pPr>
      <w:r w:rsidRPr="007136F6">
        <w:rPr>
          <w:rStyle w:val="EndnoteReference"/>
          <w:sz w:val="18"/>
        </w:rPr>
        <w:endnoteRef/>
      </w:r>
      <w:r w:rsidRPr="007136F6">
        <w:rPr>
          <w:sz w:val="18"/>
        </w:rPr>
        <w:t xml:space="preserve"> </w:t>
      </w:r>
      <w:r w:rsidRPr="007136F6">
        <w:rPr>
          <w:sz w:val="18"/>
          <w:lang w:val="en-AU"/>
        </w:rPr>
        <w:t xml:space="preserve">Cultural and Indigenous Research Centre Australia. (2008). </w:t>
      </w:r>
      <w:r w:rsidRPr="007136F6">
        <w:rPr>
          <w:sz w:val="18"/>
          <w:u w:val="single"/>
          <w:lang w:val="en-AU"/>
        </w:rPr>
        <w:t>Gap analysis for CALD populations requiring HIV</w:t>
      </w:r>
      <w:proofErr w:type="gramStart"/>
      <w:r w:rsidRPr="007136F6">
        <w:rPr>
          <w:sz w:val="18"/>
          <w:u w:val="single"/>
          <w:lang w:val="en-AU"/>
        </w:rPr>
        <w:t>?/</w:t>
      </w:r>
      <w:proofErr w:type="gramEnd"/>
      <w:r w:rsidRPr="007136F6">
        <w:rPr>
          <w:sz w:val="18"/>
          <w:u w:val="single"/>
          <w:lang w:val="en-AU"/>
        </w:rPr>
        <w:t>AIDS/STI services in the central hospital network</w:t>
      </w:r>
      <w:r>
        <w:rPr>
          <w:sz w:val="18"/>
          <w:u w:val="single"/>
          <w:lang w:val="en-AU"/>
        </w:rPr>
        <w:t>—</w:t>
      </w:r>
      <w:r w:rsidRPr="007136F6">
        <w:rPr>
          <w:sz w:val="18"/>
          <w:u w:val="single"/>
          <w:lang w:val="en-AU"/>
        </w:rPr>
        <w:t>Final report</w:t>
      </w:r>
      <w:r>
        <w:rPr>
          <w:sz w:val="18"/>
          <w:lang w:val="en-AU"/>
        </w:rPr>
        <w:t>.</w:t>
      </w:r>
      <w:r w:rsidRPr="007136F6">
        <w:rPr>
          <w:sz w:val="18"/>
          <w:lang w:val="en-AU"/>
        </w:rPr>
        <w:t xml:space="preserve"> June 2008. Accessed 10 May 2018 at</w:t>
      </w:r>
      <w:r>
        <w:rPr>
          <w:sz w:val="18"/>
          <w:lang w:val="en-AU"/>
        </w:rPr>
        <w:t>:</w:t>
      </w:r>
      <w:r w:rsidRPr="007136F6">
        <w:rPr>
          <w:sz w:val="18"/>
          <w:lang w:val="en-AU"/>
        </w:rPr>
        <w:t xml:space="preserve"> </w:t>
      </w:r>
      <w:hyperlink r:id="rId16" w:tooltip="Cultural and Indigenous Research Centre Australia" w:history="1">
        <w:r w:rsidRPr="007136F6">
          <w:rPr>
            <w:rStyle w:val="Hyperlink"/>
            <w:sz w:val="18"/>
            <w:lang w:val="en-AU"/>
          </w:rPr>
          <w:t>https://www.seslhd.health.nsw.gov.au/HARP/Documents/CALDGapAnalysisReport.pdf</w:t>
        </w:r>
      </w:hyperlink>
      <w:r w:rsidRPr="007136F6">
        <w:rPr>
          <w:sz w:val="18"/>
          <w:lang w:val="en-AU"/>
        </w:rPr>
        <w:t xml:space="preserve"> </w:t>
      </w:r>
    </w:p>
  </w:endnote>
  <w:endnote w:id="55">
    <w:p w:rsidR="00E90473" w:rsidRPr="00B65740" w:rsidRDefault="00E90473" w:rsidP="004C0EDD">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lang w:val="en-AU"/>
        </w:rPr>
        <w:t xml:space="preserve"> Coelho, A., S. Chang, G. </w:t>
      </w:r>
      <w:proofErr w:type="spellStart"/>
      <w:r w:rsidRPr="00B65740">
        <w:rPr>
          <w:rFonts w:cs="Segoe UI"/>
          <w:sz w:val="18"/>
          <w:szCs w:val="18"/>
          <w:lang w:val="en-AU"/>
        </w:rPr>
        <w:t>Babatsikos</w:t>
      </w:r>
      <w:proofErr w:type="spellEnd"/>
      <w:r>
        <w:rPr>
          <w:rFonts w:cs="Segoe UI"/>
          <w:sz w:val="18"/>
          <w:szCs w:val="18"/>
          <w:lang w:val="en-AU"/>
        </w:rPr>
        <w:t>,</w:t>
      </w:r>
      <w:r w:rsidRPr="00B65740">
        <w:rPr>
          <w:rFonts w:cs="Segoe UI"/>
          <w:sz w:val="18"/>
          <w:szCs w:val="18"/>
          <w:lang w:val="en-AU"/>
        </w:rPr>
        <w:t xml:space="preserve"> and B. </w:t>
      </w:r>
      <w:proofErr w:type="spellStart"/>
      <w:r w:rsidRPr="00B65740">
        <w:rPr>
          <w:rFonts w:cs="Segoe UI"/>
          <w:sz w:val="18"/>
          <w:szCs w:val="18"/>
          <w:lang w:val="en-AU"/>
        </w:rPr>
        <w:t>Sudarto</w:t>
      </w:r>
      <w:proofErr w:type="spellEnd"/>
      <w:r w:rsidRPr="00B65740">
        <w:rPr>
          <w:rFonts w:cs="Segoe UI"/>
          <w:sz w:val="18"/>
          <w:szCs w:val="18"/>
          <w:lang w:val="en-AU"/>
        </w:rPr>
        <w:t xml:space="preserve">. (2017). </w:t>
      </w:r>
      <w:r w:rsidRPr="00F537E8">
        <w:rPr>
          <w:rFonts w:cs="Segoe UI"/>
          <w:sz w:val="18"/>
          <w:szCs w:val="18"/>
          <w:u w:val="single"/>
          <w:lang w:val="en-AU"/>
        </w:rPr>
        <w:t>Abstract—Sexual and reproductive health of international students</w:t>
      </w:r>
      <w:r>
        <w:rPr>
          <w:rFonts w:cs="Segoe UI"/>
          <w:sz w:val="18"/>
          <w:szCs w:val="18"/>
          <w:lang w:val="en-AU"/>
        </w:rPr>
        <w:t>.</w:t>
      </w:r>
      <w:r w:rsidRPr="00B65740">
        <w:rPr>
          <w:rFonts w:cs="Segoe UI"/>
          <w:sz w:val="18"/>
          <w:szCs w:val="18"/>
          <w:lang w:val="en-AU"/>
        </w:rPr>
        <w:t xml:space="preserve"> Panel discussion at the 27</w:t>
      </w:r>
      <w:r w:rsidRPr="00B65740">
        <w:rPr>
          <w:rFonts w:cs="Segoe UI"/>
          <w:sz w:val="18"/>
          <w:szCs w:val="18"/>
          <w:vertAlign w:val="superscript"/>
          <w:lang w:val="en-AU"/>
        </w:rPr>
        <w:t>th</w:t>
      </w:r>
      <w:r w:rsidRPr="00B65740">
        <w:rPr>
          <w:rFonts w:cs="Segoe UI"/>
          <w:sz w:val="18"/>
          <w:szCs w:val="18"/>
          <w:lang w:val="en-AU"/>
        </w:rPr>
        <w:t xml:space="preserve"> ASANA International Education Association Conference.</w:t>
      </w:r>
      <w:r w:rsidRPr="00B65740">
        <w:rPr>
          <w:rFonts w:cs="Segoe UI"/>
          <w:sz w:val="18"/>
          <w:szCs w:val="18"/>
        </w:rPr>
        <w:t xml:space="preserve"> </w:t>
      </w:r>
      <w:r w:rsidRPr="00B65740">
        <w:rPr>
          <w:rFonts w:cs="Segoe UI"/>
          <w:sz w:val="18"/>
          <w:szCs w:val="18"/>
          <w:lang w:val="en-AU"/>
        </w:rPr>
        <w:t>Accessed 1 May 2018 at</w:t>
      </w:r>
      <w:r>
        <w:rPr>
          <w:rFonts w:cs="Segoe UI"/>
          <w:sz w:val="18"/>
          <w:szCs w:val="18"/>
          <w:lang w:val="en-AU"/>
        </w:rPr>
        <w:t>:</w:t>
      </w:r>
      <w:r w:rsidRPr="00B65740">
        <w:rPr>
          <w:rFonts w:cs="Segoe UI"/>
          <w:sz w:val="18"/>
          <w:szCs w:val="18"/>
          <w:lang w:val="en-AU"/>
        </w:rPr>
        <w:t xml:space="preserve"> </w:t>
      </w:r>
      <w:hyperlink r:id="rId17" w:tooltip="ASANA" w:history="1">
        <w:r w:rsidRPr="00B65740">
          <w:rPr>
            <w:rStyle w:val="Hyperlink"/>
            <w:rFonts w:cs="Segoe UI"/>
            <w:sz w:val="18"/>
            <w:szCs w:val="18"/>
          </w:rPr>
          <w:t>http://www.isana-anzssa.com/1733</w:t>
        </w:r>
      </w:hyperlink>
      <w:r w:rsidRPr="00B65740">
        <w:rPr>
          <w:rFonts w:cs="Segoe UI"/>
          <w:sz w:val="18"/>
          <w:szCs w:val="18"/>
          <w:lang w:val="en-AU"/>
        </w:rPr>
        <w:t xml:space="preserve"> </w:t>
      </w:r>
    </w:p>
  </w:endnote>
  <w:endnote w:id="56">
    <w:p w:rsidR="00E90473" w:rsidRPr="00B65740" w:rsidRDefault="00E90473" w:rsidP="004C0EDD">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r w:rsidRPr="00B65740">
        <w:rPr>
          <w:rFonts w:cs="Segoe UI"/>
          <w:sz w:val="18"/>
          <w:szCs w:val="18"/>
          <w:lang w:val="en-AU"/>
        </w:rPr>
        <w:t>McNulty, A. M., C. Egan, H. Wand</w:t>
      </w:r>
      <w:r>
        <w:rPr>
          <w:rFonts w:cs="Segoe UI"/>
          <w:sz w:val="18"/>
          <w:szCs w:val="18"/>
          <w:lang w:val="en-AU"/>
        </w:rPr>
        <w:t>,</w:t>
      </w:r>
      <w:r w:rsidRPr="00B65740">
        <w:rPr>
          <w:rFonts w:cs="Segoe UI"/>
          <w:sz w:val="18"/>
          <w:szCs w:val="18"/>
          <w:lang w:val="en-AU"/>
        </w:rPr>
        <w:t xml:space="preserve"> and B. Donovan. (2010). </w:t>
      </w:r>
      <w:r>
        <w:rPr>
          <w:rFonts w:cs="Segoe UI"/>
          <w:sz w:val="18"/>
          <w:szCs w:val="18"/>
          <w:lang w:val="en-AU"/>
        </w:rPr>
        <w:t>‘</w:t>
      </w:r>
      <w:r w:rsidRPr="00B65740">
        <w:rPr>
          <w:rFonts w:cs="Segoe UI"/>
          <w:sz w:val="18"/>
          <w:szCs w:val="18"/>
          <w:lang w:val="en-AU"/>
        </w:rPr>
        <w:t>The behaviour and sexual health of young international travellers (backpackers) in Australia.</w:t>
      </w:r>
      <w:r>
        <w:rPr>
          <w:rFonts w:cs="Segoe UI"/>
          <w:sz w:val="18"/>
          <w:szCs w:val="18"/>
          <w:lang w:val="en-AU"/>
        </w:rPr>
        <w:t>’</w:t>
      </w:r>
      <w:r w:rsidRPr="00B65740">
        <w:rPr>
          <w:rFonts w:cs="Segoe UI"/>
          <w:sz w:val="18"/>
          <w:szCs w:val="18"/>
          <w:lang w:val="en-AU"/>
        </w:rPr>
        <w:t xml:space="preserve"> </w:t>
      </w:r>
      <w:r w:rsidRPr="00B65740">
        <w:rPr>
          <w:rFonts w:cs="Segoe UI"/>
          <w:sz w:val="18"/>
          <w:szCs w:val="18"/>
          <w:u w:val="single"/>
          <w:lang w:val="en-AU"/>
        </w:rPr>
        <w:t>Sexually Transmitted Infections</w:t>
      </w:r>
      <w:r w:rsidRPr="00B65740">
        <w:rPr>
          <w:rFonts w:cs="Segoe UI"/>
          <w:sz w:val="18"/>
          <w:szCs w:val="18"/>
          <w:lang w:val="en-AU"/>
        </w:rPr>
        <w:t xml:space="preserve">, </w:t>
      </w:r>
      <w:r w:rsidRPr="00B65740">
        <w:rPr>
          <w:rFonts w:cs="Segoe UI"/>
          <w:b/>
          <w:sz w:val="18"/>
          <w:szCs w:val="18"/>
          <w:lang w:val="en-AU"/>
        </w:rPr>
        <w:t>86</w:t>
      </w:r>
      <w:r w:rsidRPr="00B65740">
        <w:rPr>
          <w:rFonts w:cs="Segoe UI"/>
          <w:sz w:val="18"/>
          <w:szCs w:val="18"/>
          <w:lang w:val="en-AU"/>
        </w:rPr>
        <w:t>(3):247</w:t>
      </w:r>
      <w:r>
        <w:rPr>
          <w:rFonts w:cs="Segoe UI"/>
          <w:sz w:val="18"/>
          <w:szCs w:val="18"/>
          <w:lang w:val="en-AU"/>
        </w:rPr>
        <w:t>–</w:t>
      </w:r>
      <w:r w:rsidRPr="00B65740">
        <w:rPr>
          <w:rFonts w:cs="Segoe UI"/>
          <w:sz w:val="18"/>
          <w:szCs w:val="18"/>
          <w:lang w:val="en-AU"/>
        </w:rPr>
        <w:t>250.</w:t>
      </w:r>
    </w:p>
  </w:endnote>
  <w:endnote w:id="57">
    <w:p w:rsidR="00E90473" w:rsidRPr="00B65740" w:rsidRDefault="00E90473" w:rsidP="004C0EDD">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r w:rsidRPr="00B65740">
        <w:rPr>
          <w:rFonts w:cs="Segoe UI"/>
          <w:sz w:val="18"/>
          <w:szCs w:val="18"/>
          <w:lang w:val="en-AU"/>
        </w:rPr>
        <w:t>Scott, N.</w:t>
      </w:r>
      <w:r>
        <w:rPr>
          <w:rFonts w:cs="Segoe UI"/>
          <w:sz w:val="18"/>
          <w:szCs w:val="18"/>
          <w:lang w:val="en-AU"/>
        </w:rPr>
        <w:t>,</w:t>
      </w:r>
      <w:r w:rsidRPr="00B65740">
        <w:rPr>
          <w:rFonts w:cs="Segoe UI"/>
          <w:sz w:val="18"/>
          <w:szCs w:val="18"/>
          <w:lang w:val="en-AU"/>
        </w:rPr>
        <w:t xml:space="preserve"> E. </w:t>
      </w:r>
      <w:proofErr w:type="spellStart"/>
      <w:r w:rsidRPr="00B65740">
        <w:rPr>
          <w:rFonts w:cs="Segoe UI"/>
          <w:sz w:val="18"/>
          <w:szCs w:val="18"/>
          <w:lang w:val="en-AU"/>
        </w:rPr>
        <w:t>McBryde</w:t>
      </w:r>
      <w:proofErr w:type="spellEnd"/>
      <w:r w:rsidRPr="00B65740">
        <w:rPr>
          <w:rFonts w:cs="Segoe UI"/>
          <w:sz w:val="18"/>
          <w:szCs w:val="18"/>
          <w:lang w:val="en-AU"/>
        </w:rPr>
        <w:t>, A. Kirwan</w:t>
      </w:r>
      <w:r>
        <w:rPr>
          <w:rFonts w:cs="Segoe UI"/>
          <w:sz w:val="18"/>
          <w:szCs w:val="18"/>
          <w:lang w:val="en-AU"/>
        </w:rPr>
        <w:t>,</w:t>
      </w:r>
      <w:r w:rsidRPr="00B65740">
        <w:rPr>
          <w:rFonts w:cs="Segoe UI"/>
          <w:sz w:val="18"/>
          <w:szCs w:val="18"/>
          <w:lang w:val="en-AU"/>
        </w:rPr>
        <w:t xml:space="preserve"> and M. </w:t>
      </w:r>
      <w:proofErr w:type="spellStart"/>
      <w:r w:rsidRPr="00B65740">
        <w:rPr>
          <w:rFonts w:cs="Segoe UI"/>
          <w:sz w:val="18"/>
          <w:szCs w:val="18"/>
          <w:lang w:val="en-AU"/>
        </w:rPr>
        <w:t>Stoove</w:t>
      </w:r>
      <w:proofErr w:type="spellEnd"/>
      <w:r w:rsidRPr="00B65740">
        <w:rPr>
          <w:rFonts w:cs="Segoe UI"/>
          <w:sz w:val="18"/>
          <w:szCs w:val="18"/>
          <w:lang w:val="en-AU"/>
        </w:rPr>
        <w:t xml:space="preserve">. (2015). </w:t>
      </w:r>
      <w:r>
        <w:rPr>
          <w:rFonts w:cs="Segoe UI"/>
          <w:sz w:val="18"/>
          <w:szCs w:val="18"/>
          <w:lang w:val="en-AU"/>
        </w:rPr>
        <w:t>‘</w:t>
      </w:r>
      <w:r w:rsidRPr="00B65740">
        <w:rPr>
          <w:rFonts w:cs="Segoe UI"/>
          <w:sz w:val="18"/>
          <w:szCs w:val="18"/>
          <w:lang w:val="en-AU"/>
        </w:rPr>
        <w:t>Modelling the impact of condom distribution on the incidence and prevalence of sexually transmitted infections in an adult male prison system.</w:t>
      </w:r>
      <w:r>
        <w:rPr>
          <w:rFonts w:cs="Segoe UI"/>
          <w:sz w:val="18"/>
          <w:szCs w:val="18"/>
          <w:lang w:val="en-AU"/>
        </w:rPr>
        <w:t>’</w:t>
      </w:r>
      <w:r w:rsidRPr="00B65740">
        <w:rPr>
          <w:rFonts w:cs="Segoe UI"/>
          <w:sz w:val="18"/>
          <w:szCs w:val="18"/>
          <w:lang w:val="en-AU"/>
        </w:rPr>
        <w:t xml:space="preserve"> </w:t>
      </w:r>
      <w:r w:rsidRPr="00B65740">
        <w:rPr>
          <w:rFonts w:cs="Segoe UI"/>
          <w:sz w:val="18"/>
          <w:szCs w:val="18"/>
          <w:u w:val="single"/>
          <w:lang w:val="en-AU"/>
        </w:rPr>
        <w:t>PLOS One</w:t>
      </w:r>
      <w:r w:rsidRPr="00B65740">
        <w:rPr>
          <w:rFonts w:cs="Segoe UI"/>
          <w:sz w:val="18"/>
          <w:szCs w:val="18"/>
          <w:lang w:val="en-AU"/>
        </w:rPr>
        <w:t xml:space="preserve"> [online], Accessed 1 May 2018 at</w:t>
      </w:r>
      <w:r>
        <w:rPr>
          <w:rFonts w:cs="Segoe UI"/>
          <w:sz w:val="18"/>
          <w:szCs w:val="18"/>
          <w:lang w:val="en-AU"/>
        </w:rPr>
        <w:t>:</w:t>
      </w:r>
      <w:r w:rsidRPr="00B65740">
        <w:rPr>
          <w:rFonts w:cs="Segoe UI"/>
          <w:sz w:val="18"/>
          <w:szCs w:val="18"/>
          <w:lang w:val="en-AU"/>
        </w:rPr>
        <w:t xml:space="preserve"> </w:t>
      </w:r>
      <w:hyperlink r:id="rId18" w:tooltip="PLOS" w:history="1">
        <w:r w:rsidRPr="00B65740">
          <w:rPr>
            <w:rStyle w:val="Hyperlink"/>
            <w:rFonts w:cs="Segoe UI"/>
            <w:sz w:val="18"/>
            <w:szCs w:val="18"/>
            <w:lang w:val="en-AU"/>
          </w:rPr>
          <w:t>http://journals.plos.org/plosone/article?id=10.1371/journal.pone.0144869</w:t>
        </w:r>
      </w:hyperlink>
      <w:r w:rsidRPr="00B65740">
        <w:rPr>
          <w:rFonts w:cs="Segoe UI"/>
          <w:sz w:val="18"/>
          <w:szCs w:val="18"/>
          <w:lang w:val="en-AU"/>
        </w:rPr>
        <w:t xml:space="preserve"> </w:t>
      </w:r>
    </w:p>
  </w:endnote>
  <w:endnote w:id="58">
    <w:p w:rsidR="00E90473" w:rsidRPr="00B65740" w:rsidRDefault="00E90473" w:rsidP="00874BAF">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proofErr w:type="spellStart"/>
      <w:r w:rsidRPr="00B65740">
        <w:rPr>
          <w:rFonts w:cs="Segoe UI"/>
          <w:sz w:val="18"/>
          <w:szCs w:val="18"/>
          <w:lang w:val="en-AU"/>
        </w:rPr>
        <w:t>Richters</w:t>
      </w:r>
      <w:proofErr w:type="spellEnd"/>
      <w:r w:rsidRPr="00B65740">
        <w:rPr>
          <w:rFonts w:cs="Segoe UI"/>
          <w:sz w:val="18"/>
          <w:szCs w:val="18"/>
          <w:lang w:val="en-AU"/>
        </w:rPr>
        <w:t>, J., T. Butler, L. Yap, K. Kirkwood, L. Grant, A. Smith, K. Schneider</w:t>
      </w:r>
      <w:r>
        <w:rPr>
          <w:rFonts w:cs="Segoe UI"/>
          <w:sz w:val="18"/>
          <w:szCs w:val="18"/>
          <w:lang w:val="en-AU"/>
        </w:rPr>
        <w:t>,</w:t>
      </w:r>
      <w:r w:rsidRPr="00B65740">
        <w:rPr>
          <w:rFonts w:cs="Segoe UI"/>
          <w:sz w:val="18"/>
          <w:szCs w:val="18"/>
          <w:lang w:val="en-AU"/>
        </w:rPr>
        <w:t xml:space="preserve"> and B. Donovan. (2008). </w:t>
      </w:r>
      <w:r w:rsidRPr="00F537E8">
        <w:rPr>
          <w:rFonts w:cs="Segoe UI"/>
          <w:sz w:val="18"/>
          <w:szCs w:val="18"/>
          <w:u w:val="single"/>
          <w:lang w:val="en-AU"/>
        </w:rPr>
        <w:t>Sexual health and behaviour of New South Wales prisoners</w:t>
      </w:r>
      <w:r w:rsidRPr="00B65740">
        <w:rPr>
          <w:rFonts w:cs="Segoe UI"/>
          <w:sz w:val="18"/>
          <w:szCs w:val="18"/>
          <w:lang w:val="en-AU"/>
        </w:rPr>
        <w:t>. School of Public Health and Community Medicine, University of New South Wales: Sydney.</w:t>
      </w:r>
    </w:p>
  </w:endnote>
  <w:endnote w:id="59">
    <w:p w:rsidR="00E90473" w:rsidRPr="00B65740" w:rsidRDefault="00E90473" w:rsidP="002575D8">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Butler, T., B. Donovan, M. Levy</w:t>
      </w:r>
      <w:r>
        <w:rPr>
          <w:rFonts w:cs="Segoe UI"/>
          <w:sz w:val="18"/>
          <w:szCs w:val="18"/>
        </w:rPr>
        <w:t>,</w:t>
      </w:r>
      <w:r w:rsidRPr="00B65740">
        <w:rPr>
          <w:rFonts w:cs="Segoe UI"/>
          <w:sz w:val="18"/>
          <w:szCs w:val="18"/>
        </w:rPr>
        <w:t xml:space="preserve"> and J. </w:t>
      </w:r>
      <w:proofErr w:type="spellStart"/>
      <w:r w:rsidRPr="00B65740">
        <w:rPr>
          <w:rFonts w:cs="Segoe UI"/>
          <w:sz w:val="18"/>
          <w:szCs w:val="18"/>
        </w:rPr>
        <w:t>Kaldor</w:t>
      </w:r>
      <w:proofErr w:type="spellEnd"/>
      <w:r w:rsidRPr="00B65740">
        <w:rPr>
          <w:rFonts w:cs="Segoe UI"/>
          <w:sz w:val="18"/>
          <w:szCs w:val="18"/>
        </w:rPr>
        <w:t xml:space="preserve">. </w:t>
      </w:r>
      <w:r w:rsidRPr="00B65740">
        <w:rPr>
          <w:rFonts w:cs="Segoe UI"/>
          <w:sz w:val="18"/>
          <w:szCs w:val="18"/>
          <w:lang w:val="en-AU"/>
        </w:rPr>
        <w:t xml:space="preserve">(2002). </w:t>
      </w:r>
      <w:r>
        <w:rPr>
          <w:rFonts w:cs="Segoe UI"/>
          <w:sz w:val="18"/>
          <w:szCs w:val="18"/>
          <w:lang w:val="en-AU"/>
        </w:rPr>
        <w:t>‘</w:t>
      </w:r>
      <w:r w:rsidRPr="00B65740">
        <w:rPr>
          <w:rFonts w:cs="Segoe UI"/>
          <w:sz w:val="18"/>
          <w:szCs w:val="18"/>
          <w:lang w:val="en-AU"/>
        </w:rPr>
        <w:t>Letters to the Editor</w:t>
      </w:r>
      <w:r>
        <w:rPr>
          <w:rFonts w:cs="Segoe UI"/>
          <w:sz w:val="18"/>
          <w:szCs w:val="18"/>
          <w:lang w:val="en-AU"/>
        </w:rPr>
        <w:t>—</w:t>
      </w:r>
      <w:r w:rsidRPr="00B65740">
        <w:rPr>
          <w:rFonts w:cs="Segoe UI"/>
          <w:sz w:val="18"/>
          <w:szCs w:val="18"/>
          <w:lang w:val="en-AU"/>
        </w:rPr>
        <w:t>Sex behind the prison walls.</w:t>
      </w:r>
      <w:r>
        <w:rPr>
          <w:rFonts w:cs="Segoe UI"/>
          <w:sz w:val="18"/>
          <w:szCs w:val="18"/>
          <w:lang w:val="en-AU"/>
        </w:rPr>
        <w:t>’</w:t>
      </w:r>
      <w:r w:rsidRPr="00B65740">
        <w:rPr>
          <w:rFonts w:cs="Segoe UI"/>
          <w:sz w:val="18"/>
          <w:szCs w:val="18"/>
          <w:lang w:val="en-AU"/>
        </w:rPr>
        <w:t xml:space="preserve"> </w:t>
      </w:r>
      <w:r w:rsidRPr="00F537E8">
        <w:rPr>
          <w:rFonts w:cs="Segoe UI"/>
          <w:sz w:val="18"/>
          <w:szCs w:val="18"/>
          <w:u w:val="single"/>
          <w:lang w:val="en-AU"/>
        </w:rPr>
        <w:t>Australian and New Zealand Journal of Public Health</w:t>
      </w:r>
      <w:r w:rsidRPr="00B65740">
        <w:rPr>
          <w:rFonts w:cs="Segoe UI"/>
          <w:sz w:val="18"/>
          <w:szCs w:val="18"/>
          <w:lang w:val="en-AU"/>
        </w:rPr>
        <w:t xml:space="preserve">, </w:t>
      </w:r>
      <w:r w:rsidRPr="00B65740">
        <w:rPr>
          <w:rFonts w:cs="Segoe UI"/>
          <w:b/>
          <w:sz w:val="18"/>
          <w:szCs w:val="18"/>
          <w:lang w:val="en-AU"/>
        </w:rPr>
        <w:t>36</w:t>
      </w:r>
      <w:r w:rsidRPr="00B65740">
        <w:rPr>
          <w:rFonts w:cs="Segoe UI"/>
          <w:sz w:val="18"/>
          <w:szCs w:val="18"/>
          <w:lang w:val="en-AU"/>
        </w:rPr>
        <w:t>(4):390.</w:t>
      </w:r>
    </w:p>
  </w:endnote>
  <w:endnote w:id="60">
    <w:p w:rsidR="00E90473" w:rsidRPr="00B65740" w:rsidRDefault="00E90473" w:rsidP="00236DA9">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The Kirby Institute.</w:t>
      </w:r>
      <w:r>
        <w:rPr>
          <w:rFonts w:cs="Segoe UI"/>
          <w:sz w:val="18"/>
          <w:szCs w:val="18"/>
        </w:rPr>
        <w:t xml:space="preserve"> </w:t>
      </w:r>
      <w:r w:rsidRPr="00B65740">
        <w:rPr>
          <w:rFonts w:cs="Segoe UI"/>
          <w:sz w:val="18"/>
          <w:szCs w:val="18"/>
          <w:lang w:val="en-AU"/>
        </w:rPr>
        <w:t>(2017).</w:t>
      </w:r>
      <w:r w:rsidRPr="00B65740">
        <w:rPr>
          <w:rFonts w:cs="Segoe UI"/>
          <w:sz w:val="18"/>
          <w:szCs w:val="18"/>
        </w:rPr>
        <w:t xml:space="preserve"> </w:t>
      </w:r>
      <w:r w:rsidRPr="00B65740">
        <w:rPr>
          <w:rFonts w:cs="Segoe UI"/>
          <w:sz w:val="18"/>
          <w:szCs w:val="18"/>
          <w:u w:val="single"/>
        </w:rPr>
        <w:t xml:space="preserve">National Prison Entrants’ </w:t>
      </w:r>
      <w:proofErr w:type="spellStart"/>
      <w:r w:rsidRPr="00B65740">
        <w:rPr>
          <w:rFonts w:cs="Segoe UI"/>
          <w:sz w:val="18"/>
          <w:szCs w:val="18"/>
          <w:u w:val="single"/>
        </w:rPr>
        <w:t>Bloodborne</w:t>
      </w:r>
      <w:proofErr w:type="spellEnd"/>
      <w:r w:rsidRPr="00B65740">
        <w:rPr>
          <w:rFonts w:cs="Segoe UI"/>
          <w:sz w:val="18"/>
          <w:szCs w:val="18"/>
          <w:u w:val="single"/>
        </w:rPr>
        <w:t xml:space="preserve"> virus and risk behaviour survey report, 2004, 2007, 2010, 2013 and 2016</w:t>
      </w:r>
      <w:r w:rsidRPr="00B65740">
        <w:rPr>
          <w:rFonts w:cs="Segoe UI"/>
          <w:sz w:val="18"/>
          <w:szCs w:val="18"/>
          <w:lang w:val="en-AU"/>
        </w:rPr>
        <w:t>. Accessed 1 May 2018 at</w:t>
      </w:r>
      <w:r>
        <w:rPr>
          <w:rFonts w:cs="Segoe UI"/>
          <w:sz w:val="18"/>
          <w:szCs w:val="18"/>
          <w:lang w:val="en-AU"/>
        </w:rPr>
        <w:t>:</w:t>
      </w:r>
      <w:r w:rsidRPr="00B65740">
        <w:rPr>
          <w:rFonts w:cs="Segoe UI"/>
          <w:sz w:val="18"/>
          <w:szCs w:val="18"/>
          <w:lang w:val="en-AU"/>
        </w:rPr>
        <w:t xml:space="preserve"> </w:t>
      </w:r>
      <w:hyperlink r:id="rId19" w:tooltip="Kirby" w:history="1">
        <w:r w:rsidRPr="00B65740">
          <w:rPr>
            <w:rStyle w:val="Hyperlink"/>
            <w:rFonts w:cs="Segoe UI"/>
            <w:sz w:val="18"/>
            <w:szCs w:val="18"/>
            <w:lang w:val="en-AU"/>
          </w:rPr>
          <w:t>https://kirby.unsw.edu.au/sites/default/files/kirby/report/JHP_National-Prison-Entrants-Report-2004-2007-2010-2013-2016.pdf</w:t>
        </w:r>
      </w:hyperlink>
      <w:r w:rsidRPr="00B65740">
        <w:rPr>
          <w:rFonts w:cs="Segoe UI"/>
          <w:sz w:val="18"/>
          <w:szCs w:val="18"/>
          <w:lang w:val="en-AU"/>
        </w:rPr>
        <w:t xml:space="preserve"> </w:t>
      </w:r>
    </w:p>
  </w:endnote>
  <w:endnote w:id="61">
    <w:p w:rsidR="00E90473" w:rsidRPr="00B65740" w:rsidRDefault="00E90473" w:rsidP="004C0EDD">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proofErr w:type="spellStart"/>
      <w:r w:rsidRPr="00B65740">
        <w:rPr>
          <w:rFonts w:cs="Segoe UI"/>
          <w:sz w:val="18"/>
          <w:szCs w:val="18"/>
          <w:lang w:val="en-AU"/>
        </w:rPr>
        <w:t>Javanbakht</w:t>
      </w:r>
      <w:proofErr w:type="spellEnd"/>
      <w:r w:rsidRPr="00B65740">
        <w:rPr>
          <w:rFonts w:cs="Segoe UI"/>
          <w:sz w:val="18"/>
          <w:szCs w:val="18"/>
          <w:lang w:val="en-AU"/>
        </w:rPr>
        <w:t xml:space="preserve">, M., M. </w:t>
      </w:r>
      <w:proofErr w:type="spellStart"/>
      <w:r w:rsidRPr="00B65740">
        <w:rPr>
          <w:rFonts w:cs="Segoe UI"/>
          <w:sz w:val="18"/>
          <w:szCs w:val="18"/>
          <w:lang w:val="en-AU"/>
        </w:rPr>
        <w:t>Boudov</w:t>
      </w:r>
      <w:proofErr w:type="spellEnd"/>
      <w:r w:rsidRPr="00B65740">
        <w:rPr>
          <w:rFonts w:cs="Segoe UI"/>
          <w:sz w:val="18"/>
          <w:szCs w:val="18"/>
          <w:lang w:val="en-AU"/>
        </w:rPr>
        <w:t xml:space="preserve">, L. J. Anderson, M. </w:t>
      </w:r>
      <w:proofErr w:type="spellStart"/>
      <w:r w:rsidRPr="00B65740">
        <w:rPr>
          <w:rFonts w:cs="Segoe UI"/>
          <w:sz w:val="18"/>
          <w:szCs w:val="18"/>
          <w:lang w:val="en-AU"/>
        </w:rPr>
        <w:t>Malek</w:t>
      </w:r>
      <w:proofErr w:type="spellEnd"/>
      <w:r w:rsidRPr="00B65740">
        <w:rPr>
          <w:rFonts w:cs="Segoe UI"/>
          <w:sz w:val="18"/>
          <w:szCs w:val="18"/>
          <w:lang w:val="en-AU"/>
        </w:rPr>
        <w:t xml:space="preserve">, L. V. </w:t>
      </w:r>
      <w:proofErr w:type="gramStart"/>
      <w:r w:rsidRPr="00B65740">
        <w:rPr>
          <w:rFonts w:cs="Segoe UI"/>
          <w:sz w:val="18"/>
          <w:szCs w:val="18"/>
          <w:lang w:val="en-AU"/>
        </w:rPr>
        <w:t>Smith ,</w:t>
      </w:r>
      <w:proofErr w:type="gramEnd"/>
      <w:r w:rsidRPr="00B65740">
        <w:rPr>
          <w:rFonts w:cs="Segoe UI"/>
          <w:sz w:val="18"/>
          <w:szCs w:val="18"/>
          <w:lang w:val="en-AU"/>
        </w:rPr>
        <w:t xml:space="preserve"> M. </w:t>
      </w:r>
      <w:proofErr w:type="spellStart"/>
      <w:r w:rsidRPr="00B65740">
        <w:rPr>
          <w:rFonts w:cs="Segoe UI"/>
          <w:sz w:val="18"/>
          <w:szCs w:val="18"/>
          <w:lang w:val="en-AU"/>
        </w:rPr>
        <w:t>Chien</w:t>
      </w:r>
      <w:proofErr w:type="spellEnd"/>
      <w:r>
        <w:rPr>
          <w:rFonts w:cs="Segoe UI"/>
          <w:sz w:val="18"/>
          <w:szCs w:val="18"/>
          <w:lang w:val="en-AU"/>
        </w:rPr>
        <w:t>,</w:t>
      </w:r>
      <w:r w:rsidRPr="00B65740">
        <w:rPr>
          <w:rFonts w:cs="Segoe UI"/>
          <w:sz w:val="18"/>
          <w:szCs w:val="18"/>
          <w:lang w:val="en-AU"/>
        </w:rPr>
        <w:t xml:space="preserve"> and S. </w:t>
      </w:r>
      <w:proofErr w:type="spellStart"/>
      <w:r w:rsidRPr="00B65740">
        <w:rPr>
          <w:rFonts w:cs="Segoe UI"/>
          <w:sz w:val="18"/>
          <w:szCs w:val="18"/>
          <w:lang w:val="en-AU"/>
        </w:rPr>
        <w:t>Guerry</w:t>
      </w:r>
      <w:proofErr w:type="spellEnd"/>
      <w:r w:rsidRPr="00B65740">
        <w:rPr>
          <w:rFonts w:cs="Segoe UI"/>
          <w:sz w:val="18"/>
          <w:szCs w:val="18"/>
          <w:lang w:val="en-AU"/>
        </w:rPr>
        <w:t xml:space="preserve">. (2014). </w:t>
      </w:r>
      <w:r>
        <w:rPr>
          <w:rFonts w:cs="Segoe UI"/>
          <w:sz w:val="18"/>
          <w:szCs w:val="18"/>
          <w:lang w:val="en-AU"/>
        </w:rPr>
        <w:t>‘</w:t>
      </w:r>
      <w:proofErr w:type="gramStart"/>
      <w:r w:rsidRPr="00B65740">
        <w:rPr>
          <w:rFonts w:cs="Segoe UI"/>
          <w:sz w:val="18"/>
          <w:szCs w:val="18"/>
          <w:lang w:val="en-AU"/>
        </w:rPr>
        <w:t>Sexually</w:t>
      </w:r>
      <w:proofErr w:type="gramEnd"/>
      <w:r w:rsidRPr="00B65740">
        <w:rPr>
          <w:rFonts w:cs="Segoe UI"/>
          <w:sz w:val="18"/>
          <w:szCs w:val="18"/>
          <w:lang w:val="en-AU"/>
        </w:rPr>
        <w:t xml:space="preserve"> transmitted infections among incarcerated women: findings from a decade of screening in a Los Angeles county jail, 2002</w:t>
      </w:r>
      <w:r>
        <w:rPr>
          <w:rFonts w:cs="Segoe UI"/>
          <w:sz w:val="18"/>
          <w:szCs w:val="18"/>
          <w:lang w:val="en-AU"/>
        </w:rPr>
        <w:t>–</w:t>
      </w:r>
      <w:r w:rsidRPr="00B65740">
        <w:rPr>
          <w:rFonts w:cs="Segoe UI"/>
          <w:sz w:val="18"/>
          <w:szCs w:val="18"/>
          <w:lang w:val="en-AU"/>
        </w:rPr>
        <w:t>2012.</w:t>
      </w:r>
      <w:r>
        <w:rPr>
          <w:rFonts w:cs="Segoe UI"/>
          <w:sz w:val="18"/>
          <w:szCs w:val="18"/>
          <w:lang w:val="en-AU"/>
        </w:rPr>
        <w:t>’</w:t>
      </w:r>
      <w:r w:rsidRPr="00B65740">
        <w:rPr>
          <w:rFonts w:cs="Segoe UI"/>
          <w:sz w:val="18"/>
          <w:szCs w:val="18"/>
          <w:lang w:val="en-AU"/>
        </w:rPr>
        <w:t xml:space="preserve"> </w:t>
      </w:r>
      <w:r w:rsidRPr="00B65740">
        <w:rPr>
          <w:rFonts w:cs="Segoe UI"/>
          <w:sz w:val="18"/>
          <w:szCs w:val="18"/>
          <w:u w:val="single"/>
          <w:lang w:val="en-AU"/>
        </w:rPr>
        <w:t>American Journal of Public Health</w:t>
      </w:r>
      <w:r w:rsidRPr="00B65740">
        <w:rPr>
          <w:rFonts w:cs="Segoe UI"/>
          <w:sz w:val="18"/>
          <w:szCs w:val="18"/>
          <w:lang w:val="en-AU"/>
        </w:rPr>
        <w:t xml:space="preserve">, </w:t>
      </w:r>
      <w:r w:rsidRPr="00B65740">
        <w:rPr>
          <w:rFonts w:cs="Segoe UI"/>
          <w:b/>
          <w:sz w:val="18"/>
          <w:szCs w:val="18"/>
          <w:lang w:val="en-AU"/>
        </w:rPr>
        <w:t>104</w:t>
      </w:r>
      <w:r w:rsidRPr="00B65740">
        <w:rPr>
          <w:rFonts w:cs="Segoe UI"/>
          <w:sz w:val="18"/>
          <w:szCs w:val="18"/>
          <w:lang w:val="en-AU"/>
        </w:rPr>
        <w:t>(11):e103</w:t>
      </w:r>
      <w:r>
        <w:rPr>
          <w:rFonts w:cs="Segoe UI"/>
          <w:sz w:val="18"/>
          <w:szCs w:val="18"/>
          <w:lang w:val="en-AU"/>
        </w:rPr>
        <w:t>–</w:t>
      </w:r>
      <w:r w:rsidRPr="00B65740">
        <w:rPr>
          <w:rFonts w:cs="Segoe UI"/>
          <w:sz w:val="18"/>
          <w:szCs w:val="18"/>
          <w:lang w:val="en-AU"/>
        </w:rPr>
        <w:t xml:space="preserve">e109. </w:t>
      </w:r>
    </w:p>
  </w:endnote>
  <w:endnote w:id="62">
    <w:p w:rsidR="00E90473" w:rsidRPr="00B65740" w:rsidRDefault="00E90473" w:rsidP="004C0EDD">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r w:rsidRPr="00B65740">
        <w:rPr>
          <w:rFonts w:cs="Segoe UI"/>
          <w:sz w:val="18"/>
          <w:szCs w:val="18"/>
          <w:lang w:val="en-AU"/>
        </w:rPr>
        <w:t>Thomas, J. C.,</w:t>
      </w:r>
      <w:r>
        <w:rPr>
          <w:rFonts w:cs="Segoe UI"/>
          <w:sz w:val="18"/>
          <w:szCs w:val="18"/>
          <w:lang w:val="en-AU"/>
        </w:rPr>
        <w:t xml:space="preserve"> </w:t>
      </w:r>
      <w:r w:rsidRPr="00B65740">
        <w:rPr>
          <w:rFonts w:cs="Segoe UI"/>
          <w:sz w:val="18"/>
          <w:szCs w:val="18"/>
          <w:lang w:val="en-AU"/>
        </w:rPr>
        <w:t xml:space="preserve">B. A. </w:t>
      </w:r>
      <w:proofErr w:type="spellStart"/>
      <w:r w:rsidRPr="00B65740">
        <w:rPr>
          <w:rFonts w:cs="Segoe UI"/>
          <w:sz w:val="18"/>
          <w:szCs w:val="18"/>
          <w:lang w:val="en-AU"/>
        </w:rPr>
        <w:t>Levandowski</w:t>
      </w:r>
      <w:proofErr w:type="spellEnd"/>
      <w:r w:rsidRPr="00B65740">
        <w:rPr>
          <w:rFonts w:cs="Segoe UI"/>
          <w:sz w:val="18"/>
          <w:szCs w:val="18"/>
          <w:lang w:val="en-AU"/>
        </w:rPr>
        <w:t xml:space="preserve">, M. R. Isler, E. </w:t>
      </w:r>
      <w:proofErr w:type="spellStart"/>
      <w:r w:rsidRPr="00B65740">
        <w:rPr>
          <w:rFonts w:cs="Segoe UI"/>
          <w:sz w:val="18"/>
          <w:szCs w:val="18"/>
          <w:lang w:val="en-AU"/>
        </w:rPr>
        <w:t>Torrone</w:t>
      </w:r>
      <w:proofErr w:type="spellEnd"/>
      <w:r>
        <w:rPr>
          <w:rFonts w:cs="Segoe UI"/>
          <w:sz w:val="18"/>
          <w:szCs w:val="18"/>
          <w:lang w:val="en-AU"/>
        </w:rPr>
        <w:t>,</w:t>
      </w:r>
      <w:r w:rsidRPr="00B65740">
        <w:rPr>
          <w:rFonts w:cs="Segoe UI"/>
          <w:sz w:val="18"/>
          <w:szCs w:val="18"/>
          <w:lang w:val="en-AU"/>
        </w:rPr>
        <w:t xml:space="preserve"> and G. Wilson. (2008). </w:t>
      </w:r>
      <w:r>
        <w:rPr>
          <w:rFonts w:cs="Segoe UI"/>
          <w:sz w:val="18"/>
          <w:szCs w:val="18"/>
          <w:lang w:val="en-AU"/>
        </w:rPr>
        <w:t>‘</w:t>
      </w:r>
      <w:r w:rsidRPr="00B65740">
        <w:rPr>
          <w:rFonts w:cs="Segoe UI"/>
          <w:sz w:val="18"/>
          <w:szCs w:val="18"/>
          <w:lang w:val="en-AU"/>
        </w:rPr>
        <w:t>Incarceration and sexually transmitted infections: a neighbourhood perspective.</w:t>
      </w:r>
      <w:r>
        <w:rPr>
          <w:rFonts w:cs="Segoe UI"/>
          <w:sz w:val="18"/>
          <w:szCs w:val="18"/>
          <w:lang w:val="en-AU"/>
        </w:rPr>
        <w:t>’</w:t>
      </w:r>
      <w:r w:rsidRPr="00B65740">
        <w:rPr>
          <w:rFonts w:cs="Segoe UI"/>
          <w:sz w:val="18"/>
          <w:szCs w:val="18"/>
          <w:lang w:val="en-AU"/>
        </w:rPr>
        <w:t xml:space="preserve"> </w:t>
      </w:r>
      <w:r w:rsidRPr="00B65740">
        <w:rPr>
          <w:rFonts w:cs="Segoe UI"/>
          <w:sz w:val="18"/>
          <w:szCs w:val="18"/>
          <w:u w:val="single"/>
          <w:lang w:val="en-AU"/>
        </w:rPr>
        <w:t>Journal of Urban Health</w:t>
      </w:r>
      <w:r w:rsidRPr="00B65740">
        <w:rPr>
          <w:rFonts w:cs="Segoe UI"/>
          <w:sz w:val="18"/>
          <w:szCs w:val="18"/>
          <w:lang w:val="en-AU"/>
        </w:rPr>
        <w:t xml:space="preserve">, </w:t>
      </w:r>
      <w:r w:rsidRPr="00B65740">
        <w:rPr>
          <w:rFonts w:cs="Segoe UI"/>
          <w:b/>
          <w:sz w:val="18"/>
          <w:szCs w:val="18"/>
          <w:lang w:val="en-AU"/>
        </w:rPr>
        <w:t>85</w:t>
      </w:r>
      <w:r w:rsidRPr="00B65740">
        <w:rPr>
          <w:rFonts w:cs="Segoe UI"/>
          <w:sz w:val="18"/>
          <w:szCs w:val="18"/>
          <w:lang w:val="en-AU"/>
        </w:rPr>
        <w:t>(1):90</w:t>
      </w:r>
      <w:r>
        <w:rPr>
          <w:rFonts w:cs="Segoe UI"/>
          <w:sz w:val="18"/>
          <w:szCs w:val="18"/>
          <w:lang w:val="en-AU"/>
        </w:rPr>
        <w:t>–</w:t>
      </w:r>
      <w:r w:rsidRPr="00B65740">
        <w:rPr>
          <w:rFonts w:cs="Segoe UI"/>
          <w:sz w:val="18"/>
          <w:szCs w:val="18"/>
          <w:lang w:val="en-AU"/>
        </w:rPr>
        <w:t>99.</w:t>
      </w:r>
    </w:p>
  </w:endnote>
  <w:endnote w:id="63">
    <w:p w:rsidR="00E90473" w:rsidRPr="00B65740" w:rsidRDefault="00E90473" w:rsidP="004C0EDD">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r w:rsidRPr="00B65740">
        <w:rPr>
          <w:rFonts w:cs="Segoe UI"/>
          <w:sz w:val="18"/>
          <w:szCs w:val="18"/>
          <w:lang w:val="en-AU"/>
        </w:rPr>
        <w:t>Zachariah, R., A.</w:t>
      </w:r>
      <w:r>
        <w:rPr>
          <w:rFonts w:cs="Segoe UI"/>
          <w:sz w:val="18"/>
          <w:szCs w:val="18"/>
          <w:lang w:val="en-AU"/>
        </w:rPr>
        <w:t xml:space="preserve"> </w:t>
      </w:r>
      <w:r w:rsidRPr="00B65740">
        <w:rPr>
          <w:rFonts w:cs="Segoe UI"/>
          <w:sz w:val="18"/>
          <w:szCs w:val="18"/>
          <w:lang w:val="en-AU"/>
        </w:rPr>
        <w:t xml:space="preserve">D. Harries, A. S. </w:t>
      </w:r>
      <w:proofErr w:type="spellStart"/>
      <w:r w:rsidRPr="00B65740">
        <w:rPr>
          <w:rFonts w:cs="Segoe UI"/>
          <w:sz w:val="18"/>
          <w:szCs w:val="18"/>
          <w:lang w:val="en-AU"/>
        </w:rPr>
        <w:t>Chantulo</w:t>
      </w:r>
      <w:proofErr w:type="spellEnd"/>
      <w:r w:rsidRPr="00B65740">
        <w:rPr>
          <w:rFonts w:cs="Segoe UI"/>
          <w:sz w:val="18"/>
          <w:szCs w:val="18"/>
          <w:lang w:val="en-AU"/>
        </w:rPr>
        <w:t xml:space="preserve">, A. E. </w:t>
      </w:r>
      <w:proofErr w:type="spellStart"/>
      <w:r w:rsidRPr="00B65740">
        <w:rPr>
          <w:rFonts w:cs="Segoe UI"/>
          <w:sz w:val="18"/>
          <w:szCs w:val="18"/>
          <w:lang w:val="en-AU"/>
        </w:rPr>
        <w:t>Yadidi</w:t>
      </w:r>
      <w:proofErr w:type="spellEnd"/>
      <w:r w:rsidRPr="00B65740">
        <w:rPr>
          <w:rFonts w:cs="Segoe UI"/>
          <w:sz w:val="18"/>
          <w:szCs w:val="18"/>
          <w:lang w:val="en-AU"/>
        </w:rPr>
        <w:t xml:space="preserve">, W. </w:t>
      </w:r>
      <w:proofErr w:type="spellStart"/>
      <w:r w:rsidRPr="00B65740">
        <w:rPr>
          <w:rFonts w:cs="Segoe UI"/>
          <w:sz w:val="18"/>
          <w:szCs w:val="18"/>
          <w:lang w:val="en-AU"/>
        </w:rPr>
        <w:t>Nkhoma</w:t>
      </w:r>
      <w:proofErr w:type="spellEnd"/>
      <w:r w:rsidRPr="00B65740">
        <w:rPr>
          <w:rFonts w:cs="Segoe UI"/>
          <w:sz w:val="18"/>
          <w:szCs w:val="18"/>
          <w:lang w:val="en-AU"/>
        </w:rPr>
        <w:t xml:space="preserve"> and O. </w:t>
      </w:r>
      <w:proofErr w:type="spellStart"/>
      <w:r w:rsidRPr="00B65740">
        <w:rPr>
          <w:rFonts w:cs="Segoe UI"/>
          <w:sz w:val="18"/>
          <w:szCs w:val="18"/>
          <w:lang w:val="en-AU"/>
        </w:rPr>
        <w:t>Maganga</w:t>
      </w:r>
      <w:proofErr w:type="spellEnd"/>
      <w:r w:rsidRPr="00B65740">
        <w:rPr>
          <w:rFonts w:cs="Segoe UI"/>
          <w:sz w:val="18"/>
          <w:szCs w:val="18"/>
          <w:lang w:val="en-AU"/>
        </w:rPr>
        <w:t xml:space="preserve">. (2002). </w:t>
      </w:r>
      <w:r>
        <w:rPr>
          <w:rFonts w:cs="Segoe UI"/>
          <w:sz w:val="18"/>
          <w:szCs w:val="18"/>
          <w:lang w:val="en-AU"/>
        </w:rPr>
        <w:t>‘</w:t>
      </w:r>
      <w:r w:rsidRPr="00B65740">
        <w:rPr>
          <w:rFonts w:cs="Segoe UI"/>
          <w:sz w:val="18"/>
          <w:szCs w:val="18"/>
          <w:lang w:val="en-AU"/>
        </w:rPr>
        <w:t>Sexually transmitted infections among prison inmates in a rural district of Malawi.</w:t>
      </w:r>
      <w:r>
        <w:rPr>
          <w:rFonts w:cs="Segoe UI"/>
          <w:sz w:val="18"/>
          <w:szCs w:val="18"/>
          <w:lang w:val="en-AU"/>
        </w:rPr>
        <w:t>’</w:t>
      </w:r>
      <w:r w:rsidRPr="00B65740">
        <w:rPr>
          <w:rFonts w:cs="Segoe UI"/>
          <w:sz w:val="18"/>
          <w:szCs w:val="18"/>
          <w:lang w:val="en-AU"/>
        </w:rPr>
        <w:t xml:space="preserve"> </w:t>
      </w:r>
      <w:r w:rsidRPr="00B65740">
        <w:rPr>
          <w:rFonts w:cs="Segoe UI"/>
          <w:sz w:val="18"/>
          <w:szCs w:val="18"/>
          <w:u w:val="single"/>
          <w:lang w:val="en-AU"/>
        </w:rPr>
        <w:t>The Journal of Urology</w:t>
      </w:r>
      <w:r w:rsidRPr="00B65740">
        <w:rPr>
          <w:rFonts w:cs="Segoe UI"/>
          <w:sz w:val="18"/>
          <w:szCs w:val="18"/>
          <w:lang w:val="en-AU"/>
        </w:rPr>
        <w:t xml:space="preserve">, </w:t>
      </w:r>
      <w:r w:rsidRPr="00B65740">
        <w:rPr>
          <w:rFonts w:cs="Segoe UI"/>
          <w:b/>
          <w:sz w:val="18"/>
          <w:szCs w:val="18"/>
          <w:lang w:val="en-AU"/>
        </w:rPr>
        <w:t>96</w:t>
      </w:r>
      <w:r w:rsidRPr="00B65740">
        <w:rPr>
          <w:rFonts w:cs="Segoe UI"/>
          <w:sz w:val="18"/>
          <w:szCs w:val="18"/>
          <w:lang w:val="en-AU"/>
        </w:rPr>
        <w:t>(6):617</w:t>
      </w:r>
      <w:r>
        <w:rPr>
          <w:rFonts w:cs="Segoe UI"/>
          <w:sz w:val="18"/>
          <w:szCs w:val="18"/>
          <w:lang w:val="en-AU"/>
        </w:rPr>
        <w:t>–</w:t>
      </w:r>
      <w:r w:rsidRPr="00B65740">
        <w:rPr>
          <w:rFonts w:cs="Segoe UI"/>
          <w:sz w:val="18"/>
          <w:szCs w:val="18"/>
          <w:lang w:val="en-AU"/>
        </w:rPr>
        <w:t>619.</w:t>
      </w:r>
    </w:p>
  </w:endnote>
  <w:endnote w:id="64">
    <w:p w:rsidR="00E90473" w:rsidRPr="00B65740" w:rsidRDefault="00E90473" w:rsidP="00604D70">
      <w:pPr>
        <w:pStyle w:val="CommentText"/>
        <w:rPr>
          <w:rFonts w:cs="Segoe UI"/>
          <w:sz w:val="18"/>
          <w:szCs w:val="18"/>
          <w:highlight w:val="yellow"/>
        </w:rPr>
      </w:pPr>
      <w:r w:rsidRPr="00B65740">
        <w:rPr>
          <w:rStyle w:val="EndnoteReference"/>
          <w:rFonts w:cs="Segoe UI"/>
          <w:sz w:val="18"/>
          <w:szCs w:val="18"/>
        </w:rPr>
        <w:endnoteRef/>
      </w:r>
      <w:r w:rsidRPr="00B65740">
        <w:rPr>
          <w:rFonts w:cs="Segoe UI"/>
          <w:sz w:val="18"/>
          <w:szCs w:val="18"/>
          <w:lang w:val="en-AU"/>
        </w:rPr>
        <w:t xml:space="preserve"> </w:t>
      </w:r>
      <w:proofErr w:type="spellStart"/>
      <w:r w:rsidRPr="00B65740">
        <w:rPr>
          <w:rFonts w:cs="Segoe UI"/>
          <w:sz w:val="18"/>
          <w:szCs w:val="18"/>
        </w:rPr>
        <w:t>Blackstock</w:t>
      </w:r>
      <w:proofErr w:type="spellEnd"/>
      <w:r w:rsidRPr="00B65740">
        <w:rPr>
          <w:rFonts w:cs="Segoe UI"/>
          <w:sz w:val="18"/>
          <w:szCs w:val="18"/>
          <w:lang w:val="en-AU"/>
        </w:rPr>
        <w:t>,</w:t>
      </w:r>
      <w:r w:rsidRPr="00B65740">
        <w:rPr>
          <w:rFonts w:cs="Segoe UI"/>
          <w:sz w:val="18"/>
          <w:szCs w:val="18"/>
        </w:rPr>
        <w:t xml:space="preserve"> O</w:t>
      </w:r>
      <w:r w:rsidRPr="00B65740">
        <w:rPr>
          <w:rFonts w:cs="Segoe UI"/>
          <w:sz w:val="18"/>
          <w:szCs w:val="18"/>
          <w:lang w:val="en-AU"/>
        </w:rPr>
        <w:t>.</w:t>
      </w:r>
      <w:r>
        <w:rPr>
          <w:rFonts w:cs="Segoe UI"/>
          <w:sz w:val="18"/>
          <w:szCs w:val="18"/>
          <w:lang w:val="en-AU"/>
        </w:rPr>
        <w:t xml:space="preserve"> </w:t>
      </w:r>
      <w:r w:rsidRPr="00B65740">
        <w:rPr>
          <w:rFonts w:cs="Segoe UI"/>
          <w:sz w:val="18"/>
          <w:szCs w:val="18"/>
        </w:rPr>
        <w:t>J</w:t>
      </w:r>
      <w:r w:rsidRPr="00B65740">
        <w:rPr>
          <w:rFonts w:cs="Segoe UI"/>
          <w:sz w:val="18"/>
          <w:szCs w:val="18"/>
          <w:lang w:val="en-AU"/>
        </w:rPr>
        <w:t>.</w:t>
      </w:r>
      <w:r w:rsidRPr="00B65740">
        <w:rPr>
          <w:rFonts w:cs="Segoe UI"/>
          <w:sz w:val="18"/>
          <w:szCs w:val="18"/>
        </w:rPr>
        <w:t>, V</w:t>
      </w:r>
      <w:r>
        <w:rPr>
          <w:rFonts w:cs="Segoe UI"/>
          <w:sz w:val="18"/>
          <w:szCs w:val="18"/>
        </w:rPr>
        <w:t xml:space="preserve">. </w:t>
      </w:r>
      <w:r w:rsidRPr="00B65740">
        <w:rPr>
          <w:rFonts w:cs="Segoe UI"/>
          <w:sz w:val="18"/>
          <w:szCs w:val="18"/>
        </w:rPr>
        <w:t>V</w:t>
      </w:r>
      <w:r w:rsidRPr="00B65740">
        <w:rPr>
          <w:rFonts w:cs="Segoe UI"/>
          <w:sz w:val="18"/>
          <w:szCs w:val="18"/>
          <w:lang w:val="en-AU"/>
        </w:rPr>
        <w:t>.</w:t>
      </w:r>
      <w:r w:rsidRPr="00B65740">
        <w:rPr>
          <w:rFonts w:cs="Segoe UI"/>
          <w:sz w:val="18"/>
          <w:szCs w:val="18"/>
        </w:rPr>
        <w:t xml:space="preserve"> Patel</w:t>
      </w:r>
      <w:r>
        <w:rPr>
          <w:rFonts w:cs="Segoe UI"/>
          <w:sz w:val="18"/>
          <w:szCs w:val="18"/>
        </w:rPr>
        <w:t>,</w:t>
      </w:r>
      <w:r w:rsidRPr="00B65740">
        <w:rPr>
          <w:rFonts w:cs="Segoe UI"/>
          <w:sz w:val="18"/>
          <w:szCs w:val="18"/>
        </w:rPr>
        <w:t xml:space="preserve"> and C</w:t>
      </w:r>
      <w:r w:rsidRPr="00B65740">
        <w:rPr>
          <w:rFonts w:cs="Segoe UI"/>
          <w:sz w:val="18"/>
          <w:szCs w:val="18"/>
          <w:lang w:val="en-AU"/>
        </w:rPr>
        <w:t>.</w:t>
      </w:r>
      <w:r>
        <w:rPr>
          <w:rFonts w:cs="Segoe UI"/>
          <w:sz w:val="18"/>
          <w:szCs w:val="18"/>
          <w:lang w:val="en-AU"/>
        </w:rPr>
        <w:t xml:space="preserve"> </w:t>
      </w:r>
      <w:r w:rsidRPr="00B65740">
        <w:rPr>
          <w:rFonts w:cs="Segoe UI"/>
          <w:sz w:val="18"/>
          <w:szCs w:val="18"/>
        </w:rPr>
        <w:t>O</w:t>
      </w:r>
      <w:r w:rsidRPr="00B65740">
        <w:rPr>
          <w:rFonts w:cs="Segoe UI"/>
          <w:sz w:val="18"/>
          <w:szCs w:val="18"/>
          <w:lang w:val="en-AU"/>
        </w:rPr>
        <w:t>.</w:t>
      </w:r>
      <w:r w:rsidRPr="00B65740">
        <w:rPr>
          <w:rFonts w:cs="Segoe UI"/>
          <w:sz w:val="18"/>
          <w:szCs w:val="18"/>
        </w:rPr>
        <w:t xml:space="preserve"> Cunningham</w:t>
      </w:r>
      <w:r>
        <w:rPr>
          <w:rFonts w:cs="Segoe UI"/>
          <w:sz w:val="18"/>
          <w:szCs w:val="18"/>
        </w:rPr>
        <w:t>.</w:t>
      </w:r>
      <w:r w:rsidRPr="00B65740">
        <w:rPr>
          <w:rFonts w:cs="Segoe UI"/>
          <w:sz w:val="18"/>
          <w:szCs w:val="18"/>
        </w:rPr>
        <w:t xml:space="preserve"> (2015). </w:t>
      </w:r>
      <w:r>
        <w:rPr>
          <w:rFonts w:cs="Segoe UI"/>
          <w:sz w:val="18"/>
          <w:szCs w:val="18"/>
          <w:lang w:val="en-AU"/>
        </w:rPr>
        <w:t>‘</w:t>
      </w:r>
      <w:r w:rsidRPr="00B65740">
        <w:rPr>
          <w:rFonts w:cs="Segoe UI"/>
          <w:sz w:val="18"/>
          <w:szCs w:val="18"/>
        </w:rPr>
        <w:t xml:space="preserve">Use of Technology for HIV Prevention </w:t>
      </w:r>
      <w:proofErr w:type="gramStart"/>
      <w:r w:rsidRPr="00B65740">
        <w:rPr>
          <w:rFonts w:cs="Segoe UI"/>
          <w:sz w:val="18"/>
          <w:szCs w:val="18"/>
        </w:rPr>
        <w:t>Among</w:t>
      </w:r>
      <w:proofErr w:type="gramEnd"/>
      <w:r w:rsidRPr="00B65740">
        <w:rPr>
          <w:rFonts w:cs="Segoe UI"/>
          <w:sz w:val="18"/>
          <w:szCs w:val="18"/>
        </w:rPr>
        <w:t xml:space="preserve"> Adolescent and Adult Women in the United States.</w:t>
      </w:r>
      <w:r>
        <w:rPr>
          <w:rFonts w:cs="Segoe UI"/>
          <w:sz w:val="18"/>
          <w:szCs w:val="18"/>
          <w:lang w:val="en-AU"/>
        </w:rPr>
        <w:t>’</w:t>
      </w:r>
      <w:r w:rsidRPr="00B65740">
        <w:rPr>
          <w:rFonts w:cs="Segoe UI"/>
          <w:sz w:val="18"/>
          <w:szCs w:val="18"/>
        </w:rPr>
        <w:t xml:space="preserve"> </w:t>
      </w:r>
      <w:r w:rsidRPr="00B65740">
        <w:rPr>
          <w:rFonts w:cs="Segoe UI"/>
          <w:sz w:val="18"/>
          <w:szCs w:val="18"/>
          <w:u w:val="single"/>
        </w:rPr>
        <w:t>Current HIV/AIDS Reports</w:t>
      </w:r>
      <w:r w:rsidRPr="00B65740">
        <w:rPr>
          <w:rFonts w:cs="Segoe UI"/>
          <w:sz w:val="18"/>
          <w:szCs w:val="18"/>
          <w:lang w:val="en-AU"/>
        </w:rPr>
        <w:t>,</w:t>
      </w:r>
      <w:r w:rsidRPr="00B65740">
        <w:rPr>
          <w:rFonts w:cs="Segoe UI"/>
          <w:sz w:val="18"/>
          <w:szCs w:val="18"/>
        </w:rPr>
        <w:t xml:space="preserve"> </w:t>
      </w:r>
      <w:r w:rsidRPr="00B65740">
        <w:rPr>
          <w:rFonts w:cs="Segoe UI"/>
          <w:b/>
          <w:sz w:val="18"/>
          <w:szCs w:val="18"/>
        </w:rPr>
        <w:t>12</w:t>
      </w:r>
      <w:r w:rsidRPr="00B65740">
        <w:rPr>
          <w:rFonts w:cs="Segoe UI"/>
          <w:sz w:val="18"/>
          <w:szCs w:val="18"/>
        </w:rPr>
        <w:t>(4):489</w:t>
      </w:r>
      <w:r>
        <w:rPr>
          <w:rFonts w:cs="Segoe UI"/>
          <w:sz w:val="18"/>
          <w:szCs w:val="18"/>
        </w:rPr>
        <w:t>–</w:t>
      </w:r>
      <w:r w:rsidRPr="00B65740">
        <w:rPr>
          <w:rFonts w:cs="Segoe UI"/>
          <w:sz w:val="18"/>
          <w:szCs w:val="18"/>
        </w:rPr>
        <w:t>499.</w:t>
      </w:r>
    </w:p>
  </w:endnote>
  <w:endnote w:id="65">
    <w:p w:rsidR="00E90473" w:rsidRPr="00B65740" w:rsidRDefault="00E90473" w:rsidP="00604D70">
      <w:pPr>
        <w:pStyle w:val="CommentText"/>
        <w:rPr>
          <w:rFonts w:cs="Segoe UI"/>
          <w:sz w:val="18"/>
          <w:szCs w:val="18"/>
          <w:highlight w:val="yellow"/>
        </w:rPr>
      </w:pPr>
      <w:r w:rsidRPr="00B65740">
        <w:rPr>
          <w:rStyle w:val="EndnoteReference"/>
          <w:rFonts w:cs="Segoe UI"/>
          <w:sz w:val="18"/>
          <w:szCs w:val="18"/>
        </w:rPr>
        <w:endnoteRef/>
      </w:r>
      <w:r w:rsidRPr="00B65740">
        <w:rPr>
          <w:rFonts w:cs="Segoe UI"/>
          <w:sz w:val="18"/>
          <w:szCs w:val="18"/>
        </w:rPr>
        <w:t xml:space="preserve"> </w:t>
      </w:r>
      <w:proofErr w:type="spellStart"/>
      <w:r w:rsidRPr="00B65740">
        <w:rPr>
          <w:rFonts w:cs="Segoe UI"/>
          <w:sz w:val="18"/>
          <w:szCs w:val="18"/>
        </w:rPr>
        <w:t>Guse</w:t>
      </w:r>
      <w:proofErr w:type="spellEnd"/>
      <w:r w:rsidRPr="00B65740">
        <w:rPr>
          <w:rFonts w:cs="Segoe UI"/>
          <w:sz w:val="18"/>
          <w:szCs w:val="18"/>
          <w:lang w:val="en-AU"/>
        </w:rPr>
        <w:t>,</w:t>
      </w:r>
      <w:r w:rsidRPr="00B65740">
        <w:rPr>
          <w:rFonts w:cs="Segoe UI"/>
          <w:sz w:val="18"/>
          <w:szCs w:val="18"/>
        </w:rPr>
        <w:t xml:space="preserve"> K</w:t>
      </w:r>
      <w:r w:rsidRPr="00B65740">
        <w:rPr>
          <w:rFonts w:cs="Segoe UI"/>
          <w:sz w:val="18"/>
          <w:szCs w:val="18"/>
          <w:lang w:val="en-AU"/>
        </w:rPr>
        <w:t>.</w:t>
      </w:r>
      <w:r w:rsidRPr="00B65740">
        <w:rPr>
          <w:rFonts w:cs="Segoe UI"/>
          <w:sz w:val="18"/>
          <w:szCs w:val="18"/>
        </w:rPr>
        <w:t>, D</w:t>
      </w:r>
      <w:r w:rsidRPr="00B65740">
        <w:rPr>
          <w:rFonts w:cs="Segoe UI"/>
          <w:sz w:val="18"/>
          <w:szCs w:val="18"/>
          <w:lang w:val="en-AU"/>
        </w:rPr>
        <w:t>.</w:t>
      </w:r>
      <w:r w:rsidRPr="00B65740">
        <w:rPr>
          <w:rFonts w:cs="Segoe UI"/>
          <w:sz w:val="18"/>
          <w:szCs w:val="18"/>
        </w:rPr>
        <w:t xml:space="preserve"> Levine, S</w:t>
      </w:r>
      <w:r w:rsidRPr="00B65740">
        <w:rPr>
          <w:rFonts w:cs="Segoe UI"/>
          <w:sz w:val="18"/>
          <w:szCs w:val="18"/>
          <w:lang w:val="en-AU"/>
        </w:rPr>
        <w:t>.</w:t>
      </w:r>
      <w:r w:rsidRPr="00B65740">
        <w:rPr>
          <w:rFonts w:cs="Segoe UI"/>
          <w:sz w:val="18"/>
          <w:szCs w:val="18"/>
        </w:rPr>
        <w:t xml:space="preserve"> Martins, A</w:t>
      </w:r>
      <w:r w:rsidRPr="00B65740">
        <w:rPr>
          <w:rFonts w:cs="Segoe UI"/>
          <w:sz w:val="18"/>
          <w:szCs w:val="18"/>
          <w:lang w:val="en-AU"/>
        </w:rPr>
        <w:t>.</w:t>
      </w:r>
      <w:r w:rsidRPr="00B65740">
        <w:rPr>
          <w:rFonts w:cs="Segoe UI"/>
          <w:sz w:val="18"/>
          <w:szCs w:val="18"/>
        </w:rPr>
        <w:t xml:space="preserve"> Lira, J</w:t>
      </w:r>
      <w:r w:rsidRPr="00B65740">
        <w:rPr>
          <w:rFonts w:cs="Segoe UI"/>
          <w:sz w:val="18"/>
          <w:szCs w:val="18"/>
          <w:lang w:val="en-AU"/>
        </w:rPr>
        <w:t>.</w:t>
      </w:r>
      <w:r w:rsidRPr="00B65740">
        <w:rPr>
          <w:rFonts w:cs="Segoe UI"/>
          <w:sz w:val="18"/>
          <w:szCs w:val="18"/>
        </w:rPr>
        <w:t xml:space="preserve"> </w:t>
      </w:r>
      <w:proofErr w:type="spellStart"/>
      <w:r w:rsidRPr="00B65740">
        <w:rPr>
          <w:rFonts w:cs="Segoe UI"/>
          <w:sz w:val="18"/>
          <w:szCs w:val="18"/>
        </w:rPr>
        <w:t>Gaarde</w:t>
      </w:r>
      <w:proofErr w:type="spellEnd"/>
      <w:r w:rsidRPr="00B65740">
        <w:rPr>
          <w:rFonts w:cs="Segoe UI"/>
          <w:sz w:val="18"/>
          <w:szCs w:val="18"/>
        </w:rPr>
        <w:t xml:space="preserve"> </w:t>
      </w:r>
      <w:r w:rsidRPr="00F537E8">
        <w:rPr>
          <w:rFonts w:cs="Segoe UI"/>
          <w:i/>
          <w:sz w:val="18"/>
          <w:szCs w:val="18"/>
        </w:rPr>
        <w:t>et al.</w:t>
      </w:r>
      <w:r w:rsidRPr="00B65740">
        <w:rPr>
          <w:rFonts w:cs="Segoe UI"/>
          <w:sz w:val="18"/>
          <w:szCs w:val="18"/>
        </w:rPr>
        <w:t xml:space="preserve"> (2012). </w:t>
      </w:r>
      <w:r>
        <w:rPr>
          <w:rFonts w:cs="Segoe UI"/>
          <w:sz w:val="18"/>
          <w:szCs w:val="18"/>
          <w:lang w:val="en-AU"/>
        </w:rPr>
        <w:t>‘</w:t>
      </w:r>
      <w:r w:rsidRPr="00B65740">
        <w:rPr>
          <w:rFonts w:cs="Segoe UI"/>
          <w:sz w:val="18"/>
          <w:szCs w:val="18"/>
        </w:rPr>
        <w:t>Interventions using new digital media to improve adolescent sexual health: a systematic review.</w:t>
      </w:r>
      <w:r>
        <w:rPr>
          <w:rFonts w:cs="Segoe UI"/>
          <w:sz w:val="18"/>
          <w:szCs w:val="18"/>
          <w:lang w:val="en-AU"/>
        </w:rPr>
        <w:t>’</w:t>
      </w:r>
      <w:r w:rsidRPr="00B65740">
        <w:rPr>
          <w:rFonts w:cs="Segoe UI"/>
          <w:sz w:val="18"/>
          <w:szCs w:val="18"/>
        </w:rPr>
        <w:t xml:space="preserve"> </w:t>
      </w:r>
      <w:r w:rsidRPr="00B65740">
        <w:rPr>
          <w:rFonts w:cs="Segoe UI"/>
          <w:sz w:val="18"/>
          <w:szCs w:val="18"/>
          <w:u w:val="single"/>
        </w:rPr>
        <w:t>Journal of Adolescent Health</w:t>
      </w:r>
      <w:r w:rsidRPr="00B65740">
        <w:rPr>
          <w:rFonts w:cs="Segoe UI"/>
          <w:sz w:val="18"/>
          <w:szCs w:val="18"/>
          <w:u w:val="single"/>
          <w:lang w:val="en-AU"/>
        </w:rPr>
        <w:t>,</w:t>
      </w:r>
      <w:r w:rsidRPr="00B65740">
        <w:rPr>
          <w:rFonts w:cs="Segoe UI"/>
          <w:sz w:val="18"/>
          <w:szCs w:val="18"/>
        </w:rPr>
        <w:t xml:space="preserve"> </w:t>
      </w:r>
      <w:r w:rsidRPr="00B65740">
        <w:rPr>
          <w:rFonts w:cs="Segoe UI"/>
          <w:b/>
          <w:sz w:val="18"/>
          <w:szCs w:val="18"/>
        </w:rPr>
        <w:t>51</w:t>
      </w:r>
      <w:r w:rsidRPr="00B65740">
        <w:rPr>
          <w:rFonts w:cs="Segoe UI"/>
          <w:sz w:val="18"/>
          <w:szCs w:val="18"/>
        </w:rPr>
        <w:t>(6):535</w:t>
      </w:r>
      <w:r>
        <w:rPr>
          <w:rFonts w:cs="Segoe UI"/>
          <w:sz w:val="18"/>
          <w:szCs w:val="18"/>
        </w:rPr>
        <w:t>–</w:t>
      </w:r>
      <w:r w:rsidRPr="00B65740">
        <w:rPr>
          <w:rFonts w:cs="Segoe UI"/>
          <w:sz w:val="18"/>
          <w:szCs w:val="18"/>
        </w:rPr>
        <w:t>543.</w:t>
      </w:r>
    </w:p>
  </w:endnote>
  <w:endnote w:id="66">
    <w:p w:rsidR="00E90473" w:rsidRPr="00B65740" w:rsidRDefault="00E90473" w:rsidP="00604D70">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r w:rsidRPr="00B65740">
        <w:rPr>
          <w:rFonts w:cs="Segoe UI"/>
          <w:sz w:val="18"/>
          <w:szCs w:val="18"/>
          <w:lang w:val="en-AU"/>
        </w:rPr>
        <w:t>Burnet Institute and Family Planning Victoria. (2016).</w:t>
      </w:r>
      <w:r w:rsidRPr="00B65740">
        <w:rPr>
          <w:rFonts w:cs="Segoe UI"/>
          <w:sz w:val="18"/>
          <w:szCs w:val="18"/>
          <w:u w:val="single"/>
        </w:rPr>
        <w:t xml:space="preserve"> Interventions to improve the sexual and reproductive health of young people: a systematic review of reviews</w:t>
      </w:r>
      <w:r w:rsidRPr="00B65740">
        <w:rPr>
          <w:rFonts w:cs="Segoe UI"/>
          <w:sz w:val="18"/>
          <w:szCs w:val="18"/>
        </w:rPr>
        <w:t>. Family Planning Victoria</w:t>
      </w:r>
      <w:r w:rsidRPr="00B65740">
        <w:rPr>
          <w:rFonts w:cs="Segoe UI"/>
          <w:sz w:val="18"/>
          <w:szCs w:val="18"/>
          <w:lang w:val="en-AU"/>
        </w:rPr>
        <w:t>: Melbourne.</w:t>
      </w:r>
    </w:p>
  </w:endnote>
  <w:endnote w:id="67">
    <w:p w:rsidR="00E90473" w:rsidRPr="00B65740" w:rsidRDefault="00E90473" w:rsidP="00604D70">
      <w:pPr>
        <w:pStyle w:val="CommentText"/>
        <w:rPr>
          <w:rFonts w:cs="Segoe UI"/>
          <w:sz w:val="18"/>
          <w:szCs w:val="18"/>
          <w:highlight w:val="yellow"/>
        </w:rPr>
      </w:pPr>
      <w:r w:rsidRPr="00B65740">
        <w:rPr>
          <w:rStyle w:val="EndnoteReference"/>
          <w:rFonts w:cs="Segoe UI"/>
          <w:sz w:val="18"/>
          <w:szCs w:val="18"/>
        </w:rPr>
        <w:endnoteRef/>
      </w:r>
      <w:r w:rsidRPr="00B65740">
        <w:rPr>
          <w:rFonts w:cs="Segoe UI"/>
          <w:sz w:val="18"/>
          <w:szCs w:val="18"/>
        </w:rPr>
        <w:t xml:space="preserve"> Robinson</w:t>
      </w:r>
      <w:r w:rsidRPr="00B65740">
        <w:rPr>
          <w:rFonts w:cs="Segoe UI"/>
          <w:sz w:val="18"/>
          <w:szCs w:val="18"/>
          <w:lang w:val="en-AU"/>
        </w:rPr>
        <w:t>,</w:t>
      </w:r>
      <w:r w:rsidRPr="00B65740">
        <w:rPr>
          <w:rFonts w:cs="Segoe UI"/>
          <w:sz w:val="18"/>
          <w:szCs w:val="18"/>
        </w:rPr>
        <w:t xml:space="preserve"> M</w:t>
      </w:r>
      <w:r w:rsidRPr="00B65740">
        <w:rPr>
          <w:rFonts w:cs="Segoe UI"/>
          <w:sz w:val="18"/>
          <w:szCs w:val="18"/>
          <w:lang w:val="en-AU"/>
        </w:rPr>
        <w:t>.</w:t>
      </w:r>
      <w:r w:rsidRPr="00B65740">
        <w:rPr>
          <w:rFonts w:cs="Segoe UI"/>
          <w:sz w:val="18"/>
          <w:szCs w:val="18"/>
        </w:rPr>
        <w:t>N</w:t>
      </w:r>
      <w:r w:rsidRPr="00B65740">
        <w:rPr>
          <w:rFonts w:cs="Segoe UI"/>
          <w:sz w:val="18"/>
          <w:szCs w:val="18"/>
          <w:lang w:val="en-AU"/>
        </w:rPr>
        <w:t>.</w:t>
      </w:r>
      <w:r w:rsidRPr="00B65740">
        <w:rPr>
          <w:rFonts w:cs="Segoe UI"/>
          <w:sz w:val="18"/>
          <w:szCs w:val="18"/>
        </w:rPr>
        <w:t>, K</w:t>
      </w:r>
      <w:r w:rsidRPr="00B65740">
        <w:rPr>
          <w:rFonts w:cs="Segoe UI"/>
          <w:sz w:val="18"/>
          <w:szCs w:val="18"/>
          <w:lang w:val="en-AU"/>
        </w:rPr>
        <w:t xml:space="preserve">. </w:t>
      </w:r>
      <w:r w:rsidRPr="00B65740">
        <w:rPr>
          <w:rFonts w:cs="Segoe UI"/>
          <w:sz w:val="18"/>
          <w:szCs w:val="18"/>
        </w:rPr>
        <w:t>A</w:t>
      </w:r>
      <w:r w:rsidRPr="00B65740">
        <w:rPr>
          <w:rFonts w:cs="Segoe UI"/>
          <w:sz w:val="18"/>
          <w:szCs w:val="18"/>
          <w:lang w:val="en-AU"/>
        </w:rPr>
        <w:t>.</w:t>
      </w:r>
      <w:r w:rsidRPr="00B65740">
        <w:rPr>
          <w:rFonts w:cs="Segoe UI"/>
          <w:sz w:val="18"/>
          <w:szCs w:val="18"/>
        </w:rPr>
        <w:t xml:space="preserve"> </w:t>
      </w:r>
      <w:proofErr w:type="spellStart"/>
      <w:r w:rsidRPr="00B65740">
        <w:rPr>
          <w:rFonts w:cs="Segoe UI"/>
          <w:sz w:val="18"/>
          <w:szCs w:val="18"/>
        </w:rPr>
        <w:t>Tansil</w:t>
      </w:r>
      <w:proofErr w:type="spellEnd"/>
      <w:r w:rsidRPr="00B65740">
        <w:rPr>
          <w:rFonts w:cs="Segoe UI"/>
          <w:sz w:val="18"/>
          <w:szCs w:val="18"/>
        </w:rPr>
        <w:t>, R</w:t>
      </w:r>
      <w:r w:rsidRPr="00B65740">
        <w:rPr>
          <w:rFonts w:cs="Segoe UI"/>
          <w:sz w:val="18"/>
          <w:szCs w:val="18"/>
          <w:lang w:val="en-AU"/>
        </w:rPr>
        <w:t xml:space="preserve">. </w:t>
      </w:r>
      <w:r w:rsidRPr="00B65740">
        <w:rPr>
          <w:rFonts w:cs="Segoe UI"/>
          <w:sz w:val="18"/>
          <w:szCs w:val="18"/>
        </w:rPr>
        <w:t>W</w:t>
      </w:r>
      <w:r w:rsidRPr="00B65740">
        <w:rPr>
          <w:rFonts w:cs="Segoe UI"/>
          <w:sz w:val="18"/>
          <w:szCs w:val="18"/>
          <w:lang w:val="en-AU"/>
        </w:rPr>
        <w:t>.</w:t>
      </w:r>
      <w:r w:rsidRPr="00B65740">
        <w:rPr>
          <w:rFonts w:cs="Segoe UI"/>
          <w:sz w:val="18"/>
          <w:szCs w:val="18"/>
        </w:rPr>
        <w:t xml:space="preserve"> Elder, R</w:t>
      </w:r>
      <w:r w:rsidRPr="00B65740">
        <w:rPr>
          <w:rFonts w:cs="Segoe UI"/>
          <w:sz w:val="18"/>
          <w:szCs w:val="18"/>
          <w:lang w:val="en-AU"/>
        </w:rPr>
        <w:t xml:space="preserve">. </w:t>
      </w:r>
      <w:r w:rsidRPr="00B65740">
        <w:rPr>
          <w:rFonts w:cs="Segoe UI"/>
          <w:sz w:val="18"/>
          <w:szCs w:val="18"/>
        </w:rPr>
        <w:t>E</w:t>
      </w:r>
      <w:r w:rsidRPr="00B65740">
        <w:rPr>
          <w:rFonts w:cs="Segoe UI"/>
          <w:sz w:val="18"/>
          <w:szCs w:val="18"/>
          <w:lang w:val="en-AU"/>
        </w:rPr>
        <w:t>.</w:t>
      </w:r>
      <w:r w:rsidRPr="00B65740">
        <w:rPr>
          <w:rFonts w:cs="Segoe UI"/>
          <w:sz w:val="18"/>
          <w:szCs w:val="18"/>
        </w:rPr>
        <w:t xml:space="preserve"> </w:t>
      </w:r>
      <w:proofErr w:type="spellStart"/>
      <w:r w:rsidRPr="00B65740">
        <w:rPr>
          <w:rFonts w:cs="Segoe UI"/>
          <w:sz w:val="18"/>
          <w:szCs w:val="18"/>
        </w:rPr>
        <w:t>Soler</w:t>
      </w:r>
      <w:proofErr w:type="spellEnd"/>
      <w:r w:rsidRPr="00B65740">
        <w:rPr>
          <w:rFonts w:cs="Segoe UI"/>
          <w:sz w:val="18"/>
          <w:szCs w:val="18"/>
        </w:rPr>
        <w:t>, M</w:t>
      </w:r>
      <w:r w:rsidRPr="00B65740">
        <w:rPr>
          <w:rFonts w:cs="Segoe UI"/>
          <w:sz w:val="18"/>
          <w:szCs w:val="18"/>
          <w:lang w:val="en-AU"/>
        </w:rPr>
        <w:t xml:space="preserve">. </w:t>
      </w:r>
      <w:r w:rsidRPr="00B65740">
        <w:rPr>
          <w:rFonts w:cs="Segoe UI"/>
          <w:sz w:val="18"/>
          <w:szCs w:val="18"/>
        </w:rPr>
        <w:t>P</w:t>
      </w:r>
      <w:r w:rsidRPr="00B65740">
        <w:rPr>
          <w:rFonts w:cs="Segoe UI"/>
          <w:sz w:val="18"/>
          <w:szCs w:val="18"/>
          <w:lang w:val="en-AU"/>
        </w:rPr>
        <w:t>.</w:t>
      </w:r>
      <w:r w:rsidRPr="00B65740">
        <w:rPr>
          <w:rFonts w:cs="Segoe UI"/>
          <w:sz w:val="18"/>
          <w:szCs w:val="18"/>
        </w:rPr>
        <w:t xml:space="preserve"> </w:t>
      </w:r>
      <w:proofErr w:type="spellStart"/>
      <w:r w:rsidRPr="00B65740">
        <w:rPr>
          <w:rFonts w:cs="Segoe UI"/>
          <w:sz w:val="18"/>
          <w:szCs w:val="18"/>
        </w:rPr>
        <w:t>Labre</w:t>
      </w:r>
      <w:proofErr w:type="spellEnd"/>
      <w:r w:rsidRPr="00B65740">
        <w:rPr>
          <w:rFonts w:cs="Segoe UI"/>
          <w:sz w:val="18"/>
          <w:szCs w:val="18"/>
        </w:rPr>
        <w:t xml:space="preserve"> </w:t>
      </w:r>
      <w:r w:rsidRPr="00F537E8">
        <w:rPr>
          <w:rFonts w:cs="Segoe UI"/>
          <w:i/>
          <w:sz w:val="18"/>
          <w:szCs w:val="18"/>
        </w:rPr>
        <w:t>et al.</w:t>
      </w:r>
      <w:r w:rsidRPr="00B65740">
        <w:rPr>
          <w:rFonts w:cs="Segoe UI"/>
          <w:sz w:val="18"/>
          <w:szCs w:val="18"/>
        </w:rPr>
        <w:t xml:space="preserve"> (2014). </w:t>
      </w:r>
      <w:r>
        <w:rPr>
          <w:rFonts w:cs="Segoe UI"/>
          <w:sz w:val="18"/>
          <w:szCs w:val="18"/>
          <w:lang w:val="en-AU"/>
        </w:rPr>
        <w:t>‘</w:t>
      </w:r>
      <w:r w:rsidRPr="00B65740">
        <w:rPr>
          <w:rFonts w:cs="Segoe UI"/>
          <w:sz w:val="18"/>
          <w:szCs w:val="18"/>
        </w:rPr>
        <w:t xml:space="preserve">Mass media health communication campaigns combined with health-related product distribution: </w:t>
      </w:r>
      <w:r>
        <w:rPr>
          <w:rFonts w:cs="Segoe UI"/>
          <w:sz w:val="18"/>
          <w:szCs w:val="18"/>
        </w:rPr>
        <w:t>a</w:t>
      </w:r>
      <w:r w:rsidRPr="00B65740">
        <w:rPr>
          <w:rFonts w:cs="Segoe UI"/>
          <w:sz w:val="18"/>
          <w:szCs w:val="18"/>
        </w:rPr>
        <w:t xml:space="preserve"> community guide systematic review.</w:t>
      </w:r>
      <w:r>
        <w:rPr>
          <w:rFonts w:cs="Segoe UI"/>
          <w:sz w:val="18"/>
          <w:szCs w:val="18"/>
          <w:lang w:val="en-AU"/>
        </w:rPr>
        <w:t>’</w:t>
      </w:r>
      <w:r w:rsidRPr="00B65740">
        <w:rPr>
          <w:rFonts w:cs="Segoe UI"/>
          <w:sz w:val="18"/>
          <w:szCs w:val="18"/>
        </w:rPr>
        <w:t xml:space="preserve"> </w:t>
      </w:r>
      <w:r w:rsidRPr="00B65740">
        <w:rPr>
          <w:rFonts w:cs="Segoe UI"/>
          <w:sz w:val="18"/>
          <w:szCs w:val="18"/>
          <w:u w:val="single"/>
        </w:rPr>
        <w:t>American Journal of Preventive Medicine</w:t>
      </w:r>
      <w:r w:rsidRPr="00B65740">
        <w:rPr>
          <w:rFonts w:cs="Segoe UI"/>
          <w:sz w:val="18"/>
          <w:szCs w:val="18"/>
        </w:rPr>
        <w:t xml:space="preserve">. </w:t>
      </w:r>
      <w:r w:rsidRPr="00B65740">
        <w:rPr>
          <w:rFonts w:cs="Segoe UI"/>
          <w:b/>
          <w:sz w:val="18"/>
          <w:szCs w:val="18"/>
        </w:rPr>
        <w:t>47</w:t>
      </w:r>
      <w:r w:rsidRPr="00B65740">
        <w:rPr>
          <w:rFonts w:cs="Segoe UI"/>
          <w:sz w:val="18"/>
          <w:szCs w:val="18"/>
        </w:rPr>
        <w:t>(3):360</w:t>
      </w:r>
      <w:r>
        <w:rPr>
          <w:rFonts w:cs="Segoe UI"/>
          <w:sz w:val="18"/>
          <w:szCs w:val="18"/>
        </w:rPr>
        <w:t>–</w:t>
      </w:r>
      <w:r w:rsidRPr="00B65740">
        <w:rPr>
          <w:rFonts w:cs="Segoe UI"/>
          <w:sz w:val="18"/>
          <w:szCs w:val="18"/>
        </w:rPr>
        <w:t>371.</w:t>
      </w:r>
    </w:p>
  </w:endnote>
  <w:endnote w:id="68">
    <w:p w:rsidR="00E90473" w:rsidRPr="00B65740" w:rsidRDefault="00E90473" w:rsidP="00604D70">
      <w:pPr>
        <w:pStyle w:val="CommentText"/>
        <w:rPr>
          <w:rFonts w:cs="Segoe UI"/>
          <w:sz w:val="18"/>
          <w:szCs w:val="18"/>
          <w:highlight w:val="yellow"/>
        </w:rPr>
      </w:pPr>
      <w:r w:rsidRPr="00B65740">
        <w:rPr>
          <w:rStyle w:val="EndnoteReference"/>
          <w:rFonts w:cs="Segoe UI"/>
          <w:sz w:val="18"/>
          <w:szCs w:val="18"/>
        </w:rPr>
        <w:endnoteRef/>
      </w:r>
      <w:r w:rsidRPr="00B65740">
        <w:rPr>
          <w:rFonts w:cs="Segoe UI"/>
          <w:sz w:val="18"/>
          <w:szCs w:val="18"/>
        </w:rPr>
        <w:t xml:space="preserve"> Wakefield</w:t>
      </w:r>
      <w:r w:rsidRPr="00B65740">
        <w:rPr>
          <w:rFonts w:cs="Segoe UI"/>
          <w:sz w:val="18"/>
          <w:szCs w:val="18"/>
          <w:lang w:val="en-AU"/>
        </w:rPr>
        <w:t>,</w:t>
      </w:r>
      <w:r w:rsidRPr="00B65740">
        <w:rPr>
          <w:rFonts w:cs="Segoe UI"/>
          <w:sz w:val="18"/>
          <w:szCs w:val="18"/>
        </w:rPr>
        <w:t xml:space="preserve"> M</w:t>
      </w:r>
      <w:r w:rsidRPr="00B65740">
        <w:rPr>
          <w:rFonts w:cs="Segoe UI"/>
          <w:sz w:val="18"/>
          <w:szCs w:val="18"/>
          <w:lang w:val="en-AU"/>
        </w:rPr>
        <w:t>.</w:t>
      </w:r>
      <w:r w:rsidRPr="00B65740">
        <w:rPr>
          <w:rFonts w:cs="Segoe UI"/>
          <w:sz w:val="18"/>
          <w:szCs w:val="18"/>
        </w:rPr>
        <w:t>A</w:t>
      </w:r>
      <w:r w:rsidRPr="00B65740">
        <w:rPr>
          <w:rFonts w:cs="Segoe UI"/>
          <w:sz w:val="18"/>
          <w:szCs w:val="18"/>
          <w:lang w:val="en-AU"/>
        </w:rPr>
        <w:t>.</w:t>
      </w:r>
      <w:r w:rsidRPr="00B65740">
        <w:rPr>
          <w:rFonts w:cs="Segoe UI"/>
          <w:sz w:val="18"/>
          <w:szCs w:val="18"/>
        </w:rPr>
        <w:t>, B</w:t>
      </w:r>
      <w:r w:rsidRPr="00B65740">
        <w:rPr>
          <w:rFonts w:cs="Segoe UI"/>
          <w:sz w:val="18"/>
          <w:szCs w:val="18"/>
          <w:lang w:val="en-AU"/>
        </w:rPr>
        <w:t>.</w:t>
      </w:r>
      <w:r w:rsidRPr="00B65740">
        <w:rPr>
          <w:rFonts w:cs="Segoe UI"/>
          <w:sz w:val="18"/>
          <w:szCs w:val="18"/>
        </w:rPr>
        <w:t xml:space="preserve"> </w:t>
      </w:r>
      <w:proofErr w:type="spellStart"/>
      <w:r w:rsidRPr="00B65740">
        <w:rPr>
          <w:rFonts w:cs="Segoe UI"/>
          <w:sz w:val="18"/>
          <w:szCs w:val="18"/>
        </w:rPr>
        <w:t>Loken</w:t>
      </w:r>
      <w:proofErr w:type="spellEnd"/>
      <w:r>
        <w:rPr>
          <w:rFonts w:cs="Segoe UI"/>
          <w:sz w:val="18"/>
          <w:szCs w:val="18"/>
        </w:rPr>
        <w:t>,</w:t>
      </w:r>
      <w:r w:rsidRPr="00B65740">
        <w:rPr>
          <w:rFonts w:cs="Segoe UI"/>
          <w:sz w:val="18"/>
          <w:szCs w:val="18"/>
        </w:rPr>
        <w:t xml:space="preserve"> and R</w:t>
      </w:r>
      <w:r w:rsidRPr="00B65740">
        <w:rPr>
          <w:rFonts w:cs="Segoe UI"/>
          <w:sz w:val="18"/>
          <w:szCs w:val="18"/>
          <w:lang w:val="en-AU"/>
        </w:rPr>
        <w:t>.</w:t>
      </w:r>
      <w:r w:rsidRPr="00B65740">
        <w:rPr>
          <w:rFonts w:cs="Segoe UI"/>
          <w:sz w:val="18"/>
          <w:szCs w:val="18"/>
        </w:rPr>
        <w:t>C</w:t>
      </w:r>
      <w:r w:rsidRPr="00B65740">
        <w:rPr>
          <w:rFonts w:cs="Segoe UI"/>
          <w:sz w:val="18"/>
          <w:szCs w:val="18"/>
          <w:lang w:val="en-AU"/>
        </w:rPr>
        <w:t>.</w:t>
      </w:r>
      <w:r w:rsidRPr="00B65740">
        <w:rPr>
          <w:rFonts w:cs="Segoe UI"/>
          <w:sz w:val="18"/>
          <w:szCs w:val="18"/>
        </w:rPr>
        <w:t xml:space="preserve"> </w:t>
      </w:r>
      <w:proofErr w:type="spellStart"/>
      <w:r w:rsidRPr="00B65740">
        <w:rPr>
          <w:rFonts w:cs="Segoe UI"/>
          <w:sz w:val="18"/>
          <w:szCs w:val="18"/>
        </w:rPr>
        <w:t>Hornik</w:t>
      </w:r>
      <w:proofErr w:type="spellEnd"/>
      <w:r>
        <w:rPr>
          <w:rFonts w:cs="Segoe UI"/>
          <w:sz w:val="18"/>
          <w:szCs w:val="18"/>
        </w:rPr>
        <w:t>.</w:t>
      </w:r>
      <w:r w:rsidRPr="00B65740">
        <w:rPr>
          <w:rFonts w:cs="Segoe UI"/>
          <w:sz w:val="18"/>
          <w:szCs w:val="18"/>
        </w:rPr>
        <w:t xml:space="preserve"> (2010). </w:t>
      </w:r>
      <w:r>
        <w:rPr>
          <w:rFonts w:cs="Segoe UI"/>
          <w:sz w:val="18"/>
          <w:szCs w:val="18"/>
          <w:lang w:val="en-AU"/>
        </w:rPr>
        <w:t>‘</w:t>
      </w:r>
      <w:r w:rsidRPr="00B65740">
        <w:rPr>
          <w:rFonts w:cs="Segoe UI"/>
          <w:sz w:val="18"/>
          <w:szCs w:val="18"/>
        </w:rPr>
        <w:t>Use of mass media campaigns to change health behaviour.</w:t>
      </w:r>
      <w:r>
        <w:rPr>
          <w:rFonts w:cs="Segoe UI"/>
          <w:sz w:val="18"/>
          <w:szCs w:val="18"/>
          <w:lang w:val="en-AU"/>
        </w:rPr>
        <w:t>’</w:t>
      </w:r>
      <w:r w:rsidRPr="00B65740">
        <w:rPr>
          <w:rFonts w:cs="Segoe UI"/>
          <w:sz w:val="18"/>
          <w:szCs w:val="18"/>
        </w:rPr>
        <w:t xml:space="preserve"> </w:t>
      </w:r>
      <w:r w:rsidRPr="00B65740">
        <w:rPr>
          <w:rFonts w:cs="Segoe UI"/>
          <w:sz w:val="18"/>
          <w:szCs w:val="18"/>
          <w:u w:val="single"/>
        </w:rPr>
        <w:t>The</w:t>
      </w:r>
      <w:r w:rsidRPr="00B65740">
        <w:rPr>
          <w:rFonts w:cs="Segoe UI"/>
          <w:sz w:val="18"/>
          <w:szCs w:val="18"/>
          <w:u w:val="single"/>
          <w:lang w:val="en-AU"/>
        </w:rPr>
        <w:t> </w:t>
      </w:r>
      <w:r w:rsidRPr="00B65740">
        <w:rPr>
          <w:rFonts w:cs="Segoe UI"/>
          <w:sz w:val="18"/>
          <w:szCs w:val="18"/>
          <w:u w:val="single"/>
        </w:rPr>
        <w:t>Lancet</w:t>
      </w:r>
      <w:r>
        <w:rPr>
          <w:rFonts w:cs="Segoe UI"/>
          <w:sz w:val="18"/>
          <w:szCs w:val="18"/>
        </w:rPr>
        <w:t>,</w:t>
      </w:r>
      <w:r w:rsidRPr="00B65740">
        <w:rPr>
          <w:rFonts w:cs="Segoe UI"/>
          <w:sz w:val="18"/>
          <w:szCs w:val="18"/>
        </w:rPr>
        <w:t xml:space="preserve"> </w:t>
      </w:r>
      <w:r w:rsidRPr="00B65740">
        <w:rPr>
          <w:rFonts w:cs="Segoe UI"/>
          <w:b/>
          <w:sz w:val="18"/>
          <w:szCs w:val="18"/>
        </w:rPr>
        <w:t>376</w:t>
      </w:r>
      <w:r w:rsidRPr="00B65740">
        <w:rPr>
          <w:rFonts w:cs="Segoe UI"/>
          <w:sz w:val="18"/>
          <w:szCs w:val="18"/>
        </w:rPr>
        <w:t>(9748):1261</w:t>
      </w:r>
      <w:r>
        <w:rPr>
          <w:rFonts w:cs="Segoe UI"/>
          <w:sz w:val="18"/>
          <w:szCs w:val="18"/>
        </w:rPr>
        <w:t>–</w:t>
      </w:r>
      <w:r w:rsidRPr="00B65740">
        <w:rPr>
          <w:rFonts w:cs="Segoe UI"/>
          <w:sz w:val="18"/>
          <w:szCs w:val="18"/>
        </w:rPr>
        <w:t>1271.</w:t>
      </w:r>
    </w:p>
  </w:endnote>
  <w:endnote w:id="69">
    <w:p w:rsidR="00E90473" w:rsidRPr="00B65740" w:rsidRDefault="00E90473" w:rsidP="00604D70">
      <w:pPr>
        <w:pStyle w:val="EndnoteText"/>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r w:rsidRPr="00B65740">
        <w:rPr>
          <w:rFonts w:cs="Segoe UI"/>
          <w:sz w:val="18"/>
          <w:szCs w:val="18"/>
          <w:lang w:val="en-AU"/>
        </w:rPr>
        <w:t xml:space="preserve">WHO (2016). </w:t>
      </w:r>
      <w:r w:rsidRPr="00F537E8">
        <w:rPr>
          <w:rFonts w:cs="Segoe UI"/>
          <w:sz w:val="18"/>
          <w:szCs w:val="18"/>
          <w:u w:val="single"/>
          <w:lang w:val="en-AU"/>
        </w:rPr>
        <w:t>Sexually Transmitted Infections</w:t>
      </w:r>
      <w:r>
        <w:rPr>
          <w:rFonts w:cs="Segoe UI"/>
          <w:sz w:val="18"/>
          <w:szCs w:val="18"/>
          <w:lang w:val="en-AU"/>
        </w:rPr>
        <w:t xml:space="preserve">. </w:t>
      </w:r>
      <w:r w:rsidRPr="00B65740">
        <w:rPr>
          <w:rFonts w:cs="Segoe UI"/>
          <w:sz w:val="18"/>
          <w:szCs w:val="18"/>
          <w:lang w:val="en-AU"/>
        </w:rPr>
        <w:t>WHO Fact Sheet. Accessed 1 May 2018 at</w:t>
      </w:r>
      <w:r>
        <w:rPr>
          <w:rFonts w:cs="Segoe UI"/>
          <w:sz w:val="18"/>
          <w:szCs w:val="18"/>
          <w:lang w:val="en-AU"/>
        </w:rPr>
        <w:t>:</w:t>
      </w:r>
      <w:r w:rsidRPr="00B65740">
        <w:rPr>
          <w:rFonts w:cs="Segoe UI"/>
          <w:sz w:val="18"/>
          <w:szCs w:val="18"/>
          <w:lang w:val="en-AU"/>
        </w:rPr>
        <w:t xml:space="preserve"> </w:t>
      </w:r>
      <w:hyperlink r:id="rId20" w:tooltip="World Health Organization" w:history="1">
        <w:r w:rsidRPr="00B65740">
          <w:rPr>
            <w:rStyle w:val="Hyperlink"/>
            <w:rFonts w:cs="Segoe UI"/>
            <w:sz w:val="18"/>
            <w:szCs w:val="18"/>
          </w:rPr>
          <w:t>http://www.who.int/mediacentre/factsheets/fs110/en/</w:t>
        </w:r>
      </w:hyperlink>
      <w:r w:rsidRPr="00B65740">
        <w:rPr>
          <w:rFonts w:cs="Segoe UI"/>
          <w:sz w:val="18"/>
          <w:szCs w:val="18"/>
          <w:lang w:val="en-AU"/>
        </w:rPr>
        <w:t xml:space="preserve"> </w:t>
      </w:r>
    </w:p>
    <w:p w:rsidR="00E90473" w:rsidRPr="00B65740" w:rsidRDefault="00E90473" w:rsidP="00604D70">
      <w:pPr>
        <w:pStyle w:val="EndnoteText"/>
        <w:rPr>
          <w:rFonts w:cs="Segoe UI"/>
          <w:sz w:val="18"/>
          <w:szCs w:val="18"/>
          <w:lang w:val="en-AU"/>
        </w:rPr>
      </w:pPr>
    </w:p>
  </w:endnote>
  <w:endnote w:id="70">
    <w:p w:rsidR="00E90473" w:rsidRPr="00B65740" w:rsidRDefault="00E90473" w:rsidP="00604D70">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proofErr w:type="spellStart"/>
      <w:r w:rsidRPr="00B65740">
        <w:rPr>
          <w:rFonts w:cs="Segoe UI"/>
          <w:sz w:val="18"/>
          <w:szCs w:val="18"/>
          <w:lang w:val="en-AU"/>
        </w:rPr>
        <w:t>Callander</w:t>
      </w:r>
      <w:proofErr w:type="spellEnd"/>
      <w:r w:rsidRPr="00B65740">
        <w:rPr>
          <w:rFonts w:cs="Segoe UI"/>
          <w:sz w:val="18"/>
          <w:szCs w:val="18"/>
          <w:lang w:val="en-AU"/>
        </w:rPr>
        <w:t>, D.</w:t>
      </w:r>
      <w:r>
        <w:rPr>
          <w:rFonts w:cs="Segoe UI"/>
          <w:sz w:val="18"/>
          <w:szCs w:val="18"/>
          <w:lang w:val="en-AU"/>
        </w:rPr>
        <w:t>,</w:t>
      </w:r>
      <w:r w:rsidRPr="00B65740">
        <w:rPr>
          <w:rFonts w:cs="Segoe UI"/>
          <w:sz w:val="18"/>
          <w:szCs w:val="18"/>
          <w:lang w:val="en-AU"/>
        </w:rPr>
        <w:t xml:space="preserve"> C. Cox, H-M. Schmidt</w:t>
      </w:r>
      <w:r>
        <w:rPr>
          <w:rFonts w:cs="Segoe UI"/>
          <w:sz w:val="18"/>
          <w:szCs w:val="18"/>
          <w:lang w:val="en-AU"/>
        </w:rPr>
        <w:t>,</w:t>
      </w:r>
      <w:r w:rsidRPr="00B65740">
        <w:rPr>
          <w:rFonts w:cs="Segoe UI"/>
          <w:sz w:val="18"/>
          <w:szCs w:val="18"/>
          <w:lang w:val="en-AU"/>
        </w:rPr>
        <w:t xml:space="preserve"> and B. Donovan. (2016). </w:t>
      </w:r>
      <w:r w:rsidRPr="00B65740">
        <w:rPr>
          <w:rFonts w:cs="Segoe UI"/>
          <w:sz w:val="18"/>
          <w:szCs w:val="18"/>
          <w:u w:val="single"/>
          <w:lang w:val="en-AU"/>
        </w:rPr>
        <w:t>Sex worker health surveillance: a report to the New South Wales Ministry of Health</w:t>
      </w:r>
      <w:r w:rsidRPr="00B65740">
        <w:rPr>
          <w:rFonts w:cs="Segoe UI"/>
          <w:sz w:val="18"/>
          <w:szCs w:val="18"/>
          <w:lang w:val="en-AU"/>
        </w:rPr>
        <w:t>. Accessed 1 May 2018 at</w:t>
      </w:r>
      <w:r>
        <w:rPr>
          <w:rFonts w:cs="Segoe UI"/>
          <w:sz w:val="18"/>
          <w:szCs w:val="18"/>
          <w:lang w:val="en-AU"/>
        </w:rPr>
        <w:t>:</w:t>
      </w:r>
      <w:r w:rsidRPr="00B65740">
        <w:rPr>
          <w:rFonts w:cs="Segoe UI"/>
          <w:sz w:val="18"/>
          <w:szCs w:val="18"/>
          <w:lang w:val="en-AU"/>
        </w:rPr>
        <w:t xml:space="preserve"> </w:t>
      </w:r>
      <w:hyperlink r:id="rId21" w:tooltip="Kirby" w:history="1">
        <w:r w:rsidRPr="00B65740">
          <w:rPr>
            <w:rStyle w:val="Hyperlink"/>
            <w:rFonts w:cs="Segoe UI"/>
            <w:sz w:val="18"/>
            <w:szCs w:val="18"/>
          </w:rPr>
          <w:t>https://kirby.unsw.edu.au/sites/default/files/kirby/report/Sex%20Worker%20Health%20Surveillance%202016.pdf</w:t>
        </w:r>
      </w:hyperlink>
      <w:r w:rsidRPr="00B65740">
        <w:rPr>
          <w:rFonts w:cs="Segoe UI"/>
          <w:sz w:val="18"/>
          <w:szCs w:val="18"/>
          <w:lang w:val="en-AU"/>
        </w:rPr>
        <w:t xml:space="preserve"> </w:t>
      </w:r>
    </w:p>
  </w:endnote>
  <w:endnote w:id="71">
    <w:p w:rsidR="00E90473" w:rsidRPr="00B65740" w:rsidRDefault="00E90473" w:rsidP="00604D70">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proofErr w:type="spellStart"/>
      <w:r w:rsidRPr="00B65740">
        <w:rPr>
          <w:rFonts w:cs="Segoe UI"/>
          <w:sz w:val="18"/>
          <w:szCs w:val="18"/>
          <w:lang w:val="en-AU"/>
        </w:rPr>
        <w:t>Blackledge</w:t>
      </w:r>
      <w:proofErr w:type="spellEnd"/>
      <w:r w:rsidRPr="00B65740">
        <w:rPr>
          <w:rFonts w:cs="Segoe UI"/>
          <w:sz w:val="18"/>
          <w:szCs w:val="18"/>
          <w:lang w:val="en-AU"/>
        </w:rPr>
        <w:t xml:space="preserve">, E., C. </w:t>
      </w:r>
      <w:proofErr w:type="spellStart"/>
      <w:r w:rsidRPr="00B65740">
        <w:rPr>
          <w:rFonts w:cs="Segoe UI"/>
          <w:sz w:val="18"/>
          <w:szCs w:val="18"/>
          <w:lang w:val="en-AU"/>
        </w:rPr>
        <w:t>Thng</w:t>
      </w:r>
      <w:proofErr w:type="spellEnd"/>
      <w:r w:rsidRPr="00B65740">
        <w:rPr>
          <w:rFonts w:cs="Segoe UI"/>
          <w:sz w:val="18"/>
          <w:szCs w:val="18"/>
          <w:lang w:val="en-AU"/>
        </w:rPr>
        <w:t>, R. McIver</w:t>
      </w:r>
      <w:r>
        <w:rPr>
          <w:rFonts w:cs="Segoe UI"/>
          <w:sz w:val="18"/>
          <w:szCs w:val="18"/>
          <w:lang w:val="en-AU"/>
        </w:rPr>
        <w:t>,</w:t>
      </w:r>
      <w:r w:rsidRPr="00B65740">
        <w:rPr>
          <w:rFonts w:cs="Segoe UI"/>
          <w:sz w:val="18"/>
          <w:szCs w:val="18"/>
          <w:lang w:val="en-AU"/>
        </w:rPr>
        <w:t xml:space="preserve"> and A. McNulty. </w:t>
      </w:r>
      <w:r>
        <w:rPr>
          <w:rFonts w:cs="Segoe UI"/>
          <w:sz w:val="18"/>
          <w:szCs w:val="18"/>
          <w:lang w:val="en-AU"/>
        </w:rPr>
        <w:t>‘</w:t>
      </w:r>
      <w:r w:rsidRPr="00B65740">
        <w:rPr>
          <w:rFonts w:cs="Segoe UI"/>
          <w:sz w:val="18"/>
          <w:szCs w:val="18"/>
          <w:lang w:val="en-AU"/>
        </w:rPr>
        <w:t xml:space="preserve">Rates of advertised </w:t>
      </w:r>
      <w:proofErr w:type="spellStart"/>
      <w:r w:rsidRPr="00B65740">
        <w:rPr>
          <w:rFonts w:cs="Segoe UI"/>
          <w:sz w:val="18"/>
          <w:szCs w:val="18"/>
          <w:lang w:val="en-AU"/>
        </w:rPr>
        <w:t>condomless</w:t>
      </w:r>
      <w:proofErr w:type="spellEnd"/>
      <w:r w:rsidRPr="00B65740">
        <w:rPr>
          <w:rFonts w:cs="Segoe UI"/>
          <w:sz w:val="18"/>
          <w:szCs w:val="18"/>
          <w:lang w:val="en-AU"/>
        </w:rPr>
        <w:t xml:space="preserve"> sex in the online profiles of private sex workers: a cross sectional study.</w:t>
      </w:r>
      <w:r>
        <w:rPr>
          <w:rFonts w:cs="Segoe UI"/>
          <w:sz w:val="18"/>
          <w:szCs w:val="18"/>
          <w:lang w:val="en-AU"/>
        </w:rPr>
        <w:t>’</w:t>
      </w:r>
      <w:r w:rsidRPr="00B65740">
        <w:rPr>
          <w:rFonts w:cs="Segoe UI"/>
          <w:sz w:val="18"/>
          <w:szCs w:val="18"/>
          <w:u w:val="single"/>
          <w:lang w:val="en-AU"/>
        </w:rPr>
        <w:t xml:space="preserve"> Sexual Health</w:t>
      </w:r>
      <w:r w:rsidRPr="00B65740">
        <w:rPr>
          <w:rFonts w:cs="Segoe UI"/>
          <w:sz w:val="18"/>
          <w:szCs w:val="18"/>
          <w:lang w:val="en-AU"/>
        </w:rPr>
        <w:t xml:space="preserve">, </w:t>
      </w:r>
      <w:r w:rsidRPr="00B65740">
        <w:rPr>
          <w:rFonts w:cs="Segoe UI"/>
          <w:b/>
          <w:sz w:val="18"/>
          <w:szCs w:val="18"/>
          <w:lang w:val="en-AU"/>
        </w:rPr>
        <w:t>15</w:t>
      </w:r>
      <w:r w:rsidRPr="00B65740">
        <w:rPr>
          <w:rFonts w:cs="Segoe UI"/>
          <w:sz w:val="18"/>
          <w:szCs w:val="18"/>
          <w:lang w:val="en-AU"/>
        </w:rPr>
        <w:t>(1):86</w:t>
      </w:r>
      <w:r>
        <w:rPr>
          <w:rFonts w:cs="Segoe UI"/>
          <w:sz w:val="18"/>
          <w:szCs w:val="18"/>
          <w:lang w:val="en-AU"/>
        </w:rPr>
        <w:t>–</w:t>
      </w:r>
      <w:r w:rsidRPr="00B65740">
        <w:rPr>
          <w:rFonts w:cs="Segoe UI"/>
          <w:sz w:val="18"/>
          <w:szCs w:val="18"/>
          <w:lang w:val="en-AU"/>
        </w:rPr>
        <w:t>88.</w:t>
      </w:r>
    </w:p>
  </w:endnote>
  <w:endnote w:id="72">
    <w:p w:rsidR="00E90473" w:rsidRPr="00B65740" w:rsidRDefault="00E90473" w:rsidP="00BA0661">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r w:rsidRPr="00B65740">
        <w:rPr>
          <w:rFonts w:cs="Segoe UI"/>
          <w:sz w:val="18"/>
          <w:szCs w:val="18"/>
          <w:lang w:val="en-US"/>
        </w:rPr>
        <w:t xml:space="preserve">Brown, G., S. </w:t>
      </w:r>
      <w:proofErr w:type="spellStart"/>
      <w:r w:rsidRPr="00B65740">
        <w:rPr>
          <w:rFonts w:cs="Segoe UI"/>
          <w:sz w:val="18"/>
          <w:szCs w:val="18"/>
          <w:lang w:val="en-US"/>
        </w:rPr>
        <w:t>Croy</w:t>
      </w:r>
      <w:proofErr w:type="spellEnd"/>
      <w:r w:rsidRPr="00B65740">
        <w:rPr>
          <w:rFonts w:cs="Segoe UI"/>
          <w:sz w:val="18"/>
          <w:szCs w:val="18"/>
          <w:lang w:val="en-US"/>
        </w:rPr>
        <w:t>, K. Johnston, M. Pitts</w:t>
      </w:r>
      <w:r>
        <w:rPr>
          <w:rFonts w:cs="Segoe UI"/>
          <w:sz w:val="18"/>
          <w:szCs w:val="18"/>
          <w:lang w:val="en-US"/>
        </w:rPr>
        <w:t>,</w:t>
      </w:r>
      <w:r w:rsidRPr="00B65740">
        <w:rPr>
          <w:rFonts w:cs="Segoe UI"/>
          <w:sz w:val="18"/>
          <w:szCs w:val="18"/>
          <w:lang w:val="en-US"/>
        </w:rPr>
        <w:t xml:space="preserve"> and V. Lewis</w:t>
      </w:r>
      <w:r>
        <w:rPr>
          <w:rFonts w:cs="Segoe UI"/>
          <w:sz w:val="18"/>
          <w:szCs w:val="18"/>
          <w:lang w:val="en-US"/>
        </w:rPr>
        <w:t>.</w:t>
      </w:r>
      <w:r w:rsidRPr="00B65740">
        <w:rPr>
          <w:rFonts w:cs="Segoe UI"/>
          <w:sz w:val="18"/>
          <w:szCs w:val="18"/>
          <w:lang w:val="en-US"/>
        </w:rPr>
        <w:t xml:space="preserve"> (2013). </w:t>
      </w:r>
      <w:r w:rsidRPr="00B65740">
        <w:rPr>
          <w:rFonts w:cs="Segoe UI"/>
          <w:sz w:val="18"/>
          <w:szCs w:val="18"/>
          <w:u w:val="single"/>
          <w:lang w:val="en-US"/>
        </w:rPr>
        <w:t xml:space="preserve">Rapid Review: </w:t>
      </w:r>
      <w:r>
        <w:rPr>
          <w:rFonts w:cs="Segoe UI"/>
          <w:sz w:val="18"/>
          <w:szCs w:val="18"/>
          <w:u w:val="single"/>
          <w:lang w:val="en-US"/>
        </w:rPr>
        <w:t>r</w:t>
      </w:r>
      <w:r w:rsidRPr="00B65740">
        <w:rPr>
          <w:rFonts w:cs="Segoe UI"/>
          <w:sz w:val="18"/>
          <w:szCs w:val="18"/>
          <w:u w:val="single"/>
          <w:lang w:val="en-US"/>
        </w:rPr>
        <w:t>educing sexually transmissible infections in young people</w:t>
      </w:r>
      <w:r w:rsidRPr="00B65740">
        <w:rPr>
          <w:rFonts w:cs="Segoe UI"/>
          <w:sz w:val="18"/>
          <w:szCs w:val="18"/>
          <w:lang w:val="en-US"/>
        </w:rPr>
        <w:t>. Australian Institute for Primary Care &amp; Ageing (AIPCA) and Australian Research Centre in Sex, Health &amp; Society (ARCSHS), La Trobe University: Melbourne.</w:t>
      </w:r>
    </w:p>
  </w:endnote>
  <w:endnote w:id="73">
    <w:p w:rsidR="00E90473" w:rsidRPr="00B65740" w:rsidRDefault="00E90473" w:rsidP="00604D70">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Chow, E</w:t>
      </w:r>
      <w:r w:rsidRPr="00B65740">
        <w:rPr>
          <w:rFonts w:cs="Segoe UI"/>
          <w:sz w:val="18"/>
          <w:szCs w:val="18"/>
          <w:lang w:val="en-AU"/>
        </w:rPr>
        <w:t xml:space="preserve">. </w:t>
      </w:r>
      <w:r w:rsidRPr="00B65740">
        <w:rPr>
          <w:rFonts w:cs="Segoe UI"/>
          <w:sz w:val="18"/>
          <w:szCs w:val="18"/>
        </w:rPr>
        <w:t>P</w:t>
      </w:r>
      <w:r w:rsidRPr="00B65740">
        <w:rPr>
          <w:rFonts w:cs="Segoe UI"/>
          <w:sz w:val="18"/>
          <w:szCs w:val="18"/>
          <w:lang w:val="en-AU"/>
        </w:rPr>
        <w:t>.</w:t>
      </w:r>
      <w:r w:rsidRPr="00B65740">
        <w:rPr>
          <w:rFonts w:cs="Segoe UI"/>
          <w:sz w:val="18"/>
          <w:szCs w:val="18"/>
        </w:rPr>
        <w:t xml:space="preserve"> F</w:t>
      </w:r>
      <w:r w:rsidRPr="00B65740">
        <w:rPr>
          <w:rFonts w:cs="Segoe UI"/>
          <w:sz w:val="18"/>
          <w:szCs w:val="18"/>
          <w:lang w:val="en-AU"/>
        </w:rPr>
        <w:t xml:space="preserve">., D. A. </w:t>
      </w:r>
      <w:proofErr w:type="spellStart"/>
      <w:r w:rsidRPr="00B65740">
        <w:rPr>
          <w:rFonts w:cs="Segoe UI"/>
          <w:sz w:val="18"/>
          <w:szCs w:val="18"/>
          <w:lang w:val="en-AU"/>
        </w:rPr>
        <w:t>Machalek</w:t>
      </w:r>
      <w:proofErr w:type="spellEnd"/>
      <w:r w:rsidRPr="00B65740">
        <w:rPr>
          <w:rFonts w:cs="Segoe UI"/>
          <w:sz w:val="18"/>
          <w:szCs w:val="18"/>
          <w:lang w:val="en-AU"/>
        </w:rPr>
        <w:t xml:space="preserve">, S. N. </w:t>
      </w:r>
      <w:proofErr w:type="spellStart"/>
      <w:r w:rsidRPr="00B65740">
        <w:rPr>
          <w:rFonts w:cs="Segoe UI"/>
          <w:sz w:val="18"/>
          <w:szCs w:val="18"/>
          <w:lang w:val="en-AU"/>
        </w:rPr>
        <w:t>Tabrizi</w:t>
      </w:r>
      <w:proofErr w:type="spellEnd"/>
      <w:r w:rsidRPr="00B65740">
        <w:rPr>
          <w:rFonts w:cs="Segoe UI"/>
          <w:sz w:val="18"/>
          <w:szCs w:val="18"/>
          <w:lang w:val="en-AU"/>
        </w:rPr>
        <w:t xml:space="preserve">, J. A. </w:t>
      </w:r>
      <w:proofErr w:type="spellStart"/>
      <w:r w:rsidRPr="00B65740">
        <w:rPr>
          <w:rFonts w:cs="Segoe UI"/>
          <w:sz w:val="18"/>
          <w:szCs w:val="18"/>
          <w:lang w:val="en-AU"/>
        </w:rPr>
        <w:t>Danielewski</w:t>
      </w:r>
      <w:proofErr w:type="spellEnd"/>
      <w:r w:rsidRPr="00B65740">
        <w:rPr>
          <w:rFonts w:cs="Segoe UI"/>
          <w:sz w:val="18"/>
          <w:szCs w:val="18"/>
          <w:lang w:val="en-AU"/>
        </w:rPr>
        <w:t xml:space="preserve">, G. </w:t>
      </w:r>
      <w:proofErr w:type="spellStart"/>
      <w:r w:rsidRPr="00B65740">
        <w:rPr>
          <w:rFonts w:cs="Segoe UI"/>
          <w:sz w:val="18"/>
          <w:szCs w:val="18"/>
          <w:lang w:val="en-AU"/>
        </w:rPr>
        <w:t>Fehler</w:t>
      </w:r>
      <w:proofErr w:type="spellEnd"/>
      <w:r w:rsidRPr="00B65740">
        <w:rPr>
          <w:rFonts w:cs="Segoe UI"/>
          <w:sz w:val="18"/>
          <w:szCs w:val="18"/>
          <w:lang w:val="en-AU"/>
        </w:rPr>
        <w:t>, C. S. Bradshaw, S. M. Garland, M. Y. Chen</w:t>
      </w:r>
      <w:r>
        <w:rPr>
          <w:rFonts w:cs="Segoe UI"/>
          <w:sz w:val="18"/>
          <w:szCs w:val="18"/>
          <w:lang w:val="en-AU"/>
        </w:rPr>
        <w:t>,</w:t>
      </w:r>
      <w:r w:rsidRPr="00B65740">
        <w:rPr>
          <w:rFonts w:cs="Segoe UI"/>
          <w:sz w:val="18"/>
          <w:szCs w:val="18"/>
          <w:lang w:val="en-AU"/>
        </w:rPr>
        <w:t xml:space="preserve"> and C. K. Fairley. (2017).</w:t>
      </w:r>
      <w:r w:rsidRPr="00B65740">
        <w:rPr>
          <w:rFonts w:cs="Segoe UI"/>
          <w:sz w:val="18"/>
          <w:szCs w:val="18"/>
        </w:rPr>
        <w:t xml:space="preserve"> </w:t>
      </w:r>
      <w:r>
        <w:rPr>
          <w:rFonts w:cs="Segoe UI"/>
          <w:sz w:val="18"/>
          <w:szCs w:val="18"/>
        </w:rPr>
        <w:t>‘</w:t>
      </w:r>
      <w:proofErr w:type="spellStart"/>
      <w:proofErr w:type="gramStart"/>
      <w:r w:rsidRPr="00B65740">
        <w:rPr>
          <w:rFonts w:cs="Segoe UI"/>
          <w:sz w:val="18"/>
          <w:szCs w:val="18"/>
        </w:rPr>
        <w:t>Quadrivalent</w:t>
      </w:r>
      <w:proofErr w:type="spellEnd"/>
      <w:proofErr w:type="gramEnd"/>
      <w:r w:rsidRPr="00B65740">
        <w:rPr>
          <w:rFonts w:cs="Segoe UI"/>
          <w:sz w:val="18"/>
          <w:szCs w:val="18"/>
        </w:rPr>
        <w:t xml:space="preserve"> vaccine-targeted human papillomavirus genotypes in heterosexual men after the Australian female human papillomavirus vaccination programme: a retrospective observational study</w:t>
      </w:r>
      <w:r>
        <w:rPr>
          <w:rFonts w:cs="Segoe UI"/>
          <w:sz w:val="18"/>
          <w:szCs w:val="18"/>
        </w:rPr>
        <w:t>.’</w:t>
      </w:r>
      <w:r w:rsidRPr="00B65740">
        <w:rPr>
          <w:rFonts w:cs="Segoe UI"/>
          <w:sz w:val="18"/>
          <w:szCs w:val="18"/>
        </w:rPr>
        <w:t xml:space="preserve"> </w:t>
      </w:r>
      <w:r w:rsidRPr="00B65740">
        <w:rPr>
          <w:rFonts w:cs="Segoe UI"/>
          <w:sz w:val="18"/>
          <w:szCs w:val="18"/>
          <w:u w:val="single"/>
        </w:rPr>
        <w:t>The Lancet Infectious Diseases</w:t>
      </w:r>
      <w:r w:rsidRPr="00B65740">
        <w:rPr>
          <w:rFonts w:cs="Segoe UI"/>
          <w:sz w:val="18"/>
          <w:szCs w:val="18"/>
        </w:rPr>
        <w:t xml:space="preserve">, </w:t>
      </w:r>
      <w:r w:rsidRPr="00B65740">
        <w:rPr>
          <w:rFonts w:cs="Segoe UI"/>
          <w:b/>
          <w:sz w:val="18"/>
          <w:szCs w:val="18"/>
        </w:rPr>
        <w:t>17</w:t>
      </w:r>
      <w:r w:rsidRPr="00B65740">
        <w:rPr>
          <w:rFonts w:cs="Segoe UI"/>
          <w:sz w:val="18"/>
          <w:szCs w:val="18"/>
          <w:lang w:val="en-AU"/>
        </w:rPr>
        <w:t>(1):</w:t>
      </w:r>
      <w:r w:rsidRPr="00B65740">
        <w:rPr>
          <w:rFonts w:cs="Segoe UI"/>
          <w:sz w:val="18"/>
          <w:szCs w:val="18"/>
        </w:rPr>
        <w:t>68–77</w:t>
      </w:r>
      <w:r w:rsidRPr="00B65740">
        <w:rPr>
          <w:rFonts w:cs="Segoe UI"/>
          <w:sz w:val="18"/>
          <w:szCs w:val="18"/>
          <w:lang w:val="en-AU"/>
        </w:rPr>
        <w:t>.</w:t>
      </w:r>
    </w:p>
  </w:endnote>
  <w:endnote w:id="74">
    <w:p w:rsidR="00E90473" w:rsidRPr="00B65740" w:rsidRDefault="00E90473" w:rsidP="00604D70">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The Royal Australian College of General Practitioners</w:t>
      </w:r>
      <w:r w:rsidRPr="00B65740">
        <w:rPr>
          <w:rFonts w:cs="Segoe UI"/>
          <w:sz w:val="18"/>
          <w:szCs w:val="18"/>
          <w:lang w:val="en-AU"/>
        </w:rPr>
        <w:t xml:space="preserve"> (RACGP)</w:t>
      </w:r>
      <w:r w:rsidRPr="00B65740">
        <w:rPr>
          <w:rFonts w:cs="Segoe UI"/>
          <w:sz w:val="18"/>
          <w:szCs w:val="18"/>
        </w:rPr>
        <w:t xml:space="preserve">. </w:t>
      </w:r>
      <w:r w:rsidRPr="00B65740">
        <w:rPr>
          <w:rFonts w:cs="Segoe UI"/>
          <w:sz w:val="18"/>
          <w:szCs w:val="18"/>
          <w:lang w:val="en-AU"/>
        </w:rPr>
        <w:t xml:space="preserve">(2016). </w:t>
      </w:r>
      <w:r w:rsidRPr="00B65740">
        <w:rPr>
          <w:rFonts w:cs="Segoe UI"/>
          <w:sz w:val="18"/>
          <w:szCs w:val="18"/>
          <w:u w:val="single"/>
        </w:rPr>
        <w:t>Guidelines for preventive activities in general practice</w:t>
      </w:r>
      <w:r w:rsidRPr="00B65740">
        <w:rPr>
          <w:rFonts w:cs="Segoe UI"/>
          <w:sz w:val="18"/>
          <w:szCs w:val="18"/>
          <w:lang w:val="en-AU"/>
        </w:rPr>
        <w:t xml:space="preserve">, </w:t>
      </w:r>
      <w:r w:rsidRPr="00B65740">
        <w:rPr>
          <w:rFonts w:cs="Segoe UI"/>
          <w:sz w:val="18"/>
          <w:szCs w:val="18"/>
        </w:rPr>
        <w:t>9</w:t>
      </w:r>
      <w:r w:rsidRPr="00B65740">
        <w:rPr>
          <w:rFonts w:cs="Segoe UI"/>
          <w:sz w:val="18"/>
          <w:szCs w:val="18"/>
          <w:vertAlign w:val="superscript"/>
        </w:rPr>
        <w:t xml:space="preserve">th </w:t>
      </w:r>
      <w:proofErr w:type="spellStart"/>
      <w:r w:rsidRPr="00B65740">
        <w:rPr>
          <w:rFonts w:cs="Segoe UI"/>
          <w:sz w:val="18"/>
          <w:szCs w:val="18"/>
        </w:rPr>
        <w:t>ed</w:t>
      </w:r>
      <w:r w:rsidRPr="00B65740">
        <w:rPr>
          <w:rFonts w:cs="Segoe UI"/>
          <w:sz w:val="18"/>
          <w:szCs w:val="18"/>
          <w:lang w:val="en-AU"/>
        </w:rPr>
        <w:t>itio</w:t>
      </w:r>
      <w:proofErr w:type="spellEnd"/>
      <w:r w:rsidRPr="00B65740">
        <w:rPr>
          <w:rFonts w:cs="Segoe UI"/>
          <w:sz w:val="18"/>
          <w:szCs w:val="18"/>
        </w:rPr>
        <w:t xml:space="preserve">n. </w:t>
      </w:r>
      <w:r w:rsidRPr="00B65740">
        <w:rPr>
          <w:rFonts w:cs="Segoe UI"/>
          <w:sz w:val="18"/>
          <w:szCs w:val="18"/>
          <w:lang w:val="en-AU"/>
        </w:rPr>
        <w:t xml:space="preserve">RACGP: East Melbourne. </w:t>
      </w:r>
    </w:p>
  </w:endnote>
  <w:endnote w:id="75">
    <w:p w:rsidR="00E90473" w:rsidRPr="00B65740" w:rsidRDefault="00E90473" w:rsidP="00604D70">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Bradshaw, C. S., L. I. Pierce, S. N. </w:t>
      </w:r>
      <w:proofErr w:type="spellStart"/>
      <w:r w:rsidRPr="00B65740">
        <w:rPr>
          <w:rFonts w:cs="Segoe UI"/>
          <w:sz w:val="18"/>
          <w:szCs w:val="18"/>
        </w:rPr>
        <w:t>Tabrizi</w:t>
      </w:r>
      <w:proofErr w:type="spellEnd"/>
      <w:r w:rsidRPr="00B65740">
        <w:rPr>
          <w:rFonts w:cs="Segoe UI"/>
          <w:sz w:val="18"/>
          <w:szCs w:val="18"/>
        </w:rPr>
        <w:t>, C. K. Fairley</w:t>
      </w:r>
      <w:r>
        <w:rPr>
          <w:rFonts w:cs="Segoe UI"/>
          <w:sz w:val="18"/>
          <w:szCs w:val="18"/>
        </w:rPr>
        <w:t>,</w:t>
      </w:r>
      <w:r w:rsidRPr="00B65740">
        <w:rPr>
          <w:rFonts w:cs="Segoe UI"/>
          <w:sz w:val="18"/>
          <w:szCs w:val="18"/>
        </w:rPr>
        <w:t xml:space="preserve"> and S. M. Garland.</w:t>
      </w:r>
      <w:r w:rsidRPr="00B65740">
        <w:rPr>
          <w:rFonts w:cs="Segoe UI"/>
          <w:sz w:val="18"/>
          <w:szCs w:val="18"/>
          <w:lang w:val="en-AU"/>
        </w:rPr>
        <w:t xml:space="preserve"> (2005).</w:t>
      </w:r>
      <w:r w:rsidRPr="00B65740">
        <w:rPr>
          <w:rFonts w:cs="Segoe UI"/>
          <w:sz w:val="18"/>
          <w:szCs w:val="18"/>
        </w:rPr>
        <w:t xml:space="preserve"> </w:t>
      </w:r>
      <w:r>
        <w:rPr>
          <w:rFonts w:cs="Segoe UI"/>
          <w:sz w:val="18"/>
          <w:szCs w:val="18"/>
          <w:lang w:val="en-AU"/>
        </w:rPr>
        <w:t>‘</w:t>
      </w:r>
      <w:r w:rsidRPr="00B65740">
        <w:rPr>
          <w:rFonts w:cs="Segoe UI"/>
          <w:sz w:val="18"/>
          <w:szCs w:val="18"/>
        </w:rPr>
        <w:t>Screening injecting drug users for sexually transmitted infections and blood borne viruses using street outreach and self</w:t>
      </w:r>
      <w:r w:rsidRPr="00B65740">
        <w:rPr>
          <w:rFonts w:cs="Segoe UI"/>
          <w:sz w:val="18"/>
          <w:szCs w:val="18"/>
          <w:lang w:val="en-AU"/>
        </w:rPr>
        <w:t>-</w:t>
      </w:r>
      <w:r w:rsidRPr="00B65740">
        <w:rPr>
          <w:rFonts w:cs="Segoe UI"/>
          <w:sz w:val="18"/>
          <w:szCs w:val="18"/>
        </w:rPr>
        <w:t>collected sampling.</w:t>
      </w:r>
      <w:r>
        <w:rPr>
          <w:rFonts w:cs="Segoe UI"/>
          <w:sz w:val="18"/>
          <w:szCs w:val="18"/>
          <w:lang w:val="en-AU"/>
        </w:rPr>
        <w:t>’</w:t>
      </w:r>
      <w:r w:rsidRPr="00B65740">
        <w:rPr>
          <w:rFonts w:cs="Segoe UI"/>
          <w:sz w:val="18"/>
          <w:szCs w:val="18"/>
        </w:rPr>
        <w:t xml:space="preserve"> </w:t>
      </w:r>
      <w:r w:rsidRPr="00B65740">
        <w:rPr>
          <w:rFonts w:cs="Segoe UI"/>
          <w:sz w:val="18"/>
          <w:szCs w:val="18"/>
          <w:u w:val="single"/>
        </w:rPr>
        <w:t>Sexually Transmitted Infections</w:t>
      </w:r>
      <w:r w:rsidRPr="00B65740">
        <w:rPr>
          <w:rFonts w:cs="Segoe UI"/>
          <w:sz w:val="18"/>
          <w:szCs w:val="18"/>
        </w:rPr>
        <w:t xml:space="preserve">, </w:t>
      </w:r>
      <w:r w:rsidRPr="00B65740">
        <w:rPr>
          <w:rFonts w:cs="Segoe UI"/>
          <w:b/>
          <w:sz w:val="18"/>
          <w:szCs w:val="18"/>
        </w:rPr>
        <w:t>81</w:t>
      </w:r>
      <w:r w:rsidRPr="00B65740">
        <w:rPr>
          <w:rFonts w:cs="Segoe UI"/>
          <w:sz w:val="18"/>
          <w:szCs w:val="18"/>
        </w:rPr>
        <w:t>:53</w:t>
      </w:r>
      <w:r>
        <w:rPr>
          <w:rFonts w:cs="Segoe UI"/>
          <w:sz w:val="18"/>
          <w:szCs w:val="18"/>
        </w:rPr>
        <w:t>–</w:t>
      </w:r>
      <w:r w:rsidRPr="00B65740">
        <w:rPr>
          <w:rFonts w:cs="Segoe UI"/>
          <w:sz w:val="18"/>
          <w:szCs w:val="18"/>
        </w:rPr>
        <w:t>58</w:t>
      </w:r>
      <w:r w:rsidRPr="00B65740">
        <w:rPr>
          <w:rFonts w:cs="Segoe UI"/>
          <w:sz w:val="18"/>
          <w:szCs w:val="18"/>
          <w:lang w:val="en-AU"/>
        </w:rPr>
        <w:t>.</w:t>
      </w:r>
    </w:p>
  </w:endnote>
  <w:endnote w:id="76">
    <w:p w:rsidR="00E90473" w:rsidRPr="00B65740" w:rsidRDefault="00E90473" w:rsidP="00604D70">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Goldenberg, S</w:t>
      </w:r>
      <w:r w:rsidRPr="00B65740">
        <w:rPr>
          <w:rFonts w:cs="Segoe UI"/>
          <w:sz w:val="18"/>
          <w:szCs w:val="18"/>
          <w:lang w:val="en-AU"/>
        </w:rPr>
        <w:t xml:space="preserve">. M., </w:t>
      </w:r>
      <w:r w:rsidRPr="00B65740">
        <w:rPr>
          <w:rFonts w:cs="Segoe UI"/>
          <w:sz w:val="18"/>
          <w:szCs w:val="18"/>
        </w:rPr>
        <w:t>J. A</w:t>
      </w:r>
      <w:r>
        <w:rPr>
          <w:rFonts w:cs="Segoe UI"/>
          <w:sz w:val="18"/>
          <w:szCs w:val="18"/>
        </w:rPr>
        <w:t>.</w:t>
      </w:r>
      <w:r w:rsidRPr="00B65740">
        <w:rPr>
          <w:rFonts w:cs="Segoe UI"/>
          <w:sz w:val="18"/>
          <w:szCs w:val="18"/>
        </w:rPr>
        <w:t xml:space="preserve"> </w:t>
      </w:r>
      <w:proofErr w:type="spellStart"/>
      <w:r w:rsidRPr="00B65740">
        <w:rPr>
          <w:rFonts w:cs="Segoe UI"/>
          <w:sz w:val="18"/>
          <w:szCs w:val="18"/>
        </w:rPr>
        <w:t>Shoveller</w:t>
      </w:r>
      <w:proofErr w:type="spellEnd"/>
      <w:r w:rsidRPr="00B65740">
        <w:rPr>
          <w:rFonts w:cs="Segoe UI"/>
          <w:sz w:val="18"/>
          <w:szCs w:val="18"/>
        </w:rPr>
        <w:t xml:space="preserve">, A. C. </w:t>
      </w:r>
      <w:proofErr w:type="spellStart"/>
      <w:r w:rsidRPr="00B65740">
        <w:rPr>
          <w:rFonts w:cs="Segoe UI"/>
          <w:sz w:val="18"/>
          <w:szCs w:val="18"/>
        </w:rPr>
        <w:t>Ostry</w:t>
      </w:r>
      <w:proofErr w:type="spellEnd"/>
      <w:r>
        <w:rPr>
          <w:rFonts w:cs="Segoe UI"/>
          <w:sz w:val="18"/>
          <w:szCs w:val="18"/>
        </w:rPr>
        <w:t>,</w:t>
      </w:r>
      <w:r w:rsidRPr="00B65740">
        <w:rPr>
          <w:rFonts w:cs="Segoe UI"/>
          <w:sz w:val="18"/>
          <w:szCs w:val="18"/>
        </w:rPr>
        <w:t xml:space="preserve"> and M. </w:t>
      </w:r>
      <w:proofErr w:type="spellStart"/>
      <w:r w:rsidRPr="00B65740">
        <w:rPr>
          <w:rFonts w:cs="Segoe UI"/>
          <w:sz w:val="18"/>
          <w:szCs w:val="18"/>
        </w:rPr>
        <w:t>Koehoorn</w:t>
      </w:r>
      <w:proofErr w:type="spellEnd"/>
      <w:r w:rsidRPr="00B65740">
        <w:rPr>
          <w:rFonts w:cs="Segoe UI"/>
          <w:sz w:val="18"/>
          <w:szCs w:val="18"/>
        </w:rPr>
        <w:t xml:space="preserve">. </w:t>
      </w:r>
      <w:r w:rsidRPr="00B65740">
        <w:rPr>
          <w:rFonts w:cs="Segoe UI"/>
          <w:sz w:val="18"/>
          <w:szCs w:val="18"/>
          <w:lang w:val="en-AU"/>
        </w:rPr>
        <w:t xml:space="preserve">(2008). </w:t>
      </w:r>
      <w:r>
        <w:rPr>
          <w:rFonts w:cs="Segoe UI"/>
          <w:sz w:val="18"/>
          <w:szCs w:val="18"/>
          <w:lang w:val="en-AU"/>
        </w:rPr>
        <w:t>‘</w:t>
      </w:r>
      <w:r w:rsidRPr="00B65740">
        <w:rPr>
          <w:rFonts w:cs="Segoe UI"/>
          <w:sz w:val="18"/>
          <w:szCs w:val="18"/>
        </w:rPr>
        <w:t>Sexually Transmitted Infection (STI) Testing among young oil and gas workers: the need for innovative, place-based approaches to STI control.</w:t>
      </w:r>
      <w:r>
        <w:rPr>
          <w:rFonts w:cs="Segoe UI"/>
          <w:sz w:val="18"/>
          <w:szCs w:val="18"/>
          <w:lang w:val="en-AU"/>
        </w:rPr>
        <w:t>’</w:t>
      </w:r>
      <w:r w:rsidRPr="00B65740">
        <w:rPr>
          <w:rFonts w:cs="Segoe UI"/>
          <w:sz w:val="18"/>
          <w:szCs w:val="18"/>
        </w:rPr>
        <w:t xml:space="preserve"> </w:t>
      </w:r>
      <w:r w:rsidRPr="00B65740">
        <w:rPr>
          <w:rFonts w:cs="Segoe UI"/>
          <w:sz w:val="18"/>
          <w:szCs w:val="18"/>
          <w:u w:val="single"/>
        </w:rPr>
        <w:t>Canadian Journal of Public Health</w:t>
      </w:r>
      <w:r w:rsidRPr="00B65740">
        <w:rPr>
          <w:rFonts w:cs="Segoe UI"/>
          <w:sz w:val="18"/>
          <w:szCs w:val="18"/>
        </w:rPr>
        <w:t xml:space="preserve">, </w:t>
      </w:r>
      <w:r w:rsidRPr="00B65740">
        <w:rPr>
          <w:rFonts w:cs="Segoe UI"/>
          <w:b/>
          <w:sz w:val="18"/>
          <w:szCs w:val="18"/>
        </w:rPr>
        <w:t>99</w:t>
      </w:r>
      <w:r w:rsidRPr="00B65740">
        <w:rPr>
          <w:rFonts w:cs="Segoe UI"/>
          <w:sz w:val="18"/>
          <w:szCs w:val="18"/>
        </w:rPr>
        <w:t>(4):350</w:t>
      </w:r>
      <w:r>
        <w:rPr>
          <w:rFonts w:cs="Segoe UI"/>
          <w:sz w:val="18"/>
          <w:szCs w:val="18"/>
        </w:rPr>
        <w:t>–3</w:t>
      </w:r>
      <w:r w:rsidRPr="00B65740">
        <w:rPr>
          <w:rFonts w:cs="Segoe UI"/>
          <w:sz w:val="18"/>
          <w:szCs w:val="18"/>
        </w:rPr>
        <w:t>54</w:t>
      </w:r>
      <w:r w:rsidRPr="00B65740">
        <w:rPr>
          <w:rFonts w:cs="Segoe UI"/>
          <w:sz w:val="18"/>
          <w:szCs w:val="18"/>
          <w:lang w:val="en-AU"/>
        </w:rPr>
        <w:t>.</w:t>
      </w:r>
    </w:p>
  </w:endnote>
  <w:endnote w:id="77">
    <w:p w:rsidR="00E90473" w:rsidRPr="00B65740" w:rsidRDefault="00E90473" w:rsidP="00604D70">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r w:rsidRPr="00B65740">
        <w:rPr>
          <w:rFonts w:cs="Segoe UI"/>
          <w:sz w:val="18"/>
          <w:szCs w:val="18"/>
          <w:lang w:val="en-AU"/>
        </w:rPr>
        <w:t xml:space="preserve">de la </w:t>
      </w:r>
      <w:r w:rsidRPr="00B65740">
        <w:rPr>
          <w:rFonts w:cs="Segoe UI"/>
          <w:sz w:val="18"/>
          <w:szCs w:val="18"/>
        </w:rPr>
        <w:t>Fuente, L., J. Delgado</w:t>
      </w:r>
      <w:r w:rsidRPr="00B65740">
        <w:rPr>
          <w:rFonts w:cs="Segoe UI"/>
          <w:sz w:val="18"/>
          <w:szCs w:val="18"/>
          <w:lang w:val="en-AU"/>
        </w:rPr>
        <w:t>,</w:t>
      </w:r>
      <w:r w:rsidRPr="00B65740">
        <w:rPr>
          <w:rFonts w:cs="Segoe UI"/>
          <w:sz w:val="18"/>
          <w:szCs w:val="18"/>
        </w:rPr>
        <w:t xml:space="preserve"> J. </w:t>
      </w:r>
      <w:proofErr w:type="spellStart"/>
      <w:r w:rsidRPr="00B65740">
        <w:rPr>
          <w:rFonts w:cs="Segoe UI"/>
          <w:sz w:val="18"/>
          <w:szCs w:val="18"/>
        </w:rPr>
        <w:t>Hoyos</w:t>
      </w:r>
      <w:proofErr w:type="spellEnd"/>
      <w:r w:rsidRPr="00B65740">
        <w:rPr>
          <w:rFonts w:cs="Segoe UI"/>
          <w:sz w:val="18"/>
          <w:szCs w:val="18"/>
          <w:lang w:val="en-AU"/>
        </w:rPr>
        <w:t xml:space="preserve">, M. J. </w:t>
      </w:r>
      <w:proofErr w:type="spellStart"/>
      <w:r w:rsidRPr="00B65740">
        <w:rPr>
          <w:rFonts w:cs="Segoe UI"/>
          <w:sz w:val="18"/>
          <w:szCs w:val="18"/>
          <w:lang w:val="en-AU"/>
        </w:rPr>
        <w:t>Belza</w:t>
      </w:r>
      <w:proofErr w:type="spellEnd"/>
      <w:r w:rsidRPr="00B65740">
        <w:rPr>
          <w:rFonts w:cs="Segoe UI"/>
          <w:sz w:val="18"/>
          <w:szCs w:val="18"/>
          <w:lang w:val="en-AU"/>
        </w:rPr>
        <w:t xml:space="preserve">, J. </w:t>
      </w:r>
      <w:proofErr w:type="spellStart"/>
      <w:r w:rsidRPr="00B65740">
        <w:rPr>
          <w:rFonts w:cs="Segoe UI"/>
          <w:sz w:val="18"/>
          <w:szCs w:val="18"/>
          <w:lang w:val="en-AU"/>
        </w:rPr>
        <w:t>Álvarez</w:t>
      </w:r>
      <w:proofErr w:type="spellEnd"/>
      <w:r w:rsidRPr="00B65740">
        <w:rPr>
          <w:rFonts w:cs="Segoe UI"/>
          <w:sz w:val="18"/>
          <w:szCs w:val="18"/>
          <w:lang w:val="en-AU"/>
        </w:rPr>
        <w:t xml:space="preserve">, J. Gutiérrez, M. </w:t>
      </w:r>
      <w:proofErr w:type="spellStart"/>
      <w:r w:rsidRPr="00B65740">
        <w:rPr>
          <w:rFonts w:cs="Segoe UI"/>
          <w:sz w:val="18"/>
          <w:szCs w:val="18"/>
          <w:lang w:val="en-AU"/>
        </w:rPr>
        <w:t>Neira</w:t>
      </w:r>
      <w:proofErr w:type="spellEnd"/>
      <w:r w:rsidRPr="00B65740">
        <w:rPr>
          <w:rFonts w:cs="Segoe UI"/>
          <w:sz w:val="18"/>
          <w:szCs w:val="18"/>
          <w:lang w:val="en-AU"/>
        </w:rPr>
        <w:t>-León</w:t>
      </w:r>
      <w:r>
        <w:rPr>
          <w:rFonts w:cs="Segoe UI"/>
          <w:sz w:val="18"/>
          <w:szCs w:val="18"/>
          <w:lang w:val="en-AU"/>
        </w:rPr>
        <w:t>,</w:t>
      </w:r>
      <w:r w:rsidRPr="00B65740">
        <w:rPr>
          <w:rFonts w:cs="Segoe UI"/>
          <w:sz w:val="18"/>
          <w:szCs w:val="18"/>
          <w:lang w:val="en-AU"/>
        </w:rPr>
        <w:t xml:space="preserve"> and M. Suárez</w:t>
      </w:r>
      <w:r w:rsidRPr="00B65740">
        <w:rPr>
          <w:rFonts w:cs="Segoe UI"/>
          <w:sz w:val="18"/>
          <w:szCs w:val="18"/>
        </w:rPr>
        <w:t>.</w:t>
      </w:r>
      <w:r w:rsidRPr="00B65740">
        <w:rPr>
          <w:rFonts w:cs="Segoe UI"/>
          <w:sz w:val="18"/>
          <w:szCs w:val="18"/>
          <w:lang w:val="en-AU"/>
        </w:rPr>
        <w:t xml:space="preserve"> (2009). </w:t>
      </w:r>
      <w:r>
        <w:rPr>
          <w:rFonts w:cs="Segoe UI"/>
          <w:sz w:val="18"/>
          <w:szCs w:val="18"/>
          <w:lang w:val="en-AU"/>
        </w:rPr>
        <w:t>‘</w:t>
      </w:r>
      <w:r w:rsidRPr="00B65740">
        <w:rPr>
          <w:rFonts w:cs="Segoe UI"/>
          <w:sz w:val="18"/>
          <w:szCs w:val="18"/>
        </w:rPr>
        <w:t>Increasing early diagnosis of HIV through rapid testing in a street outreach program in Spain</w:t>
      </w:r>
      <w:r w:rsidRPr="00B65740">
        <w:rPr>
          <w:rFonts w:cs="Segoe UI"/>
          <w:sz w:val="18"/>
          <w:szCs w:val="18"/>
          <w:lang w:val="en-AU"/>
        </w:rPr>
        <w:t>.</w:t>
      </w:r>
      <w:r>
        <w:rPr>
          <w:rFonts w:cs="Segoe UI"/>
          <w:sz w:val="18"/>
          <w:szCs w:val="18"/>
          <w:lang w:val="en-AU"/>
        </w:rPr>
        <w:t>’</w:t>
      </w:r>
      <w:r w:rsidRPr="00B65740">
        <w:rPr>
          <w:rFonts w:cs="Segoe UI"/>
          <w:sz w:val="18"/>
          <w:szCs w:val="18"/>
        </w:rPr>
        <w:t xml:space="preserve"> </w:t>
      </w:r>
      <w:r w:rsidRPr="00B65740">
        <w:rPr>
          <w:rFonts w:cs="Segoe UI"/>
          <w:sz w:val="18"/>
          <w:szCs w:val="18"/>
          <w:u w:val="single"/>
        </w:rPr>
        <w:t>AIDS Patients Care and STD</w:t>
      </w:r>
      <w:r w:rsidRPr="00B65740">
        <w:rPr>
          <w:rFonts w:cs="Segoe UI"/>
          <w:sz w:val="18"/>
          <w:szCs w:val="18"/>
          <w:u w:val="single"/>
          <w:lang w:val="en-AU"/>
        </w:rPr>
        <w:t>s</w:t>
      </w:r>
      <w:r w:rsidRPr="00B65740">
        <w:rPr>
          <w:rFonts w:cs="Segoe UI"/>
          <w:sz w:val="18"/>
          <w:szCs w:val="18"/>
        </w:rPr>
        <w:t xml:space="preserve">, </w:t>
      </w:r>
      <w:r w:rsidRPr="00B65740">
        <w:rPr>
          <w:rFonts w:cs="Segoe UI"/>
          <w:b/>
          <w:sz w:val="18"/>
          <w:szCs w:val="18"/>
        </w:rPr>
        <w:t>23</w:t>
      </w:r>
      <w:r w:rsidRPr="00B65740">
        <w:rPr>
          <w:rFonts w:cs="Segoe UI"/>
          <w:sz w:val="18"/>
          <w:szCs w:val="18"/>
        </w:rPr>
        <w:t>(8):625</w:t>
      </w:r>
      <w:r>
        <w:rPr>
          <w:rFonts w:cs="Segoe UI"/>
          <w:sz w:val="18"/>
          <w:szCs w:val="18"/>
        </w:rPr>
        <w:t>–62</w:t>
      </w:r>
      <w:r w:rsidRPr="00B65740">
        <w:rPr>
          <w:rFonts w:cs="Segoe UI"/>
          <w:sz w:val="18"/>
          <w:szCs w:val="18"/>
        </w:rPr>
        <w:t>9</w:t>
      </w:r>
      <w:r w:rsidRPr="00B65740">
        <w:rPr>
          <w:rFonts w:cs="Segoe UI"/>
          <w:sz w:val="18"/>
          <w:szCs w:val="18"/>
          <w:lang w:val="en-AU"/>
        </w:rPr>
        <w:t>.</w:t>
      </w:r>
    </w:p>
  </w:endnote>
  <w:endnote w:id="78">
    <w:p w:rsidR="00E90473" w:rsidRPr="00B65740" w:rsidRDefault="00E90473" w:rsidP="00604D70">
      <w:pPr>
        <w:pStyle w:val="EndnoteText"/>
        <w:spacing w:after="120"/>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w:t>
      </w:r>
      <w:proofErr w:type="spellStart"/>
      <w:r w:rsidRPr="00B65740">
        <w:rPr>
          <w:rFonts w:cs="Segoe UI"/>
          <w:sz w:val="18"/>
          <w:szCs w:val="18"/>
        </w:rPr>
        <w:t>Gotz</w:t>
      </w:r>
      <w:proofErr w:type="spellEnd"/>
      <w:r w:rsidRPr="00B65740">
        <w:rPr>
          <w:rFonts w:cs="Segoe UI"/>
          <w:sz w:val="18"/>
          <w:szCs w:val="18"/>
        </w:rPr>
        <w:t xml:space="preserve">, H. M., I. K. </w:t>
      </w:r>
      <w:proofErr w:type="spellStart"/>
      <w:r w:rsidRPr="00B65740">
        <w:rPr>
          <w:rFonts w:cs="Segoe UI"/>
          <w:sz w:val="18"/>
          <w:szCs w:val="18"/>
        </w:rPr>
        <w:t>Veldhuijzen</w:t>
      </w:r>
      <w:proofErr w:type="spellEnd"/>
      <w:r w:rsidRPr="00B65740">
        <w:rPr>
          <w:rFonts w:cs="Segoe UI"/>
          <w:sz w:val="18"/>
          <w:szCs w:val="18"/>
        </w:rPr>
        <w:t xml:space="preserve">, J. M. </w:t>
      </w:r>
      <w:proofErr w:type="spellStart"/>
      <w:r w:rsidRPr="00B65740">
        <w:rPr>
          <w:rFonts w:cs="Segoe UI"/>
          <w:sz w:val="18"/>
          <w:szCs w:val="18"/>
        </w:rPr>
        <w:t>Ossewaarde</w:t>
      </w:r>
      <w:proofErr w:type="spellEnd"/>
      <w:r w:rsidRPr="00B65740">
        <w:rPr>
          <w:rFonts w:cs="Segoe UI"/>
          <w:sz w:val="18"/>
          <w:szCs w:val="18"/>
        </w:rPr>
        <w:t>, O</w:t>
      </w:r>
      <w:r>
        <w:rPr>
          <w:rFonts w:cs="Segoe UI"/>
          <w:sz w:val="18"/>
          <w:szCs w:val="18"/>
        </w:rPr>
        <w:t>.</w:t>
      </w:r>
      <w:r w:rsidRPr="00B65740">
        <w:rPr>
          <w:rFonts w:cs="Segoe UI"/>
          <w:sz w:val="18"/>
          <w:szCs w:val="18"/>
        </w:rPr>
        <w:t xml:space="preserve"> de </w:t>
      </w:r>
      <w:proofErr w:type="spellStart"/>
      <w:r w:rsidRPr="00B65740">
        <w:rPr>
          <w:rFonts w:cs="Segoe UI"/>
          <w:sz w:val="18"/>
          <w:szCs w:val="18"/>
        </w:rPr>
        <w:t>Zwart</w:t>
      </w:r>
      <w:proofErr w:type="spellEnd"/>
      <w:r>
        <w:rPr>
          <w:rFonts w:cs="Segoe UI"/>
          <w:sz w:val="18"/>
          <w:szCs w:val="18"/>
        </w:rPr>
        <w:t>,</w:t>
      </w:r>
      <w:r w:rsidRPr="00B65740">
        <w:rPr>
          <w:rFonts w:cs="Segoe UI"/>
          <w:sz w:val="18"/>
          <w:szCs w:val="18"/>
        </w:rPr>
        <w:t xml:space="preserve"> and J. H. </w:t>
      </w:r>
      <w:proofErr w:type="spellStart"/>
      <w:r w:rsidRPr="00B65740">
        <w:rPr>
          <w:rFonts w:cs="Segoe UI"/>
          <w:sz w:val="18"/>
          <w:szCs w:val="18"/>
        </w:rPr>
        <w:t>Richardus</w:t>
      </w:r>
      <w:proofErr w:type="spellEnd"/>
      <w:r w:rsidRPr="00B65740">
        <w:rPr>
          <w:rFonts w:cs="Segoe UI"/>
          <w:sz w:val="18"/>
          <w:szCs w:val="18"/>
        </w:rPr>
        <w:t xml:space="preserve">. </w:t>
      </w:r>
      <w:r w:rsidRPr="00B65740">
        <w:rPr>
          <w:rFonts w:cs="Segoe UI"/>
          <w:sz w:val="18"/>
          <w:szCs w:val="18"/>
          <w:lang w:val="en-AU"/>
        </w:rPr>
        <w:t xml:space="preserve">(2006). </w:t>
      </w:r>
      <w:r>
        <w:rPr>
          <w:rFonts w:cs="Segoe UI"/>
          <w:sz w:val="18"/>
          <w:szCs w:val="18"/>
          <w:lang w:val="en-AU"/>
        </w:rPr>
        <w:t>‘</w:t>
      </w:r>
      <w:r w:rsidRPr="00B65740">
        <w:rPr>
          <w:rFonts w:cs="Segoe UI"/>
          <w:sz w:val="18"/>
          <w:szCs w:val="18"/>
        </w:rPr>
        <w:t>Chlamydia trachomatis infections in multi-ethnic urban youth: a pilot combining STI health education and outreach testing in Rotterdam, Netherlands.</w:t>
      </w:r>
      <w:r>
        <w:rPr>
          <w:rFonts w:cs="Segoe UI"/>
          <w:sz w:val="18"/>
          <w:szCs w:val="18"/>
          <w:lang w:val="en-AU"/>
        </w:rPr>
        <w:t>’</w:t>
      </w:r>
      <w:r w:rsidRPr="00B65740">
        <w:rPr>
          <w:rFonts w:cs="Segoe UI"/>
          <w:sz w:val="18"/>
          <w:szCs w:val="18"/>
        </w:rPr>
        <w:t xml:space="preserve"> </w:t>
      </w:r>
      <w:r w:rsidRPr="00B65740">
        <w:rPr>
          <w:rFonts w:cs="Segoe UI"/>
          <w:sz w:val="18"/>
          <w:szCs w:val="18"/>
          <w:u w:val="single"/>
        </w:rPr>
        <w:t>Sexually Transmitted Infections</w:t>
      </w:r>
      <w:r w:rsidRPr="00B65740">
        <w:rPr>
          <w:rFonts w:cs="Segoe UI"/>
          <w:sz w:val="18"/>
          <w:szCs w:val="18"/>
        </w:rPr>
        <w:t xml:space="preserve">, </w:t>
      </w:r>
      <w:r w:rsidRPr="00B65740">
        <w:rPr>
          <w:rFonts w:cs="Segoe UI"/>
          <w:b/>
          <w:sz w:val="18"/>
          <w:szCs w:val="18"/>
        </w:rPr>
        <w:t>82</w:t>
      </w:r>
      <w:r w:rsidRPr="00B65740">
        <w:rPr>
          <w:rFonts w:cs="Segoe UI"/>
          <w:sz w:val="18"/>
          <w:szCs w:val="18"/>
        </w:rPr>
        <w:t>:92</w:t>
      </w:r>
      <w:r>
        <w:rPr>
          <w:rFonts w:cs="Segoe UI"/>
          <w:sz w:val="18"/>
          <w:szCs w:val="18"/>
        </w:rPr>
        <w:t>–</w:t>
      </w:r>
      <w:r w:rsidRPr="00B65740">
        <w:rPr>
          <w:rFonts w:cs="Segoe UI"/>
          <w:sz w:val="18"/>
          <w:szCs w:val="18"/>
        </w:rPr>
        <w:t>95</w:t>
      </w:r>
      <w:r w:rsidRPr="00B65740">
        <w:rPr>
          <w:rFonts w:cs="Segoe UI"/>
          <w:sz w:val="18"/>
          <w:szCs w:val="18"/>
          <w:lang w:val="en-AU"/>
        </w:rPr>
        <w:t>.</w:t>
      </w:r>
    </w:p>
  </w:endnote>
  <w:endnote w:id="79">
    <w:p w:rsidR="00E90473" w:rsidRPr="00B65740" w:rsidRDefault="00E90473" w:rsidP="00604D70">
      <w:pPr>
        <w:pStyle w:val="EndnoteText"/>
        <w:spacing w:after="120"/>
        <w:rPr>
          <w:rFonts w:cs="Segoe UI"/>
          <w:sz w:val="18"/>
          <w:szCs w:val="18"/>
        </w:rPr>
      </w:pPr>
      <w:r w:rsidRPr="00B65740">
        <w:rPr>
          <w:rStyle w:val="EndnoteReference"/>
          <w:rFonts w:cs="Segoe UI"/>
          <w:sz w:val="18"/>
          <w:szCs w:val="18"/>
        </w:rPr>
        <w:endnoteRef/>
      </w:r>
      <w:r w:rsidRPr="00B65740">
        <w:rPr>
          <w:rFonts w:cs="Segoe UI"/>
          <w:sz w:val="18"/>
          <w:szCs w:val="18"/>
        </w:rPr>
        <w:t xml:space="preserve"> Denison, H. J., C. </w:t>
      </w:r>
      <w:proofErr w:type="spellStart"/>
      <w:r w:rsidRPr="00B65740">
        <w:rPr>
          <w:rFonts w:cs="Segoe UI"/>
          <w:sz w:val="18"/>
          <w:szCs w:val="18"/>
        </w:rPr>
        <w:t>Bromhead</w:t>
      </w:r>
      <w:proofErr w:type="spellEnd"/>
      <w:r w:rsidRPr="00B65740">
        <w:rPr>
          <w:rFonts w:cs="Segoe UI"/>
          <w:sz w:val="18"/>
          <w:szCs w:val="18"/>
        </w:rPr>
        <w:t>. R. Grainger, E. M. Denison</w:t>
      </w:r>
      <w:r>
        <w:rPr>
          <w:rFonts w:cs="Segoe UI"/>
          <w:sz w:val="18"/>
          <w:szCs w:val="18"/>
        </w:rPr>
        <w:t>,</w:t>
      </w:r>
      <w:r w:rsidRPr="00B65740">
        <w:rPr>
          <w:rFonts w:cs="Segoe UI"/>
          <w:sz w:val="18"/>
          <w:szCs w:val="18"/>
        </w:rPr>
        <w:t xml:space="preserve"> and A. </w:t>
      </w:r>
      <w:proofErr w:type="spellStart"/>
      <w:r w:rsidRPr="00B65740">
        <w:rPr>
          <w:rFonts w:cs="Segoe UI"/>
          <w:sz w:val="18"/>
          <w:szCs w:val="18"/>
        </w:rPr>
        <w:t>Jutel</w:t>
      </w:r>
      <w:proofErr w:type="spellEnd"/>
      <w:r w:rsidRPr="00B65740">
        <w:rPr>
          <w:rFonts w:cs="Segoe UI"/>
          <w:sz w:val="18"/>
          <w:szCs w:val="18"/>
        </w:rPr>
        <w:t xml:space="preserve">. </w:t>
      </w:r>
      <w:r w:rsidRPr="00B65740">
        <w:rPr>
          <w:rFonts w:cs="Segoe UI"/>
          <w:sz w:val="18"/>
          <w:szCs w:val="18"/>
          <w:lang w:val="en-AU"/>
        </w:rPr>
        <w:t xml:space="preserve">(2017). </w:t>
      </w:r>
      <w:r>
        <w:rPr>
          <w:rFonts w:cs="Segoe UI"/>
          <w:sz w:val="18"/>
          <w:szCs w:val="18"/>
          <w:lang w:val="en-AU"/>
        </w:rPr>
        <w:t>‘</w:t>
      </w:r>
      <w:r w:rsidRPr="00B65740">
        <w:rPr>
          <w:rFonts w:cs="Segoe UI"/>
          <w:sz w:val="18"/>
          <w:szCs w:val="18"/>
        </w:rPr>
        <w:t>Barriers to sexually transmitted infection testing in New Zealand: a qualitative study.</w:t>
      </w:r>
      <w:r>
        <w:rPr>
          <w:rFonts w:cs="Segoe UI"/>
          <w:sz w:val="18"/>
          <w:szCs w:val="18"/>
          <w:lang w:val="en-AU"/>
        </w:rPr>
        <w:t>’</w:t>
      </w:r>
      <w:r w:rsidRPr="00B65740">
        <w:rPr>
          <w:rFonts w:cs="Segoe UI"/>
          <w:sz w:val="18"/>
          <w:szCs w:val="18"/>
          <w:u w:val="single"/>
        </w:rPr>
        <w:t xml:space="preserve"> Australian and New Zealand Journal of Public Health</w:t>
      </w:r>
      <w:r w:rsidRPr="00B65740">
        <w:rPr>
          <w:rFonts w:cs="Segoe UI"/>
          <w:sz w:val="18"/>
          <w:szCs w:val="18"/>
          <w:lang w:val="en-AU"/>
        </w:rPr>
        <w:t xml:space="preserve">, </w:t>
      </w:r>
      <w:r w:rsidRPr="00B65740">
        <w:rPr>
          <w:rFonts w:cs="Segoe UI"/>
          <w:b/>
          <w:sz w:val="18"/>
          <w:szCs w:val="18"/>
          <w:lang w:val="en-AU"/>
        </w:rPr>
        <w:t>41</w:t>
      </w:r>
      <w:r w:rsidRPr="00B65740">
        <w:rPr>
          <w:rFonts w:cs="Segoe UI"/>
          <w:sz w:val="18"/>
          <w:szCs w:val="18"/>
          <w:lang w:val="en-AU"/>
        </w:rPr>
        <w:t>(4):432</w:t>
      </w:r>
      <w:r>
        <w:rPr>
          <w:rFonts w:cs="Segoe UI"/>
          <w:sz w:val="18"/>
          <w:szCs w:val="18"/>
          <w:lang w:val="en-AU"/>
        </w:rPr>
        <w:t>–43</w:t>
      </w:r>
      <w:r w:rsidRPr="00B65740">
        <w:rPr>
          <w:rFonts w:cs="Segoe UI"/>
          <w:sz w:val="18"/>
          <w:szCs w:val="18"/>
          <w:lang w:val="en-AU"/>
        </w:rPr>
        <w:t>7.</w:t>
      </w:r>
    </w:p>
  </w:endnote>
  <w:endnote w:id="80">
    <w:p w:rsidR="00E90473" w:rsidRPr="00B65740" w:rsidRDefault="00E90473" w:rsidP="00604D70">
      <w:pPr>
        <w:pStyle w:val="EndnoteText"/>
        <w:rPr>
          <w:rFonts w:cs="Segoe UI"/>
          <w:sz w:val="18"/>
          <w:szCs w:val="18"/>
          <w:lang w:val="en-AU"/>
        </w:rPr>
      </w:pPr>
      <w:r w:rsidRPr="00B65740">
        <w:rPr>
          <w:rStyle w:val="EndnoteReference"/>
          <w:rFonts w:cs="Segoe UI"/>
          <w:sz w:val="18"/>
          <w:szCs w:val="18"/>
        </w:rPr>
        <w:endnoteRef/>
      </w:r>
      <w:r w:rsidRPr="00B65740">
        <w:rPr>
          <w:rFonts w:cs="Segoe UI"/>
          <w:sz w:val="18"/>
          <w:szCs w:val="18"/>
        </w:rPr>
        <w:t xml:space="preserve"> Murray, G.L., </w:t>
      </w:r>
      <w:r w:rsidRPr="00B65740">
        <w:rPr>
          <w:rFonts w:cs="Segoe UI"/>
          <w:sz w:val="18"/>
          <w:szCs w:val="18"/>
          <w:lang w:val="en-AU"/>
        </w:rPr>
        <w:t xml:space="preserve">C. S. </w:t>
      </w:r>
      <w:r w:rsidRPr="00B65740">
        <w:rPr>
          <w:rFonts w:cs="Segoe UI"/>
          <w:sz w:val="18"/>
          <w:szCs w:val="18"/>
        </w:rPr>
        <w:t xml:space="preserve">Bradshaw, </w:t>
      </w:r>
      <w:r w:rsidRPr="00B65740">
        <w:rPr>
          <w:rFonts w:cs="Segoe UI"/>
          <w:sz w:val="18"/>
          <w:szCs w:val="18"/>
          <w:lang w:val="en-AU"/>
        </w:rPr>
        <w:t xml:space="preserve">M. </w:t>
      </w:r>
      <w:proofErr w:type="spellStart"/>
      <w:r w:rsidRPr="00B65740">
        <w:rPr>
          <w:rFonts w:cs="Segoe UI"/>
          <w:sz w:val="18"/>
          <w:szCs w:val="18"/>
        </w:rPr>
        <w:t>Bissessor</w:t>
      </w:r>
      <w:proofErr w:type="spellEnd"/>
      <w:r w:rsidRPr="00B65740">
        <w:rPr>
          <w:rFonts w:cs="Segoe UI"/>
          <w:sz w:val="18"/>
          <w:szCs w:val="18"/>
        </w:rPr>
        <w:t xml:space="preserve">, </w:t>
      </w:r>
      <w:r w:rsidRPr="00B65740">
        <w:rPr>
          <w:rFonts w:cs="Segoe UI"/>
          <w:sz w:val="18"/>
          <w:szCs w:val="18"/>
          <w:lang w:val="en-AU"/>
        </w:rPr>
        <w:t xml:space="preserve">J. </w:t>
      </w:r>
      <w:proofErr w:type="spellStart"/>
      <w:r w:rsidRPr="00B65740">
        <w:rPr>
          <w:rFonts w:cs="Segoe UI"/>
          <w:sz w:val="18"/>
          <w:szCs w:val="18"/>
        </w:rPr>
        <w:t>Danielewski</w:t>
      </w:r>
      <w:proofErr w:type="spellEnd"/>
      <w:r w:rsidRPr="00B65740">
        <w:rPr>
          <w:rFonts w:cs="Segoe UI"/>
          <w:sz w:val="18"/>
          <w:szCs w:val="18"/>
        </w:rPr>
        <w:t xml:space="preserve">, </w:t>
      </w:r>
      <w:r w:rsidRPr="00B65740">
        <w:rPr>
          <w:rFonts w:cs="Segoe UI"/>
          <w:sz w:val="18"/>
          <w:szCs w:val="18"/>
          <w:lang w:val="en-AU"/>
        </w:rPr>
        <w:t xml:space="preserve">S. M. </w:t>
      </w:r>
      <w:r w:rsidRPr="00B65740">
        <w:rPr>
          <w:rFonts w:cs="Segoe UI"/>
          <w:sz w:val="18"/>
          <w:szCs w:val="18"/>
        </w:rPr>
        <w:t xml:space="preserve">Garland, </w:t>
      </w:r>
      <w:r w:rsidRPr="00B65740">
        <w:rPr>
          <w:rFonts w:cs="Segoe UI"/>
          <w:sz w:val="18"/>
          <w:szCs w:val="18"/>
          <w:lang w:val="en-AU"/>
        </w:rPr>
        <w:t xml:space="preserve">J. S. </w:t>
      </w:r>
      <w:r w:rsidRPr="00B65740">
        <w:rPr>
          <w:rFonts w:cs="Segoe UI"/>
          <w:sz w:val="18"/>
          <w:szCs w:val="18"/>
        </w:rPr>
        <w:t xml:space="preserve">Jensen, </w:t>
      </w:r>
      <w:r w:rsidRPr="00B65740">
        <w:rPr>
          <w:rFonts w:cs="Segoe UI"/>
          <w:sz w:val="18"/>
          <w:szCs w:val="18"/>
          <w:lang w:val="en-AU"/>
        </w:rPr>
        <w:t xml:space="preserve">C. K. </w:t>
      </w:r>
      <w:r w:rsidRPr="00B65740">
        <w:rPr>
          <w:rFonts w:cs="Segoe UI"/>
          <w:sz w:val="18"/>
          <w:szCs w:val="18"/>
        </w:rPr>
        <w:t xml:space="preserve">Fairley, </w:t>
      </w:r>
      <w:r w:rsidRPr="00B65740">
        <w:rPr>
          <w:rFonts w:cs="Segoe UI"/>
          <w:sz w:val="18"/>
          <w:szCs w:val="18"/>
          <w:lang w:val="en-AU"/>
        </w:rPr>
        <w:t>and S. N. T</w:t>
      </w:r>
      <w:proofErr w:type="spellStart"/>
      <w:r w:rsidRPr="00B65740">
        <w:rPr>
          <w:rFonts w:cs="Segoe UI"/>
          <w:sz w:val="18"/>
          <w:szCs w:val="18"/>
        </w:rPr>
        <w:t>abrizi</w:t>
      </w:r>
      <w:proofErr w:type="spellEnd"/>
      <w:r w:rsidRPr="00B65740">
        <w:rPr>
          <w:rFonts w:cs="Segoe UI"/>
          <w:sz w:val="18"/>
          <w:szCs w:val="18"/>
          <w:lang w:val="en-AU"/>
        </w:rPr>
        <w:t xml:space="preserve">. (2017). </w:t>
      </w:r>
      <w:r>
        <w:rPr>
          <w:rFonts w:cs="Segoe UI"/>
          <w:sz w:val="18"/>
          <w:szCs w:val="18"/>
          <w:lang w:val="en-AU"/>
        </w:rPr>
        <w:t>‘</w:t>
      </w:r>
      <w:r w:rsidRPr="00B65740">
        <w:rPr>
          <w:rFonts w:cs="Segoe UI"/>
          <w:sz w:val="18"/>
          <w:szCs w:val="18"/>
        </w:rPr>
        <w:t xml:space="preserve">Increasing Macrolide and Fluoroquinolone Resistance in Mycoplasma </w:t>
      </w:r>
      <w:proofErr w:type="spellStart"/>
      <w:r w:rsidRPr="00B65740">
        <w:rPr>
          <w:rFonts w:cs="Segoe UI"/>
          <w:sz w:val="18"/>
          <w:szCs w:val="18"/>
        </w:rPr>
        <w:t>genitalium</w:t>
      </w:r>
      <w:proofErr w:type="spellEnd"/>
      <w:r w:rsidRPr="00B65740">
        <w:rPr>
          <w:rFonts w:cs="Segoe UI"/>
          <w:sz w:val="18"/>
          <w:szCs w:val="18"/>
        </w:rPr>
        <w:t>.</w:t>
      </w:r>
      <w:r>
        <w:rPr>
          <w:rFonts w:cs="Segoe UI"/>
          <w:sz w:val="18"/>
          <w:szCs w:val="18"/>
          <w:lang w:val="en-AU"/>
        </w:rPr>
        <w:t>’</w:t>
      </w:r>
      <w:r w:rsidRPr="00B65740">
        <w:rPr>
          <w:rFonts w:cs="Segoe UI"/>
          <w:sz w:val="18"/>
          <w:szCs w:val="18"/>
        </w:rPr>
        <w:t xml:space="preserve"> </w:t>
      </w:r>
      <w:r w:rsidRPr="00B65740">
        <w:rPr>
          <w:rFonts w:cs="Segoe UI"/>
          <w:sz w:val="18"/>
          <w:szCs w:val="18"/>
          <w:u w:val="single"/>
        </w:rPr>
        <w:t>Emerging Infectious Disease</w:t>
      </w:r>
      <w:r w:rsidRPr="00B65740">
        <w:rPr>
          <w:rFonts w:cs="Segoe UI"/>
          <w:sz w:val="18"/>
          <w:szCs w:val="18"/>
          <w:u w:val="single"/>
          <w:lang w:val="en-AU"/>
        </w:rPr>
        <w:t>s</w:t>
      </w:r>
      <w:r w:rsidRPr="00B65740">
        <w:rPr>
          <w:rFonts w:cs="Segoe UI"/>
          <w:sz w:val="18"/>
          <w:szCs w:val="18"/>
          <w:lang w:val="en-AU"/>
        </w:rPr>
        <w:t xml:space="preserve">, </w:t>
      </w:r>
      <w:r w:rsidRPr="00B65740">
        <w:rPr>
          <w:rFonts w:cs="Segoe UI"/>
          <w:b/>
          <w:sz w:val="18"/>
          <w:szCs w:val="18"/>
          <w:lang w:val="en-AU"/>
        </w:rPr>
        <w:t>23</w:t>
      </w:r>
      <w:r w:rsidRPr="00B65740">
        <w:rPr>
          <w:rFonts w:cs="Segoe UI"/>
          <w:sz w:val="18"/>
          <w:szCs w:val="18"/>
          <w:lang w:val="en-AU"/>
        </w:rPr>
        <w:t>(5):809</w:t>
      </w:r>
      <w:r>
        <w:rPr>
          <w:rFonts w:cs="Segoe UI"/>
          <w:sz w:val="18"/>
          <w:szCs w:val="18"/>
          <w:lang w:val="en-AU"/>
        </w:rPr>
        <w:t>–8</w:t>
      </w:r>
      <w:r w:rsidRPr="00B65740">
        <w:rPr>
          <w:rFonts w:cs="Segoe UI"/>
          <w:sz w:val="18"/>
          <w:szCs w:val="18"/>
          <w:lang w:val="en-AU"/>
        </w:rPr>
        <w:t>12.</w:t>
      </w:r>
    </w:p>
    <w:p w:rsidR="00E90473" w:rsidRPr="00B65740" w:rsidRDefault="00E90473" w:rsidP="00604D70">
      <w:pPr>
        <w:pStyle w:val="EndnoteText"/>
        <w:rPr>
          <w:rFonts w:cs="Segoe UI"/>
          <w:sz w:val="18"/>
          <w:szCs w:val="18"/>
          <w:lang w:val="en-A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ource Sans Pro Light">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HelveticaNeueLT Std Lt">
    <w:altName w:val="Calibri"/>
    <w:panose1 w:val="00000000000000000000"/>
    <w:charset w:val="00"/>
    <w:family w:val="swiss"/>
    <w:notTrueType/>
    <w:pitch w:val="default"/>
    <w:sig w:usb0="00000003" w:usb1="00000000" w:usb2="00000000" w:usb3="00000000" w:csb0="00000001" w:csb1="00000000"/>
  </w:font>
  <w:font w:name="Gotham Book">
    <w:altName w:val="Calibri"/>
    <w:panose1 w:val="00000000000000000000"/>
    <w:charset w:val="00"/>
    <w:family w:val="modern"/>
    <w:notTrueType/>
    <w:pitch w:val="variable"/>
    <w:sig w:usb0="A00000AF" w:usb1="40000048" w:usb2="00000000" w:usb3="00000000" w:csb0="000001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73" w:rsidRDefault="00E90473">
    <w:pPr>
      <w:pStyle w:val="Footer"/>
    </w:pPr>
    <w:r>
      <w:rPr>
        <w:color w:val="808080"/>
        <w:sz w:val="15"/>
        <w:lang w:eastAsia="en-AU"/>
      </w:rPr>
      <w:t>F</w:t>
    </w:r>
    <w:r>
      <w:rPr>
        <w:color w:val="808080"/>
        <w:sz w:val="15"/>
        <w:lang w:val="en-AU" w:eastAsia="en-AU"/>
      </w:rPr>
      <w:t>ourth</w:t>
    </w:r>
    <w:r>
      <w:rPr>
        <w:color w:val="808080"/>
        <w:sz w:val="15"/>
        <w:lang w:eastAsia="en-AU"/>
      </w:rPr>
      <w:t xml:space="preserve"> National </w:t>
    </w:r>
    <w:r>
      <w:rPr>
        <w:color w:val="808080"/>
        <w:sz w:val="15"/>
        <w:lang w:val="en-AU" w:eastAsia="en-AU"/>
      </w:rPr>
      <w:t>STI</w:t>
    </w:r>
    <w:r>
      <w:rPr>
        <w:color w:val="808080"/>
        <w:sz w:val="15"/>
        <w:lang w:eastAsia="en-AU"/>
      </w:rPr>
      <w:t xml:space="preserve"> Strategy 2018-2022</w:t>
    </w:r>
  </w:p>
  <w:p w:rsidR="00E90473" w:rsidRDefault="00E904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73" w:rsidRDefault="00E90473" w:rsidP="003B5C8F">
    <w:pPr>
      <w:pStyle w:val="Footer"/>
    </w:pPr>
    <w:r>
      <w:rPr>
        <w:color w:val="808080"/>
        <w:sz w:val="15"/>
        <w:lang w:eastAsia="en-AU"/>
      </w:rPr>
      <w:t>F</w:t>
    </w:r>
    <w:r>
      <w:rPr>
        <w:color w:val="808080"/>
        <w:sz w:val="15"/>
        <w:lang w:val="en-AU" w:eastAsia="en-AU"/>
      </w:rPr>
      <w:t>ourth</w:t>
    </w:r>
    <w:r>
      <w:rPr>
        <w:color w:val="808080"/>
        <w:sz w:val="15"/>
        <w:lang w:eastAsia="en-AU"/>
      </w:rPr>
      <w:t xml:space="preserve"> National </w:t>
    </w:r>
    <w:r>
      <w:rPr>
        <w:color w:val="808080"/>
        <w:sz w:val="15"/>
        <w:lang w:val="en-AU" w:eastAsia="en-AU"/>
      </w:rPr>
      <w:t>STI</w:t>
    </w:r>
    <w:r>
      <w:rPr>
        <w:color w:val="808080"/>
        <w:sz w:val="15"/>
        <w:lang w:eastAsia="en-AU"/>
      </w:rPr>
      <w:t xml:space="preserve"> Strategy 2018-2022</w:t>
    </w:r>
    <w:r>
      <w:rPr>
        <w:color w:val="808080"/>
        <w:sz w:val="15"/>
        <w:lang w:val="en-AU" w:eastAsia="en-AU"/>
      </w:rPr>
      <w:t xml:space="preserve"> </w:t>
    </w:r>
  </w:p>
  <w:p w:rsidR="00E90473" w:rsidRPr="003B5C8F" w:rsidRDefault="00E90473" w:rsidP="003B5C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73" w:rsidRDefault="00E90473" w:rsidP="003B5C8F">
    <w:pPr>
      <w:pStyle w:val="Footer"/>
    </w:pPr>
    <w:r>
      <w:rPr>
        <w:color w:val="808080"/>
        <w:sz w:val="15"/>
        <w:lang w:eastAsia="en-AU"/>
      </w:rPr>
      <w:t>F</w:t>
    </w:r>
    <w:r>
      <w:rPr>
        <w:color w:val="808080"/>
        <w:sz w:val="15"/>
        <w:lang w:val="en-AU" w:eastAsia="en-AU"/>
      </w:rPr>
      <w:t>ourth</w:t>
    </w:r>
    <w:r>
      <w:rPr>
        <w:color w:val="808080"/>
        <w:sz w:val="15"/>
        <w:lang w:eastAsia="en-AU"/>
      </w:rPr>
      <w:t xml:space="preserve"> National </w:t>
    </w:r>
    <w:r>
      <w:rPr>
        <w:color w:val="808080"/>
        <w:sz w:val="15"/>
        <w:lang w:val="en-AU" w:eastAsia="en-AU"/>
      </w:rPr>
      <w:t>STI</w:t>
    </w:r>
    <w:r>
      <w:rPr>
        <w:color w:val="808080"/>
        <w:sz w:val="15"/>
        <w:lang w:eastAsia="en-AU"/>
      </w:rPr>
      <w:t xml:space="preserve"> Strategy 2018-2022</w:t>
    </w:r>
    <w:r>
      <w:rPr>
        <w:color w:val="808080"/>
        <w:sz w:val="15"/>
        <w:lang w:val="en-AU" w:eastAsia="en-AU"/>
      </w:rPr>
      <w:t xml:space="preserve"> </w:t>
    </w:r>
  </w:p>
  <w:p w:rsidR="00E90473" w:rsidRPr="002A52CD" w:rsidRDefault="00E90473" w:rsidP="00FD4AB1">
    <w:pPr>
      <w:pStyle w:val="Footer"/>
    </w:pPr>
    <w:r>
      <w:rPr>
        <w:color w:val="A5A5A5"/>
      </w:rPr>
      <w:tab/>
    </w:r>
    <w:r w:rsidRPr="00FD4AB1">
      <w:rPr>
        <w:rFonts w:cs="Segoe UI"/>
        <w:color w:val="A5A5A5"/>
      </w:rPr>
      <w:t>|</w:t>
    </w:r>
    <w:r w:rsidRPr="00076505">
      <w:rPr>
        <w:rFonts w:cs="Segoe UI"/>
        <w:color w:val="808080"/>
      </w:rPr>
      <w:t xml:space="preserve"> </w:t>
    </w:r>
    <w:r w:rsidRPr="00A233C5">
      <w:rPr>
        <w:b/>
        <w:color w:val="808080"/>
        <w:sz w:val="16"/>
      </w:rPr>
      <w:fldChar w:fldCharType="begin"/>
    </w:r>
    <w:r w:rsidRPr="003B464C">
      <w:rPr>
        <w:rFonts w:ascii="Segoe UI Semibold" w:hAnsi="Segoe UI Semibold" w:cs="Segoe UI"/>
        <w:color w:val="808080"/>
        <w:sz w:val="16"/>
        <w:szCs w:val="16"/>
      </w:rPr>
      <w:instrText xml:space="preserve"> PAGE  \* Arabic  \* MERGEFORMAT </w:instrText>
    </w:r>
    <w:r w:rsidRPr="00A233C5">
      <w:rPr>
        <w:b/>
        <w:color w:val="808080"/>
        <w:sz w:val="16"/>
      </w:rPr>
      <w:fldChar w:fldCharType="separate"/>
    </w:r>
    <w:r w:rsidR="00762C7A" w:rsidRPr="00762C7A">
      <w:rPr>
        <w:rFonts w:ascii="Segoe UI Semibold" w:hAnsi="Segoe UI Semibold" w:cs="Segoe UI"/>
        <w:b/>
        <w:noProof/>
        <w:color w:val="808080"/>
        <w:sz w:val="16"/>
        <w:szCs w:val="16"/>
      </w:rPr>
      <w:t>4</w:t>
    </w:r>
    <w:r w:rsidRPr="00A233C5">
      <w:rPr>
        <w:b/>
        <w:color w:val="808080"/>
        <w:sz w:val="16"/>
      </w:rPr>
      <w:fldChar w:fldCharType="end"/>
    </w:r>
    <w:r w:rsidRPr="00A233C5">
      <w:rPr>
        <w:b/>
        <w:color w:val="808080"/>
      </w:rPr>
      <w:t xml:space="preserve"> </w:t>
    </w:r>
    <w:r w:rsidRPr="00FD4AB1">
      <w:rPr>
        <w:rFonts w:cs="Segoe UI"/>
        <w:color w:val="A5A5A5"/>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73" w:rsidRDefault="00E90473" w:rsidP="003B5C8F">
    <w:pPr>
      <w:pStyle w:val="Footer"/>
    </w:pPr>
    <w:r>
      <w:rPr>
        <w:color w:val="808080"/>
        <w:sz w:val="15"/>
        <w:lang w:eastAsia="en-AU"/>
      </w:rPr>
      <w:t>F</w:t>
    </w:r>
    <w:r>
      <w:rPr>
        <w:color w:val="808080"/>
        <w:sz w:val="15"/>
        <w:lang w:val="en-AU" w:eastAsia="en-AU"/>
      </w:rPr>
      <w:t>ourth</w:t>
    </w:r>
    <w:r>
      <w:rPr>
        <w:color w:val="808080"/>
        <w:sz w:val="15"/>
        <w:lang w:eastAsia="en-AU"/>
      </w:rPr>
      <w:t xml:space="preserve"> National </w:t>
    </w:r>
    <w:r>
      <w:rPr>
        <w:color w:val="808080"/>
        <w:sz w:val="15"/>
        <w:lang w:val="en-AU" w:eastAsia="en-AU"/>
      </w:rPr>
      <w:t>STI</w:t>
    </w:r>
    <w:r>
      <w:rPr>
        <w:color w:val="808080"/>
        <w:sz w:val="15"/>
        <w:lang w:eastAsia="en-AU"/>
      </w:rPr>
      <w:t xml:space="preserve"> Strategy 2018-2022</w:t>
    </w:r>
    <w:r>
      <w:rPr>
        <w:color w:val="808080"/>
        <w:sz w:val="15"/>
        <w:lang w:val="en-AU" w:eastAsia="en-AU"/>
      </w:rPr>
      <w:t xml:space="preserve"> </w:t>
    </w:r>
  </w:p>
  <w:p w:rsidR="00E90473" w:rsidRPr="00C50B1C" w:rsidRDefault="00E90473" w:rsidP="00FD4AB1">
    <w:pPr>
      <w:pStyle w:val="Footer"/>
    </w:pPr>
    <w:r>
      <w:rPr>
        <w:color w:val="A5A5A5"/>
      </w:rPr>
      <w:tab/>
    </w:r>
    <w:r w:rsidRPr="00FD4AB1">
      <w:rPr>
        <w:rFonts w:cs="Segoe UI"/>
        <w:color w:val="A5A5A5"/>
      </w:rPr>
      <w:t>|</w:t>
    </w:r>
    <w:r w:rsidRPr="00076505">
      <w:rPr>
        <w:rFonts w:cs="Segoe UI"/>
        <w:color w:val="808080"/>
      </w:rPr>
      <w:t xml:space="preserve"> </w:t>
    </w:r>
    <w:r w:rsidRPr="00A233C5">
      <w:rPr>
        <w:b/>
        <w:color w:val="808080"/>
        <w:sz w:val="16"/>
      </w:rPr>
      <w:fldChar w:fldCharType="begin"/>
    </w:r>
    <w:r w:rsidRPr="003B464C">
      <w:rPr>
        <w:rFonts w:ascii="Segoe UI Semibold" w:hAnsi="Segoe UI Semibold" w:cs="Segoe UI"/>
        <w:color w:val="808080"/>
        <w:sz w:val="16"/>
        <w:szCs w:val="16"/>
      </w:rPr>
      <w:instrText xml:space="preserve"> PAGE  \* Arabic  \* MERGEFORMAT </w:instrText>
    </w:r>
    <w:r w:rsidRPr="00A233C5">
      <w:rPr>
        <w:b/>
        <w:color w:val="808080"/>
        <w:sz w:val="16"/>
      </w:rPr>
      <w:fldChar w:fldCharType="separate"/>
    </w:r>
    <w:r w:rsidR="00762C7A" w:rsidRPr="00762C7A">
      <w:rPr>
        <w:rFonts w:ascii="Segoe UI Semibold" w:hAnsi="Segoe UI Semibold" w:cs="Segoe UI"/>
        <w:b/>
        <w:noProof/>
        <w:color w:val="808080"/>
        <w:sz w:val="16"/>
        <w:szCs w:val="16"/>
      </w:rPr>
      <w:t>29</w:t>
    </w:r>
    <w:r w:rsidRPr="00A233C5">
      <w:rPr>
        <w:b/>
        <w:color w:val="808080"/>
        <w:sz w:val="16"/>
      </w:rPr>
      <w:fldChar w:fldCharType="end"/>
    </w:r>
    <w:r w:rsidRPr="00A233C5">
      <w:rPr>
        <w:b/>
        <w:color w:val="808080"/>
      </w:rPr>
      <w:t xml:space="preserve"> </w:t>
    </w:r>
    <w:r w:rsidRPr="00FD4AB1">
      <w:rPr>
        <w:rFonts w:cs="Segoe UI"/>
        <w:color w:val="A5A5A5"/>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4C4" w:rsidRDefault="00E114C4" w:rsidP="00302076">
      <w:pPr>
        <w:spacing w:after="0"/>
      </w:pPr>
      <w:r>
        <w:separator/>
      </w:r>
    </w:p>
  </w:footnote>
  <w:footnote w:type="continuationSeparator" w:id="0">
    <w:p w:rsidR="00E114C4" w:rsidRDefault="00E114C4" w:rsidP="00302076">
      <w:pPr>
        <w:spacing w:after="0"/>
      </w:pPr>
      <w:r>
        <w:continuationSeparator/>
      </w:r>
    </w:p>
  </w:footnote>
  <w:footnote w:type="continuationNotice" w:id="1">
    <w:p w:rsidR="00E114C4" w:rsidRDefault="00E114C4">
      <w:pPr>
        <w:spacing w:after="0"/>
      </w:pPr>
    </w:p>
  </w:footnote>
  <w:footnote w:id="2">
    <w:p w:rsidR="00E90473" w:rsidRPr="004C43FD" w:rsidRDefault="00E90473">
      <w:pPr>
        <w:pStyle w:val="FootnoteText"/>
        <w:rPr>
          <w:sz w:val="16"/>
          <w:szCs w:val="16"/>
          <w:lang w:val="en-AU"/>
        </w:rPr>
      </w:pPr>
      <w:r w:rsidRPr="004C43FD">
        <w:rPr>
          <w:rStyle w:val="FootnoteReference"/>
          <w:sz w:val="16"/>
          <w:szCs w:val="16"/>
        </w:rPr>
        <w:footnoteRef/>
      </w:r>
      <w:r w:rsidRPr="004C43FD">
        <w:rPr>
          <w:sz w:val="16"/>
          <w:szCs w:val="16"/>
        </w:rPr>
        <w:t xml:space="preserve"> </w:t>
      </w:r>
      <w:r>
        <w:rPr>
          <w:sz w:val="16"/>
          <w:szCs w:val="16"/>
          <w:lang w:val="en-AU"/>
        </w:rPr>
        <w:t xml:space="preserve">Defined in the </w:t>
      </w:r>
      <w:r w:rsidRPr="00AF4935">
        <w:rPr>
          <w:sz w:val="16"/>
          <w:szCs w:val="16"/>
          <w:lang w:val="en-AU"/>
        </w:rPr>
        <w:t>Global Health Sector Strategy on Sexually Transmitted Infection 2016</w:t>
      </w:r>
      <w:r>
        <w:rPr>
          <w:sz w:val="16"/>
          <w:szCs w:val="16"/>
          <w:lang w:val="en-AU"/>
        </w:rPr>
        <w:t>–</w:t>
      </w:r>
      <w:r w:rsidRPr="00AF4935">
        <w:rPr>
          <w:sz w:val="16"/>
          <w:szCs w:val="16"/>
          <w:lang w:val="en-AU"/>
        </w:rPr>
        <w:t>2021</w:t>
      </w:r>
      <w:r w:rsidRPr="004C43FD">
        <w:rPr>
          <w:sz w:val="16"/>
          <w:szCs w:val="16"/>
          <w:lang w:val="en-AU"/>
        </w:rPr>
        <w:t xml:space="preserve"> by the </w:t>
      </w:r>
      <w:r>
        <w:rPr>
          <w:sz w:val="16"/>
          <w:szCs w:val="16"/>
          <w:lang w:val="en-AU"/>
        </w:rPr>
        <w:t>‘</w:t>
      </w:r>
      <w:r w:rsidRPr="004C43FD">
        <w:rPr>
          <w:sz w:val="16"/>
          <w:szCs w:val="16"/>
          <w:lang w:val="en-AU"/>
        </w:rPr>
        <w:t xml:space="preserve">reduction of cases of </w:t>
      </w:r>
      <w:r w:rsidRPr="004C43FD">
        <w:rPr>
          <w:i/>
          <w:sz w:val="16"/>
          <w:szCs w:val="16"/>
          <w:lang w:val="en-AU"/>
        </w:rPr>
        <w:t>N. gonorrhoeae</w:t>
      </w:r>
      <w:r w:rsidRPr="004C43FD">
        <w:rPr>
          <w:sz w:val="16"/>
          <w:szCs w:val="16"/>
          <w:lang w:val="en-AU"/>
        </w:rPr>
        <w:t xml:space="preserve"> and </w:t>
      </w:r>
      <w:r w:rsidRPr="004C43FD">
        <w:rPr>
          <w:i/>
          <w:sz w:val="16"/>
          <w:szCs w:val="16"/>
          <w:lang w:val="en-AU"/>
        </w:rPr>
        <w:t>T. pallidum</w:t>
      </w:r>
      <w:r w:rsidRPr="004C43FD">
        <w:rPr>
          <w:sz w:val="16"/>
          <w:szCs w:val="16"/>
          <w:lang w:val="en-AU"/>
        </w:rPr>
        <w:t>; as well a</w:t>
      </w:r>
      <w:r>
        <w:rPr>
          <w:sz w:val="16"/>
          <w:szCs w:val="16"/>
          <w:lang w:val="en-AU"/>
        </w:rPr>
        <w:t>s by the elimination of congenit</w:t>
      </w:r>
      <w:r w:rsidRPr="004C43FD">
        <w:rPr>
          <w:sz w:val="16"/>
          <w:szCs w:val="16"/>
          <w:lang w:val="en-AU"/>
        </w:rPr>
        <w:t>al syphilis and of pre-cervical cancer lesions through the high coverage of human papillomavirus vaccines</w:t>
      </w:r>
      <w:r>
        <w:rPr>
          <w:sz w:val="16"/>
          <w:szCs w:val="16"/>
          <w:lang w:val="en-AU"/>
        </w:rPr>
        <w:t>’</w:t>
      </w:r>
      <w:r w:rsidRPr="004C43FD">
        <w:rPr>
          <w:sz w:val="16"/>
          <w:szCs w:val="16"/>
          <w:lang w:val="en-AU"/>
        </w:rPr>
        <w:t xml:space="preserve">. </w:t>
      </w:r>
    </w:p>
  </w:footnote>
  <w:footnote w:id="3">
    <w:p w:rsidR="00E90473" w:rsidRPr="00576487" w:rsidRDefault="00E90473" w:rsidP="00576487">
      <w:pPr>
        <w:rPr>
          <w:rFonts w:ascii="Arial" w:hAnsi="Arial" w:cs="Arial"/>
          <w:sz w:val="18"/>
          <w:szCs w:val="18"/>
        </w:rPr>
      </w:pPr>
      <w:r>
        <w:rPr>
          <w:rStyle w:val="FootnoteReference"/>
        </w:rPr>
        <w:footnoteRef/>
      </w:r>
      <w:r>
        <w:t xml:space="preserve"> </w:t>
      </w:r>
      <w:r>
        <w:rPr>
          <w:sz w:val="16"/>
          <w:szCs w:val="16"/>
        </w:rPr>
        <w:t>Where the term ‘gay and bisexual men’ is used in the document, this is in line with the description used in the data set referred to—notably, the data collected by the Australian Collaboration for Coordinated Enhanced Sentinel Surveillance (ACCESS). For the purposes of this strategy, the terminology used elsewhere is ‘gay men and other men who have sex with men’.</w:t>
      </w:r>
    </w:p>
  </w:footnote>
  <w:footnote w:id="4">
    <w:p w:rsidR="00E90473" w:rsidRPr="00B537A9" w:rsidRDefault="00E90473" w:rsidP="00DF7EB5">
      <w:pPr>
        <w:pStyle w:val="FootnoteText"/>
        <w:rPr>
          <w:sz w:val="17"/>
          <w:szCs w:val="17"/>
        </w:rPr>
      </w:pPr>
      <w:r w:rsidRPr="00B537A9">
        <w:rPr>
          <w:vertAlign w:val="superscript"/>
        </w:rPr>
        <w:footnoteRef/>
      </w:r>
      <w:r w:rsidRPr="00D87E03">
        <w:rPr>
          <w:sz w:val="17"/>
          <w:szCs w:val="17"/>
        </w:rPr>
        <w:t xml:space="preserve"> </w:t>
      </w:r>
      <w:r w:rsidRPr="007945BC">
        <w:rPr>
          <w:sz w:val="16"/>
          <w:szCs w:val="16"/>
        </w:rPr>
        <w:t xml:space="preserve">Compared </w:t>
      </w:r>
      <w:r>
        <w:rPr>
          <w:sz w:val="16"/>
          <w:szCs w:val="16"/>
        </w:rPr>
        <w:t>with</w:t>
      </w:r>
      <w:r w:rsidRPr="007945BC">
        <w:rPr>
          <w:sz w:val="16"/>
          <w:szCs w:val="16"/>
        </w:rPr>
        <w:t xml:space="preserve"> 2016</w:t>
      </w:r>
      <w:r>
        <w:rPr>
          <w:sz w:val="16"/>
          <w:szCs w:val="16"/>
        </w:rPr>
        <w:t>.</w:t>
      </w:r>
    </w:p>
  </w:footnote>
  <w:footnote w:id="5">
    <w:p w:rsidR="00E90473" w:rsidRPr="00B537A9" w:rsidRDefault="00E90473" w:rsidP="00B537A9">
      <w:pPr>
        <w:pStyle w:val="FootnoteText"/>
        <w:rPr>
          <w:i/>
          <w:sz w:val="17"/>
          <w:szCs w:val="17"/>
          <w:lang w:val="en-US"/>
        </w:rPr>
      </w:pPr>
      <w:r w:rsidRPr="00B537A9">
        <w:rPr>
          <w:vertAlign w:val="superscript"/>
        </w:rPr>
        <w:footnoteRef/>
      </w:r>
      <w:r w:rsidRPr="00D87E03">
        <w:rPr>
          <w:sz w:val="17"/>
          <w:szCs w:val="17"/>
        </w:rPr>
        <w:t xml:space="preserve"> </w:t>
      </w:r>
      <w:r w:rsidRPr="007945BC">
        <w:rPr>
          <w:sz w:val="16"/>
          <w:szCs w:val="16"/>
        </w:rPr>
        <w:t xml:space="preserve">Compared </w:t>
      </w:r>
      <w:r>
        <w:rPr>
          <w:sz w:val="16"/>
          <w:szCs w:val="16"/>
        </w:rPr>
        <w:t xml:space="preserve">with </w:t>
      </w:r>
      <w:r w:rsidRPr="007945BC">
        <w:rPr>
          <w:sz w:val="16"/>
          <w:szCs w:val="16"/>
        </w:rPr>
        <w:t xml:space="preserve">2016. Targets specific to Aboriginal and Torres Strait Islander people are included in the </w:t>
      </w:r>
      <w:r w:rsidRPr="00AA30A2">
        <w:rPr>
          <w:sz w:val="16"/>
          <w:szCs w:val="16"/>
        </w:rPr>
        <w:t>Fifth National Aboriginal and Torres Strait Islander Blood Borne Viruses and Sexually Transmissible Infections Strategy</w:t>
      </w:r>
      <w:r>
        <w:rPr>
          <w:sz w:val="16"/>
          <w:szCs w:val="16"/>
        </w:rPr>
        <w:t>.</w:t>
      </w:r>
    </w:p>
  </w:footnote>
  <w:footnote w:id="6">
    <w:p w:rsidR="00E90473" w:rsidRPr="00D87E03" w:rsidRDefault="00E90473" w:rsidP="00DF7EB5">
      <w:pPr>
        <w:pStyle w:val="FootnoteText"/>
        <w:rPr>
          <w:sz w:val="17"/>
          <w:szCs w:val="17"/>
          <w:lang w:val="en-AU"/>
        </w:rPr>
      </w:pPr>
      <w:r w:rsidRPr="00B537A9">
        <w:rPr>
          <w:vertAlign w:val="superscript"/>
        </w:rPr>
        <w:footnoteRef/>
      </w:r>
      <w:r w:rsidRPr="00B537A9">
        <w:rPr>
          <w:vertAlign w:val="superscript"/>
        </w:rPr>
        <w:t xml:space="preserve"> </w:t>
      </w:r>
      <w:r w:rsidRPr="007945BC">
        <w:rPr>
          <w:sz w:val="16"/>
          <w:szCs w:val="16"/>
          <w:lang w:val="en-AU"/>
        </w:rPr>
        <w:t>No new cases of congenital syphilis nationally notified (as defined by the global surveillance case definition) for two consecutive years</w:t>
      </w:r>
      <w:r>
        <w:rPr>
          <w:sz w:val="16"/>
          <w:szCs w:val="16"/>
          <w:lang w:val="en-AU"/>
        </w:rPr>
        <w:t>.</w:t>
      </w:r>
    </w:p>
  </w:footnote>
  <w:footnote w:id="7">
    <w:p w:rsidR="00E90473" w:rsidRDefault="00E90473" w:rsidP="00DF7EB5">
      <w:pPr>
        <w:pStyle w:val="FootnoteText"/>
      </w:pPr>
      <w:r w:rsidRPr="00B537A9">
        <w:rPr>
          <w:vertAlign w:val="superscript"/>
        </w:rPr>
        <w:footnoteRef/>
      </w:r>
      <w:r w:rsidRPr="00B537A9">
        <w:rPr>
          <w:vertAlign w:val="superscript"/>
        </w:rPr>
        <w:t xml:space="preserve"> </w:t>
      </w:r>
      <w:r w:rsidRPr="007945BC">
        <w:rPr>
          <w:sz w:val="16"/>
          <w:szCs w:val="16"/>
        </w:rPr>
        <w:t>Links to Section 7</w:t>
      </w:r>
      <w:r>
        <w:rPr>
          <w:sz w:val="16"/>
          <w:szCs w:val="16"/>
        </w:rPr>
        <w:t>,</w:t>
      </w:r>
      <w:r w:rsidRPr="007945BC">
        <w:rPr>
          <w:sz w:val="16"/>
          <w:szCs w:val="16"/>
        </w:rPr>
        <w:t xml:space="preserve"> ‘Priority </w:t>
      </w:r>
      <w:r>
        <w:rPr>
          <w:sz w:val="16"/>
          <w:szCs w:val="16"/>
        </w:rPr>
        <w:t>a</w:t>
      </w:r>
      <w:r w:rsidRPr="007945BC">
        <w:rPr>
          <w:sz w:val="16"/>
          <w:szCs w:val="16"/>
        </w:rPr>
        <w:t xml:space="preserve">reas for </w:t>
      </w:r>
      <w:r>
        <w:rPr>
          <w:sz w:val="16"/>
          <w:szCs w:val="16"/>
        </w:rPr>
        <w:t>a</w:t>
      </w:r>
      <w:r w:rsidRPr="007945BC">
        <w:rPr>
          <w:sz w:val="16"/>
          <w:szCs w:val="16"/>
        </w:rPr>
        <w:t xml:space="preserve">ction’. </w:t>
      </w:r>
      <w:r w:rsidRPr="007945BC">
        <w:rPr>
          <w:sz w:val="16"/>
          <w:szCs w:val="16"/>
          <w:lang w:val="en-US"/>
        </w:rPr>
        <w:t>Priority population and priority settings are described in Section 6</w:t>
      </w:r>
      <w:r>
        <w:rPr>
          <w:sz w:val="16"/>
          <w:szCs w:val="16"/>
          <w:lang w:val="en-US"/>
        </w:rPr>
        <w:t>,</w:t>
      </w:r>
      <w:r w:rsidRPr="007945BC">
        <w:rPr>
          <w:sz w:val="16"/>
          <w:szCs w:val="16"/>
          <w:lang w:val="en-US"/>
        </w:rPr>
        <w:t xml:space="preserve"> ‘Priority </w:t>
      </w:r>
      <w:r>
        <w:rPr>
          <w:sz w:val="16"/>
          <w:szCs w:val="16"/>
          <w:lang w:val="en-US"/>
        </w:rPr>
        <w:t>p</w:t>
      </w:r>
      <w:r w:rsidRPr="007945BC">
        <w:rPr>
          <w:sz w:val="16"/>
          <w:szCs w:val="16"/>
          <w:lang w:val="en-US"/>
        </w:rPr>
        <w:t xml:space="preserve">opulations and </w:t>
      </w:r>
      <w:r>
        <w:rPr>
          <w:sz w:val="16"/>
          <w:szCs w:val="16"/>
          <w:lang w:val="en-US"/>
        </w:rPr>
        <w:t>s</w:t>
      </w:r>
      <w:r w:rsidRPr="007945BC">
        <w:rPr>
          <w:sz w:val="16"/>
          <w:szCs w:val="16"/>
          <w:lang w:val="en-US"/>
        </w:rPr>
        <w:t>ettings’</w:t>
      </w:r>
      <w:r>
        <w:rPr>
          <w:sz w:val="16"/>
          <w:szCs w:val="16"/>
          <w:lang w:val="en-US"/>
        </w:rPr>
        <w:t>.</w:t>
      </w:r>
    </w:p>
  </w:footnote>
  <w:footnote w:id="8">
    <w:p w:rsidR="00E90473" w:rsidRPr="00A07A46" w:rsidRDefault="00E90473">
      <w:pPr>
        <w:pStyle w:val="FootnoteText"/>
        <w:rPr>
          <w:lang w:val="en-AU"/>
        </w:rPr>
      </w:pPr>
      <w:r>
        <w:rPr>
          <w:rStyle w:val="FootnoteReference"/>
        </w:rPr>
        <w:footnoteRef/>
      </w:r>
      <w:r>
        <w:rPr>
          <w:sz w:val="16"/>
          <w:szCs w:val="16"/>
          <w:lang w:val="en-AU"/>
        </w:rPr>
        <w:t xml:space="preserve"> </w:t>
      </w:r>
      <w:r w:rsidRPr="00A07A46">
        <w:rPr>
          <w:sz w:val="16"/>
          <w:szCs w:val="16"/>
          <w:lang w:val="en-AU"/>
        </w:rPr>
        <w:t>Testing conducted in government hospitals and sexual health services may not be included in this data.</w:t>
      </w:r>
    </w:p>
  </w:footnote>
  <w:footnote w:id="9">
    <w:p w:rsidR="00E90473" w:rsidRPr="00781E35" w:rsidRDefault="00E90473" w:rsidP="00604D70">
      <w:pPr>
        <w:pStyle w:val="FootnoteText"/>
        <w:rPr>
          <w:sz w:val="14"/>
          <w:szCs w:val="14"/>
        </w:rPr>
      </w:pPr>
      <w:r w:rsidRPr="00781E35">
        <w:rPr>
          <w:rStyle w:val="FootnoteReference"/>
          <w:sz w:val="14"/>
          <w:szCs w:val="14"/>
        </w:rPr>
        <w:footnoteRef/>
      </w:r>
      <w:r w:rsidRPr="00781E35">
        <w:rPr>
          <w:sz w:val="14"/>
          <w:szCs w:val="14"/>
        </w:rPr>
        <w:t xml:space="preserve"> </w:t>
      </w:r>
      <w:r>
        <w:rPr>
          <w:sz w:val="14"/>
          <w:szCs w:val="14"/>
        </w:rPr>
        <w:t>‘</w:t>
      </w:r>
      <w:r w:rsidRPr="00781E35">
        <w:rPr>
          <w:sz w:val="14"/>
          <w:szCs w:val="14"/>
        </w:rPr>
        <w:t>Notifiable</w:t>
      </w:r>
      <w:r>
        <w:rPr>
          <w:sz w:val="14"/>
          <w:szCs w:val="14"/>
        </w:rPr>
        <w:t>’</w:t>
      </w:r>
      <w:r w:rsidRPr="00781E35">
        <w:rPr>
          <w:sz w:val="14"/>
          <w:szCs w:val="14"/>
        </w:rPr>
        <w:t xml:space="preserve"> refers to diseases or disease groups which are defined and listed on the National Notifiable Disease List established under the </w:t>
      </w:r>
      <w:r w:rsidRPr="00781E35">
        <w:rPr>
          <w:i/>
          <w:sz w:val="14"/>
          <w:szCs w:val="14"/>
        </w:rPr>
        <w:t>National Health Security Act 2007</w:t>
      </w:r>
      <w:r w:rsidRPr="00781E35">
        <w:rPr>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73" w:rsidRDefault="00E904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73" w:rsidRDefault="00E904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73" w:rsidRDefault="00E9047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73" w:rsidRDefault="00E9047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73" w:rsidRDefault="00E9047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73" w:rsidRDefault="00E9047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73" w:rsidRDefault="00E9047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73" w:rsidRDefault="00E9047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73" w:rsidRDefault="00E904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0810"/>
    <w:multiLevelType w:val="multilevel"/>
    <w:tmpl w:val="21028A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36646"/>
    <w:multiLevelType w:val="hybridMultilevel"/>
    <w:tmpl w:val="BFA6CE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9A31A2"/>
    <w:multiLevelType w:val="multilevel"/>
    <w:tmpl w:val="F5B4B046"/>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nsid w:val="12243268"/>
    <w:multiLevelType w:val="hybridMultilevel"/>
    <w:tmpl w:val="1A64F0FC"/>
    <w:lvl w:ilvl="0" w:tplc="7366770A">
      <w:start w:val="1"/>
      <w:numFmt w:val="decimal"/>
      <w:lvlText w:val="%1."/>
      <w:lvlJc w:val="left"/>
      <w:pPr>
        <w:ind w:left="360" w:hanging="360"/>
      </w:pPr>
      <w:rPr>
        <w:rFonts w:hint="default"/>
        <w:b/>
        <w:color w:val="F8981D"/>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27C5F69"/>
    <w:multiLevelType w:val="hybridMultilevel"/>
    <w:tmpl w:val="F25E8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625D8B"/>
    <w:multiLevelType w:val="hybridMultilevel"/>
    <w:tmpl w:val="B8169E36"/>
    <w:lvl w:ilvl="0" w:tplc="E7683CE6">
      <w:start w:val="1"/>
      <w:numFmt w:val="decimal"/>
      <w:pStyle w:val="Listnumbered"/>
      <w:lvlText w:val="%1."/>
      <w:lvlJc w:val="left"/>
      <w:pPr>
        <w:ind w:left="397" w:hanging="397"/>
      </w:pPr>
      <w:rPr>
        <w:rFonts w:hint="default"/>
        <w:b/>
        <w:color w:val="F8981D"/>
      </w:rPr>
    </w:lvl>
    <w:lvl w:ilvl="1" w:tplc="0C090019">
      <w:start w:val="1"/>
      <w:numFmt w:val="lowerLetter"/>
      <w:lvlText w:val="%2."/>
      <w:lvlJc w:val="left"/>
      <w:pPr>
        <w:ind w:left="794" w:hanging="397"/>
      </w:pPr>
      <w:rPr>
        <w:rFonts w:hint="default"/>
      </w:rPr>
    </w:lvl>
    <w:lvl w:ilvl="2" w:tplc="0C09001B">
      <w:start w:val="1"/>
      <w:numFmt w:val="lowerRoman"/>
      <w:lvlText w:val="%3."/>
      <w:lvlJc w:val="right"/>
      <w:pPr>
        <w:ind w:left="1247" w:hanging="34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49E1CB3"/>
    <w:multiLevelType w:val="hybridMultilevel"/>
    <w:tmpl w:val="616E1B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15894D61"/>
    <w:multiLevelType w:val="hybridMultilevel"/>
    <w:tmpl w:val="9C225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045FE6"/>
    <w:multiLevelType w:val="hybridMultilevel"/>
    <w:tmpl w:val="14486120"/>
    <w:lvl w:ilvl="0" w:tplc="64BE2790">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0E6C54"/>
    <w:multiLevelType w:val="hybridMultilevel"/>
    <w:tmpl w:val="DD964F5E"/>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224902F6"/>
    <w:multiLevelType w:val="hybridMultilevel"/>
    <w:tmpl w:val="F6F81432"/>
    <w:lvl w:ilvl="0" w:tplc="0C09000F">
      <w:start w:val="1"/>
      <w:numFmt w:val="decimal"/>
      <w:lvlText w:val="%1."/>
      <w:lvlJc w:val="left"/>
      <w:pPr>
        <w:ind w:left="360" w:hanging="360"/>
      </w:pPr>
      <w:rPr>
        <w:rFonts w:hint="default"/>
        <w:b/>
        <w:color w:val="F8981D"/>
        <w:sz w:val="16"/>
        <w:szCs w:val="16"/>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BE93B3B"/>
    <w:multiLevelType w:val="hybridMultilevel"/>
    <w:tmpl w:val="FDFA2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E5F2E7A"/>
    <w:multiLevelType w:val="hybridMultilevel"/>
    <w:tmpl w:val="7102F76E"/>
    <w:lvl w:ilvl="0" w:tplc="4F525264">
      <w:start w:val="8"/>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FF173F5"/>
    <w:multiLevelType w:val="hybridMultilevel"/>
    <w:tmpl w:val="A2DEB052"/>
    <w:lvl w:ilvl="0" w:tplc="2FCE8212">
      <w:start w:val="1"/>
      <w:numFmt w:val="bullet"/>
      <w:pStyle w:val="TableExpbullet"/>
      <w:lvlText w:val=""/>
      <w:lvlJc w:val="left"/>
      <w:pPr>
        <w:ind w:left="720" w:hanging="360"/>
      </w:pPr>
      <w:rPr>
        <w:rFonts w:ascii="Symbol" w:hAnsi="Symbol" w:hint="default"/>
        <w:b w:val="0"/>
        <w:i w:val="0"/>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16937E9"/>
    <w:multiLevelType w:val="hybridMultilevel"/>
    <w:tmpl w:val="B7129EF6"/>
    <w:lvl w:ilvl="0" w:tplc="BE18282E">
      <w:start w:val="1"/>
      <w:numFmt w:val="decimal"/>
      <w:lvlText w:val="%1."/>
      <w:lvlJc w:val="left"/>
      <w:pPr>
        <w:ind w:left="720" w:hanging="360"/>
      </w:pPr>
      <w:rPr>
        <w:b/>
        <w:color w:val="F8981D"/>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6F4778C"/>
    <w:multiLevelType w:val="hybridMultilevel"/>
    <w:tmpl w:val="52724C16"/>
    <w:lvl w:ilvl="0" w:tplc="3788CE56">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76A2698"/>
    <w:multiLevelType w:val="hybridMultilevel"/>
    <w:tmpl w:val="FF6EE4A2"/>
    <w:lvl w:ilvl="0" w:tplc="9E3E472C">
      <w:start w:val="1"/>
      <w:numFmt w:val="decimal"/>
      <w:pStyle w:val="TableN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9D1413D"/>
    <w:multiLevelType w:val="multilevel"/>
    <w:tmpl w:val="FF26D876"/>
    <w:lvl w:ilvl="0">
      <w:start w:val="1"/>
      <w:numFmt w:val="decimal"/>
      <w:pStyle w:val="TableNBullet"/>
      <w:lvlText w:val="%1."/>
      <w:lvlJc w:val="left"/>
      <w:pPr>
        <w:ind w:left="227" w:hanging="227"/>
      </w:pPr>
      <w:rPr>
        <w:rFonts w:hint="default"/>
        <w:color w:val="auto"/>
        <w:position w:val="4"/>
        <w:sz w:val="16"/>
      </w:rPr>
    </w:lvl>
    <w:lvl w:ilvl="1">
      <w:start w:val="1"/>
      <w:numFmt w:val="bullet"/>
      <w:lvlText w:val=""/>
      <w:lvlJc w:val="left"/>
      <w:pPr>
        <w:ind w:left="567" w:hanging="283"/>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404040"/>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8">
    <w:nsid w:val="3CE25FC4"/>
    <w:multiLevelType w:val="hybridMultilevel"/>
    <w:tmpl w:val="3AC4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3B0DFD"/>
    <w:multiLevelType w:val="hybridMultilevel"/>
    <w:tmpl w:val="9D52F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35672C5"/>
    <w:multiLevelType w:val="hybridMultilevel"/>
    <w:tmpl w:val="676E6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A1416DF"/>
    <w:multiLevelType w:val="hybridMultilevel"/>
    <w:tmpl w:val="0B422BEE"/>
    <w:lvl w:ilvl="0" w:tplc="26BC7BAC">
      <w:start w:val="2"/>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E85051E"/>
    <w:multiLevelType w:val="hybridMultilevel"/>
    <w:tmpl w:val="E766F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EA601A3"/>
    <w:multiLevelType w:val="hybridMultilevel"/>
    <w:tmpl w:val="12A4A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5C20D3"/>
    <w:multiLevelType w:val="hybridMultilevel"/>
    <w:tmpl w:val="5C5CC116"/>
    <w:lvl w:ilvl="0" w:tplc="2FCAA318">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5D235939"/>
    <w:multiLevelType w:val="hybridMultilevel"/>
    <w:tmpl w:val="0B9827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FBF7EA5"/>
    <w:multiLevelType w:val="hybridMultilevel"/>
    <w:tmpl w:val="9C5CF9C4"/>
    <w:lvl w:ilvl="0" w:tplc="1EDE94BA">
      <w:start w:val="4"/>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7503057"/>
    <w:multiLevelType w:val="hybridMultilevel"/>
    <w:tmpl w:val="DAF21D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C2211EF"/>
    <w:multiLevelType w:val="hybridMultilevel"/>
    <w:tmpl w:val="63960298"/>
    <w:lvl w:ilvl="0" w:tplc="96AA6118">
      <w:numFmt w:val="bullet"/>
      <w:lvlText w:val="-"/>
      <w:lvlJc w:val="left"/>
      <w:pPr>
        <w:ind w:left="420" w:hanging="360"/>
      </w:pPr>
      <w:rPr>
        <w:rFonts w:ascii="Segoe UI" w:eastAsia="Calibri" w:hAnsi="Segoe UI" w:cs="Segoe U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9">
    <w:nsid w:val="70DE40E5"/>
    <w:multiLevelType w:val="hybridMultilevel"/>
    <w:tmpl w:val="936C2A76"/>
    <w:lvl w:ilvl="0" w:tplc="B65A46CE">
      <w:numFmt w:val="bullet"/>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1A16EBA"/>
    <w:multiLevelType w:val="multilevel"/>
    <w:tmpl w:val="D060ABD0"/>
    <w:lvl w:ilvl="0">
      <w:start w:val="1"/>
      <w:numFmt w:val="upperLetter"/>
      <w:pStyle w:val="xAppendixLevel1"/>
      <w:lvlText w:val="Appendix %1"/>
      <w:lvlJc w:val="left"/>
      <w:pPr>
        <w:ind w:left="2410" w:hanging="2268"/>
      </w:pPr>
      <w:rPr>
        <w:b/>
        <w:bCs w:val="0"/>
        <w:i w:val="0"/>
        <w:iCs w:val="0"/>
        <w:caps w:val="0"/>
        <w:smallCaps w:val="0"/>
        <w:strike w:val="0"/>
        <w:dstrike w:val="0"/>
        <w:noProof w:val="0"/>
        <w:vanish w:val="0"/>
        <w:color w:val="A5A5A5"/>
        <w:spacing w:val="0"/>
        <w:kern w:val="0"/>
        <w:position w:val="0"/>
        <w:u w:val="none"/>
        <w:effect w:val="none"/>
        <w:vertAlign w:val="baseline"/>
        <w:em w:val="none"/>
        <w:specVanish w:val="0"/>
      </w:rPr>
    </w:lvl>
    <w:lvl w:ilvl="1">
      <w:start w:val="1"/>
      <w:numFmt w:val="decimal"/>
      <w:lvlText w:val="%1.%2"/>
      <w:lvlJc w:val="left"/>
      <w:pPr>
        <w:ind w:left="993" w:hanging="851"/>
      </w:pPr>
      <w:rPr>
        <w:rFonts w:hint="default"/>
        <w:color w:val="00264D"/>
        <w:sz w:val="34"/>
        <w:szCs w:val="34"/>
      </w:rPr>
    </w:lvl>
    <w:lvl w:ilvl="2">
      <w:start w:val="1"/>
      <w:numFmt w:val="decimal"/>
      <w:lvlText w:val="%1.%2.%3"/>
      <w:lvlJc w:val="left"/>
      <w:pPr>
        <w:ind w:left="993" w:hanging="851"/>
      </w:pPr>
      <w:rPr>
        <w:rFonts w:hint="default"/>
        <w:color w:val="00264D"/>
        <w:sz w:val="28"/>
        <w:szCs w:val="28"/>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31">
    <w:nsid w:val="7C8A7ACE"/>
    <w:multiLevelType w:val="hybridMultilevel"/>
    <w:tmpl w:val="193A2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13"/>
  </w:num>
  <w:num w:numId="4">
    <w:abstractNumId w:val="5"/>
  </w:num>
  <w:num w:numId="5">
    <w:abstractNumId w:val="17"/>
  </w:num>
  <w:num w:numId="6">
    <w:abstractNumId w:val="2"/>
  </w:num>
  <w:num w:numId="7">
    <w:abstractNumId w:val="14"/>
  </w:num>
  <w:num w:numId="8">
    <w:abstractNumId w:val="10"/>
  </w:num>
  <w:num w:numId="9">
    <w:abstractNumId w:val="3"/>
  </w:num>
  <w:num w:numId="10">
    <w:abstractNumId w:val="15"/>
  </w:num>
  <w:num w:numId="11">
    <w:abstractNumId w:val="25"/>
  </w:num>
  <w:num w:numId="12">
    <w:abstractNumId w:val="27"/>
  </w:num>
  <w:num w:numId="13">
    <w:abstractNumId w:val="9"/>
  </w:num>
  <w:num w:numId="14">
    <w:abstractNumId w:val="21"/>
  </w:num>
  <w:num w:numId="15">
    <w:abstractNumId w:val="31"/>
  </w:num>
  <w:num w:numId="16">
    <w:abstractNumId w:val="6"/>
  </w:num>
  <w:num w:numId="17">
    <w:abstractNumId w:val="11"/>
  </w:num>
  <w:num w:numId="18">
    <w:abstractNumId w:val="26"/>
  </w:num>
  <w:num w:numId="19">
    <w:abstractNumId w:val="1"/>
  </w:num>
  <w:num w:numId="20">
    <w:abstractNumId w:val="7"/>
  </w:num>
  <w:num w:numId="21">
    <w:abstractNumId w:val="20"/>
  </w:num>
  <w:num w:numId="22">
    <w:abstractNumId w:val="0"/>
  </w:num>
  <w:num w:numId="23">
    <w:abstractNumId w:val="24"/>
  </w:num>
  <w:num w:numId="24">
    <w:abstractNumId w:val="18"/>
  </w:num>
  <w:num w:numId="25">
    <w:abstractNumId w:val="23"/>
  </w:num>
  <w:num w:numId="26">
    <w:abstractNumId w:val="12"/>
  </w:num>
  <w:num w:numId="27">
    <w:abstractNumId w:val="19"/>
  </w:num>
  <w:num w:numId="28">
    <w:abstractNumId w:val="22"/>
  </w:num>
  <w:num w:numId="29">
    <w:abstractNumId w:val="28"/>
  </w:num>
  <w:num w:numId="30">
    <w:abstractNumId w:val="29"/>
  </w:num>
  <w:num w:numId="31">
    <w:abstractNumId w:val="8"/>
  </w:num>
  <w:num w:numId="32">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AxNTAwNjMwNbI0MTZQ0lEKTi0uzszPAykwrAUAVQfPpSwAAAA="/>
  </w:docVars>
  <w:rsids>
    <w:rsidRoot w:val="00F41E7F"/>
    <w:rsid w:val="00002917"/>
    <w:rsid w:val="00002CAE"/>
    <w:rsid w:val="00003251"/>
    <w:rsid w:val="00004312"/>
    <w:rsid w:val="00004B17"/>
    <w:rsid w:val="0000501A"/>
    <w:rsid w:val="0000505C"/>
    <w:rsid w:val="00005088"/>
    <w:rsid w:val="00005AD7"/>
    <w:rsid w:val="00005C10"/>
    <w:rsid w:val="0000609F"/>
    <w:rsid w:val="00010B79"/>
    <w:rsid w:val="00010C34"/>
    <w:rsid w:val="000114FF"/>
    <w:rsid w:val="00013442"/>
    <w:rsid w:val="000137FA"/>
    <w:rsid w:val="00013FA3"/>
    <w:rsid w:val="0001495F"/>
    <w:rsid w:val="00014A66"/>
    <w:rsid w:val="000152DE"/>
    <w:rsid w:val="00015CB5"/>
    <w:rsid w:val="000202BD"/>
    <w:rsid w:val="00021CF7"/>
    <w:rsid w:val="00024D59"/>
    <w:rsid w:val="000251AC"/>
    <w:rsid w:val="0002572A"/>
    <w:rsid w:val="000258B8"/>
    <w:rsid w:val="00025AB2"/>
    <w:rsid w:val="00025E04"/>
    <w:rsid w:val="00025E0B"/>
    <w:rsid w:val="000265CB"/>
    <w:rsid w:val="00026F94"/>
    <w:rsid w:val="00030123"/>
    <w:rsid w:val="0003066C"/>
    <w:rsid w:val="00030FE3"/>
    <w:rsid w:val="000334FD"/>
    <w:rsid w:val="00033BD9"/>
    <w:rsid w:val="00033D55"/>
    <w:rsid w:val="00033E2B"/>
    <w:rsid w:val="000344C5"/>
    <w:rsid w:val="000361A6"/>
    <w:rsid w:val="00036809"/>
    <w:rsid w:val="00037008"/>
    <w:rsid w:val="000377BE"/>
    <w:rsid w:val="00037C03"/>
    <w:rsid w:val="0004033A"/>
    <w:rsid w:val="00041DA6"/>
    <w:rsid w:val="00042E89"/>
    <w:rsid w:val="000433FF"/>
    <w:rsid w:val="00043629"/>
    <w:rsid w:val="00043C06"/>
    <w:rsid w:val="00044325"/>
    <w:rsid w:val="00044CD4"/>
    <w:rsid w:val="00045FF6"/>
    <w:rsid w:val="00046B1B"/>
    <w:rsid w:val="000475DC"/>
    <w:rsid w:val="00050028"/>
    <w:rsid w:val="000501ED"/>
    <w:rsid w:val="00050547"/>
    <w:rsid w:val="00050628"/>
    <w:rsid w:val="0005098E"/>
    <w:rsid w:val="000516D1"/>
    <w:rsid w:val="00051C5F"/>
    <w:rsid w:val="000536AD"/>
    <w:rsid w:val="00053B70"/>
    <w:rsid w:val="00056108"/>
    <w:rsid w:val="00056567"/>
    <w:rsid w:val="000569D3"/>
    <w:rsid w:val="00057C3D"/>
    <w:rsid w:val="00057D0E"/>
    <w:rsid w:val="00057E41"/>
    <w:rsid w:val="000601E1"/>
    <w:rsid w:val="00060E53"/>
    <w:rsid w:val="000611DA"/>
    <w:rsid w:val="000612FA"/>
    <w:rsid w:val="0006168E"/>
    <w:rsid w:val="000617E7"/>
    <w:rsid w:val="00061957"/>
    <w:rsid w:val="000637AE"/>
    <w:rsid w:val="0006382F"/>
    <w:rsid w:val="00064615"/>
    <w:rsid w:val="000651DE"/>
    <w:rsid w:val="00065753"/>
    <w:rsid w:val="00065A89"/>
    <w:rsid w:val="00066F07"/>
    <w:rsid w:val="00067D47"/>
    <w:rsid w:val="00067F91"/>
    <w:rsid w:val="00071DFF"/>
    <w:rsid w:val="00072452"/>
    <w:rsid w:val="000729A2"/>
    <w:rsid w:val="00072B76"/>
    <w:rsid w:val="00072C96"/>
    <w:rsid w:val="00072D7B"/>
    <w:rsid w:val="00073BED"/>
    <w:rsid w:val="00075C37"/>
    <w:rsid w:val="0007725B"/>
    <w:rsid w:val="00080404"/>
    <w:rsid w:val="0008115F"/>
    <w:rsid w:val="0008167E"/>
    <w:rsid w:val="00081725"/>
    <w:rsid w:val="000834EF"/>
    <w:rsid w:val="00083775"/>
    <w:rsid w:val="000850A8"/>
    <w:rsid w:val="000850AA"/>
    <w:rsid w:val="000853AA"/>
    <w:rsid w:val="0008616B"/>
    <w:rsid w:val="00090887"/>
    <w:rsid w:val="00090CBA"/>
    <w:rsid w:val="00091A32"/>
    <w:rsid w:val="00092E1A"/>
    <w:rsid w:val="00093DB3"/>
    <w:rsid w:val="00095336"/>
    <w:rsid w:val="00095994"/>
    <w:rsid w:val="00095CEC"/>
    <w:rsid w:val="00097338"/>
    <w:rsid w:val="00097CE8"/>
    <w:rsid w:val="000A0E46"/>
    <w:rsid w:val="000A12E0"/>
    <w:rsid w:val="000A1E6A"/>
    <w:rsid w:val="000A1EB1"/>
    <w:rsid w:val="000A1ECE"/>
    <w:rsid w:val="000A2FF5"/>
    <w:rsid w:val="000A32DE"/>
    <w:rsid w:val="000A35D6"/>
    <w:rsid w:val="000A39CE"/>
    <w:rsid w:val="000A4844"/>
    <w:rsid w:val="000A7716"/>
    <w:rsid w:val="000A7ADC"/>
    <w:rsid w:val="000B1B13"/>
    <w:rsid w:val="000B34F3"/>
    <w:rsid w:val="000B3646"/>
    <w:rsid w:val="000B3653"/>
    <w:rsid w:val="000B3C19"/>
    <w:rsid w:val="000B5C51"/>
    <w:rsid w:val="000B6358"/>
    <w:rsid w:val="000B6633"/>
    <w:rsid w:val="000C06E7"/>
    <w:rsid w:val="000C0CEC"/>
    <w:rsid w:val="000C0D4E"/>
    <w:rsid w:val="000C1BC6"/>
    <w:rsid w:val="000C242A"/>
    <w:rsid w:val="000C4F97"/>
    <w:rsid w:val="000C6E17"/>
    <w:rsid w:val="000C70AB"/>
    <w:rsid w:val="000D11D4"/>
    <w:rsid w:val="000D1FDF"/>
    <w:rsid w:val="000D310E"/>
    <w:rsid w:val="000D3303"/>
    <w:rsid w:val="000D44B4"/>
    <w:rsid w:val="000D5CE3"/>
    <w:rsid w:val="000E4228"/>
    <w:rsid w:val="000E63E5"/>
    <w:rsid w:val="000E7311"/>
    <w:rsid w:val="000E7851"/>
    <w:rsid w:val="000E7B6F"/>
    <w:rsid w:val="000E7FC4"/>
    <w:rsid w:val="000F0338"/>
    <w:rsid w:val="000F0B5C"/>
    <w:rsid w:val="000F14B7"/>
    <w:rsid w:val="000F174C"/>
    <w:rsid w:val="000F1CC6"/>
    <w:rsid w:val="000F2269"/>
    <w:rsid w:val="000F28BE"/>
    <w:rsid w:val="000F3C00"/>
    <w:rsid w:val="000F4898"/>
    <w:rsid w:val="000F4ED3"/>
    <w:rsid w:val="000F523E"/>
    <w:rsid w:val="000F6174"/>
    <w:rsid w:val="000F62EF"/>
    <w:rsid w:val="000F6405"/>
    <w:rsid w:val="000F7A20"/>
    <w:rsid w:val="000F7AB5"/>
    <w:rsid w:val="00101E99"/>
    <w:rsid w:val="0010201A"/>
    <w:rsid w:val="00102E48"/>
    <w:rsid w:val="0010462B"/>
    <w:rsid w:val="00105385"/>
    <w:rsid w:val="001072C4"/>
    <w:rsid w:val="0010758A"/>
    <w:rsid w:val="00110B16"/>
    <w:rsid w:val="0011207A"/>
    <w:rsid w:val="001128B2"/>
    <w:rsid w:val="00113901"/>
    <w:rsid w:val="00116712"/>
    <w:rsid w:val="001172BA"/>
    <w:rsid w:val="00120809"/>
    <w:rsid w:val="00120852"/>
    <w:rsid w:val="00124409"/>
    <w:rsid w:val="00125D45"/>
    <w:rsid w:val="00127ECD"/>
    <w:rsid w:val="00130072"/>
    <w:rsid w:val="00130727"/>
    <w:rsid w:val="00132AD7"/>
    <w:rsid w:val="001341A2"/>
    <w:rsid w:val="00134B8E"/>
    <w:rsid w:val="00134FDB"/>
    <w:rsid w:val="0013544A"/>
    <w:rsid w:val="001372B6"/>
    <w:rsid w:val="0013786A"/>
    <w:rsid w:val="00137A9F"/>
    <w:rsid w:val="00140570"/>
    <w:rsid w:val="00141D6C"/>
    <w:rsid w:val="00141DCB"/>
    <w:rsid w:val="001426C5"/>
    <w:rsid w:val="00142AFC"/>
    <w:rsid w:val="00143C15"/>
    <w:rsid w:val="00143EEA"/>
    <w:rsid w:val="00145088"/>
    <w:rsid w:val="0014557D"/>
    <w:rsid w:val="00147AD9"/>
    <w:rsid w:val="00147F58"/>
    <w:rsid w:val="0015348A"/>
    <w:rsid w:val="0015368A"/>
    <w:rsid w:val="001536B5"/>
    <w:rsid w:val="001553C4"/>
    <w:rsid w:val="00155EEA"/>
    <w:rsid w:val="0015673A"/>
    <w:rsid w:val="00161B6C"/>
    <w:rsid w:val="00161DA0"/>
    <w:rsid w:val="00162231"/>
    <w:rsid w:val="0016255A"/>
    <w:rsid w:val="001626BE"/>
    <w:rsid w:val="0016330B"/>
    <w:rsid w:val="0016454C"/>
    <w:rsid w:val="001645FD"/>
    <w:rsid w:val="00166AC5"/>
    <w:rsid w:val="001670F9"/>
    <w:rsid w:val="0016715F"/>
    <w:rsid w:val="00167DF0"/>
    <w:rsid w:val="00170C37"/>
    <w:rsid w:val="00171BCB"/>
    <w:rsid w:val="00172525"/>
    <w:rsid w:val="001756A8"/>
    <w:rsid w:val="00175D41"/>
    <w:rsid w:val="0017660C"/>
    <w:rsid w:val="00176773"/>
    <w:rsid w:val="001767DA"/>
    <w:rsid w:val="00177B8A"/>
    <w:rsid w:val="0018175C"/>
    <w:rsid w:val="00181936"/>
    <w:rsid w:val="001819F5"/>
    <w:rsid w:val="00182287"/>
    <w:rsid w:val="0018231C"/>
    <w:rsid w:val="001849BC"/>
    <w:rsid w:val="00184FCE"/>
    <w:rsid w:val="00185281"/>
    <w:rsid w:val="00185B0C"/>
    <w:rsid w:val="00185B3C"/>
    <w:rsid w:val="00185D4F"/>
    <w:rsid w:val="00191494"/>
    <w:rsid w:val="0019301A"/>
    <w:rsid w:val="0019356B"/>
    <w:rsid w:val="00194CB8"/>
    <w:rsid w:val="00194F6E"/>
    <w:rsid w:val="00195782"/>
    <w:rsid w:val="001965CE"/>
    <w:rsid w:val="00196607"/>
    <w:rsid w:val="00196678"/>
    <w:rsid w:val="00196E9A"/>
    <w:rsid w:val="00197180"/>
    <w:rsid w:val="001A2316"/>
    <w:rsid w:val="001A2DC9"/>
    <w:rsid w:val="001A39E7"/>
    <w:rsid w:val="001A3A06"/>
    <w:rsid w:val="001A3B89"/>
    <w:rsid w:val="001A5257"/>
    <w:rsid w:val="001A704B"/>
    <w:rsid w:val="001A76D3"/>
    <w:rsid w:val="001A7A78"/>
    <w:rsid w:val="001B0AED"/>
    <w:rsid w:val="001B127E"/>
    <w:rsid w:val="001B25E0"/>
    <w:rsid w:val="001B446C"/>
    <w:rsid w:val="001B48C5"/>
    <w:rsid w:val="001B6CCE"/>
    <w:rsid w:val="001B780A"/>
    <w:rsid w:val="001B788E"/>
    <w:rsid w:val="001B7BA6"/>
    <w:rsid w:val="001C00F4"/>
    <w:rsid w:val="001C0285"/>
    <w:rsid w:val="001C0A20"/>
    <w:rsid w:val="001C17B9"/>
    <w:rsid w:val="001C1966"/>
    <w:rsid w:val="001C49FB"/>
    <w:rsid w:val="001C4AFC"/>
    <w:rsid w:val="001C4FF6"/>
    <w:rsid w:val="001C7EB7"/>
    <w:rsid w:val="001D1162"/>
    <w:rsid w:val="001D1503"/>
    <w:rsid w:val="001D1CAA"/>
    <w:rsid w:val="001D2806"/>
    <w:rsid w:val="001D4096"/>
    <w:rsid w:val="001D46E8"/>
    <w:rsid w:val="001D56D6"/>
    <w:rsid w:val="001D5B12"/>
    <w:rsid w:val="001E2CFB"/>
    <w:rsid w:val="001E58C5"/>
    <w:rsid w:val="001E61E2"/>
    <w:rsid w:val="001E6B0B"/>
    <w:rsid w:val="001E6D14"/>
    <w:rsid w:val="001E72F2"/>
    <w:rsid w:val="001E73AC"/>
    <w:rsid w:val="001E73CF"/>
    <w:rsid w:val="001E7F27"/>
    <w:rsid w:val="001F2062"/>
    <w:rsid w:val="001F2828"/>
    <w:rsid w:val="001F36EC"/>
    <w:rsid w:val="001F4F64"/>
    <w:rsid w:val="001F6C8C"/>
    <w:rsid w:val="0020000D"/>
    <w:rsid w:val="002000B7"/>
    <w:rsid w:val="002003A7"/>
    <w:rsid w:val="00200A81"/>
    <w:rsid w:val="002016F0"/>
    <w:rsid w:val="002018BF"/>
    <w:rsid w:val="00201910"/>
    <w:rsid w:val="002019F3"/>
    <w:rsid w:val="0020311A"/>
    <w:rsid w:val="00203AFC"/>
    <w:rsid w:val="00205030"/>
    <w:rsid w:val="00206B1A"/>
    <w:rsid w:val="00206CB8"/>
    <w:rsid w:val="002119FA"/>
    <w:rsid w:val="00212781"/>
    <w:rsid w:val="002134E6"/>
    <w:rsid w:val="002137F7"/>
    <w:rsid w:val="00214C96"/>
    <w:rsid w:val="00215464"/>
    <w:rsid w:val="002173F6"/>
    <w:rsid w:val="002214DD"/>
    <w:rsid w:val="0022161B"/>
    <w:rsid w:val="00221AEB"/>
    <w:rsid w:val="00221D0F"/>
    <w:rsid w:val="00223255"/>
    <w:rsid w:val="0022352A"/>
    <w:rsid w:val="0022538F"/>
    <w:rsid w:val="00225465"/>
    <w:rsid w:val="00226D46"/>
    <w:rsid w:val="0022734F"/>
    <w:rsid w:val="00227480"/>
    <w:rsid w:val="002275C1"/>
    <w:rsid w:val="00227A9B"/>
    <w:rsid w:val="002309FC"/>
    <w:rsid w:val="00230D8D"/>
    <w:rsid w:val="00231909"/>
    <w:rsid w:val="002319CD"/>
    <w:rsid w:val="002321CF"/>
    <w:rsid w:val="0023238D"/>
    <w:rsid w:val="00233216"/>
    <w:rsid w:val="00234F0C"/>
    <w:rsid w:val="002352E9"/>
    <w:rsid w:val="00236DA9"/>
    <w:rsid w:val="00237163"/>
    <w:rsid w:val="002376CD"/>
    <w:rsid w:val="0023792D"/>
    <w:rsid w:val="00240FB5"/>
    <w:rsid w:val="002411BF"/>
    <w:rsid w:val="002415B8"/>
    <w:rsid w:val="002455A3"/>
    <w:rsid w:val="00245916"/>
    <w:rsid w:val="00250059"/>
    <w:rsid w:val="00250802"/>
    <w:rsid w:val="002534C6"/>
    <w:rsid w:val="0025422E"/>
    <w:rsid w:val="002542E3"/>
    <w:rsid w:val="00254638"/>
    <w:rsid w:val="002556E2"/>
    <w:rsid w:val="002559AB"/>
    <w:rsid w:val="00255BCC"/>
    <w:rsid w:val="002569BD"/>
    <w:rsid w:val="00256BB7"/>
    <w:rsid w:val="00256C83"/>
    <w:rsid w:val="00257239"/>
    <w:rsid w:val="00257257"/>
    <w:rsid w:val="002575D8"/>
    <w:rsid w:val="0025782A"/>
    <w:rsid w:val="00260A78"/>
    <w:rsid w:val="00260E02"/>
    <w:rsid w:val="002616DD"/>
    <w:rsid w:val="00264370"/>
    <w:rsid w:val="002657C2"/>
    <w:rsid w:val="0026594B"/>
    <w:rsid w:val="00271017"/>
    <w:rsid w:val="002725D1"/>
    <w:rsid w:val="002726FB"/>
    <w:rsid w:val="00272D04"/>
    <w:rsid w:val="002739F6"/>
    <w:rsid w:val="002741C7"/>
    <w:rsid w:val="00274598"/>
    <w:rsid w:val="002751B2"/>
    <w:rsid w:val="0027563F"/>
    <w:rsid w:val="002756C3"/>
    <w:rsid w:val="00275C0F"/>
    <w:rsid w:val="00275F52"/>
    <w:rsid w:val="0027648F"/>
    <w:rsid w:val="002769BB"/>
    <w:rsid w:val="002806BA"/>
    <w:rsid w:val="002809B4"/>
    <w:rsid w:val="00281C6C"/>
    <w:rsid w:val="00282359"/>
    <w:rsid w:val="0028273E"/>
    <w:rsid w:val="00285B67"/>
    <w:rsid w:val="00287433"/>
    <w:rsid w:val="002908EE"/>
    <w:rsid w:val="00291D78"/>
    <w:rsid w:val="0029320C"/>
    <w:rsid w:val="00293CAA"/>
    <w:rsid w:val="00294C7F"/>
    <w:rsid w:val="002955F5"/>
    <w:rsid w:val="0029680E"/>
    <w:rsid w:val="00297811"/>
    <w:rsid w:val="00297844"/>
    <w:rsid w:val="002A11EA"/>
    <w:rsid w:val="002A1701"/>
    <w:rsid w:val="002A339A"/>
    <w:rsid w:val="002A3BC0"/>
    <w:rsid w:val="002A4611"/>
    <w:rsid w:val="002A52CD"/>
    <w:rsid w:val="002A6EA1"/>
    <w:rsid w:val="002A715D"/>
    <w:rsid w:val="002A7573"/>
    <w:rsid w:val="002B0099"/>
    <w:rsid w:val="002B14FB"/>
    <w:rsid w:val="002B34D5"/>
    <w:rsid w:val="002B3DBD"/>
    <w:rsid w:val="002B48D3"/>
    <w:rsid w:val="002B5822"/>
    <w:rsid w:val="002B6DC5"/>
    <w:rsid w:val="002C037E"/>
    <w:rsid w:val="002C0443"/>
    <w:rsid w:val="002C2756"/>
    <w:rsid w:val="002C4095"/>
    <w:rsid w:val="002C41FB"/>
    <w:rsid w:val="002C57EA"/>
    <w:rsid w:val="002C5E1B"/>
    <w:rsid w:val="002C5F00"/>
    <w:rsid w:val="002C60BD"/>
    <w:rsid w:val="002C70B2"/>
    <w:rsid w:val="002C7835"/>
    <w:rsid w:val="002D0848"/>
    <w:rsid w:val="002D10B5"/>
    <w:rsid w:val="002D1149"/>
    <w:rsid w:val="002D186B"/>
    <w:rsid w:val="002D20AE"/>
    <w:rsid w:val="002D472E"/>
    <w:rsid w:val="002D5794"/>
    <w:rsid w:val="002D5B5B"/>
    <w:rsid w:val="002D5C53"/>
    <w:rsid w:val="002D5CA1"/>
    <w:rsid w:val="002E0FD8"/>
    <w:rsid w:val="002E1C68"/>
    <w:rsid w:val="002E336C"/>
    <w:rsid w:val="002E3828"/>
    <w:rsid w:val="002E5978"/>
    <w:rsid w:val="002E5E9B"/>
    <w:rsid w:val="002E6022"/>
    <w:rsid w:val="002E604D"/>
    <w:rsid w:val="002E7A83"/>
    <w:rsid w:val="002E7C09"/>
    <w:rsid w:val="002F032A"/>
    <w:rsid w:val="002F3836"/>
    <w:rsid w:val="002F5AD3"/>
    <w:rsid w:val="003011FA"/>
    <w:rsid w:val="00302076"/>
    <w:rsid w:val="003029EC"/>
    <w:rsid w:val="003044AB"/>
    <w:rsid w:val="00304583"/>
    <w:rsid w:val="00305378"/>
    <w:rsid w:val="003067DB"/>
    <w:rsid w:val="00307372"/>
    <w:rsid w:val="003109BC"/>
    <w:rsid w:val="00310B20"/>
    <w:rsid w:val="00311780"/>
    <w:rsid w:val="00312CDB"/>
    <w:rsid w:val="00313095"/>
    <w:rsid w:val="0031351E"/>
    <w:rsid w:val="0031427E"/>
    <w:rsid w:val="00314B0C"/>
    <w:rsid w:val="00315462"/>
    <w:rsid w:val="003168CD"/>
    <w:rsid w:val="003168EA"/>
    <w:rsid w:val="00316A12"/>
    <w:rsid w:val="00316E7C"/>
    <w:rsid w:val="00317DB8"/>
    <w:rsid w:val="0032057B"/>
    <w:rsid w:val="0032099F"/>
    <w:rsid w:val="003218EC"/>
    <w:rsid w:val="00322EC2"/>
    <w:rsid w:val="003230CD"/>
    <w:rsid w:val="003249E5"/>
    <w:rsid w:val="00327768"/>
    <w:rsid w:val="0032782F"/>
    <w:rsid w:val="00327D2B"/>
    <w:rsid w:val="00330FDC"/>
    <w:rsid w:val="00333C55"/>
    <w:rsid w:val="00337D01"/>
    <w:rsid w:val="003408BB"/>
    <w:rsid w:val="0034096C"/>
    <w:rsid w:val="00340DC0"/>
    <w:rsid w:val="0034115D"/>
    <w:rsid w:val="00341DA6"/>
    <w:rsid w:val="0034276B"/>
    <w:rsid w:val="00342FE3"/>
    <w:rsid w:val="00345CD4"/>
    <w:rsid w:val="00345E4A"/>
    <w:rsid w:val="00346FDF"/>
    <w:rsid w:val="003470F4"/>
    <w:rsid w:val="00347671"/>
    <w:rsid w:val="00353274"/>
    <w:rsid w:val="00353C38"/>
    <w:rsid w:val="00353F80"/>
    <w:rsid w:val="00354CB9"/>
    <w:rsid w:val="00356A11"/>
    <w:rsid w:val="0036157E"/>
    <w:rsid w:val="00361D51"/>
    <w:rsid w:val="00365525"/>
    <w:rsid w:val="003700A5"/>
    <w:rsid w:val="00372005"/>
    <w:rsid w:val="00373A38"/>
    <w:rsid w:val="00373B65"/>
    <w:rsid w:val="00373F65"/>
    <w:rsid w:val="0037426C"/>
    <w:rsid w:val="00374CDA"/>
    <w:rsid w:val="00376592"/>
    <w:rsid w:val="0037709B"/>
    <w:rsid w:val="0038093C"/>
    <w:rsid w:val="00381763"/>
    <w:rsid w:val="00382009"/>
    <w:rsid w:val="003822EE"/>
    <w:rsid w:val="0038261A"/>
    <w:rsid w:val="00382BB3"/>
    <w:rsid w:val="003833D3"/>
    <w:rsid w:val="003846F4"/>
    <w:rsid w:val="00384EE8"/>
    <w:rsid w:val="00385726"/>
    <w:rsid w:val="003857A1"/>
    <w:rsid w:val="00386BA8"/>
    <w:rsid w:val="00387A49"/>
    <w:rsid w:val="0039396C"/>
    <w:rsid w:val="00393FD3"/>
    <w:rsid w:val="00393FE6"/>
    <w:rsid w:val="00394E5D"/>
    <w:rsid w:val="0039568E"/>
    <w:rsid w:val="003970B9"/>
    <w:rsid w:val="003A178E"/>
    <w:rsid w:val="003A1AE0"/>
    <w:rsid w:val="003A2F59"/>
    <w:rsid w:val="003A3754"/>
    <w:rsid w:val="003A3D0F"/>
    <w:rsid w:val="003A4318"/>
    <w:rsid w:val="003A4A60"/>
    <w:rsid w:val="003A5B6A"/>
    <w:rsid w:val="003A70C0"/>
    <w:rsid w:val="003A73E7"/>
    <w:rsid w:val="003B07DF"/>
    <w:rsid w:val="003B0BC2"/>
    <w:rsid w:val="003B3142"/>
    <w:rsid w:val="003B39C3"/>
    <w:rsid w:val="003B4062"/>
    <w:rsid w:val="003B464C"/>
    <w:rsid w:val="003B47B8"/>
    <w:rsid w:val="003B56B7"/>
    <w:rsid w:val="003B5C8F"/>
    <w:rsid w:val="003B6008"/>
    <w:rsid w:val="003B6299"/>
    <w:rsid w:val="003B6D4A"/>
    <w:rsid w:val="003B73E1"/>
    <w:rsid w:val="003B7AEB"/>
    <w:rsid w:val="003C0E73"/>
    <w:rsid w:val="003C2CA2"/>
    <w:rsid w:val="003C33C9"/>
    <w:rsid w:val="003C3644"/>
    <w:rsid w:val="003C5153"/>
    <w:rsid w:val="003C5EAD"/>
    <w:rsid w:val="003C68CD"/>
    <w:rsid w:val="003C70BF"/>
    <w:rsid w:val="003C73D5"/>
    <w:rsid w:val="003C77C5"/>
    <w:rsid w:val="003D22E7"/>
    <w:rsid w:val="003D27B0"/>
    <w:rsid w:val="003D4AEA"/>
    <w:rsid w:val="003D59BF"/>
    <w:rsid w:val="003D5C3A"/>
    <w:rsid w:val="003D6F8A"/>
    <w:rsid w:val="003D73C8"/>
    <w:rsid w:val="003D7A6D"/>
    <w:rsid w:val="003D7CBA"/>
    <w:rsid w:val="003E2D5E"/>
    <w:rsid w:val="003E4EFB"/>
    <w:rsid w:val="003E5907"/>
    <w:rsid w:val="003E6C7A"/>
    <w:rsid w:val="003E6E7B"/>
    <w:rsid w:val="003E7697"/>
    <w:rsid w:val="003F0372"/>
    <w:rsid w:val="003F17CB"/>
    <w:rsid w:val="003F2EFB"/>
    <w:rsid w:val="003F3C0B"/>
    <w:rsid w:val="003F6EC4"/>
    <w:rsid w:val="003F7BCF"/>
    <w:rsid w:val="00400341"/>
    <w:rsid w:val="0040038E"/>
    <w:rsid w:val="0040094E"/>
    <w:rsid w:val="004022E7"/>
    <w:rsid w:val="00402E6C"/>
    <w:rsid w:val="0040353D"/>
    <w:rsid w:val="00405347"/>
    <w:rsid w:val="00405DDA"/>
    <w:rsid w:val="0040607B"/>
    <w:rsid w:val="00406136"/>
    <w:rsid w:val="004075E9"/>
    <w:rsid w:val="00410C8C"/>
    <w:rsid w:val="00410E0B"/>
    <w:rsid w:val="004114A1"/>
    <w:rsid w:val="00411C95"/>
    <w:rsid w:val="00412174"/>
    <w:rsid w:val="0041287D"/>
    <w:rsid w:val="00412E8C"/>
    <w:rsid w:val="00413EF9"/>
    <w:rsid w:val="004145CA"/>
    <w:rsid w:val="004152C8"/>
    <w:rsid w:val="004154A0"/>
    <w:rsid w:val="00416B77"/>
    <w:rsid w:val="00416DD7"/>
    <w:rsid w:val="00421767"/>
    <w:rsid w:val="00424045"/>
    <w:rsid w:val="00424CA1"/>
    <w:rsid w:val="00425746"/>
    <w:rsid w:val="00426D32"/>
    <w:rsid w:val="00426E8B"/>
    <w:rsid w:val="00427F80"/>
    <w:rsid w:val="00430B0E"/>
    <w:rsid w:val="00430DA4"/>
    <w:rsid w:val="00430E8C"/>
    <w:rsid w:val="00431238"/>
    <w:rsid w:val="00431275"/>
    <w:rsid w:val="004315D9"/>
    <w:rsid w:val="004333D5"/>
    <w:rsid w:val="00433A64"/>
    <w:rsid w:val="00436D65"/>
    <w:rsid w:val="00440234"/>
    <w:rsid w:val="00440472"/>
    <w:rsid w:val="00441573"/>
    <w:rsid w:val="0044185D"/>
    <w:rsid w:val="00442F17"/>
    <w:rsid w:val="0044309D"/>
    <w:rsid w:val="00445F1F"/>
    <w:rsid w:val="00446980"/>
    <w:rsid w:val="00446C53"/>
    <w:rsid w:val="0044787A"/>
    <w:rsid w:val="00447A50"/>
    <w:rsid w:val="0045017F"/>
    <w:rsid w:val="004503A9"/>
    <w:rsid w:val="0045113F"/>
    <w:rsid w:val="00451C3D"/>
    <w:rsid w:val="004539E4"/>
    <w:rsid w:val="004549BC"/>
    <w:rsid w:val="00454E37"/>
    <w:rsid w:val="004567BC"/>
    <w:rsid w:val="004571DA"/>
    <w:rsid w:val="00460009"/>
    <w:rsid w:val="0046059B"/>
    <w:rsid w:val="004619CC"/>
    <w:rsid w:val="00461CDF"/>
    <w:rsid w:val="0046218E"/>
    <w:rsid w:val="00462663"/>
    <w:rsid w:val="004629F1"/>
    <w:rsid w:val="00462EB6"/>
    <w:rsid w:val="0046308B"/>
    <w:rsid w:val="00463354"/>
    <w:rsid w:val="004636AA"/>
    <w:rsid w:val="004637D6"/>
    <w:rsid w:val="004648B8"/>
    <w:rsid w:val="00464F28"/>
    <w:rsid w:val="00466D77"/>
    <w:rsid w:val="0046773C"/>
    <w:rsid w:val="0046777F"/>
    <w:rsid w:val="00467E93"/>
    <w:rsid w:val="00470774"/>
    <w:rsid w:val="0047113B"/>
    <w:rsid w:val="004711A0"/>
    <w:rsid w:val="004714F0"/>
    <w:rsid w:val="0047240C"/>
    <w:rsid w:val="004733DF"/>
    <w:rsid w:val="00473AD2"/>
    <w:rsid w:val="004747B9"/>
    <w:rsid w:val="004747E0"/>
    <w:rsid w:val="00475E37"/>
    <w:rsid w:val="00476FCC"/>
    <w:rsid w:val="00481213"/>
    <w:rsid w:val="00485461"/>
    <w:rsid w:val="0048568F"/>
    <w:rsid w:val="00486AD2"/>
    <w:rsid w:val="004871FD"/>
    <w:rsid w:val="004902D4"/>
    <w:rsid w:val="0049086E"/>
    <w:rsid w:val="00491016"/>
    <w:rsid w:val="00491B35"/>
    <w:rsid w:val="00491F8D"/>
    <w:rsid w:val="004939D7"/>
    <w:rsid w:val="00493B97"/>
    <w:rsid w:val="0049499B"/>
    <w:rsid w:val="004949C6"/>
    <w:rsid w:val="0049506F"/>
    <w:rsid w:val="0049536E"/>
    <w:rsid w:val="0049552B"/>
    <w:rsid w:val="004959E8"/>
    <w:rsid w:val="00495AA5"/>
    <w:rsid w:val="00495E33"/>
    <w:rsid w:val="00497892"/>
    <w:rsid w:val="0049790F"/>
    <w:rsid w:val="00497F7C"/>
    <w:rsid w:val="004A093F"/>
    <w:rsid w:val="004A11B3"/>
    <w:rsid w:val="004A140D"/>
    <w:rsid w:val="004A205F"/>
    <w:rsid w:val="004A256E"/>
    <w:rsid w:val="004A330B"/>
    <w:rsid w:val="004A399D"/>
    <w:rsid w:val="004A4827"/>
    <w:rsid w:val="004A4B5B"/>
    <w:rsid w:val="004A5ACD"/>
    <w:rsid w:val="004A7100"/>
    <w:rsid w:val="004B0A4F"/>
    <w:rsid w:val="004B29FB"/>
    <w:rsid w:val="004B3457"/>
    <w:rsid w:val="004B4499"/>
    <w:rsid w:val="004B4DE1"/>
    <w:rsid w:val="004B6B83"/>
    <w:rsid w:val="004B6CCA"/>
    <w:rsid w:val="004B75B2"/>
    <w:rsid w:val="004B7D47"/>
    <w:rsid w:val="004C0EDD"/>
    <w:rsid w:val="004C2EFC"/>
    <w:rsid w:val="004C335C"/>
    <w:rsid w:val="004C3AEB"/>
    <w:rsid w:val="004C3D11"/>
    <w:rsid w:val="004C4024"/>
    <w:rsid w:val="004C43FD"/>
    <w:rsid w:val="004C4DF3"/>
    <w:rsid w:val="004C5987"/>
    <w:rsid w:val="004C6E53"/>
    <w:rsid w:val="004D048C"/>
    <w:rsid w:val="004D09B1"/>
    <w:rsid w:val="004D1CF3"/>
    <w:rsid w:val="004D21FD"/>
    <w:rsid w:val="004D38EE"/>
    <w:rsid w:val="004D3B6A"/>
    <w:rsid w:val="004D3B8F"/>
    <w:rsid w:val="004D3E01"/>
    <w:rsid w:val="004D53A1"/>
    <w:rsid w:val="004D6146"/>
    <w:rsid w:val="004D648B"/>
    <w:rsid w:val="004D6ED5"/>
    <w:rsid w:val="004D7119"/>
    <w:rsid w:val="004D71A0"/>
    <w:rsid w:val="004D7A6F"/>
    <w:rsid w:val="004E1628"/>
    <w:rsid w:val="004E2366"/>
    <w:rsid w:val="004E3330"/>
    <w:rsid w:val="004E3FFF"/>
    <w:rsid w:val="004E4223"/>
    <w:rsid w:val="004E4EFA"/>
    <w:rsid w:val="004E5DD5"/>
    <w:rsid w:val="004E60BE"/>
    <w:rsid w:val="004E70FB"/>
    <w:rsid w:val="004E79F8"/>
    <w:rsid w:val="004F2E4E"/>
    <w:rsid w:val="004F32D2"/>
    <w:rsid w:val="004F4906"/>
    <w:rsid w:val="004F5565"/>
    <w:rsid w:val="004F5806"/>
    <w:rsid w:val="004F58FB"/>
    <w:rsid w:val="004F78DD"/>
    <w:rsid w:val="005001E3"/>
    <w:rsid w:val="0050145E"/>
    <w:rsid w:val="005014DE"/>
    <w:rsid w:val="00501E7E"/>
    <w:rsid w:val="005023DF"/>
    <w:rsid w:val="00502EFA"/>
    <w:rsid w:val="00503746"/>
    <w:rsid w:val="0050430A"/>
    <w:rsid w:val="00505001"/>
    <w:rsid w:val="0050646F"/>
    <w:rsid w:val="00507D39"/>
    <w:rsid w:val="00507E92"/>
    <w:rsid w:val="00510364"/>
    <w:rsid w:val="00512208"/>
    <w:rsid w:val="005127C3"/>
    <w:rsid w:val="00512BC1"/>
    <w:rsid w:val="005131C3"/>
    <w:rsid w:val="005142D2"/>
    <w:rsid w:val="00514639"/>
    <w:rsid w:val="00515377"/>
    <w:rsid w:val="00515656"/>
    <w:rsid w:val="00515B86"/>
    <w:rsid w:val="005168E9"/>
    <w:rsid w:val="00516F06"/>
    <w:rsid w:val="0052111C"/>
    <w:rsid w:val="005212FF"/>
    <w:rsid w:val="005219B4"/>
    <w:rsid w:val="005219BA"/>
    <w:rsid w:val="00523537"/>
    <w:rsid w:val="00523665"/>
    <w:rsid w:val="00523766"/>
    <w:rsid w:val="00525328"/>
    <w:rsid w:val="0052755F"/>
    <w:rsid w:val="00527691"/>
    <w:rsid w:val="0053240C"/>
    <w:rsid w:val="005326AE"/>
    <w:rsid w:val="00532909"/>
    <w:rsid w:val="00535421"/>
    <w:rsid w:val="00535D48"/>
    <w:rsid w:val="005362F0"/>
    <w:rsid w:val="0053752E"/>
    <w:rsid w:val="00537C12"/>
    <w:rsid w:val="00537EA2"/>
    <w:rsid w:val="00540552"/>
    <w:rsid w:val="00541006"/>
    <w:rsid w:val="0054118D"/>
    <w:rsid w:val="00542009"/>
    <w:rsid w:val="005436C7"/>
    <w:rsid w:val="00543C85"/>
    <w:rsid w:val="00543E02"/>
    <w:rsid w:val="00544354"/>
    <w:rsid w:val="005454BD"/>
    <w:rsid w:val="00546A1B"/>
    <w:rsid w:val="0054715D"/>
    <w:rsid w:val="005477DC"/>
    <w:rsid w:val="00547D14"/>
    <w:rsid w:val="00551389"/>
    <w:rsid w:val="00553171"/>
    <w:rsid w:val="00554817"/>
    <w:rsid w:val="0055487E"/>
    <w:rsid w:val="00554FD7"/>
    <w:rsid w:val="0055684A"/>
    <w:rsid w:val="00557093"/>
    <w:rsid w:val="005606D3"/>
    <w:rsid w:val="00565EE9"/>
    <w:rsid w:val="00566790"/>
    <w:rsid w:val="005676B0"/>
    <w:rsid w:val="005701BD"/>
    <w:rsid w:val="005705B8"/>
    <w:rsid w:val="005708D2"/>
    <w:rsid w:val="005713FA"/>
    <w:rsid w:val="005725D5"/>
    <w:rsid w:val="00572B30"/>
    <w:rsid w:val="00574501"/>
    <w:rsid w:val="00574FC1"/>
    <w:rsid w:val="00576234"/>
    <w:rsid w:val="00576487"/>
    <w:rsid w:val="00577078"/>
    <w:rsid w:val="005775F6"/>
    <w:rsid w:val="00577B8C"/>
    <w:rsid w:val="005819DA"/>
    <w:rsid w:val="00581F63"/>
    <w:rsid w:val="00582700"/>
    <w:rsid w:val="005828EC"/>
    <w:rsid w:val="00584233"/>
    <w:rsid w:val="00584CD1"/>
    <w:rsid w:val="005855D3"/>
    <w:rsid w:val="0058564E"/>
    <w:rsid w:val="0058690B"/>
    <w:rsid w:val="00590F81"/>
    <w:rsid w:val="00591D69"/>
    <w:rsid w:val="005929D2"/>
    <w:rsid w:val="00594251"/>
    <w:rsid w:val="005948BC"/>
    <w:rsid w:val="00594BAB"/>
    <w:rsid w:val="005967E9"/>
    <w:rsid w:val="00596874"/>
    <w:rsid w:val="00597C6E"/>
    <w:rsid w:val="005A0021"/>
    <w:rsid w:val="005A009C"/>
    <w:rsid w:val="005A12F2"/>
    <w:rsid w:val="005A13D8"/>
    <w:rsid w:val="005A2C0A"/>
    <w:rsid w:val="005A3A02"/>
    <w:rsid w:val="005A3D73"/>
    <w:rsid w:val="005A5A7A"/>
    <w:rsid w:val="005A62F6"/>
    <w:rsid w:val="005A6DC6"/>
    <w:rsid w:val="005A73E4"/>
    <w:rsid w:val="005A7C07"/>
    <w:rsid w:val="005B1255"/>
    <w:rsid w:val="005B1D7B"/>
    <w:rsid w:val="005B2D15"/>
    <w:rsid w:val="005B6E8B"/>
    <w:rsid w:val="005B6FC8"/>
    <w:rsid w:val="005B730C"/>
    <w:rsid w:val="005B775B"/>
    <w:rsid w:val="005C0447"/>
    <w:rsid w:val="005C3994"/>
    <w:rsid w:val="005C3CA8"/>
    <w:rsid w:val="005C4DB8"/>
    <w:rsid w:val="005C596B"/>
    <w:rsid w:val="005C5992"/>
    <w:rsid w:val="005C7D90"/>
    <w:rsid w:val="005D004B"/>
    <w:rsid w:val="005D03C1"/>
    <w:rsid w:val="005D0B2B"/>
    <w:rsid w:val="005D10A2"/>
    <w:rsid w:val="005D18E9"/>
    <w:rsid w:val="005D192B"/>
    <w:rsid w:val="005D522B"/>
    <w:rsid w:val="005D5728"/>
    <w:rsid w:val="005D5A39"/>
    <w:rsid w:val="005D5A3E"/>
    <w:rsid w:val="005D6336"/>
    <w:rsid w:val="005D790F"/>
    <w:rsid w:val="005E19C8"/>
    <w:rsid w:val="005E2B75"/>
    <w:rsid w:val="005E3ABA"/>
    <w:rsid w:val="005E4791"/>
    <w:rsid w:val="005E4B37"/>
    <w:rsid w:val="005E4FDD"/>
    <w:rsid w:val="005E6198"/>
    <w:rsid w:val="005E7D30"/>
    <w:rsid w:val="005F0BD8"/>
    <w:rsid w:val="005F0C62"/>
    <w:rsid w:val="005F182D"/>
    <w:rsid w:val="005F284B"/>
    <w:rsid w:val="005F3541"/>
    <w:rsid w:val="005F4E31"/>
    <w:rsid w:val="005F5D0C"/>
    <w:rsid w:val="005F72CB"/>
    <w:rsid w:val="005F7356"/>
    <w:rsid w:val="005F76DD"/>
    <w:rsid w:val="006028E5"/>
    <w:rsid w:val="006034D6"/>
    <w:rsid w:val="006039B2"/>
    <w:rsid w:val="00604D70"/>
    <w:rsid w:val="00605EA5"/>
    <w:rsid w:val="006060A1"/>
    <w:rsid w:val="0060629E"/>
    <w:rsid w:val="00606C0A"/>
    <w:rsid w:val="00610798"/>
    <w:rsid w:val="00610E3B"/>
    <w:rsid w:val="00611111"/>
    <w:rsid w:val="006123E4"/>
    <w:rsid w:val="00612814"/>
    <w:rsid w:val="00612E3A"/>
    <w:rsid w:val="00613C39"/>
    <w:rsid w:val="00614BBD"/>
    <w:rsid w:val="00614F02"/>
    <w:rsid w:val="006150FE"/>
    <w:rsid w:val="0061572B"/>
    <w:rsid w:val="006171C7"/>
    <w:rsid w:val="006171DE"/>
    <w:rsid w:val="00620758"/>
    <w:rsid w:val="00621A1E"/>
    <w:rsid w:val="00621CEB"/>
    <w:rsid w:val="0062384B"/>
    <w:rsid w:val="006264A9"/>
    <w:rsid w:val="0062765C"/>
    <w:rsid w:val="0062770A"/>
    <w:rsid w:val="00627771"/>
    <w:rsid w:val="0063033D"/>
    <w:rsid w:val="006304F4"/>
    <w:rsid w:val="00630B20"/>
    <w:rsid w:val="00630F15"/>
    <w:rsid w:val="006312BD"/>
    <w:rsid w:val="006319BC"/>
    <w:rsid w:val="00631EEA"/>
    <w:rsid w:val="006336C8"/>
    <w:rsid w:val="00634023"/>
    <w:rsid w:val="00634545"/>
    <w:rsid w:val="00635467"/>
    <w:rsid w:val="00635D5C"/>
    <w:rsid w:val="00636436"/>
    <w:rsid w:val="00636952"/>
    <w:rsid w:val="0064064A"/>
    <w:rsid w:val="00642AEF"/>
    <w:rsid w:val="00644674"/>
    <w:rsid w:val="00645203"/>
    <w:rsid w:val="00645448"/>
    <w:rsid w:val="006461B1"/>
    <w:rsid w:val="00646763"/>
    <w:rsid w:val="00646E0E"/>
    <w:rsid w:val="00647EB5"/>
    <w:rsid w:val="0065003A"/>
    <w:rsid w:val="00651712"/>
    <w:rsid w:val="00651A9A"/>
    <w:rsid w:val="00651EEC"/>
    <w:rsid w:val="00652016"/>
    <w:rsid w:val="00652E74"/>
    <w:rsid w:val="00653916"/>
    <w:rsid w:val="00653F25"/>
    <w:rsid w:val="00655579"/>
    <w:rsid w:val="00655BAD"/>
    <w:rsid w:val="00656E1D"/>
    <w:rsid w:val="0065735A"/>
    <w:rsid w:val="0066093A"/>
    <w:rsid w:val="006610C7"/>
    <w:rsid w:val="006611A4"/>
    <w:rsid w:val="006611C7"/>
    <w:rsid w:val="00661F76"/>
    <w:rsid w:val="00662095"/>
    <w:rsid w:val="006625D7"/>
    <w:rsid w:val="006629C8"/>
    <w:rsid w:val="006640C9"/>
    <w:rsid w:val="00664DB0"/>
    <w:rsid w:val="00666767"/>
    <w:rsid w:val="00670B37"/>
    <w:rsid w:val="00670DEE"/>
    <w:rsid w:val="0067130A"/>
    <w:rsid w:val="006714B8"/>
    <w:rsid w:val="00671C70"/>
    <w:rsid w:val="00672462"/>
    <w:rsid w:val="00672CB7"/>
    <w:rsid w:val="006734B4"/>
    <w:rsid w:val="006736E0"/>
    <w:rsid w:val="00673CC9"/>
    <w:rsid w:val="00673D9A"/>
    <w:rsid w:val="00673DFB"/>
    <w:rsid w:val="006753BB"/>
    <w:rsid w:val="00675678"/>
    <w:rsid w:val="006777B0"/>
    <w:rsid w:val="0067785F"/>
    <w:rsid w:val="006803CF"/>
    <w:rsid w:val="0068053A"/>
    <w:rsid w:val="00680880"/>
    <w:rsid w:val="00680DD0"/>
    <w:rsid w:val="006813DF"/>
    <w:rsid w:val="0068271D"/>
    <w:rsid w:val="00683A6D"/>
    <w:rsid w:val="00684482"/>
    <w:rsid w:val="006846C6"/>
    <w:rsid w:val="006847AC"/>
    <w:rsid w:val="00684C9B"/>
    <w:rsid w:val="00686FE0"/>
    <w:rsid w:val="006902C2"/>
    <w:rsid w:val="0069118B"/>
    <w:rsid w:val="006937F2"/>
    <w:rsid w:val="006945B6"/>
    <w:rsid w:val="00694870"/>
    <w:rsid w:val="0069497E"/>
    <w:rsid w:val="00695085"/>
    <w:rsid w:val="006958D4"/>
    <w:rsid w:val="00695B74"/>
    <w:rsid w:val="00696088"/>
    <w:rsid w:val="0069714E"/>
    <w:rsid w:val="006973D7"/>
    <w:rsid w:val="006A064A"/>
    <w:rsid w:val="006A073C"/>
    <w:rsid w:val="006A09F2"/>
    <w:rsid w:val="006A0BFA"/>
    <w:rsid w:val="006A2F23"/>
    <w:rsid w:val="006A2F8B"/>
    <w:rsid w:val="006A49AD"/>
    <w:rsid w:val="006A5143"/>
    <w:rsid w:val="006A531D"/>
    <w:rsid w:val="006A6077"/>
    <w:rsid w:val="006A665E"/>
    <w:rsid w:val="006A67F9"/>
    <w:rsid w:val="006A6EB3"/>
    <w:rsid w:val="006A6F89"/>
    <w:rsid w:val="006B0784"/>
    <w:rsid w:val="006B0CFE"/>
    <w:rsid w:val="006B0FC3"/>
    <w:rsid w:val="006B18D0"/>
    <w:rsid w:val="006B29E3"/>
    <w:rsid w:val="006B37D5"/>
    <w:rsid w:val="006B3C1E"/>
    <w:rsid w:val="006B3FCC"/>
    <w:rsid w:val="006B4450"/>
    <w:rsid w:val="006B451E"/>
    <w:rsid w:val="006B4B8D"/>
    <w:rsid w:val="006B6593"/>
    <w:rsid w:val="006B6602"/>
    <w:rsid w:val="006B6848"/>
    <w:rsid w:val="006B6996"/>
    <w:rsid w:val="006B716A"/>
    <w:rsid w:val="006B7FEB"/>
    <w:rsid w:val="006C0D8F"/>
    <w:rsid w:val="006C11C4"/>
    <w:rsid w:val="006C12E8"/>
    <w:rsid w:val="006C1382"/>
    <w:rsid w:val="006C1B0B"/>
    <w:rsid w:val="006C1CCB"/>
    <w:rsid w:val="006C2342"/>
    <w:rsid w:val="006C23FF"/>
    <w:rsid w:val="006C5556"/>
    <w:rsid w:val="006C5927"/>
    <w:rsid w:val="006C5E5F"/>
    <w:rsid w:val="006C6943"/>
    <w:rsid w:val="006C7319"/>
    <w:rsid w:val="006C7BEC"/>
    <w:rsid w:val="006D05DA"/>
    <w:rsid w:val="006D2E39"/>
    <w:rsid w:val="006D40D2"/>
    <w:rsid w:val="006D4700"/>
    <w:rsid w:val="006E0969"/>
    <w:rsid w:val="006E1FB4"/>
    <w:rsid w:val="006E3A62"/>
    <w:rsid w:val="006E59DC"/>
    <w:rsid w:val="006E6A41"/>
    <w:rsid w:val="006E7437"/>
    <w:rsid w:val="006F01D7"/>
    <w:rsid w:val="006F091F"/>
    <w:rsid w:val="006F1F55"/>
    <w:rsid w:val="006F2DC2"/>
    <w:rsid w:val="006F305E"/>
    <w:rsid w:val="006F3522"/>
    <w:rsid w:val="006F3F72"/>
    <w:rsid w:val="006F41BC"/>
    <w:rsid w:val="006F6C65"/>
    <w:rsid w:val="00700D43"/>
    <w:rsid w:val="00700EE7"/>
    <w:rsid w:val="00701C32"/>
    <w:rsid w:val="00702607"/>
    <w:rsid w:val="0070283E"/>
    <w:rsid w:val="007036C4"/>
    <w:rsid w:val="0070400E"/>
    <w:rsid w:val="00704970"/>
    <w:rsid w:val="00705A52"/>
    <w:rsid w:val="00705D95"/>
    <w:rsid w:val="00710CE5"/>
    <w:rsid w:val="00710F08"/>
    <w:rsid w:val="00712D96"/>
    <w:rsid w:val="00713144"/>
    <w:rsid w:val="007136F6"/>
    <w:rsid w:val="00715575"/>
    <w:rsid w:val="0071586F"/>
    <w:rsid w:val="00715B49"/>
    <w:rsid w:val="007162CB"/>
    <w:rsid w:val="00717388"/>
    <w:rsid w:val="00717414"/>
    <w:rsid w:val="00717895"/>
    <w:rsid w:val="007229BA"/>
    <w:rsid w:val="0072379F"/>
    <w:rsid w:val="00723E62"/>
    <w:rsid w:val="00724160"/>
    <w:rsid w:val="00725ED4"/>
    <w:rsid w:val="0072640F"/>
    <w:rsid w:val="00726532"/>
    <w:rsid w:val="007265C3"/>
    <w:rsid w:val="007265D1"/>
    <w:rsid w:val="00726A7B"/>
    <w:rsid w:val="0073030E"/>
    <w:rsid w:val="00730D22"/>
    <w:rsid w:val="0073242A"/>
    <w:rsid w:val="00732C7A"/>
    <w:rsid w:val="00732EEE"/>
    <w:rsid w:val="00733347"/>
    <w:rsid w:val="0073397B"/>
    <w:rsid w:val="00736E4B"/>
    <w:rsid w:val="00737478"/>
    <w:rsid w:val="00737C8F"/>
    <w:rsid w:val="00742309"/>
    <w:rsid w:val="00742E02"/>
    <w:rsid w:val="00743775"/>
    <w:rsid w:val="00743B51"/>
    <w:rsid w:val="00744A8F"/>
    <w:rsid w:val="00744ABA"/>
    <w:rsid w:val="00744C13"/>
    <w:rsid w:val="007461BA"/>
    <w:rsid w:val="00746E8C"/>
    <w:rsid w:val="007476A0"/>
    <w:rsid w:val="00747BCD"/>
    <w:rsid w:val="00750939"/>
    <w:rsid w:val="007509CC"/>
    <w:rsid w:val="00750AC7"/>
    <w:rsid w:val="007519F8"/>
    <w:rsid w:val="00751AD9"/>
    <w:rsid w:val="00751C25"/>
    <w:rsid w:val="0075320F"/>
    <w:rsid w:val="00753513"/>
    <w:rsid w:val="007535F8"/>
    <w:rsid w:val="00753927"/>
    <w:rsid w:val="00754B10"/>
    <w:rsid w:val="00756015"/>
    <w:rsid w:val="007568C8"/>
    <w:rsid w:val="007576F9"/>
    <w:rsid w:val="00757E6E"/>
    <w:rsid w:val="00760DDA"/>
    <w:rsid w:val="007628D5"/>
    <w:rsid w:val="00762C7A"/>
    <w:rsid w:val="00763B73"/>
    <w:rsid w:val="00763CF5"/>
    <w:rsid w:val="00765F19"/>
    <w:rsid w:val="00773521"/>
    <w:rsid w:val="0077361F"/>
    <w:rsid w:val="007749BB"/>
    <w:rsid w:val="00775717"/>
    <w:rsid w:val="007757D3"/>
    <w:rsid w:val="00776133"/>
    <w:rsid w:val="00776635"/>
    <w:rsid w:val="00776DFC"/>
    <w:rsid w:val="00780DC6"/>
    <w:rsid w:val="0078127A"/>
    <w:rsid w:val="00781687"/>
    <w:rsid w:val="00781E35"/>
    <w:rsid w:val="0078386F"/>
    <w:rsid w:val="007841B7"/>
    <w:rsid w:val="007842C4"/>
    <w:rsid w:val="0078482B"/>
    <w:rsid w:val="00784928"/>
    <w:rsid w:val="00784C7B"/>
    <w:rsid w:val="0079028A"/>
    <w:rsid w:val="0079153A"/>
    <w:rsid w:val="00792BA3"/>
    <w:rsid w:val="00793291"/>
    <w:rsid w:val="0079430E"/>
    <w:rsid w:val="007945BC"/>
    <w:rsid w:val="00794F53"/>
    <w:rsid w:val="00795617"/>
    <w:rsid w:val="00795A85"/>
    <w:rsid w:val="00795B01"/>
    <w:rsid w:val="00795DED"/>
    <w:rsid w:val="007960D8"/>
    <w:rsid w:val="007961DC"/>
    <w:rsid w:val="0079652B"/>
    <w:rsid w:val="00797BB4"/>
    <w:rsid w:val="007A06BD"/>
    <w:rsid w:val="007A0B13"/>
    <w:rsid w:val="007A1470"/>
    <w:rsid w:val="007A2A4E"/>
    <w:rsid w:val="007A2E5C"/>
    <w:rsid w:val="007A47AF"/>
    <w:rsid w:val="007A48E4"/>
    <w:rsid w:val="007A5004"/>
    <w:rsid w:val="007A5AF3"/>
    <w:rsid w:val="007A653E"/>
    <w:rsid w:val="007A6A40"/>
    <w:rsid w:val="007A79AD"/>
    <w:rsid w:val="007B0C69"/>
    <w:rsid w:val="007B0FBD"/>
    <w:rsid w:val="007B1451"/>
    <w:rsid w:val="007B31CC"/>
    <w:rsid w:val="007B41B2"/>
    <w:rsid w:val="007B7021"/>
    <w:rsid w:val="007B7374"/>
    <w:rsid w:val="007C0B7B"/>
    <w:rsid w:val="007C26BE"/>
    <w:rsid w:val="007C307D"/>
    <w:rsid w:val="007C31DE"/>
    <w:rsid w:val="007C36F7"/>
    <w:rsid w:val="007C4387"/>
    <w:rsid w:val="007C43E2"/>
    <w:rsid w:val="007C4D40"/>
    <w:rsid w:val="007C56CB"/>
    <w:rsid w:val="007C6985"/>
    <w:rsid w:val="007C77B9"/>
    <w:rsid w:val="007D053C"/>
    <w:rsid w:val="007D0E1D"/>
    <w:rsid w:val="007D3D8E"/>
    <w:rsid w:val="007D4A45"/>
    <w:rsid w:val="007D4EC3"/>
    <w:rsid w:val="007D6436"/>
    <w:rsid w:val="007D71BD"/>
    <w:rsid w:val="007E0E84"/>
    <w:rsid w:val="007E320B"/>
    <w:rsid w:val="007E321E"/>
    <w:rsid w:val="007E5851"/>
    <w:rsid w:val="007E5F58"/>
    <w:rsid w:val="007E691D"/>
    <w:rsid w:val="007E7602"/>
    <w:rsid w:val="007F0F99"/>
    <w:rsid w:val="007F0FC6"/>
    <w:rsid w:val="007F31CE"/>
    <w:rsid w:val="007F35B0"/>
    <w:rsid w:val="007F367C"/>
    <w:rsid w:val="007F3D15"/>
    <w:rsid w:val="007F5B45"/>
    <w:rsid w:val="007F5E21"/>
    <w:rsid w:val="0080069A"/>
    <w:rsid w:val="008012C3"/>
    <w:rsid w:val="008018E6"/>
    <w:rsid w:val="008022D7"/>
    <w:rsid w:val="008036D9"/>
    <w:rsid w:val="008043A0"/>
    <w:rsid w:val="008046CB"/>
    <w:rsid w:val="00804946"/>
    <w:rsid w:val="00805738"/>
    <w:rsid w:val="00805A0B"/>
    <w:rsid w:val="00807EFC"/>
    <w:rsid w:val="00810C93"/>
    <w:rsid w:val="0081128A"/>
    <w:rsid w:val="008145E2"/>
    <w:rsid w:val="008165D1"/>
    <w:rsid w:val="008201D5"/>
    <w:rsid w:val="008209DD"/>
    <w:rsid w:val="00820A40"/>
    <w:rsid w:val="00820BE7"/>
    <w:rsid w:val="008254D8"/>
    <w:rsid w:val="008258A9"/>
    <w:rsid w:val="00826503"/>
    <w:rsid w:val="008273E4"/>
    <w:rsid w:val="0082751D"/>
    <w:rsid w:val="00827575"/>
    <w:rsid w:val="00830425"/>
    <w:rsid w:val="008306B9"/>
    <w:rsid w:val="00830814"/>
    <w:rsid w:val="008336C0"/>
    <w:rsid w:val="0083387E"/>
    <w:rsid w:val="00834234"/>
    <w:rsid w:val="0083557D"/>
    <w:rsid w:val="00835CF9"/>
    <w:rsid w:val="00837D6C"/>
    <w:rsid w:val="00842F76"/>
    <w:rsid w:val="00843762"/>
    <w:rsid w:val="0084385F"/>
    <w:rsid w:val="008439F7"/>
    <w:rsid w:val="0084480F"/>
    <w:rsid w:val="008459BF"/>
    <w:rsid w:val="00845A7F"/>
    <w:rsid w:val="00846136"/>
    <w:rsid w:val="008464F7"/>
    <w:rsid w:val="00846851"/>
    <w:rsid w:val="00846ADC"/>
    <w:rsid w:val="00846D46"/>
    <w:rsid w:val="00847C26"/>
    <w:rsid w:val="00850470"/>
    <w:rsid w:val="0085234E"/>
    <w:rsid w:val="00852498"/>
    <w:rsid w:val="008549BB"/>
    <w:rsid w:val="00855966"/>
    <w:rsid w:val="00855C70"/>
    <w:rsid w:val="0085664A"/>
    <w:rsid w:val="00857545"/>
    <w:rsid w:val="00857803"/>
    <w:rsid w:val="00857A60"/>
    <w:rsid w:val="00860548"/>
    <w:rsid w:val="00863212"/>
    <w:rsid w:val="0086383F"/>
    <w:rsid w:val="0086428F"/>
    <w:rsid w:val="008644EA"/>
    <w:rsid w:val="008648D8"/>
    <w:rsid w:val="0086497F"/>
    <w:rsid w:val="00865570"/>
    <w:rsid w:val="00865A27"/>
    <w:rsid w:val="00866104"/>
    <w:rsid w:val="008666DD"/>
    <w:rsid w:val="00866F92"/>
    <w:rsid w:val="008675AE"/>
    <w:rsid w:val="0086788D"/>
    <w:rsid w:val="00867AE0"/>
    <w:rsid w:val="00870156"/>
    <w:rsid w:val="00870745"/>
    <w:rsid w:val="00872A3B"/>
    <w:rsid w:val="00872A58"/>
    <w:rsid w:val="00873EFF"/>
    <w:rsid w:val="0087450D"/>
    <w:rsid w:val="00874BAF"/>
    <w:rsid w:val="00875216"/>
    <w:rsid w:val="0087757E"/>
    <w:rsid w:val="0088149A"/>
    <w:rsid w:val="00882074"/>
    <w:rsid w:val="00882472"/>
    <w:rsid w:val="00882BD6"/>
    <w:rsid w:val="0088375F"/>
    <w:rsid w:val="008847EC"/>
    <w:rsid w:val="00884DC3"/>
    <w:rsid w:val="0088527A"/>
    <w:rsid w:val="00885AA7"/>
    <w:rsid w:val="00885AEA"/>
    <w:rsid w:val="0089023D"/>
    <w:rsid w:val="00890781"/>
    <w:rsid w:val="00890E1E"/>
    <w:rsid w:val="00891986"/>
    <w:rsid w:val="00891DD7"/>
    <w:rsid w:val="008939CA"/>
    <w:rsid w:val="00893D8F"/>
    <w:rsid w:val="00893FE2"/>
    <w:rsid w:val="008941FD"/>
    <w:rsid w:val="00894209"/>
    <w:rsid w:val="008947C7"/>
    <w:rsid w:val="00894A52"/>
    <w:rsid w:val="00894EB0"/>
    <w:rsid w:val="0089525E"/>
    <w:rsid w:val="00895539"/>
    <w:rsid w:val="00896423"/>
    <w:rsid w:val="0089716E"/>
    <w:rsid w:val="00897AC2"/>
    <w:rsid w:val="008A061D"/>
    <w:rsid w:val="008A4363"/>
    <w:rsid w:val="008A57BA"/>
    <w:rsid w:val="008A659F"/>
    <w:rsid w:val="008A6E72"/>
    <w:rsid w:val="008A72D7"/>
    <w:rsid w:val="008B0483"/>
    <w:rsid w:val="008B07E1"/>
    <w:rsid w:val="008B096E"/>
    <w:rsid w:val="008B11F7"/>
    <w:rsid w:val="008B30C3"/>
    <w:rsid w:val="008B3B18"/>
    <w:rsid w:val="008B56F2"/>
    <w:rsid w:val="008B5802"/>
    <w:rsid w:val="008B5F86"/>
    <w:rsid w:val="008B7071"/>
    <w:rsid w:val="008C050F"/>
    <w:rsid w:val="008C0EA4"/>
    <w:rsid w:val="008C13B9"/>
    <w:rsid w:val="008C13D9"/>
    <w:rsid w:val="008C17BF"/>
    <w:rsid w:val="008C19F4"/>
    <w:rsid w:val="008C4709"/>
    <w:rsid w:val="008C4E4F"/>
    <w:rsid w:val="008C5B79"/>
    <w:rsid w:val="008C7BFE"/>
    <w:rsid w:val="008D006A"/>
    <w:rsid w:val="008D0E5D"/>
    <w:rsid w:val="008D1332"/>
    <w:rsid w:val="008D17D8"/>
    <w:rsid w:val="008D1A0F"/>
    <w:rsid w:val="008D1AED"/>
    <w:rsid w:val="008D2381"/>
    <w:rsid w:val="008D244C"/>
    <w:rsid w:val="008D2DE3"/>
    <w:rsid w:val="008D3542"/>
    <w:rsid w:val="008D3F15"/>
    <w:rsid w:val="008D46D1"/>
    <w:rsid w:val="008D4710"/>
    <w:rsid w:val="008D4DCA"/>
    <w:rsid w:val="008D5896"/>
    <w:rsid w:val="008D5FC8"/>
    <w:rsid w:val="008D6A92"/>
    <w:rsid w:val="008E00E6"/>
    <w:rsid w:val="008E0B2D"/>
    <w:rsid w:val="008E2456"/>
    <w:rsid w:val="008E2EB1"/>
    <w:rsid w:val="008E329B"/>
    <w:rsid w:val="008E3F51"/>
    <w:rsid w:val="008E44F3"/>
    <w:rsid w:val="008E5530"/>
    <w:rsid w:val="008E564B"/>
    <w:rsid w:val="008E6CD0"/>
    <w:rsid w:val="008E7783"/>
    <w:rsid w:val="008F081D"/>
    <w:rsid w:val="008F1995"/>
    <w:rsid w:val="008F19C0"/>
    <w:rsid w:val="008F33B6"/>
    <w:rsid w:val="008F36D1"/>
    <w:rsid w:val="008F4766"/>
    <w:rsid w:val="008F4CCB"/>
    <w:rsid w:val="008F522B"/>
    <w:rsid w:val="008F523F"/>
    <w:rsid w:val="008F6349"/>
    <w:rsid w:val="008F6C12"/>
    <w:rsid w:val="008F706A"/>
    <w:rsid w:val="008F7689"/>
    <w:rsid w:val="008F7992"/>
    <w:rsid w:val="0090005E"/>
    <w:rsid w:val="00900633"/>
    <w:rsid w:val="00900A29"/>
    <w:rsid w:val="009029E5"/>
    <w:rsid w:val="009039F4"/>
    <w:rsid w:val="00904B82"/>
    <w:rsid w:val="009059C4"/>
    <w:rsid w:val="009079E1"/>
    <w:rsid w:val="009111FD"/>
    <w:rsid w:val="009117D6"/>
    <w:rsid w:val="00911F2B"/>
    <w:rsid w:val="00912B72"/>
    <w:rsid w:val="00912D53"/>
    <w:rsid w:val="00915171"/>
    <w:rsid w:val="009161F8"/>
    <w:rsid w:val="00916949"/>
    <w:rsid w:val="00921036"/>
    <w:rsid w:val="0092131A"/>
    <w:rsid w:val="009218C0"/>
    <w:rsid w:val="00922F34"/>
    <w:rsid w:val="0092318C"/>
    <w:rsid w:val="0092442D"/>
    <w:rsid w:val="00925AA7"/>
    <w:rsid w:val="00926F25"/>
    <w:rsid w:val="00927BB2"/>
    <w:rsid w:val="00927F61"/>
    <w:rsid w:val="00930004"/>
    <w:rsid w:val="0093028B"/>
    <w:rsid w:val="00930A96"/>
    <w:rsid w:val="00931B24"/>
    <w:rsid w:val="0093238B"/>
    <w:rsid w:val="009331F0"/>
    <w:rsid w:val="00933B68"/>
    <w:rsid w:val="0093480B"/>
    <w:rsid w:val="00934BAD"/>
    <w:rsid w:val="00935899"/>
    <w:rsid w:val="00935F00"/>
    <w:rsid w:val="009367B8"/>
    <w:rsid w:val="00937042"/>
    <w:rsid w:val="00937143"/>
    <w:rsid w:val="009407AE"/>
    <w:rsid w:val="0094188E"/>
    <w:rsid w:val="00941A18"/>
    <w:rsid w:val="00941D7F"/>
    <w:rsid w:val="00943474"/>
    <w:rsid w:val="00944683"/>
    <w:rsid w:val="009450D5"/>
    <w:rsid w:val="0094537B"/>
    <w:rsid w:val="00945B38"/>
    <w:rsid w:val="009466DB"/>
    <w:rsid w:val="009468AA"/>
    <w:rsid w:val="009475A5"/>
    <w:rsid w:val="00950F56"/>
    <w:rsid w:val="00951792"/>
    <w:rsid w:val="009517DD"/>
    <w:rsid w:val="0095210F"/>
    <w:rsid w:val="00952B36"/>
    <w:rsid w:val="00960141"/>
    <w:rsid w:val="00960B8E"/>
    <w:rsid w:val="00964BA7"/>
    <w:rsid w:val="00964F75"/>
    <w:rsid w:val="009661BB"/>
    <w:rsid w:val="00966AB1"/>
    <w:rsid w:val="0096793B"/>
    <w:rsid w:val="00967B0C"/>
    <w:rsid w:val="00970E75"/>
    <w:rsid w:val="0097102E"/>
    <w:rsid w:val="00971079"/>
    <w:rsid w:val="0097112E"/>
    <w:rsid w:val="009716EC"/>
    <w:rsid w:val="00971C28"/>
    <w:rsid w:val="0097391E"/>
    <w:rsid w:val="00974869"/>
    <w:rsid w:val="00975350"/>
    <w:rsid w:val="009753C2"/>
    <w:rsid w:val="00975933"/>
    <w:rsid w:val="00975ABF"/>
    <w:rsid w:val="00976FF5"/>
    <w:rsid w:val="0097795A"/>
    <w:rsid w:val="009802E3"/>
    <w:rsid w:val="0098054A"/>
    <w:rsid w:val="00985B39"/>
    <w:rsid w:val="00986B97"/>
    <w:rsid w:val="00987888"/>
    <w:rsid w:val="00990B0B"/>
    <w:rsid w:val="0099153D"/>
    <w:rsid w:val="00991FDE"/>
    <w:rsid w:val="00993A17"/>
    <w:rsid w:val="00993AC2"/>
    <w:rsid w:val="00994A1E"/>
    <w:rsid w:val="009957D0"/>
    <w:rsid w:val="00996A7D"/>
    <w:rsid w:val="00996AC2"/>
    <w:rsid w:val="009979A5"/>
    <w:rsid w:val="009A00E7"/>
    <w:rsid w:val="009A5668"/>
    <w:rsid w:val="009A5AC8"/>
    <w:rsid w:val="009A7177"/>
    <w:rsid w:val="009A755F"/>
    <w:rsid w:val="009B06EA"/>
    <w:rsid w:val="009B07FA"/>
    <w:rsid w:val="009B0F97"/>
    <w:rsid w:val="009B23D8"/>
    <w:rsid w:val="009B3589"/>
    <w:rsid w:val="009B3B46"/>
    <w:rsid w:val="009B51C4"/>
    <w:rsid w:val="009B61CE"/>
    <w:rsid w:val="009C257D"/>
    <w:rsid w:val="009C3238"/>
    <w:rsid w:val="009C4ED7"/>
    <w:rsid w:val="009C5003"/>
    <w:rsid w:val="009C7401"/>
    <w:rsid w:val="009D02C5"/>
    <w:rsid w:val="009D05F7"/>
    <w:rsid w:val="009D0879"/>
    <w:rsid w:val="009D338E"/>
    <w:rsid w:val="009D39EB"/>
    <w:rsid w:val="009D3B0C"/>
    <w:rsid w:val="009D3E1C"/>
    <w:rsid w:val="009D6EA5"/>
    <w:rsid w:val="009E07B6"/>
    <w:rsid w:val="009E08C3"/>
    <w:rsid w:val="009E1AEA"/>
    <w:rsid w:val="009E41E2"/>
    <w:rsid w:val="009E4710"/>
    <w:rsid w:val="009E7C6B"/>
    <w:rsid w:val="009F0AB9"/>
    <w:rsid w:val="009F0AEA"/>
    <w:rsid w:val="009F17E9"/>
    <w:rsid w:val="009F189D"/>
    <w:rsid w:val="009F210C"/>
    <w:rsid w:val="009F39FF"/>
    <w:rsid w:val="009F3D20"/>
    <w:rsid w:val="009F4F39"/>
    <w:rsid w:val="009F528E"/>
    <w:rsid w:val="009F5BA8"/>
    <w:rsid w:val="009F63D6"/>
    <w:rsid w:val="009F6719"/>
    <w:rsid w:val="009F7BAA"/>
    <w:rsid w:val="00A00016"/>
    <w:rsid w:val="00A012D9"/>
    <w:rsid w:val="00A04C76"/>
    <w:rsid w:val="00A0674F"/>
    <w:rsid w:val="00A06B65"/>
    <w:rsid w:val="00A07391"/>
    <w:rsid w:val="00A07783"/>
    <w:rsid w:val="00A07A46"/>
    <w:rsid w:val="00A07ADC"/>
    <w:rsid w:val="00A10340"/>
    <w:rsid w:val="00A1237E"/>
    <w:rsid w:val="00A12566"/>
    <w:rsid w:val="00A13E27"/>
    <w:rsid w:val="00A1414C"/>
    <w:rsid w:val="00A14C1A"/>
    <w:rsid w:val="00A17F90"/>
    <w:rsid w:val="00A225C8"/>
    <w:rsid w:val="00A2284D"/>
    <w:rsid w:val="00A23853"/>
    <w:rsid w:val="00A259AA"/>
    <w:rsid w:val="00A25CB9"/>
    <w:rsid w:val="00A26398"/>
    <w:rsid w:val="00A264AD"/>
    <w:rsid w:val="00A269F1"/>
    <w:rsid w:val="00A26E04"/>
    <w:rsid w:val="00A26EB5"/>
    <w:rsid w:val="00A278E3"/>
    <w:rsid w:val="00A304D3"/>
    <w:rsid w:val="00A31835"/>
    <w:rsid w:val="00A3197E"/>
    <w:rsid w:val="00A31FB1"/>
    <w:rsid w:val="00A33BB5"/>
    <w:rsid w:val="00A33CEF"/>
    <w:rsid w:val="00A34105"/>
    <w:rsid w:val="00A351ED"/>
    <w:rsid w:val="00A35908"/>
    <w:rsid w:val="00A35F63"/>
    <w:rsid w:val="00A3779A"/>
    <w:rsid w:val="00A37916"/>
    <w:rsid w:val="00A407AB"/>
    <w:rsid w:val="00A40CD1"/>
    <w:rsid w:val="00A42462"/>
    <w:rsid w:val="00A42CAD"/>
    <w:rsid w:val="00A42D1E"/>
    <w:rsid w:val="00A44073"/>
    <w:rsid w:val="00A44588"/>
    <w:rsid w:val="00A456C1"/>
    <w:rsid w:val="00A45B41"/>
    <w:rsid w:val="00A4610D"/>
    <w:rsid w:val="00A46401"/>
    <w:rsid w:val="00A468CE"/>
    <w:rsid w:val="00A47621"/>
    <w:rsid w:val="00A51714"/>
    <w:rsid w:val="00A52273"/>
    <w:rsid w:val="00A527F0"/>
    <w:rsid w:val="00A534D4"/>
    <w:rsid w:val="00A56E65"/>
    <w:rsid w:val="00A57BD3"/>
    <w:rsid w:val="00A60F59"/>
    <w:rsid w:val="00A6198E"/>
    <w:rsid w:val="00A6335D"/>
    <w:rsid w:val="00A63898"/>
    <w:rsid w:val="00A63F5C"/>
    <w:rsid w:val="00A6649F"/>
    <w:rsid w:val="00A66C22"/>
    <w:rsid w:val="00A66F47"/>
    <w:rsid w:val="00A67118"/>
    <w:rsid w:val="00A6759C"/>
    <w:rsid w:val="00A71402"/>
    <w:rsid w:val="00A73A2D"/>
    <w:rsid w:val="00A74C05"/>
    <w:rsid w:val="00A75041"/>
    <w:rsid w:val="00A75243"/>
    <w:rsid w:val="00A76C06"/>
    <w:rsid w:val="00A7797F"/>
    <w:rsid w:val="00A77E4C"/>
    <w:rsid w:val="00A80448"/>
    <w:rsid w:val="00A810CA"/>
    <w:rsid w:val="00A8171B"/>
    <w:rsid w:val="00A81B68"/>
    <w:rsid w:val="00A83470"/>
    <w:rsid w:val="00A8362B"/>
    <w:rsid w:val="00A842D9"/>
    <w:rsid w:val="00A87376"/>
    <w:rsid w:val="00A877AF"/>
    <w:rsid w:val="00A87C7E"/>
    <w:rsid w:val="00A90310"/>
    <w:rsid w:val="00A90492"/>
    <w:rsid w:val="00A9096C"/>
    <w:rsid w:val="00A92C99"/>
    <w:rsid w:val="00A93B5D"/>
    <w:rsid w:val="00A94EBC"/>
    <w:rsid w:val="00A9527A"/>
    <w:rsid w:val="00A9599B"/>
    <w:rsid w:val="00A95A96"/>
    <w:rsid w:val="00A9645A"/>
    <w:rsid w:val="00A9706A"/>
    <w:rsid w:val="00AA0DC4"/>
    <w:rsid w:val="00AA2416"/>
    <w:rsid w:val="00AA2492"/>
    <w:rsid w:val="00AA30A2"/>
    <w:rsid w:val="00AA476A"/>
    <w:rsid w:val="00AA48DB"/>
    <w:rsid w:val="00AA5ADD"/>
    <w:rsid w:val="00AA5F48"/>
    <w:rsid w:val="00AA67D5"/>
    <w:rsid w:val="00AA7AC7"/>
    <w:rsid w:val="00AB0A1A"/>
    <w:rsid w:val="00AB141F"/>
    <w:rsid w:val="00AB3622"/>
    <w:rsid w:val="00AB3BC0"/>
    <w:rsid w:val="00AB6829"/>
    <w:rsid w:val="00AB7B32"/>
    <w:rsid w:val="00AB7E57"/>
    <w:rsid w:val="00AC017C"/>
    <w:rsid w:val="00AC127D"/>
    <w:rsid w:val="00AC1BAC"/>
    <w:rsid w:val="00AC2498"/>
    <w:rsid w:val="00AC3021"/>
    <w:rsid w:val="00AC4C5F"/>
    <w:rsid w:val="00AC5A1C"/>
    <w:rsid w:val="00AC63C2"/>
    <w:rsid w:val="00AD03B2"/>
    <w:rsid w:val="00AD05FB"/>
    <w:rsid w:val="00AD09D0"/>
    <w:rsid w:val="00AD0A54"/>
    <w:rsid w:val="00AD0D45"/>
    <w:rsid w:val="00AD0F02"/>
    <w:rsid w:val="00AD146B"/>
    <w:rsid w:val="00AD1929"/>
    <w:rsid w:val="00AD1F65"/>
    <w:rsid w:val="00AD2B64"/>
    <w:rsid w:val="00AD3808"/>
    <w:rsid w:val="00AD399C"/>
    <w:rsid w:val="00AD4421"/>
    <w:rsid w:val="00AD4E07"/>
    <w:rsid w:val="00AD51A9"/>
    <w:rsid w:val="00AD6EA5"/>
    <w:rsid w:val="00AE1B21"/>
    <w:rsid w:val="00AE2D8C"/>
    <w:rsid w:val="00AE3539"/>
    <w:rsid w:val="00AE3787"/>
    <w:rsid w:val="00AE4818"/>
    <w:rsid w:val="00AE51A4"/>
    <w:rsid w:val="00AE53A0"/>
    <w:rsid w:val="00AE5D58"/>
    <w:rsid w:val="00AE6A4C"/>
    <w:rsid w:val="00AF07B0"/>
    <w:rsid w:val="00AF07C4"/>
    <w:rsid w:val="00AF0EEA"/>
    <w:rsid w:val="00AF1C7F"/>
    <w:rsid w:val="00AF2723"/>
    <w:rsid w:val="00AF3618"/>
    <w:rsid w:val="00AF3B59"/>
    <w:rsid w:val="00AF4935"/>
    <w:rsid w:val="00B01950"/>
    <w:rsid w:val="00B035F7"/>
    <w:rsid w:val="00B04016"/>
    <w:rsid w:val="00B040F4"/>
    <w:rsid w:val="00B05C0B"/>
    <w:rsid w:val="00B07001"/>
    <w:rsid w:val="00B073E8"/>
    <w:rsid w:val="00B1001B"/>
    <w:rsid w:val="00B13AF3"/>
    <w:rsid w:val="00B13E2A"/>
    <w:rsid w:val="00B1623E"/>
    <w:rsid w:val="00B21B9D"/>
    <w:rsid w:val="00B21CBB"/>
    <w:rsid w:val="00B22119"/>
    <w:rsid w:val="00B22BE3"/>
    <w:rsid w:val="00B234A5"/>
    <w:rsid w:val="00B23655"/>
    <w:rsid w:val="00B24BC4"/>
    <w:rsid w:val="00B25153"/>
    <w:rsid w:val="00B254FB"/>
    <w:rsid w:val="00B256C6"/>
    <w:rsid w:val="00B259D1"/>
    <w:rsid w:val="00B2628D"/>
    <w:rsid w:val="00B26497"/>
    <w:rsid w:val="00B27BBD"/>
    <w:rsid w:val="00B32366"/>
    <w:rsid w:val="00B346B0"/>
    <w:rsid w:val="00B34D79"/>
    <w:rsid w:val="00B35E80"/>
    <w:rsid w:val="00B377DC"/>
    <w:rsid w:val="00B3795D"/>
    <w:rsid w:val="00B40322"/>
    <w:rsid w:val="00B40F30"/>
    <w:rsid w:val="00B42C0B"/>
    <w:rsid w:val="00B430B6"/>
    <w:rsid w:val="00B43B19"/>
    <w:rsid w:val="00B43F9E"/>
    <w:rsid w:val="00B44E03"/>
    <w:rsid w:val="00B4533C"/>
    <w:rsid w:val="00B46837"/>
    <w:rsid w:val="00B47242"/>
    <w:rsid w:val="00B47747"/>
    <w:rsid w:val="00B47C22"/>
    <w:rsid w:val="00B50807"/>
    <w:rsid w:val="00B50B6A"/>
    <w:rsid w:val="00B52EFD"/>
    <w:rsid w:val="00B532B9"/>
    <w:rsid w:val="00B53502"/>
    <w:rsid w:val="00B537A9"/>
    <w:rsid w:val="00B54199"/>
    <w:rsid w:val="00B54E8F"/>
    <w:rsid w:val="00B54F45"/>
    <w:rsid w:val="00B55F2E"/>
    <w:rsid w:val="00B56AF7"/>
    <w:rsid w:val="00B56CC5"/>
    <w:rsid w:val="00B60AEA"/>
    <w:rsid w:val="00B60BE7"/>
    <w:rsid w:val="00B619CB"/>
    <w:rsid w:val="00B61AAB"/>
    <w:rsid w:val="00B61F46"/>
    <w:rsid w:val="00B62EA7"/>
    <w:rsid w:val="00B63EDD"/>
    <w:rsid w:val="00B6407D"/>
    <w:rsid w:val="00B641A3"/>
    <w:rsid w:val="00B64306"/>
    <w:rsid w:val="00B64A77"/>
    <w:rsid w:val="00B64D32"/>
    <w:rsid w:val="00B65491"/>
    <w:rsid w:val="00B65740"/>
    <w:rsid w:val="00B67B6C"/>
    <w:rsid w:val="00B67F3B"/>
    <w:rsid w:val="00B70418"/>
    <w:rsid w:val="00B73F36"/>
    <w:rsid w:val="00B75E75"/>
    <w:rsid w:val="00B76B36"/>
    <w:rsid w:val="00B80008"/>
    <w:rsid w:val="00B80523"/>
    <w:rsid w:val="00B8070B"/>
    <w:rsid w:val="00B825AE"/>
    <w:rsid w:val="00B825CF"/>
    <w:rsid w:val="00B82DA1"/>
    <w:rsid w:val="00B83EA7"/>
    <w:rsid w:val="00B84E62"/>
    <w:rsid w:val="00B853CA"/>
    <w:rsid w:val="00B86369"/>
    <w:rsid w:val="00B90621"/>
    <w:rsid w:val="00B93563"/>
    <w:rsid w:val="00B94A54"/>
    <w:rsid w:val="00B9680D"/>
    <w:rsid w:val="00B9763A"/>
    <w:rsid w:val="00BA0661"/>
    <w:rsid w:val="00BA3C1F"/>
    <w:rsid w:val="00BA3DB6"/>
    <w:rsid w:val="00BA5387"/>
    <w:rsid w:val="00BA5A3B"/>
    <w:rsid w:val="00BA6911"/>
    <w:rsid w:val="00BA704E"/>
    <w:rsid w:val="00BA7480"/>
    <w:rsid w:val="00BA751E"/>
    <w:rsid w:val="00BA75DD"/>
    <w:rsid w:val="00BA7E6A"/>
    <w:rsid w:val="00BB0CF4"/>
    <w:rsid w:val="00BB2ABC"/>
    <w:rsid w:val="00BB2F5A"/>
    <w:rsid w:val="00BB38C1"/>
    <w:rsid w:val="00BB7140"/>
    <w:rsid w:val="00BB715E"/>
    <w:rsid w:val="00BB74CB"/>
    <w:rsid w:val="00BB7848"/>
    <w:rsid w:val="00BC0DD2"/>
    <w:rsid w:val="00BC0F96"/>
    <w:rsid w:val="00BC13A9"/>
    <w:rsid w:val="00BC179C"/>
    <w:rsid w:val="00BC1C5B"/>
    <w:rsid w:val="00BC2F38"/>
    <w:rsid w:val="00BC33B4"/>
    <w:rsid w:val="00BC359D"/>
    <w:rsid w:val="00BC4001"/>
    <w:rsid w:val="00BC4542"/>
    <w:rsid w:val="00BC4BFB"/>
    <w:rsid w:val="00BC59E3"/>
    <w:rsid w:val="00BC728C"/>
    <w:rsid w:val="00BC7857"/>
    <w:rsid w:val="00BD0694"/>
    <w:rsid w:val="00BD0CEA"/>
    <w:rsid w:val="00BD1B07"/>
    <w:rsid w:val="00BD30CE"/>
    <w:rsid w:val="00BD3CA7"/>
    <w:rsid w:val="00BD63E4"/>
    <w:rsid w:val="00BD673F"/>
    <w:rsid w:val="00BD6779"/>
    <w:rsid w:val="00BD688E"/>
    <w:rsid w:val="00BD6E6C"/>
    <w:rsid w:val="00BD71E9"/>
    <w:rsid w:val="00BE0984"/>
    <w:rsid w:val="00BE1D2B"/>
    <w:rsid w:val="00BE23AB"/>
    <w:rsid w:val="00BE2FAF"/>
    <w:rsid w:val="00BE30F3"/>
    <w:rsid w:val="00BE4B49"/>
    <w:rsid w:val="00BE5AEA"/>
    <w:rsid w:val="00BE63F4"/>
    <w:rsid w:val="00BE6744"/>
    <w:rsid w:val="00BE7088"/>
    <w:rsid w:val="00BE7FEB"/>
    <w:rsid w:val="00BF01E9"/>
    <w:rsid w:val="00BF032A"/>
    <w:rsid w:val="00BF0AF6"/>
    <w:rsid w:val="00BF0EAD"/>
    <w:rsid w:val="00BF1236"/>
    <w:rsid w:val="00BF171B"/>
    <w:rsid w:val="00BF2772"/>
    <w:rsid w:val="00BF35AF"/>
    <w:rsid w:val="00BF37CD"/>
    <w:rsid w:val="00BF44B6"/>
    <w:rsid w:val="00BF4574"/>
    <w:rsid w:val="00BF490C"/>
    <w:rsid w:val="00BF5024"/>
    <w:rsid w:val="00BF625D"/>
    <w:rsid w:val="00BF65C3"/>
    <w:rsid w:val="00BF6C3C"/>
    <w:rsid w:val="00BF7B45"/>
    <w:rsid w:val="00C00710"/>
    <w:rsid w:val="00C01944"/>
    <w:rsid w:val="00C03045"/>
    <w:rsid w:val="00C033B4"/>
    <w:rsid w:val="00C0371C"/>
    <w:rsid w:val="00C03C64"/>
    <w:rsid w:val="00C03C8A"/>
    <w:rsid w:val="00C03F06"/>
    <w:rsid w:val="00C04A13"/>
    <w:rsid w:val="00C05B33"/>
    <w:rsid w:val="00C0760E"/>
    <w:rsid w:val="00C07D40"/>
    <w:rsid w:val="00C107AC"/>
    <w:rsid w:val="00C10F53"/>
    <w:rsid w:val="00C11656"/>
    <w:rsid w:val="00C11FE1"/>
    <w:rsid w:val="00C1260F"/>
    <w:rsid w:val="00C13508"/>
    <w:rsid w:val="00C14D7D"/>
    <w:rsid w:val="00C16A4F"/>
    <w:rsid w:val="00C20B56"/>
    <w:rsid w:val="00C216C1"/>
    <w:rsid w:val="00C223BE"/>
    <w:rsid w:val="00C23D9F"/>
    <w:rsid w:val="00C23DC6"/>
    <w:rsid w:val="00C252C2"/>
    <w:rsid w:val="00C256AB"/>
    <w:rsid w:val="00C25E65"/>
    <w:rsid w:val="00C26D70"/>
    <w:rsid w:val="00C31A41"/>
    <w:rsid w:val="00C321D5"/>
    <w:rsid w:val="00C33F1F"/>
    <w:rsid w:val="00C3439D"/>
    <w:rsid w:val="00C35A88"/>
    <w:rsid w:val="00C35AE2"/>
    <w:rsid w:val="00C40469"/>
    <w:rsid w:val="00C417EB"/>
    <w:rsid w:val="00C42585"/>
    <w:rsid w:val="00C427D3"/>
    <w:rsid w:val="00C427E8"/>
    <w:rsid w:val="00C42918"/>
    <w:rsid w:val="00C42A3E"/>
    <w:rsid w:val="00C430D5"/>
    <w:rsid w:val="00C43775"/>
    <w:rsid w:val="00C43D91"/>
    <w:rsid w:val="00C44920"/>
    <w:rsid w:val="00C45151"/>
    <w:rsid w:val="00C451D4"/>
    <w:rsid w:val="00C45B05"/>
    <w:rsid w:val="00C4685A"/>
    <w:rsid w:val="00C46EE5"/>
    <w:rsid w:val="00C47B5B"/>
    <w:rsid w:val="00C50B1C"/>
    <w:rsid w:val="00C50B52"/>
    <w:rsid w:val="00C50FD5"/>
    <w:rsid w:val="00C51991"/>
    <w:rsid w:val="00C520E9"/>
    <w:rsid w:val="00C55482"/>
    <w:rsid w:val="00C563B0"/>
    <w:rsid w:val="00C56F15"/>
    <w:rsid w:val="00C57948"/>
    <w:rsid w:val="00C6008F"/>
    <w:rsid w:val="00C61F35"/>
    <w:rsid w:val="00C62EB5"/>
    <w:rsid w:val="00C637E2"/>
    <w:rsid w:val="00C63BFF"/>
    <w:rsid w:val="00C64158"/>
    <w:rsid w:val="00C64F49"/>
    <w:rsid w:val="00C6654E"/>
    <w:rsid w:val="00C6661C"/>
    <w:rsid w:val="00C66DD5"/>
    <w:rsid w:val="00C70A6F"/>
    <w:rsid w:val="00C71156"/>
    <w:rsid w:val="00C71564"/>
    <w:rsid w:val="00C72B02"/>
    <w:rsid w:val="00C73D3B"/>
    <w:rsid w:val="00C74EE5"/>
    <w:rsid w:val="00C760A9"/>
    <w:rsid w:val="00C77685"/>
    <w:rsid w:val="00C77863"/>
    <w:rsid w:val="00C80B46"/>
    <w:rsid w:val="00C82B1E"/>
    <w:rsid w:val="00C83624"/>
    <w:rsid w:val="00C84471"/>
    <w:rsid w:val="00C85BCC"/>
    <w:rsid w:val="00C86BFE"/>
    <w:rsid w:val="00C9108E"/>
    <w:rsid w:val="00C9115A"/>
    <w:rsid w:val="00C91DC7"/>
    <w:rsid w:val="00C92289"/>
    <w:rsid w:val="00C92496"/>
    <w:rsid w:val="00C93D9D"/>
    <w:rsid w:val="00C944CF"/>
    <w:rsid w:val="00C944EF"/>
    <w:rsid w:val="00C94F47"/>
    <w:rsid w:val="00C97A1F"/>
    <w:rsid w:val="00C97EC4"/>
    <w:rsid w:val="00CA2373"/>
    <w:rsid w:val="00CA38C7"/>
    <w:rsid w:val="00CA3DAC"/>
    <w:rsid w:val="00CA4A07"/>
    <w:rsid w:val="00CA54BD"/>
    <w:rsid w:val="00CA6E9D"/>
    <w:rsid w:val="00CA7052"/>
    <w:rsid w:val="00CA774E"/>
    <w:rsid w:val="00CB020F"/>
    <w:rsid w:val="00CB05C4"/>
    <w:rsid w:val="00CB0C69"/>
    <w:rsid w:val="00CB1FCC"/>
    <w:rsid w:val="00CB334D"/>
    <w:rsid w:val="00CB5D59"/>
    <w:rsid w:val="00CB7049"/>
    <w:rsid w:val="00CB7B00"/>
    <w:rsid w:val="00CC05E2"/>
    <w:rsid w:val="00CC0BF7"/>
    <w:rsid w:val="00CC1DD8"/>
    <w:rsid w:val="00CC1F2B"/>
    <w:rsid w:val="00CC354C"/>
    <w:rsid w:val="00CC5C94"/>
    <w:rsid w:val="00CC6533"/>
    <w:rsid w:val="00CC6695"/>
    <w:rsid w:val="00CC6B4A"/>
    <w:rsid w:val="00CC6C04"/>
    <w:rsid w:val="00CD0526"/>
    <w:rsid w:val="00CD0E7B"/>
    <w:rsid w:val="00CD2AB8"/>
    <w:rsid w:val="00CD381A"/>
    <w:rsid w:val="00CD3B46"/>
    <w:rsid w:val="00CD427C"/>
    <w:rsid w:val="00CD4714"/>
    <w:rsid w:val="00CE2748"/>
    <w:rsid w:val="00CE2E75"/>
    <w:rsid w:val="00CE407D"/>
    <w:rsid w:val="00CE6EF3"/>
    <w:rsid w:val="00CE785E"/>
    <w:rsid w:val="00CF038D"/>
    <w:rsid w:val="00CF0654"/>
    <w:rsid w:val="00CF096C"/>
    <w:rsid w:val="00CF29EF"/>
    <w:rsid w:val="00CF388B"/>
    <w:rsid w:val="00CF47F6"/>
    <w:rsid w:val="00CF5C5D"/>
    <w:rsid w:val="00CF67AD"/>
    <w:rsid w:val="00CF6A0F"/>
    <w:rsid w:val="00CF772A"/>
    <w:rsid w:val="00CF7BA0"/>
    <w:rsid w:val="00D0059B"/>
    <w:rsid w:val="00D005E4"/>
    <w:rsid w:val="00D01831"/>
    <w:rsid w:val="00D01898"/>
    <w:rsid w:val="00D02441"/>
    <w:rsid w:val="00D0459E"/>
    <w:rsid w:val="00D06EC0"/>
    <w:rsid w:val="00D13526"/>
    <w:rsid w:val="00D138F0"/>
    <w:rsid w:val="00D14298"/>
    <w:rsid w:val="00D1439C"/>
    <w:rsid w:val="00D15505"/>
    <w:rsid w:val="00D15FC8"/>
    <w:rsid w:val="00D17735"/>
    <w:rsid w:val="00D20B57"/>
    <w:rsid w:val="00D20BB7"/>
    <w:rsid w:val="00D2155F"/>
    <w:rsid w:val="00D21CBD"/>
    <w:rsid w:val="00D23380"/>
    <w:rsid w:val="00D24044"/>
    <w:rsid w:val="00D251AB"/>
    <w:rsid w:val="00D25976"/>
    <w:rsid w:val="00D27565"/>
    <w:rsid w:val="00D2785F"/>
    <w:rsid w:val="00D30834"/>
    <w:rsid w:val="00D3084B"/>
    <w:rsid w:val="00D314A9"/>
    <w:rsid w:val="00D33D5C"/>
    <w:rsid w:val="00D34F1E"/>
    <w:rsid w:val="00D3522F"/>
    <w:rsid w:val="00D361D7"/>
    <w:rsid w:val="00D36EC5"/>
    <w:rsid w:val="00D40497"/>
    <w:rsid w:val="00D40845"/>
    <w:rsid w:val="00D4208A"/>
    <w:rsid w:val="00D42A1E"/>
    <w:rsid w:val="00D42AC7"/>
    <w:rsid w:val="00D4312B"/>
    <w:rsid w:val="00D4329D"/>
    <w:rsid w:val="00D44AB2"/>
    <w:rsid w:val="00D45247"/>
    <w:rsid w:val="00D46922"/>
    <w:rsid w:val="00D47F34"/>
    <w:rsid w:val="00D512AF"/>
    <w:rsid w:val="00D53A50"/>
    <w:rsid w:val="00D54C59"/>
    <w:rsid w:val="00D55B59"/>
    <w:rsid w:val="00D6306A"/>
    <w:rsid w:val="00D63559"/>
    <w:rsid w:val="00D6370E"/>
    <w:rsid w:val="00D640F5"/>
    <w:rsid w:val="00D678D2"/>
    <w:rsid w:val="00D71BFE"/>
    <w:rsid w:val="00D72412"/>
    <w:rsid w:val="00D72BF5"/>
    <w:rsid w:val="00D73D55"/>
    <w:rsid w:val="00D73EC5"/>
    <w:rsid w:val="00D73F85"/>
    <w:rsid w:val="00D74F7F"/>
    <w:rsid w:val="00D75E0A"/>
    <w:rsid w:val="00D7604E"/>
    <w:rsid w:val="00D76767"/>
    <w:rsid w:val="00D807D3"/>
    <w:rsid w:val="00D80BD5"/>
    <w:rsid w:val="00D81631"/>
    <w:rsid w:val="00D8218A"/>
    <w:rsid w:val="00D82A4C"/>
    <w:rsid w:val="00D836FD"/>
    <w:rsid w:val="00D83761"/>
    <w:rsid w:val="00D8445C"/>
    <w:rsid w:val="00D85B11"/>
    <w:rsid w:val="00D86D9A"/>
    <w:rsid w:val="00D87636"/>
    <w:rsid w:val="00D87BBB"/>
    <w:rsid w:val="00D87E03"/>
    <w:rsid w:val="00D87E6B"/>
    <w:rsid w:val="00D87F2D"/>
    <w:rsid w:val="00D90FF7"/>
    <w:rsid w:val="00D9213A"/>
    <w:rsid w:val="00D92E90"/>
    <w:rsid w:val="00D93921"/>
    <w:rsid w:val="00D93D2F"/>
    <w:rsid w:val="00D93E42"/>
    <w:rsid w:val="00D93F9C"/>
    <w:rsid w:val="00D941F3"/>
    <w:rsid w:val="00D94BEB"/>
    <w:rsid w:val="00D958E3"/>
    <w:rsid w:val="00D96CE3"/>
    <w:rsid w:val="00D9702D"/>
    <w:rsid w:val="00DA0567"/>
    <w:rsid w:val="00DA0C20"/>
    <w:rsid w:val="00DA13DA"/>
    <w:rsid w:val="00DA1C08"/>
    <w:rsid w:val="00DA1D43"/>
    <w:rsid w:val="00DA2547"/>
    <w:rsid w:val="00DA31B2"/>
    <w:rsid w:val="00DA4BC8"/>
    <w:rsid w:val="00DA5E47"/>
    <w:rsid w:val="00DA5EE3"/>
    <w:rsid w:val="00DA7AD8"/>
    <w:rsid w:val="00DB05C9"/>
    <w:rsid w:val="00DB2C59"/>
    <w:rsid w:val="00DB52CD"/>
    <w:rsid w:val="00DB5A42"/>
    <w:rsid w:val="00DB6E97"/>
    <w:rsid w:val="00DC0C51"/>
    <w:rsid w:val="00DC1AAF"/>
    <w:rsid w:val="00DC1D5B"/>
    <w:rsid w:val="00DC1EE7"/>
    <w:rsid w:val="00DC2138"/>
    <w:rsid w:val="00DC21C6"/>
    <w:rsid w:val="00DC2504"/>
    <w:rsid w:val="00DC2EE5"/>
    <w:rsid w:val="00DC30AB"/>
    <w:rsid w:val="00DC3598"/>
    <w:rsid w:val="00DC615A"/>
    <w:rsid w:val="00DC686E"/>
    <w:rsid w:val="00DD08AA"/>
    <w:rsid w:val="00DD0E8E"/>
    <w:rsid w:val="00DD2997"/>
    <w:rsid w:val="00DD325B"/>
    <w:rsid w:val="00DD38F0"/>
    <w:rsid w:val="00DD3FB3"/>
    <w:rsid w:val="00DD5DF9"/>
    <w:rsid w:val="00DD5F37"/>
    <w:rsid w:val="00DD64F6"/>
    <w:rsid w:val="00DE06F3"/>
    <w:rsid w:val="00DE0FB7"/>
    <w:rsid w:val="00DE1190"/>
    <w:rsid w:val="00DE1E0B"/>
    <w:rsid w:val="00DE312C"/>
    <w:rsid w:val="00DE3D01"/>
    <w:rsid w:val="00DE3FB9"/>
    <w:rsid w:val="00DE5A40"/>
    <w:rsid w:val="00DE68D6"/>
    <w:rsid w:val="00DE6A26"/>
    <w:rsid w:val="00DE7E1F"/>
    <w:rsid w:val="00DF01D4"/>
    <w:rsid w:val="00DF208E"/>
    <w:rsid w:val="00DF2331"/>
    <w:rsid w:val="00DF3AAD"/>
    <w:rsid w:val="00DF4287"/>
    <w:rsid w:val="00DF5B7E"/>
    <w:rsid w:val="00DF7EB5"/>
    <w:rsid w:val="00E00DA7"/>
    <w:rsid w:val="00E00EEA"/>
    <w:rsid w:val="00E03123"/>
    <w:rsid w:val="00E04284"/>
    <w:rsid w:val="00E0512B"/>
    <w:rsid w:val="00E05C2E"/>
    <w:rsid w:val="00E05EBD"/>
    <w:rsid w:val="00E07B2B"/>
    <w:rsid w:val="00E10C01"/>
    <w:rsid w:val="00E1106C"/>
    <w:rsid w:val="00E114C4"/>
    <w:rsid w:val="00E124FA"/>
    <w:rsid w:val="00E133B2"/>
    <w:rsid w:val="00E133D0"/>
    <w:rsid w:val="00E13D0F"/>
    <w:rsid w:val="00E13EB9"/>
    <w:rsid w:val="00E156C0"/>
    <w:rsid w:val="00E163F7"/>
    <w:rsid w:val="00E17045"/>
    <w:rsid w:val="00E17BE5"/>
    <w:rsid w:val="00E20A35"/>
    <w:rsid w:val="00E20B2B"/>
    <w:rsid w:val="00E216B3"/>
    <w:rsid w:val="00E22934"/>
    <w:rsid w:val="00E24798"/>
    <w:rsid w:val="00E25E26"/>
    <w:rsid w:val="00E26D17"/>
    <w:rsid w:val="00E27B66"/>
    <w:rsid w:val="00E3365E"/>
    <w:rsid w:val="00E33E03"/>
    <w:rsid w:val="00E34B68"/>
    <w:rsid w:val="00E35B53"/>
    <w:rsid w:val="00E36BA2"/>
    <w:rsid w:val="00E36EC9"/>
    <w:rsid w:val="00E37EC2"/>
    <w:rsid w:val="00E40015"/>
    <w:rsid w:val="00E41534"/>
    <w:rsid w:val="00E41BA7"/>
    <w:rsid w:val="00E42DD3"/>
    <w:rsid w:val="00E45190"/>
    <w:rsid w:val="00E46B91"/>
    <w:rsid w:val="00E47DC3"/>
    <w:rsid w:val="00E47E37"/>
    <w:rsid w:val="00E5053E"/>
    <w:rsid w:val="00E50F55"/>
    <w:rsid w:val="00E513E7"/>
    <w:rsid w:val="00E51FB4"/>
    <w:rsid w:val="00E539D4"/>
    <w:rsid w:val="00E56278"/>
    <w:rsid w:val="00E57C60"/>
    <w:rsid w:val="00E6160B"/>
    <w:rsid w:val="00E6588F"/>
    <w:rsid w:val="00E66FE6"/>
    <w:rsid w:val="00E674C8"/>
    <w:rsid w:val="00E714CE"/>
    <w:rsid w:val="00E73FE7"/>
    <w:rsid w:val="00E74452"/>
    <w:rsid w:val="00E76320"/>
    <w:rsid w:val="00E768A2"/>
    <w:rsid w:val="00E779FB"/>
    <w:rsid w:val="00E8032B"/>
    <w:rsid w:val="00E80E4D"/>
    <w:rsid w:val="00E812B8"/>
    <w:rsid w:val="00E823E3"/>
    <w:rsid w:val="00E82B7E"/>
    <w:rsid w:val="00E85008"/>
    <w:rsid w:val="00E85FC5"/>
    <w:rsid w:val="00E87B84"/>
    <w:rsid w:val="00E902FE"/>
    <w:rsid w:val="00E90473"/>
    <w:rsid w:val="00E91C2F"/>
    <w:rsid w:val="00E91D36"/>
    <w:rsid w:val="00E928A4"/>
    <w:rsid w:val="00E92ECF"/>
    <w:rsid w:val="00E93A62"/>
    <w:rsid w:val="00E94E14"/>
    <w:rsid w:val="00E9525F"/>
    <w:rsid w:val="00E96E92"/>
    <w:rsid w:val="00E97218"/>
    <w:rsid w:val="00E9745E"/>
    <w:rsid w:val="00E9778A"/>
    <w:rsid w:val="00E97942"/>
    <w:rsid w:val="00EA2797"/>
    <w:rsid w:val="00EA2C12"/>
    <w:rsid w:val="00EA3157"/>
    <w:rsid w:val="00EA3B6D"/>
    <w:rsid w:val="00EA3F64"/>
    <w:rsid w:val="00EA49B1"/>
    <w:rsid w:val="00EA4AFC"/>
    <w:rsid w:val="00EA62C2"/>
    <w:rsid w:val="00EA69C6"/>
    <w:rsid w:val="00EA77DC"/>
    <w:rsid w:val="00EA7D18"/>
    <w:rsid w:val="00EB0604"/>
    <w:rsid w:val="00EB1EC0"/>
    <w:rsid w:val="00EB30CF"/>
    <w:rsid w:val="00EB3416"/>
    <w:rsid w:val="00EB3547"/>
    <w:rsid w:val="00EB533E"/>
    <w:rsid w:val="00EB5F24"/>
    <w:rsid w:val="00EC1AB2"/>
    <w:rsid w:val="00EC531D"/>
    <w:rsid w:val="00EC6BB0"/>
    <w:rsid w:val="00EC714B"/>
    <w:rsid w:val="00ED071D"/>
    <w:rsid w:val="00ED0A83"/>
    <w:rsid w:val="00ED0B5B"/>
    <w:rsid w:val="00ED13A5"/>
    <w:rsid w:val="00ED162F"/>
    <w:rsid w:val="00ED24DC"/>
    <w:rsid w:val="00ED3651"/>
    <w:rsid w:val="00ED46D1"/>
    <w:rsid w:val="00ED4BC1"/>
    <w:rsid w:val="00ED61EA"/>
    <w:rsid w:val="00ED61FF"/>
    <w:rsid w:val="00ED6B3E"/>
    <w:rsid w:val="00ED7369"/>
    <w:rsid w:val="00EE1CEB"/>
    <w:rsid w:val="00EE2388"/>
    <w:rsid w:val="00EE28E8"/>
    <w:rsid w:val="00EE28F0"/>
    <w:rsid w:val="00EE3A36"/>
    <w:rsid w:val="00EE43B2"/>
    <w:rsid w:val="00EE457C"/>
    <w:rsid w:val="00EE4BC8"/>
    <w:rsid w:val="00EE75B7"/>
    <w:rsid w:val="00EF0578"/>
    <w:rsid w:val="00EF0B81"/>
    <w:rsid w:val="00EF1D99"/>
    <w:rsid w:val="00EF3363"/>
    <w:rsid w:val="00EF3D42"/>
    <w:rsid w:val="00EF4D0C"/>
    <w:rsid w:val="00EF5197"/>
    <w:rsid w:val="00EF6483"/>
    <w:rsid w:val="00EF7B14"/>
    <w:rsid w:val="00EF7B9C"/>
    <w:rsid w:val="00EF7E2B"/>
    <w:rsid w:val="00F0009B"/>
    <w:rsid w:val="00F02324"/>
    <w:rsid w:val="00F027FD"/>
    <w:rsid w:val="00F039EC"/>
    <w:rsid w:val="00F04D1F"/>
    <w:rsid w:val="00F0523D"/>
    <w:rsid w:val="00F05683"/>
    <w:rsid w:val="00F05E18"/>
    <w:rsid w:val="00F05FE0"/>
    <w:rsid w:val="00F0735E"/>
    <w:rsid w:val="00F07A4D"/>
    <w:rsid w:val="00F11114"/>
    <w:rsid w:val="00F115C8"/>
    <w:rsid w:val="00F124AF"/>
    <w:rsid w:val="00F1466E"/>
    <w:rsid w:val="00F14BD6"/>
    <w:rsid w:val="00F15644"/>
    <w:rsid w:val="00F15862"/>
    <w:rsid w:val="00F16ABD"/>
    <w:rsid w:val="00F20F45"/>
    <w:rsid w:val="00F218CB"/>
    <w:rsid w:val="00F21D15"/>
    <w:rsid w:val="00F22CDB"/>
    <w:rsid w:val="00F24637"/>
    <w:rsid w:val="00F250B1"/>
    <w:rsid w:val="00F26208"/>
    <w:rsid w:val="00F26790"/>
    <w:rsid w:val="00F30CB3"/>
    <w:rsid w:val="00F3263B"/>
    <w:rsid w:val="00F3361C"/>
    <w:rsid w:val="00F34101"/>
    <w:rsid w:val="00F3421A"/>
    <w:rsid w:val="00F3524F"/>
    <w:rsid w:val="00F35E8F"/>
    <w:rsid w:val="00F3626B"/>
    <w:rsid w:val="00F365C6"/>
    <w:rsid w:val="00F3767E"/>
    <w:rsid w:val="00F40060"/>
    <w:rsid w:val="00F41D77"/>
    <w:rsid w:val="00F41E7F"/>
    <w:rsid w:val="00F42B72"/>
    <w:rsid w:val="00F431EB"/>
    <w:rsid w:val="00F4527F"/>
    <w:rsid w:val="00F459EB"/>
    <w:rsid w:val="00F46A75"/>
    <w:rsid w:val="00F47EAF"/>
    <w:rsid w:val="00F515DA"/>
    <w:rsid w:val="00F527B2"/>
    <w:rsid w:val="00F52E35"/>
    <w:rsid w:val="00F53093"/>
    <w:rsid w:val="00F537E8"/>
    <w:rsid w:val="00F54C05"/>
    <w:rsid w:val="00F5635E"/>
    <w:rsid w:val="00F56A7A"/>
    <w:rsid w:val="00F56D47"/>
    <w:rsid w:val="00F57AEC"/>
    <w:rsid w:val="00F6151B"/>
    <w:rsid w:val="00F61D7B"/>
    <w:rsid w:val="00F62612"/>
    <w:rsid w:val="00F62C91"/>
    <w:rsid w:val="00F635EF"/>
    <w:rsid w:val="00F6450E"/>
    <w:rsid w:val="00F65BED"/>
    <w:rsid w:val="00F66F3D"/>
    <w:rsid w:val="00F67993"/>
    <w:rsid w:val="00F704FE"/>
    <w:rsid w:val="00F70FEA"/>
    <w:rsid w:val="00F71453"/>
    <w:rsid w:val="00F724E7"/>
    <w:rsid w:val="00F75592"/>
    <w:rsid w:val="00F76659"/>
    <w:rsid w:val="00F76ED1"/>
    <w:rsid w:val="00F77154"/>
    <w:rsid w:val="00F77331"/>
    <w:rsid w:val="00F77A37"/>
    <w:rsid w:val="00F80115"/>
    <w:rsid w:val="00F8197C"/>
    <w:rsid w:val="00F81B05"/>
    <w:rsid w:val="00F823B3"/>
    <w:rsid w:val="00F82ADD"/>
    <w:rsid w:val="00F8370E"/>
    <w:rsid w:val="00F84D6C"/>
    <w:rsid w:val="00F90851"/>
    <w:rsid w:val="00F90ACA"/>
    <w:rsid w:val="00F91752"/>
    <w:rsid w:val="00F94100"/>
    <w:rsid w:val="00F94377"/>
    <w:rsid w:val="00F95C13"/>
    <w:rsid w:val="00F964BE"/>
    <w:rsid w:val="00F96809"/>
    <w:rsid w:val="00F97418"/>
    <w:rsid w:val="00F97531"/>
    <w:rsid w:val="00F97D45"/>
    <w:rsid w:val="00F97E23"/>
    <w:rsid w:val="00FA03B8"/>
    <w:rsid w:val="00FA1636"/>
    <w:rsid w:val="00FA43A4"/>
    <w:rsid w:val="00FA4B20"/>
    <w:rsid w:val="00FA587F"/>
    <w:rsid w:val="00FA6B09"/>
    <w:rsid w:val="00FA71E8"/>
    <w:rsid w:val="00FA7D4F"/>
    <w:rsid w:val="00FB02CC"/>
    <w:rsid w:val="00FB02F3"/>
    <w:rsid w:val="00FB0A95"/>
    <w:rsid w:val="00FB0D99"/>
    <w:rsid w:val="00FB1229"/>
    <w:rsid w:val="00FB167C"/>
    <w:rsid w:val="00FB5595"/>
    <w:rsid w:val="00FB76DF"/>
    <w:rsid w:val="00FC0AAB"/>
    <w:rsid w:val="00FC0BEC"/>
    <w:rsid w:val="00FC0FC9"/>
    <w:rsid w:val="00FC1BA8"/>
    <w:rsid w:val="00FC420F"/>
    <w:rsid w:val="00FC4926"/>
    <w:rsid w:val="00FC5864"/>
    <w:rsid w:val="00FC5D1E"/>
    <w:rsid w:val="00FC5D8D"/>
    <w:rsid w:val="00FC7973"/>
    <w:rsid w:val="00FD1812"/>
    <w:rsid w:val="00FD29BF"/>
    <w:rsid w:val="00FD2C23"/>
    <w:rsid w:val="00FD2DCB"/>
    <w:rsid w:val="00FD451A"/>
    <w:rsid w:val="00FD4594"/>
    <w:rsid w:val="00FD471A"/>
    <w:rsid w:val="00FD4AB1"/>
    <w:rsid w:val="00FD6063"/>
    <w:rsid w:val="00FD6742"/>
    <w:rsid w:val="00FE0931"/>
    <w:rsid w:val="00FE0E0B"/>
    <w:rsid w:val="00FE1561"/>
    <w:rsid w:val="00FE1801"/>
    <w:rsid w:val="00FE45F8"/>
    <w:rsid w:val="00FE65C6"/>
    <w:rsid w:val="00FE6B72"/>
    <w:rsid w:val="00FE751A"/>
    <w:rsid w:val="00FE7892"/>
    <w:rsid w:val="00FE7DE3"/>
    <w:rsid w:val="00FF0748"/>
    <w:rsid w:val="00FF0C70"/>
    <w:rsid w:val="00FF16CC"/>
    <w:rsid w:val="00FF4A53"/>
    <w:rsid w:val="00FF5B42"/>
    <w:rsid w:val="00FF6021"/>
    <w:rsid w:val="00FF6985"/>
    <w:rsid w:val="00FF6EA7"/>
    <w:rsid w:val="00FF7985"/>
    <w:rsid w:val="00FF7B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uiPriority="1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9" w:unhideWhenUsed="0"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C19F4"/>
    <w:pPr>
      <w:spacing w:after="120"/>
    </w:pPr>
    <w:rPr>
      <w:rFonts w:ascii="Segoe UI" w:hAnsi="Segoe UI"/>
      <w:sz w:val="19"/>
      <w:szCs w:val="22"/>
      <w:lang w:eastAsia="en-US"/>
    </w:rPr>
  </w:style>
  <w:style w:type="paragraph" w:styleId="Heading1">
    <w:name w:val="heading 1"/>
    <w:basedOn w:val="Normal"/>
    <w:next w:val="Normal"/>
    <w:link w:val="Heading1Char"/>
    <w:uiPriority w:val="1"/>
    <w:qFormat/>
    <w:rsid w:val="00297811"/>
    <w:pPr>
      <w:keepNext/>
      <w:spacing w:after="240" w:line="440" w:lineRule="exact"/>
      <w:outlineLvl w:val="0"/>
    </w:pPr>
    <w:rPr>
      <w:rFonts w:eastAsia="Times New Roman"/>
      <w:b/>
      <w:color w:val="00264D"/>
      <w:sz w:val="36"/>
      <w:szCs w:val="19"/>
      <w:lang w:eastAsia="en-AU"/>
    </w:rPr>
  </w:style>
  <w:style w:type="paragraph" w:styleId="Heading2">
    <w:name w:val="heading 2"/>
    <w:basedOn w:val="Normal"/>
    <w:next w:val="Normal"/>
    <w:link w:val="Heading2Char"/>
    <w:uiPriority w:val="1"/>
    <w:qFormat/>
    <w:rsid w:val="00A73A2D"/>
    <w:pPr>
      <w:keepNext/>
      <w:spacing w:before="480" w:after="180"/>
      <w:outlineLvl w:val="1"/>
    </w:pPr>
    <w:rPr>
      <w:rFonts w:ascii="Segoe UI Semibold" w:eastAsia="Times New Roman" w:hAnsi="Segoe UI Semibold"/>
      <w:color w:val="00264D"/>
      <w:sz w:val="30"/>
      <w:szCs w:val="19"/>
      <w:lang w:eastAsia="en-AU"/>
    </w:rPr>
  </w:style>
  <w:style w:type="paragraph" w:styleId="Heading3">
    <w:name w:val="heading 3"/>
    <w:basedOn w:val="Normal"/>
    <w:next w:val="Normal"/>
    <w:link w:val="Heading3Char"/>
    <w:uiPriority w:val="1"/>
    <w:qFormat/>
    <w:rsid w:val="00BA3DB6"/>
    <w:pPr>
      <w:keepNext/>
      <w:spacing w:before="480" w:after="60"/>
      <w:outlineLvl w:val="2"/>
    </w:pPr>
    <w:rPr>
      <w:rFonts w:ascii="Segoe UI Semibold" w:eastAsia="Times New Roman" w:hAnsi="Segoe UI Semibold"/>
      <w:color w:val="00264D"/>
      <w:sz w:val="26"/>
      <w:szCs w:val="19"/>
      <w:lang w:eastAsia="en-AU"/>
    </w:rPr>
  </w:style>
  <w:style w:type="paragraph" w:styleId="Heading4">
    <w:name w:val="heading 4"/>
    <w:basedOn w:val="Normal"/>
    <w:next w:val="Normal"/>
    <w:link w:val="Heading4Char"/>
    <w:uiPriority w:val="1"/>
    <w:qFormat/>
    <w:rsid w:val="00857803"/>
    <w:pPr>
      <w:keepNext/>
      <w:spacing w:before="240" w:after="60"/>
      <w:outlineLvl w:val="3"/>
    </w:pPr>
    <w:rPr>
      <w:rFonts w:ascii="Segoe UI Semibold" w:eastAsia="Times New Roman" w:hAnsi="Segoe UI Semibold"/>
      <w:color w:val="00264D"/>
      <w:sz w:val="20"/>
      <w:szCs w:val="19"/>
      <w:lang w:eastAsia="en-AU"/>
    </w:rPr>
  </w:style>
  <w:style w:type="paragraph" w:styleId="Heading5">
    <w:name w:val="heading 5"/>
    <w:basedOn w:val="Normal"/>
    <w:next w:val="Normal"/>
    <w:link w:val="Heading5Char"/>
    <w:uiPriority w:val="1"/>
    <w:qFormat/>
    <w:rsid w:val="00857803"/>
    <w:pPr>
      <w:keepNext/>
      <w:spacing w:before="240" w:after="60"/>
      <w:outlineLvl w:val="4"/>
    </w:pPr>
    <w:rPr>
      <w:rFonts w:eastAsia="Times New Roman"/>
      <w:b/>
      <w:color w:val="808080"/>
      <w:sz w:val="20"/>
      <w:szCs w:val="24"/>
      <w:lang w:eastAsia="en-AU"/>
    </w:rPr>
  </w:style>
  <w:style w:type="paragraph" w:styleId="Heading6">
    <w:name w:val="heading 6"/>
    <w:basedOn w:val="Normal"/>
    <w:next w:val="Normal"/>
    <w:link w:val="Heading6Char"/>
    <w:uiPriority w:val="19"/>
    <w:qFormat/>
    <w:rsid w:val="00BA3DB6"/>
    <w:pPr>
      <w:keepNext/>
      <w:keepLines/>
      <w:spacing w:before="200" w:after="60"/>
      <w:outlineLvl w:val="5"/>
    </w:pPr>
    <w:rPr>
      <w:rFonts w:eastAsia="Times New Roman"/>
      <w:b/>
      <w:i/>
      <w:iCs/>
      <w:color w:val="00264D"/>
      <w:szCs w:val="19"/>
      <w:lang w:eastAsia="en-AU"/>
    </w:rPr>
  </w:style>
  <w:style w:type="paragraph" w:styleId="Heading7">
    <w:name w:val="heading 7"/>
    <w:basedOn w:val="Normal"/>
    <w:next w:val="Normal"/>
    <w:link w:val="Heading7Char"/>
    <w:uiPriority w:val="19"/>
    <w:qFormat/>
    <w:rsid w:val="000137FA"/>
    <w:pPr>
      <w:keepNext/>
      <w:keepLines/>
      <w:spacing w:before="200" w:after="0"/>
      <w:outlineLvl w:val="6"/>
    </w:pPr>
    <w:rPr>
      <w:rFonts w:eastAsia="Times New Roman"/>
      <w:i/>
      <w:iCs/>
      <w:color w:val="404040"/>
      <w:szCs w:val="20"/>
      <w:lang w:val="x-none" w:eastAsia="x-none"/>
    </w:rPr>
  </w:style>
  <w:style w:type="paragraph" w:styleId="Heading8">
    <w:name w:val="heading 8"/>
    <w:basedOn w:val="Normal"/>
    <w:next w:val="Normal"/>
    <w:link w:val="Heading8Char"/>
    <w:uiPriority w:val="19"/>
    <w:qFormat/>
    <w:rsid w:val="000137FA"/>
    <w:pPr>
      <w:keepNext/>
      <w:keepLines/>
      <w:spacing w:before="200" w:after="0"/>
      <w:outlineLvl w:val="7"/>
    </w:pPr>
    <w:rPr>
      <w:rFonts w:eastAsia="Times New Roman"/>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usTable">
    <w:name w:val="Nous Table"/>
    <w:basedOn w:val="TableNormal"/>
    <w:uiPriority w:val="99"/>
    <w:rsid w:val="00653916"/>
    <w:rPr>
      <w:rFonts w:eastAsia="Times New Roman"/>
    </w:rPr>
    <w:tblPr>
      <w:tblStyleRowBandSize w:val="1"/>
      <w:jc w:val="center"/>
      <w:tblBorders>
        <w:insideH w:val="single" w:sz="4" w:space="0" w:color="FF888B"/>
        <w:insideV w:val="single" w:sz="4" w:space="0" w:color="FF888B"/>
      </w:tblBorders>
    </w:tblPr>
    <w:trPr>
      <w:cantSplit/>
      <w:jc w:val="center"/>
    </w:trPr>
    <w:tcPr>
      <w:tcMar>
        <w:top w:w="57" w:type="dxa"/>
        <w:left w:w="57" w:type="dxa"/>
        <w:bottom w:w="57" w:type="dxa"/>
        <w:right w:w="57" w:type="dxa"/>
      </w:tcMar>
      <w:vAlign w:val="center"/>
    </w:tcPr>
    <w:tblStylePr w:type="firstRow">
      <w:pPr>
        <w:keepNext/>
        <w:wordWrap/>
      </w:pPr>
      <w:rPr>
        <w:b w:val="0"/>
        <w:color w:val="FFFFFF"/>
      </w:rPr>
      <w:tblPr/>
      <w:trPr>
        <w:tblHeader/>
      </w:trPr>
      <w:tcPr>
        <w:shd w:val="clear" w:color="auto" w:fill="FF3A40"/>
      </w:tcPr>
    </w:tblStylePr>
    <w:tblStylePr w:type="lastRow">
      <w:tblPr/>
      <w:tcPr>
        <w:tcBorders>
          <w:top w:val="double" w:sz="4" w:space="0" w:color="FF3A40"/>
        </w:tcBorders>
      </w:tcPr>
    </w:tblStylePr>
    <w:tblStylePr w:type="firstCol">
      <w:rPr>
        <w:b w:val="0"/>
        <w:color w:val="FFFFFF"/>
      </w:rPr>
      <w:tblPr/>
      <w:tcPr>
        <w:shd w:val="clear" w:color="auto" w:fill="FF3A40"/>
      </w:tcPr>
    </w:tblStylePr>
    <w:tblStylePr w:type="lastCol">
      <w:tblPr/>
      <w:tcPr>
        <w:tcBorders>
          <w:left w:val="double" w:sz="4" w:space="0" w:color="FF3A40"/>
        </w:tcBorders>
      </w:tcPr>
    </w:tblStylePr>
  </w:style>
  <w:style w:type="character" w:customStyle="1" w:styleId="Heading1Char">
    <w:name w:val="Heading 1 Char"/>
    <w:link w:val="Heading1"/>
    <w:uiPriority w:val="1"/>
    <w:rsid w:val="008C19F4"/>
    <w:rPr>
      <w:rFonts w:ascii="Segoe UI" w:eastAsia="Times New Roman" w:hAnsi="Segoe UI" w:cs="Times New Roman"/>
      <w:b/>
      <w:color w:val="00264D"/>
      <w:sz w:val="36"/>
      <w:szCs w:val="19"/>
      <w:lang w:val="en-AU" w:eastAsia="en-AU"/>
    </w:rPr>
  </w:style>
  <w:style w:type="character" w:customStyle="1" w:styleId="Heading2Char">
    <w:name w:val="Heading 2 Char"/>
    <w:link w:val="Heading2"/>
    <w:uiPriority w:val="1"/>
    <w:rsid w:val="008C19F4"/>
    <w:rPr>
      <w:rFonts w:ascii="Segoe UI Semibold" w:eastAsia="Times New Roman" w:hAnsi="Segoe UI Semibold" w:cs="Times New Roman"/>
      <w:color w:val="00264D"/>
      <w:sz w:val="30"/>
      <w:szCs w:val="19"/>
      <w:lang w:val="en-AU" w:eastAsia="en-AU"/>
    </w:rPr>
  </w:style>
  <w:style w:type="character" w:customStyle="1" w:styleId="Heading3Char">
    <w:name w:val="Heading 3 Char"/>
    <w:link w:val="Heading3"/>
    <w:uiPriority w:val="1"/>
    <w:rsid w:val="008C19F4"/>
    <w:rPr>
      <w:rFonts w:ascii="Segoe UI Semibold" w:eastAsia="Times New Roman" w:hAnsi="Segoe UI Semibold" w:cs="Times New Roman"/>
      <w:color w:val="00264D"/>
      <w:sz w:val="26"/>
      <w:szCs w:val="19"/>
      <w:lang w:val="en-AU" w:eastAsia="en-AU"/>
    </w:rPr>
  </w:style>
  <w:style w:type="character" w:customStyle="1" w:styleId="Heading4Char">
    <w:name w:val="Heading 4 Char"/>
    <w:link w:val="Heading4"/>
    <w:uiPriority w:val="1"/>
    <w:rsid w:val="008C19F4"/>
    <w:rPr>
      <w:rFonts w:ascii="Segoe UI Semibold" w:eastAsia="Times New Roman" w:hAnsi="Segoe UI Semibold" w:cs="Times New Roman"/>
      <w:color w:val="00264D"/>
      <w:szCs w:val="19"/>
      <w:lang w:val="en-AU" w:eastAsia="en-AU"/>
    </w:rPr>
  </w:style>
  <w:style w:type="character" w:customStyle="1" w:styleId="Heading5Char">
    <w:name w:val="Heading 5 Char"/>
    <w:link w:val="Heading5"/>
    <w:uiPriority w:val="1"/>
    <w:rsid w:val="008C19F4"/>
    <w:rPr>
      <w:rFonts w:ascii="Segoe UI" w:eastAsia="Times New Roman" w:hAnsi="Segoe UI" w:cs="Times New Roman"/>
      <w:b/>
      <w:color w:val="808080"/>
      <w:sz w:val="20"/>
      <w:szCs w:val="24"/>
      <w:lang w:val="en-AU" w:eastAsia="en-AU"/>
    </w:rPr>
  </w:style>
  <w:style w:type="character" w:customStyle="1" w:styleId="Heading6Char">
    <w:name w:val="Heading 6 Char"/>
    <w:link w:val="Heading6"/>
    <w:uiPriority w:val="19"/>
    <w:semiHidden/>
    <w:rsid w:val="008C19F4"/>
    <w:rPr>
      <w:rFonts w:ascii="Segoe UI" w:eastAsia="Times New Roman" w:hAnsi="Segoe UI" w:cs="Times New Roman"/>
      <w:b/>
      <w:i/>
      <w:iCs/>
      <w:color w:val="00264D"/>
      <w:sz w:val="19"/>
      <w:szCs w:val="19"/>
      <w:lang w:val="en-AU" w:eastAsia="en-AU"/>
    </w:rPr>
  </w:style>
  <w:style w:type="paragraph" w:customStyle="1" w:styleId="Bullet">
    <w:name w:val="Bullet"/>
    <w:basedOn w:val="Normal"/>
    <w:link w:val="BulletChar"/>
    <w:uiPriority w:val="2"/>
    <w:qFormat/>
    <w:rsid w:val="00E20B2B"/>
    <w:pPr>
      <w:suppressAutoHyphens/>
    </w:pPr>
    <w:rPr>
      <w:rFonts w:eastAsia="Times New Roman"/>
      <w:szCs w:val="19"/>
      <w:lang w:eastAsia="en-AU"/>
    </w:rPr>
  </w:style>
  <w:style w:type="paragraph" w:customStyle="1" w:styleId="TableNheader">
    <w:name w:val="Table N header"/>
    <w:basedOn w:val="Heading5"/>
    <w:uiPriority w:val="1"/>
    <w:qFormat/>
    <w:rsid w:val="00294C7F"/>
    <w:pPr>
      <w:spacing w:before="40" w:after="40"/>
    </w:pPr>
    <w:rPr>
      <w:rFonts w:ascii="Segoe UI Semibold" w:hAnsi="Segoe UI Semibold"/>
      <w:b w:val="0"/>
      <w:color w:val="00264D"/>
      <w:sz w:val="18"/>
    </w:rPr>
  </w:style>
  <w:style w:type="paragraph" w:customStyle="1" w:styleId="TableNText">
    <w:name w:val="Table N Text"/>
    <w:basedOn w:val="TableNheader"/>
    <w:link w:val="TableNTextChar"/>
    <w:uiPriority w:val="9"/>
    <w:qFormat/>
    <w:rsid w:val="00294C7F"/>
    <w:rPr>
      <w:rFonts w:ascii="Segoe UI" w:hAnsi="Segoe UI"/>
      <w:color w:val="auto"/>
      <w:sz w:val="17"/>
    </w:rPr>
  </w:style>
  <w:style w:type="paragraph" w:styleId="Header">
    <w:name w:val="header"/>
    <w:basedOn w:val="Normal"/>
    <w:link w:val="HeaderChar"/>
    <w:uiPriority w:val="99"/>
    <w:unhideWhenUsed/>
    <w:rsid w:val="00302076"/>
    <w:pPr>
      <w:tabs>
        <w:tab w:val="center" w:pos="4513"/>
        <w:tab w:val="right" w:pos="9026"/>
      </w:tabs>
      <w:spacing w:after="0"/>
    </w:pPr>
    <w:rPr>
      <w:szCs w:val="20"/>
      <w:lang w:val="x-none" w:eastAsia="x-none"/>
    </w:rPr>
  </w:style>
  <w:style w:type="character" w:customStyle="1" w:styleId="HeaderChar">
    <w:name w:val="Header Char"/>
    <w:link w:val="Header"/>
    <w:uiPriority w:val="99"/>
    <w:rsid w:val="00302076"/>
    <w:rPr>
      <w:rFonts w:ascii="Segoe UI" w:hAnsi="Segoe UI"/>
      <w:sz w:val="19"/>
    </w:rPr>
  </w:style>
  <w:style w:type="paragraph" w:styleId="Footer">
    <w:name w:val="footer"/>
    <w:basedOn w:val="Normal"/>
    <w:link w:val="FooterChar"/>
    <w:uiPriority w:val="99"/>
    <w:unhideWhenUsed/>
    <w:rsid w:val="00302076"/>
    <w:pPr>
      <w:tabs>
        <w:tab w:val="center" w:pos="4513"/>
        <w:tab w:val="right" w:pos="9026"/>
      </w:tabs>
      <w:spacing w:after="0"/>
    </w:pPr>
    <w:rPr>
      <w:szCs w:val="20"/>
      <w:lang w:val="x-none" w:eastAsia="x-none"/>
    </w:rPr>
  </w:style>
  <w:style w:type="character" w:customStyle="1" w:styleId="FooterChar">
    <w:name w:val="Footer Char"/>
    <w:link w:val="Footer"/>
    <w:uiPriority w:val="99"/>
    <w:rsid w:val="00302076"/>
    <w:rPr>
      <w:rFonts w:ascii="Segoe UI" w:hAnsi="Segoe UI"/>
      <w:sz w:val="19"/>
    </w:rPr>
  </w:style>
  <w:style w:type="paragraph" w:styleId="Caption">
    <w:name w:val="caption"/>
    <w:basedOn w:val="Normal"/>
    <w:next w:val="Normal"/>
    <w:uiPriority w:val="39"/>
    <w:qFormat/>
    <w:rsid w:val="00294C7F"/>
    <w:pPr>
      <w:spacing w:before="360"/>
    </w:pPr>
    <w:rPr>
      <w:rFonts w:ascii="Segoe UI Semibold" w:hAnsi="Segoe UI Semibold"/>
      <w:bCs/>
      <w:color w:val="00264D"/>
      <w:sz w:val="20"/>
      <w:szCs w:val="18"/>
    </w:rPr>
  </w:style>
  <w:style w:type="paragraph" w:customStyle="1" w:styleId="TableNBullet">
    <w:name w:val="Table N Bullet"/>
    <w:basedOn w:val="Bullet"/>
    <w:link w:val="TableNBulletChar"/>
    <w:uiPriority w:val="3"/>
    <w:qFormat/>
    <w:rsid w:val="0073030E"/>
    <w:pPr>
      <w:numPr>
        <w:numId w:val="5"/>
      </w:numPr>
      <w:spacing w:before="40" w:after="40"/>
    </w:pPr>
    <w:rPr>
      <w:sz w:val="17"/>
    </w:rPr>
  </w:style>
  <w:style w:type="paragraph" w:customStyle="1" w:styleId="TableNListnumbered">
    <w:name w:val="Table N List (numbered)"/>
    <w:basedOn w:val="TableNBullet"/>
    <w:uiPriority w:val="2"/>
    <w:qFormat/>
    <w:rsid w:val="0029320C"/>
    <w:pPr>
      <w:numPr>
        <w:numId w:val="1"/>
      </w:numPr>
      <w:ind w:left="170" w:hanging="170"/>
    </w:pPr>
  </w:style>
  <w:style w:type="paragraph" w:customStyle="1" w:styleId="xAppendixLevel1">
    <w:name w:val="xAppendix Level 1"/>
    <w:basedOn w:val="Heading1"/>
    <w:next w:val="Normal"/>
    <w:uiPriority w:val="98"/>
    <w:qFormat/>
    <w:rsid w:val="0004033A"/>
    <w:pPr>
      <w:pageBreakBefore/>
      <w:numPr>
        <w:numId w:val="2"/>
      </w:numPr>
      <w:ind w:hanging="2410"/>
      <w:jc w:val="both"/>
    </w:pPr>
    <w:rPr>
      <w:rFonts w:cs="Segoe UI"/>
      <w:bCs/>
      <w:szCs w:val="36"/>
    </w:rPr>
  </w:style>
  <w:style w:type="paragraph" w:customStyle="1" w:styleId="xAppendixLevel2">
    <w:name w:val="xAppendix Level 2"/>
    <w:basedOn w:val="Heading2"/>
    <w:next w:val="Normal"/>
    <w:uiPriority w:val="98"/>
    <w:qFormat/>
    <w:rsid w:val="002B5822"/>
    <w:pPr>
      <w:ind w:left="2410" w:hanging="2268"/>
    </w:pPr>
    <w:rPr>
      <w:bCs/>
      <w:sz w:val="34"/>
    </w:rPr>
  </w:style>
  <w:style w:type="paragraph" w:customStyle="1" w:styleId="xAppendixLevel3">
    <w:name w:val="xAppendix Level 3"/>
    <w:basedOn w:val="Heading3"/>
    <w:next w:val="Normal"/>
    <w:uiPriority w:val="98"/>
    <w:qFormat/>
    <w:rsid w:val="002B5822"/>
    <w:pPr>
      <w:ind w:left="2410" w:hanging="2268"/>
    </w:pPr>
    <w:rPr>
      <w:bCs/>
    </w:rPr>
  </w:style>
  <w:style w:type="paragraph" w:customStyle="1" w:styleId="Listnumbered">
    <w:name w:val="List (numbered)"/>
    <w:basedOn w:val="Normal"/>
    <w:uiPriority w:val="1"/>
    <w:qFormat/>
    <w:rsid w:val="00294C7F"/>
    <w:pPr>
      <w:numPr>
        <w:numId w:val="4"/>
      </w:numPr>
    </w:pPr>
  </w:style>
  <w:style w:type="paragraph" w:customStyle="1" w:styleId="Figure">
    <w:name w:val="Figure"/>
    <w:basedOn w:val="Normal"/>
    <w:next w:val="Normal"/>
    <w:uiPriority w:val="40"/>
    <w:unhideWhenUsed/>
    <w:rsid w:val="0020000D"/>
    <w:pPr>
      <w:jc w:val="center"/>
    </w:pPr>
    <w:rPr>
      <w:rFonts w:eastAsia="Times New Roman"/>
      <w:szCs w:val="19"/>
      <w:lang w:eastAsia="en-AU"/>
    </w:rPr>
  </w:style>
  <w:style w:type="paragraph" w:customStyle="1" w:styleId="Source">
    <w:name w:val="Source"/>
    <w:basedOn w:val="Normal"/>
    <w:next w:val="Normal"/>
    <w:link w:val="SourceChar"/>
    <w:uiPriority w:val="39"/>
    <w:rsid w:val="0020000D"/>
    <w:pPr>
      <w:spacing w:before="120" w:after="240"/>
      <w:jc w:val="center"/>
    </w:pPr>
    <w:rPr>
      <w:rFonts w:eastAsia="Times New Roman"/>
      <w:i/>
      <w:sz w:val="17"/>
      <w:szCs w:val="19"/>
      <w:lang w:eastAsia="en-AU"/>
    </w:rPr>
  </w:style>
  <w:style w:type="character" w:customStyle="1" w:styleId="SourceChar">
    <w:name w:val="Source Char"/>
    <w:link w:val="Source"/>
    <w:uiPriority w:val="39"/>
    <w:rsid w:val="0020000D"/>
    <w:rPr>
      <w:rFonts w:ascii="Segoe UI" w:eastAsia="Times New Roman" w:hAnsi="Segoe UI" w:cs="Times New Roman"/>
      <w:i/>
      <w:sz w:val="17"/>
      <w:szCs w:val="19"/>
      <w:lang w:val="en-AU" w:eastAsia="en-AU"/>
    </w:rPr>
  </w:style>
  <w:style w:type="paragraph" w:customStyle="1" w:styleId="TableExpbullet">
    <w:name w:val="Table Exp bullet"/>
    <w:basedOn w:val="TableNBullet"/>
    <w:uiPriority w:val="3"/>
    <w:qFormat/>
    <w:rsid w:val="00A10340"/>
    <w:pPr>
      <w:numPr>
        <w:numId w:val="3"/>
      </w:numPr>
    </w:pPr>
    <w:rPr>
      <w:sz w:val="16"/>
    </w:rPr>
  </w:style>
  <w:style w:type="paragraph" w:customStyle="1" w:styleId="Tableexpheader">
    <w:name w:val="Table exp header"/>
    <w:basedOn w:val="TableNheader"/>
    <w:uiPriority w:val="2"/>
    <w:qFormat/>
    <w:rsid w:val="0029320C"/>
    <w:rPr>
      <w:sz w:val="17"/>
    </w:rPr>
  </w:style>
  <w:style w:type="paragraph" w:customStyle="1" w:styleId="TableexpListnumbered">
    <w:name w:val="Table exp List (numbered)"/>
    <w:basedOn w:val="TableNListnumbered"/>
    <w:uiPriority w:val="3"/>
    <w:qFormat/>
    <w:rsid w:val="0029320C"/>
    <w:rPr>
      <w:sz w:val="16"/>
    </w:rPr>
  </w:style>
  <w:style w:type="paragraph" w:customStyle="1" w:styleId="TableExpText">
    <w:name w:val="Table Exp Text"/>
    <w:basedOn w:val="TableNText"/>
    <w:uiPriority w:val="2"/>
    <w:qFormat/>
    <w:rsid w:val="0029320C"/>
    <w:rPr>
      <w:sz w:val="16"/>
    </w:rPr>
  </w:style>
  <w:style w:type="character" w:customStyle="1" w:styleId="Heading7Char">
    <w:name w:val="Heading 7 Char"/>
    <w:link w:val="Heading7"/>
    <w:uiPriority w:val="19"/>
    <w:semiHidden/>
    <w:rsid w:val="000137FA"/>
    <w:rPr>
      <w:rFonts w:ascii="Segoe UI" w:eastAsia="Times New Roman" w:hAnsi="Segoe UI" w:cs="Times New Roman"/>
      <w:i/>
      <w:iCs/>
      <w:color w:val="404040"/>
      <w:sz w:val="19"/>
    </w:rPr>
  </w:style>
  <w:style w:type="paragraph" w:customStyle="1" w:styleId="TableText">
    <w:name w:val="Table Text"/>
    <w:link w:val="TableTextChar"/>
    <w:uiPriority w:val="1"/>
    <w:rsid w:val="00653916"/>
    <w:pPr>
      <w:spacing w:before="40" w:after="40"/>
    </w:pPr>
    <w:rPr>
      <w:rFonts w:ascii="Segoe UI" w:eastAsia="Times New Roman" w:hAnsi="Segoe UI"/>
      <w:sz w:val="17"/>
      <w:szCs w:val="19"/>
    </w:rPr>
  </w:style>
  <w:style w:type="paragraph" w:customStyle="1" w:styleId="Tablecolumnheading">
    <w:name w:val="Table column heading"/>
    <w:basedOn w:val="Normal"/>
    <w:link w:val="TablecolumnheadingChar"/>
    <w:uiPriority w:val="1"/>
    <w:rsid w:val="00653916"/>
    <w:pPr>
      <w:keepNext/>
      <w:spacing w:before="40" w:after="40"/>
    </w:pPr>
    <w:rPr>
      <w:rFonts w:ascii="Segoe UI Semibold" w:eastAsia="Times New Roman" w:hAnsi="Segoe UI Semibold"/>
      <w:color w:val="00264D"/>
      <w:sz w:val="18"/>
      <w:szCs w:val="17"/>
      <w:lang w:eastAsia="en-AU"/>
    </w:rPr>
  </w:style>
  <w:style w:type="character" w:customStyle="1" w:styleId="TableTextChar">
    <w:name w:val="Table Text Char"/>
    <w:link w:val="TableText"/>
    <w:uiPriority w:val="1"/>
    <w:rsid w:val="00653916"/>
    <w:rPr>
      <w:rFonts w:ascii="Segoe UI" w:eastAsia="Times New Roman" w:hAnsi="Segoe UI"/>
      <w:sz w:val="17"/>
      <w:szCs w:val="19"/>
      <w:lang w:val="en-AU" w:eastAsia="en-AU" w:bidi="ar-SA"/>
    </w:rPr>
  </w:style>
  <w:style w:type="character" w:customStyle="1" w:styleId="TablecolumnheadingChar">
    <w:name w:val="Table column heading Char"/>
    <w:link w:val="Tablecolumnheading"/>
    <w:uiPriority w:val="1"/>
    <w:rsid w:val="00653916"/>
    <w:rPr>
      <w:rFonts w:ascii="Segoe UI Semibold" w:eastAsia="Times New Roman" w:hAnsi="Segoe UI Semibold" w:cs="Times New Roman"/>
      <w:color w:val="00264D"/>
      <w:sz w:val="18"/>
      <w:szCs w:val="17"/>
      <w:lang w:val="en-AU" w:eastAsia="en-AU"/>
    </w:rPr>
  </w:style>
  <w:style w:type="table" w:customStyle="1" w:styleId="Style1">
    <w:name w:val="Style1"/>
    <w:basedOn w:val="TableNormal"/>
    <w:uiPriority w:val="99"/>
    <w:rsid w:val="00653916"/>
    <w:tblPr/>
    <w:tcPr>
      <w:shd w:val="clear" w:color="auto" w:fill="EDEDE8"/>
    </w:tcPr>
  </w:style>
  <w:style w:type="paragraph" w:styleId="BalloonText">
    <w:name w:val="Balloon Text"/>
    <w:basedOn w:val="Normal"/>
    <w:link w:val="BalloonTextChar"/>
    <w:uiPriority w:val="99"/>
    <w:semiHidden/>
    <w:unhideWhenUsed/>
    <w:rsid w:val="00037C03"/>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037C03"/>
    <w:rPr>
      <w:rFonts w:ascii="Tahoma" w:hAnsi="Tahoma" w:cs="Tahoma"/>
      <w:sz w:val="16"/>
      <w:szCs w:val="16"/>
    </w:rPr>
  </w:style>
  <w:style w:type="paragraph" w:customStyle="1" w:styleId="URL-groupcomau">
    <w:name w:val="URL - group.com.au"/>
    <w:basedOn w:val="Normal"/>
    <w:link w:val="URL-groupcomauChar"/>
    <w:uiPriority w:val="89"/>
    <w:semiHidden/>
    <w:qFormat/>
    <w:rsid w:val="00FD4AB1"/>
    <w:pPr>
      <w:spacing w:after="0"/>
    </w:pPr>
    <w:rPr>
      <w:rFonts w:eastAsia="Times New Roman"/>
      <w:color w:val="2E368F"/>
      <w:spacing w:val="20"/>
      <w:sz w:val="14"/>
      <w:szCs w:val="19"/>
      <w:lang w:eastAsia="en-AU"/>
    </w:rPr>
  </w:style>
  <w:style w:type="character" w:customStyle="1" w:styleId="URL-groupcomauChar">
    <w:name w:val="URL - group.com.au Char"/>
    <w:link w:val="URL-groupcomau"/>
    <w:uiPriority w:val="89"/>
    <w:semiHidden/>
    <w:rsid w:val="00FD4AB1"/>
    <w:rPr>
      <w:rFonts w:ascii="Segoe UI" w:eastAsia="Times New Roman" w:hAnsi="Segoe UI" w:cs="Times New Roman"/>
      <w:color w:val="2E368F"/>
      <w:spacing w:val="20"/>
      <w:sz w:val="14"/>
      <w:szCs w:val="19"/>
      <w:lang w:val="en-AU" w:eastAsia="en-AU"/>
    </w:rPr>
  </w:style>
  <w:style w:type="paragraph" w:customStyle="1" w:styleId="URL-nous">
    <w:name w:val="URL - nous"/>
    <w:basedOn w:val="Normal"/>
    <w:link w:val="URL-nousChar"/>
    <w:uiPriority w:val="89"/>
    <w:semiHidden/>
    <w:qFormat/>
    <w:rsid w:val="00FD4AB1"/>
    <w:pPr>
      <w:spacing w:after="0"/>
    </w:pPr>
    <w:rPr>
      <w:rFonts w:eastAsia="Times New Roman"/>
      <w:color w:val="FF3A40"/>
      <w:spacing w:val="20"/>
      <w:sz w:val="14"/>
      <w:szCs w:val="19"/>
      <w:lang w:eastAsia="en-AU"/>
    </w:rPr>
  </w:style>
  <w:style w:type="character" w:customStyle="1" w:styleId="URL-nousChar">
    <w:name w:val="URL - nous Char"/>
    <w:link w:val="URL-nous"/>
    <w:uiPriority w:val="89"/>
    <w:semiHidden/>
    <w:rsid w:val="00FD4AB1"/>
    <w:rPr>
      <w:rFonts w:ascii="Segoe UI" w:eastAsia="Times New Roman" w:hAnsi="Segoe UI" w:cs="Times New Roman"/>
      <w:color w:val="FF3A40"/>
      <w:spacing w:val="20"/>
      <w:sz w:val="14"/>
      <w:szCs w:val="19"/>
      <w:lang w:val="en-AU" w:eastAsia="en-AU"/>
    </w:rPr>
  </w:style>
  <w:style w:type="paragraph" w:customStyle="1" w:styleId="ContentsHeading">
    <w:name w:val="Contents Heading"/>
    <w:basedOn w:val="Normal"/>
    <w:rsid w:val="00CF7BA0"/>
    <w:pPr>
      <w:spacing w:before="360" w:after="600"/>
    </w:pPr>
    <w:rPr>
      <w:rFonts w:eastAsia="Times New Roman" w:cs="Segoe UI"/>
      <w:b/>
      <w:color w:val="00264D"/>
      <w:sz w:val="36"/>
      <w:szCs w:val="36"/>
      <w:lang w:eastAsia="en-AU"/>
    </w:rPr>
  </w:style>
  <w:style w:type="paragraph" w:styleId="BodyText">
    <w:name w:val="Body Text"/>
    <w:basedOn w:val="Normal"/>
    <w:link w:val="BodyTextChar"/>
    <w:uiPriority w:val="1"/>
    <w:rsid w:val="00621CEB"/>
    <w:pPr>
      <w:widowControl w:val="0"/>
    </w:pPr>
    <w:rPr>
      <w:rFonts w:eastAsia="Source Sans Pro Light"/>
      <w:szCs w:val="17"/>
      <w:lang w:val="x-none" w:eastAsia="x-none"/>
    </w:rPr>
  </w:style>
  <w:style w:type="character" w:customStyle="1" w:styleId="BodyTextChar">
    <w:name w:val="Body Text Char"/>
    <w:link w:val="BodyText"/>
    <w:uiPriority w:val="1"/>
    <w:rsid w:val="00621CEB"/>
    <w:rPr>
      <w:rFonts w:ascii="Segoe UI" w:eastAsia="Source Sans Pro Light" w:hAnsi="Segoe UI"/>
      <w:sz w:val="19"/>
      <w:szCs w:val="17"/>
    </w:rPr>
  </w:style>
  <w:style w:type="character" w:customStyle="1" w:styleId="BulletChar">
    <w:name w:val="Bullet Char"/>
    <w:link w:val="Bullet"/>
    <w:uiPriority w:val="2"/>
    <w:rsid w:val="00E20B2B"/>
    <w:rPr>
      <w:rFonts w:ascii="Segoe UI" w:eastAsia="Times New Roman" w:hAnsi="Segoe UI" w:cs="Times New Roman"/>
      <w:sz w:val="19"/>
      <w:szCs w:val="19"/>
      <w:lang w:val="en-AU" w:eastAsia="en-AU"/>
    </w:rPr>
  </w:style>
  <w:style w:type="paragraph" w:customStyle="1" w:styleId="Sectiondividerheading">
    <w:name w:val="Section divider heading"/>
    <w:basedOn w:val="Normal"/>
    <w:link w:val="SectiondividerheadingChar"/>
    <w:uiPriority w:val="1"/>
    <w:qFormat/>
    <w:rsid w:val="00A10340"/>
    <w:pPr>
      <w:spacing w:after="0"/>
    </w:pPr>
    <w:rPr>
      <w:rFonts w:eastAsia="Source Sans Pro"/>
      <w:b/>
      <w:bCs/>
      <w:color w:val="F8981D"/>
      <w:sz w:val="56"/>
      <w:szCs w:val="56"/>
      <w:lang w:eastAsia="en-AU"/>
    </w:rPr>
  </w:style>
  <w:style w:type="character" w:customStyle="1" w:styleId="SectiondividerheadingChar">
    <w:name w:val="Section divider heading Char"/>
    <w:link w:val="Sectiondividerheading"/>
    <w:uiPriority w:val="1"/>
    <w:rsid w:val="00A10340"/>
    <w:rPr>
      <w:rFonts w:ascii="Segoe UI" w:eastAsia="Source Sans Pro" w:hAnsi="Segoe UI" w:cs="Segoe UI"/>
      <w:b/>
      <w:bCs/>
      <w:color w:val="F8981D"/>
      <w:sz w:val="56"/>
      <w:szCs w:val="56"/>
      <w:lang w:val="en-AU" w:eastAsia="en-AU"/>
    </w:rPr>
  </w:style>
  <w:style w:type="paragraph" w:styleId="TOC2">
    <w:name w:val="toc 2"/>
    <w:basedOn w:val="Normal"/>
    <w:next w:val="Normal"/>
    <w:autoRedefine/>
    <w:uiPriority w:val="39"/>
    <w:unhideWhenUsed/>
    <w:rsid w:val="008A4363"/>
    <w:pPr>
      <w:spacing w:after="100"/>
      <w:ind w:left="190"/>
    </w:pPr>
  </w:style>
  <w:style w:type="paragraph" w:styleId="TOC1">
    <w:name w:val="toc 1"/>
    <w:basedOn w:val="Normal"/>
    <w:next w:val="Normal"/>
    <w:autoRedefine/>
    <w:uiPriority w:val="39"/>
    <w:unhideWhenUsed/>
    <w:rsid w:val="00A42CAD"/>
    <w:pPr>
      <w:tabs>
        <w:tab w:val="left" w:pos="380"/>
        <w:tab w:val="right" w:leader="dot" w:pos="8920"/>
      </w:tabs>
      <w:spacing w:after="100"/>
    </w:pPr>
    <w:rPr>
      <w:rFonts w:eastAsia="Times New Roman"/>
      <w:noProof/>
      <w:lang w:eastAsia="en-AU"/>
    </w:rPr>
  </w:style>
  <w:style w:type="character" w:styleId="Hyperlink">
    <w:name w:val="Hyperlink"/>
    <w:uiPriority w:val="99"/>
    <w:unhideWhenUsed/>
    <w:rsid w:val="008A4363"/>
    <w:rPr>
      <w:color w:val="0048C7"/>
      <w:u w:val="single"/>
    </w:rPr>
  </w:style>
  <w:style w:type="table" w:styleId="TableGrid">
    <w:name w:val="Table Grid"/>
    <w:aliases w:val="Table"/>
    <w:basedOn w:val="TableNormal"/>
    <w:uiPriority w:val="39"/>
    <w:rsid w:val="00547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5">
    <w:name w:val="Colorful Shading Accent 5"/>
    <w:basedOn w:val="TableNormal"/>
    <w:uiPriority w:val="62"/>
    <w:rsid w:val="00071DFF"/>
    <w:tblPr>
      <w:tblStyleRowBandSize w:val="1"/>
      <w:tblStyleColBandSize w:val="1"/>
      <w:tblBorders>
        <w:top w:val="single" w:sz="8" w:space="0" w:color="EDEDE8"/>
        <w:left w:val="single" w:sz="8" w:space="0" w:color="EDEDE8"/>
        <w:bottom w:val="single" w:sz="8" w:space="0" w:color="EDEDE8"/>
        <w:right w:val="single" w:sz="8" w:space="0" w:color="EDEDE8"/>
        <w:insideH w:val="single" w:sz="8" w:space="0" w:color="EDEDE8"/>
        <w:insideV w:val="single" w:sz="8" w:space="0" w:color="EDEDE8"/>
      </w:tblBorders>
    </w:tblPr>
    <w:tblStylePr w:type="firstRow">
      <w:pPr>
        <w:spacing w:before="0" w:after="0" w:line="240" w:lineRule="auto"/>
      </w:pPr>
      <w:rPr>
        <w:rFonts w:ascii="Wingdings" w:eastAsia="Times New Roman" w:hAnsi="Wingdings" w:cs="Times New Roman"/>
        <w:b/>
        <w:bCs/>
      </w:rPr>
      <w:tblPr/>
      <w:tcPr>
        <w:tcBorders>
          <w:top w:val="single" w:sz="8" w:space="0" w:color="EDEDE8"/>
          <w:left w:val="single" w:sz="8" w:space="0" w:color="EDEDE8"/>
          <w:bottom w:val="single" w:sz="18" w:space="0" w:color="EDEDE8"/>
          <w:right w:val="single" w:sz="8" w:space="0" w:color="EDEDE8"/>
          <w:insideH w:val="nil"/>
          <w:insideV w:val="single" w:sz="8" w:space="0" w:color="EDEDE8"/>
        </w:tcBorders>
      </w:tcPr>
    </w:tblStylePr>
    <w:tblStylePr w:type="lastRow">
      <w:pPr>
        <w:spacing w:before="0" w:after="0" w:line="240" w:lineRule="auto"/>
      </w:pPr>
      <w:rPr>
        <w:rFonts w:ascii="Wingdings" w:eastAsia="Times New Roman" w:hAnsi="Wingdings" w:cs="Times New Roman"/>
        <w:b/>
        <w:bCs/>
      </w:rPr>
      <w:tblPr/>
      <w:tcPr>
        <w:tcBorders>
          <w:top w:val="double" w:sz="6" w:space="0" w:color="EDEDE8"/>
          <w:left w:val="single" w:sz="8" w:space="0" w:color="EDEDE8"/>
          <w:bottom w:val="single" w:sz="8" w:space="0" w:color="EDEDE8"/>
          <w:right w:val="single" w:sz="8" w:space="0" w:color="EDEDE8"/>
          <w:insideH w:val="nil"/>
          <w:insideV w:val="single" w:sz="8" w:space="0" w:color="EDEDE8"/>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EDEDE8"/>
          <w:left w:val="single" w:sz="8" w:space="0" w:color="EDEDE8"/>
          <w:bottom w:val="single" w:sz="8" w:space="0" w:color="EDEDE8"/>
          <w:right w:val="single" w:sz="8" w:space="0" w:color="EDEDE8"/>
        </w:tcBorders>
      </w:tcPr>
    </w:tblStylePr>
    <w:tblStylePr w:type="band1Vert">
      <w:tblPr/>
      <w:tcPr>
        <w:tcBorders>
          <w:top w:val="single" w:sz="8" w:space="0" w:color="EDEDE8"/>
          <w:left w:val="single" w:sz="8" w:space="0" w:color="EDEDE8"/>
          <w:bottom w:val="single" w:sz="8" w:space="0" w:color="EDEDE8"/>
          <w:right w:val="single" w:sz="8" w:space="0" w:color="EDEDE8"/>
        </w:tcBorders>
        <w:shd w:val="clear" w:color="auto" w:fill="FAFAF9"/>
      </w:tcPr>
    </w:tblStylePr>
    <w:tblStylePr w:type="band1Horz">
      <w:tblPr/>
      <w:tcPr>
        <w:tcBorders>
          <w:top w:val="single" w:sz="8" w:space="0" w:color="EDEDE8"/>
          <w:left w:val="single" w:sz="8" w:space="0" w:color="EDEDE8"/>
          <w:bottom w:val="single" w:sz="8" w:space="0" w:color="EDEDE8"/>
          <w:right w:val="single" w:sz="8" w:space="0" w:color="EDEDE8"/>
          <w:insideV w:val="single" w:sz="8" w:space="0" w:color="EDEDE8"/>
        </w:tcBorders>
        <w:shd w:val="clear" w:color="auto" w:fill="FAFAF9"/>
      </w:tcPr>
    </w:tblStylePr>
    <w:tblStylePr w:type="band2Horz">
      <w:tblPr/>
      <w:tcPr>
        <w:tcBorders>
          <w:top w:val="single" w:sz="8" w:space="0" w:color="EDEDE8"/>
          <w:left w:val="single" w:sz="8" w:space="0" w:color="EDEDE8"/>
          <w:bottom w:val="single" w:sz="8" w:space="0" w:color="EDEDE8"/>
          <w:right w:val="single" w:sz="8" w:space="0" w:color="EDEDE8"/>
          <w:insideV w:val="single" w:sz="8" w:space="0" w:color="EDEDE8"/>
        </w:tcBorders>
      </w:tcPr>
    </w:tblStylePr>
  </w:style>
  <w:style w:type="table" w:styleId="DarkList-Accent5">
    <w:name w:val="Dark List Accent 5"/>
    <w:basedOn w:val="TableNormal"/>
    <w:uiPriority w:val="61"/>
    <w:rsid w:val="00071DFF"/>
    <w:tblPr>
      <w:tblStyleRowBandSize w:val="1"/>
      <w:tblStyleColBandSize w:val="1"/>
      <w:tblBorders>
        <w:top w:val="single" w:sz="8" w:space="0" w:color="EDEDE8"/>
        <w:left w:val="single" w:sz="8" w:space="0" w:color="EDEDE8"/>
        <w:bottom w:val="single" w:sz="8" w:space="0" w:color="EDEDE8"/>
        <w:right w:val="single" w:sz="8" w:space="0" w:color="EDEDE8"/>
      </w:tblBorders>
    </w:tblPr>
    <w:tblStylePr w:type="firstRow">
      <w:pPr>
        <w:spacing w:before="0" w:after="0" w:line="240" w:lineRule="auto"/>
      </w:pPr>
      <w:rPr>
        <w:b/>
        <w:bCs/>
        <w:color w:val="FFFFFF"/>
      </w:rPr>
      <w:tblPr/>
      <w:tcPr>
        <w:shd w:val="clear" w:color="auto" w:fill="EDEDE8"/>
      </w:tcPr>
    </w:tblStylePr>
    <w:tblStylePr w:type="lastRow">
      <w:pPr>
        <w:spacing w:before="0" w:after="0" w:line="240" w:lineRule="auto"/>
      </w:pPr>
      <w:rPr>
        <w:b/>
        <w:bCs/>
      </w:rPr>
      <w:tblPr/>
      <w:tcPr>
        <w:tcBorders>
          <w:top w:val="double" w:sz="6" w:space="0" w:color="EDEDE8"/>
          <w:left w:val="single" w:sz="8" w:space="0" w:color="EDEDE8"/>
          <w:bottom w:val="single" w:sz="8" w:space="0" w:color="EDEDE8"/>
          <w:right w:val="single" w:sz="8" w:space="0" w:color="EDEDE8"/>
        </w:tcBorders>
      </w:tcPr>
    </w:tblStylePr>
    <w:tblStylePr w:type="firstCol">
      <w:rPr>
        <w:b/>
        <w:bCs/>
      </w:rPr>
    </w:tblStylePr>
    <w:tblStylePr w:type="lastCol">
      <w:rPr>
        <w:b/>
        <w:bCs/>
      </w:rPr>
    </w:tblStylePr>
    <w:tblStylePr w:type="band1Vert">
      <w:tblPr/>
      <w:tcPr>
        <w:tcBorders>
          <w:top w:val="single" w:sz="8" w:space="0" w:color="EDEDE8"/>
          <w:left w:val="single" w:sz="8" w:space="0" w:color="EDEDE8"/>
          <w:bottom w:val="single" w:sz="8" w:space="0" w:color="EDEDE8"/>
          <w:right w:val="single" w:sz="8" w:space="0" w:color="EDEDE8"/>
        </w:tcBorders>
      </w:tcPr>
    </w:tblStylePr>
    <w:tblStylePr w:type="band1Horz">
      <w:tblPr/>
      <w:tcPr>
        <w:tcBorders>
          <w:top w:val="single" w:sz="8" w:space="0" w:color="EDEDE8"/>
          <w:left w:val="single" w:sz="8" w:space="0" w:color="EDEDE8"/>
          <w:bottom w:val="single" w:sz="8" w:space="0" w:color="EDEDE8"/>
          <w:right w:val="single" w:sz="8" w:space="0" w:color="EDEDE8"/>
        </w:tcBorders>
      </w:tcPr>
    </w:tblStylePr>
  </w:style>
  <w:style w:type="table" w:styleId="ColorfulList-Accent5">
    <w:name w:val="Colorful List Accent 5"/>
    <w:basedOn w:val="TableNormal"/>
    <w:uiPriority w:val="63"/>
    <w:rsid w:val="00071DFF"/>
    <w:tblPr>
      <w:tblStyleRowBandSize w:val="1"/>
      <w:tblStyleColBandSize w:val="1"/>
      <w:tblBorders>
        <w:top w:val="single" w:sz="8" w:space="0" w:color="F1F1ED"/>
        <w:left w:val="single" w:sz="8" w:space="0" w:color="F1F1ED"/>
        <w:bottom w:val="single" w:sz="8" w:space="0" w:color="F1F1ED"/>
        <w:right w:val="single" w:sz="8" w:space="0" w:color="F1F1ED"/>
        <w:insideH w:val="single" w:sz="8" w:space="0" w:color="F1F1ED"/>
      </w:tblBorders>
    </w:tblPr>
    <w:tblStylePr w:type="firstRow">
      <w:pPr>
        <w:spacing w:before="0" w:after="0" w:line="240" w:lineRule="auto"/>
      </w:pPr>
      <w:rPr>
        <w:b/>
        <w:bCs/>
        <w:color w:val="FFFFFF"/>
      </w:rPr>
      <w:tblPr/>
      <w:tcPr>
        <w:tcBorders>
          <w:top w:val="single" w:sz="8" w:space="0" w:color="F1F1ED"/>
          <w:left w:val="single" w:sz="8" w:space="0" w:color="F1F1ED"/>
          <w:bottom w:val="single" w:sz="8" w:space="0" w:color="F1F1ED"/>
          <w:right w:val="single" w:sz="8" w:space="0" w:color="F1F1ED"/>
          <w:insideH w:val="nil"/>
          <w:insideV w:val="nil"/>
        </w:tcBorders>
        <w:shd w:val="clear" w:color="auto" w:fill="EDEDE8"/>
      </w:tcPr>
    </w:tblStylePr>
    <w:tblStylePr w:type="lastRow">
      <w:pPr>
        <w:spacing w:before="0" w:after="0" w:line="240" w:lineRule="auto"/>
      </w:pPr>
      <w:rPr>
        <w:b/>
        <w:bCs/>
      </w:rPr>
      <w:tblPr/>
      <w:tcPr>
        <w:tcBorders>
          <w:top w:val="double" w:sz="6" w:space="0" w:color="F1F1ED"/>
          <w:left w:val="single" w:sz="8" w:space="0" w:color="F1F1ED"/>
          <w:bottom w:val="single" w:sz="8" w:space="0" w:color="F1F1ED"/>
          <w:right w:val="single" w:sz="8" w:space="0" w:color="F1F1ED"/>
          <w:insideH w:val="nil"/>
          <w:insideV w:val="nil"/>
        </w:tcBorders>
      </w:tcPr>
    </w:tblStylePr>
    <w:tblStylePr w:type="firstCol">
      <w:rPr>
        <w:b/>
        <w:bCs/>
      </w:rPr>
    </w:tblStylePr>
    <w:tblStylePr w:type="lastCol">
      <w:rPr>
        <w:b/>
        <w:bCs/>
      </w:rPr>
    </w:tblStylePr>
    <w:tblStylePr w:type="band1Vert">
      <w:tblPr/>
      <w:tcPr>
        <w:shd w:val="clear" w:color="auto" w:fill="FAFAF9"/>
      </w:tcPr>
    </w:tblStylePr>
    <w:tblStylePr w:type="band1Horz">
      <w:tblPr/>
      <w:tcPr>
        <w:tcBorders>
          <w:insideH w:val="nil"/>
          <w:insideV w:val="nil"/>
        </w:tcBorders>
        <w:shd w:val="clear" w:color="auto" w:fill="FAFAF9"/>
      </w:tcPr>
    </w:tblStylePr>
    <w:tblStylePr w:type="band2Horz">
      <w:tblPr/>
      <w:tcPr>
        <w:tcBorders>
          <w:insideH w:val="nil"/>
          <w:insideV w:val="nil"/>
        </w:tcBorders>
      </w:tcPr>
    </w:tblStylePr>
  </w:style>
  <w:style w:type="character" w:customStyle="1" w:styleId="TableNBulletChar">
    <w:name w:val="Table N Bullet Char"/>
    <w:link w:val="TableNBullet"/>
    <w:uiPriority w:val="3"/>
    <w:rsid w:val="0073030E"/>
    <w:rPr>
      <w:rFonts w:ascii="Segoe UI" w:eastAsia="Times New Roman" w:hAnsi="Segoe UI"/>
      <w:sz w:val="17"/>
      <w:szCs w:val="19"/>
    </w:rPr>
  </w:style>
  <w:style w:type="table" w:customStyle="1" w:styleId="NOUSSideHeader">
    <w:name w:val="NOUS Side Header"/>
    <w:basedOn w:val="TableNormal"/>
    <w:uiPriority w:val="99"/>
    <w:rsid w:val="006937F2"/>
    <w:pPr>
      <w:ind w:left="57"/>
    </w:pPr>
    <w:rPr>
      <w:rFonts w:ascii="Segoe UI" w:hAnsi="Segoe UI"/>
      <w:sz w:val="17"/>
    </w:rPr>
    <w:tblPr>
      <w:tblBorders>
        <w:top w:val="single" w:sz="8" w:space="0" w:color="EDEDE8"/>
        <w:bottom w:val="single" w:sz="8" w:space="0" w:color="EDEDE8"/>
        <w:insideH w:val="single" w:sz="8" w:space="0" w:color="EDEDE8"/>
      </w:tblBorders>
    </w:tblPr>
    <w:tblStylePr w:type="firstCol">
      <w:pPr>
        <w:wordWrap/>
        <w:jc w:val="center"/>
      </w:pPr>
      <w:rPr>
        <w:rFonts w:ascii="Wingdings" w:hAnsi="Wingdings"/>
        <w:b/>
        <w:color w:val="00264D"/>
        <w:sz w:val="18"/>
      </w:rPr>
      <w:tblPr/>
      <w:tcPr>
        <w:tcBorders>
          <w:top w:val="nil"/>
          <w:left w:val="single" w:sz="24" w:space="0" w:color="F8981D"/>
          <w:bottom w:val="nil"/>
          <w:right w:val="nil"/>
          <w:insideH w:val="nil"/>
          <w:insideV w:val="nil"/>
          <w:tl2br w:val="nil"/>
          <w:tr2bl w:val="nil"/>
        </w:tcBorders>
        <w:shd w:val="clear" w:color="auto" w:fill="EDEDE8"/>
      </w:tcPr>
    </w:tblStylePr>
  </w:style>
  <w:style w:type="table" w:customStyle="1" w:styleId="NOUS">
    <w:name w:val="NOUS"/>
    <w:basedOn w:val="TableNormal"/>
    <w:uiPriority w:val="99"/>
    <w:rsid w:val="0017660C"/>
    <w:rPr>
      <w:rFonts w:ascii="Segoe UI" w:hAnsi="Segoe UI"/>
      <w:sz w:val="17"/>
    </w:rPr>
    <w:tblPr>
      <w:tblBorders>
        <w:bottom w:val="single" w:sz="8" w:space="0" w:color="EDEDE8"/>
        <w:insideH w:val="single" w:sz="8" w:space="0" w:color="EDEDE8"/>
      </w:tblBorders>
      <w:tblCellMar>
        <w:top w:w="57" w:type="dxa"/>
        <w:left w:w="85" w:type="dxa"/>
        <w:bottom w:w="57" w:type="dxa"/>
        <w:right w:w="85" w:type="dxa"/>
      </w:tblCellMar>
    </w:tblPr>
    <w:tblStylePr w:type="firstRow">
      <w:rPr>
        <w:rFonts w:ascii="Wingdings" w:hAnsi="Wingdings"/>
        <w:b/>
        <w:color w:val="00264D"/>
        <w:sz w:val="18"/>
      </w:rPr>
      <w:tblPr/>
      <w:tcPr>
        <w:tcBorders>
          <w:top w:val="single" w:sz="24" w:space="0" w:color="F8981D"/>
          <w:left w:val="nil"/>
          <w:bottom w:val="nil"/>
          <w:right w:val="nil"/>
          <w:insideH w:val="nil"/>
          <w:insideV w:val="single" w:sz="8" w:space="0" w:color="FFFFFF"/>
          <w:tl2br w:val="nil"/>
          <w:tr2bl w:val="nil"/>
        </w:tcBorders>
        <w:shd w:val="clear" w:color="auto" w:fill="EDEDE8"/>
      </w:tcPr>
    </w:tblStylePr>
  </w:style>
  <w:style w:type="character" w:customStyle="1" w:styleId="Heading8Char">
    <w:name w:val="Heading 8 Char"/>
    <w:link w:val="Heading8"/>
    <w:uiPriority w:val="19"/>
    <w:semiHidden/>
    <w:rsid w:val="000137FA"/>
    <w:rPr>
      <w:rFonts w:ascii="Segoe UI" w:eastAsia="Times New Roman" w:hAnsi="Segoe UI" w:cs="Times New Roman"/>
      <w:color w:val="404040"/>
      <w:sz w:val="20"/>
      <w:szCs w:val="20"/>
    </w:rPr>
  </w:style>
  <w:style w:type="paragraph" w:customStyle="1" w:styleId="Covertitle">
    <w:name w:val="Cover title"/>
    <w:basedOn w:val="Normal"/>
    <w:link w:val="CovertitleChar"/>
    <w:uiPriority w:val="99"/>
    <w:semiHidden/>
    <w:rsid w:val="00F41E7F"/>
    <w:pPr>
      <w:suppressAutoHyphens/>
      <w:spacing w:after="0" w:line="720" w:lineRule="exact"/>
    </w:pPr>
    <w:rPr>
      <w:rFonts w:eastAsia="Times New Roman"/>
      <w:color w:val="2E368F"/>
      <w:sz w:val="84"/>
      <w:szCs w:val="19"/>
      <w:lang w:eastAsia="en-AU"/>
    </w:rPr>
  </w:style>
  <w:style w:type="character" w:customStyle="1" w:styleId="CovertitleChar">
    <w:name w:val="Cover title Char"/>
    <w:link w:val="Covertitle"/>
    <w:uiPriority w:val="99"/>
    <w:semiHidden/>
    <w:rsid w:val="00F41E7F"/>
    <w:rPr>
      <w:rFonts w:ascii="Segoe UI" w:eastAsia="Times New Roman" w:hAnsi="Segoe UI" w:cs="Times New Roman"/>
      <w:color w:val="2E368F"/>
      <w:sz w:val="84"/>
      <w:szCs w:val="19"/>
      <w:lang w:val="en-AU" w:eastAsia="en-AU"/>
    </w:rPr>
  </w:style>
  <w:style w:type="paragraph" w:customStyle="1" w:styleId="CoverPage-Client">
    <w:name w:val="Cover Page - Client"/>
    <w:basedOn w:val="Normal"/>
    <w:link w:val="CoverPage-ClientChar"/>
    <w:uiPriority w:val="99"/>
    <w:semiHidden/>
    <w:rsid w:val="00F41E7F"/>
    <w:pPr>
      <w:suppressAutoHyphens/>
      <w:spacing w:before="480" w:after="0" w:line="380" w:lineRule="exact"/>
    </w:pPr>
    <w:rPr>
      <w:rFonts w:eastAsia="Times New Roman"/>
      <w:color w:val="2E368F"/>
      <w:sz w:val="36"/>
      <w:szCs w:val="19"/>
      <w:lang w:eastAsia="en-AU"/>
    </w:rPr>
  </w:style>
  <w:style w:type="character" w:customStyle="1" w:styleId="CoverPage-ClientChar">
    <w:name w:val="Cover Page - Client Char"/>
    <w:link w:val="CoverPage-Client"/>
    <w:uiPriority w:val="99"/>
    <w:semiHidden/>
    <w:rsid w:val="00F41E7F"/>
    <w:rPr>
      <w:rFonts w:ascii="Segoe UI" w:eastAsia="Times New Roman" w:hAnsi="Segoe UI" w:cs="Times New Roman"/>
      <w:color w:val="2E368F"/>
      <w:sz w:val="36"/>
      <w:szCs w:val="19"/>
      <w:lang w:val="en-AU" w:eastAsia="en-AU"/>
    </w:rPr>
  </w:style>
  <w:style w:type="paragraph" w:customStyle="1" w:styleId="CoverPage-Date">
    <w:name w:val="Cover Page - Date"/>
    <w:basedOn w:val="Normal"/>
    <w:link w:val="CoverPage-DateChar"/>
    <w:uiPriority w:val="99"/>
    <w:semiHidden/>
    <w:rsid w:val="00F41E7F"/>
    <w:pPr>
      <w:suppressAutoHyphens/>
      <w:spacing w:before="320" w:after="0" w:line="280" w:lineRule="exact"/>
    </w:pPr>
    <w:rPr>
      <w:rFonts w:eastAsia="Times New Roman"/>
      <w:color w:val="00264D"/>
      <w:sz w:val="24"/>
      <w:szCs w:val="19"/>
      <w:lang w:eastAsia="en-AU"/>
    </w:rPr>
  </w:style>
  <w:style w:type="character" w:customStyle="1" w:styleId="CoverPage-DateChar">
    <w:name w:val="Cover Page - Date Char"/>
    <w:link w:val="CoverPage-Date"/>
    <w:uiPriority w:val="99"/>
    <w:semiHidden/>
    <w:rsid w:val="00F41E7F"/>
    <w:rPr>
      <w:rFonts w:ascii="Segoe UI" w:eastAsia="Times New Roman" w:hAnsi="Segoe UI" w:cs="Times New Roman"/>
      <w:color w:val="00264D"/>
      <w:sz w:val="24"/>
      <w:szCs w:val="19"/>
      <w:lang w:val="en-AU" w:eastAsia="en-AU"/>
    </w:rPr>
  </w:style>
  <w:style w:type="character" w:customStyle="1" w:styleId="MediumGrid11">
    <w:name w:val="Medium Grid 11"/>
    <w:uiPriority w:val="99"/>
    <w:semiHidden/>
    <w:rsid w:val="00F41E7F"/>
    <w:rPr>
      <w:color w:val="808080"/>
    </w:rPr>
  </w:style>
  <w:style w:type="paragraph" w:customStyle="1" w:styleId="ColorfulList-Accent11">
    <w:name w:val="Colorful List - Accent 11"/>
    <w:aliases w:val="Bullet point,Bullet text,Bulleted Para,Bullets,CV text,Dot pt,F5 List Paragraph,FooterText,L,List Paragraph1,List Paragraph11,List Paragraph111,List Paragraph2,Medium Grid 1 - Accent 21,NFP GP Bulleted List,Recommendation,列"/>
    <w:basedOn w:val="Normal"/>
    <w:link w:val="ColorfulList-Accent1Char"/>
    <w:uiPriority w:val="34"/>
    <w:qFormat/>
    <w:rsid w:val="003E5907"/>
    <w:pPr>
      <w:ind w:left="720"/>
      <w:contextualSpacing/>
    </w:pPr>
    <w:rPr>
      <w:szCs w:val="20"/>
      <w:lang w:eastAsia="x-none"/>
    </w:rPr>
  </w:style>
  <w:style w:type="character" w:styleId="CommentReference">
    <w:name w:val="annotation reference"/>
    <w:uiPriority w:val="99"/>
    <w:unhideWhenUsed/>
    <w:rsid w:val="003E5907"/>
    <w:rPr>
      <w:sz w:val="16"/>
      <w:szCs w:val="16"/>
    </w:rPr>
  </w:style>
  <w:style w:type="paragraph" w:styleId="CommentText">
    <w:name w:val="annotation text"/>
    <w:basedOn w:val="Normal"/>
    <w:link w:val="CommentTextChar"/>
    <w:uiPriority w:val="99"/>
    <w:unhideWhenUsed/>
    <w:rsid w:val="003E5907"/>
    <w:rPr>
      <w:sz w:val="20"/>
      <w:szCs w:val="20"/>
      <w:lang w:val="x-none" w:eastAsia="x-none"/>
    </w:rPr>
  </w:style>
  <w:style w:type="character" w:customStyle="1" w:styleId="CommentTextChar">
    <w:name w:val="Comment Text Char"/>
    <w:link w:val="CommentText"/>
    <w:uiPriority w:val="99"/>
    <w:rsid w:val="003E5907"/>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3E5907"/>
    <w:rPr>
      <w:b/>
      <w:bCs/>
    </w:rPr>
  </w:style>
  <w:style w:type="character" w:customStyle="1" w:styleId="CommentSubjectChar">
    <w:name w:val="Comment Subject Char"/>
    <w:link w:val="CommentSubject"/>
    <w:uiPriority w:val="99"/>
    <w:semiHidden/>
    <w:rsid w:val="003E5907"/>
    <w:rPr>
      <w:rFonts w:ascii="Segoe UI" w:hAnsi="Segoe UI"/>
      <w:b/>
      <w:bCs/>
      <w:sz w:val="20"/>
      <w:szCs w:val="20"/>
    </w:rPr>
  </w:style>
  <w:style w:type="paragraph" w:styleId="TOC3">
    <w:name w:val="toc 3"/>
    <w:basedOn w:val="Normal"/>
    <w:next w:val="Normal"/>
    <w:autoRedefine/>
    <w:uiPriority w:val="39"/>
    <w:unhideWhenUsed/>
    <w:rsid w:val="00025E0B"/>
    <w:pPr>
      <w:spacing w:after="100"/>
      <w:ind w:left="380"/>
    </w:pPr>
  </w:style>
  <w:style w:type="paragraph" w:customStyle="1" w:styleId="ColorfulShading-Accent11">
    <w:name w:val="Colorful Shading - Accent 11"/>
    <w:hidden/>
    <w:uiPriority w:val="99"/>
    <w:semiHidden/>
    <w:rsid w:val="00D34F1E"/>
    <w:rPr>
      <w:rFonts w:ascii="Segoe UI" w:hAnsi="Segoe UI"/>
      <w:sz w:val="19"/>
      <w:szCs w:val="22"/>
      <w:lang w:val="en-US" w:eastAsia="en-US"/>
    </w:rPr>
  </w:style>
  <w:style w:type="paragraph" w:styleId="EndnoteText">
    <w:name w:val="endnote text"/>
    <w:basedOn w:val="Normal"/>
    <w:link w:val="EndnoteTextChar"/>
    <w:uiPriority w:val="99"/>
    <w:unhideWhenUsed/>
    <w:rsid w:val="003011FA"/>
    <w:pPr>
      <w:spacing w:after="0"/>
    </w:pPr>
    <w:rPr>
      <w:sz w:val="20"/>
      <w:szCs w:val="20"/>
      <w:lang w:val="x-none" w:eastAsia="x-none"/>
    </w:rPr>
  </w:style>
  <w:style w:type="character" w:customStyle="1" w:styleId="EndnoteTextChar">
    <w:name w:val="Endnote Text Char"/>
    <w:link w:val="EndnoteText"/>
    <w:uiPriority w:val="99"/>
    <w:rsid w:val="003011FA"/>
    <w:rPr>
      <w:rFonts w:ascii="Segoe UI" w:hAnsi="Segoe UI"/>
      <w:sz w:val="20"/>
      <w:szCs w:val="20"/>
    </w:rPr>
  </w:style>
  <w:style w:type="character" w:styleId="EndnoteReference">
    <w:name w:val="endnote reference"/>
    <w:uiPriority w:val="99"/>
    <w:semiHidden/>
    <w:unhideWhenUsed/>
    <w:rsid w:val="003011FA"/>
    <w:rPr>
      <w:vertAlign w:val="superscript"/>
    </w:rPr>
  </w:style>
  <w:style w:type="paragraph" w:styleId="FootnoteText">
    <w:name w:val="footnote text"/>
    <w:basedOn w:val="Normal"/>
    <w:link w:val="FootnoteTextChar"/>
    <w:uiPriority w:val="99"/>
    <w:semiHidden/>
    <w:unhideWhenUsed/>
    <w:rsid w:val="00751AD9"/>
    <w:pPr>
      <w:spacing w:after="0"/>
    </w:pPr>
    <w:rPr>
      <w:sz w:val="20"/>
      <w:szCs w:val="20"/>
      <w:lang w:val="x-none" w:eastAsia="x-none"/>
    </w:rPr>
  </w:style>
  <w:style w:type="character" w:customStyle="1" w:styleId="FootnoteTextChar">
    <w:name w:val="Footnote Text Char"/>
    <w:link w:val="FootnoteText"/>
    <w:uiPriority w:val="99"/>
    <w:semiHidden/>
    <w:rsid w:val="00751AD9"/>
    <w:rPr>
      <w:rFonts w:ascii="Segoe UI" w:hAnsi="Segoe UI"/>
      <w:sz w:val="20"/>
      <w:szCs w:val="20"/>
    </w:rPr>
  </w:style>
  <w:style w:type="character" w:styleId="FootnoteReference">
    <w:name w:val="footnote reference"/>
    <w:uiPriority w:val="99"/>
    <w:semiHidden/>
    <w:unhideWhenUsed/>
    <w:rsid w:val="00751AD9"/>
    <w:rPr>
      <w:vertAlign w:val="superscript"/>
    </w:rPr>
  </w:style>
  <w:style w:type="character" w:customStyle="1" w:styleId="TableNTextChar">
    <w:name w:val="Table N Text Char"/>
    <w:link w:val="TableNText"/>
    <w:uiPriority w:val="9"/>
    <w:rsid w:val="00F40060"/>
    <w:rPr>
      <w:rFonts w:ascii="Segoe UI" w:eastAsia="Times New Roman" w:hAnsi="Segoe UI" w:cs="Times New Roman"/>
      <w:sz w:val="17"/>
      <w:szCs w:val="24"/>
      <w:lang w:val="en-AU" w:eastAsia="en-AU"/>
    </w:rPr>
  </w:style>
  <w:style w:type="paragraph" w:customStyle="1" w:styleId="Default">
    <w:name w:val="Default"/>
    <w:rsid w:val="00CC6C04"/>
    <w:pPr>
      <w:autoSpaceDE w:val="0"/>
      <w:autoSpaceDN w:val="0"/>
      <w:adjustRightInd w:val="0"/>
    </w:pPr>
    <w:rPr>
      <w:rFonts w:ascii="HelveticaNeueLT Std Lt" w:hAnsi="HelveticaNeueLT Std Lt" w:cs="HelveticaNeueLT Std Lt"/>
      <w:color w:val="000000"/>
      <w:sz w:val="24"/>
      <w:szCs w:val="24"/>
      <w:lang w:eastAsia="en-US"/>
    </w:rPr>
  </w:style>
  <w:style w:type="character" w:customStyle="1" w:styleId="A11">
    <w:name w:val="A11"/>
    <w:uiPriority w:val="99"/>
    <w:rsid w:val="00CC6C04"/>
    <w:rPr>
      <w:rFonts w:cs="HelveticaNeueLT Std Lt"/>
      <w:color w:val="000000"/>
      <w:sz w:val="9"/>
      <w:szCs w:val="9"/>
    </w:rPr>
  </w:style>
  <w:style w:type="character" w:customStyle="1" w:styleId="A9">
    <w:name w:val="A9"/>
    <w:uiPriority w:val="99"/>
    <w:rsid w:val="00CC6C04"/>
    <w:rPr>
      <w:rFonts w:cs="HelveticaNeueLT Std Lt"/>
      <w:color w:val="000000"/>
    </w:rPr>
  </w:style>
  <w:style w:type="paragraph" w:customStyle="1" w:styleId="Pa15">
    <w:name w:val="Pa15"/>
    <w:basedOn w:val="Default"/>
    <w:next w:val="Default"/>
    <w:uiPriority w:val="99"/>
    <w:rsid w:val="00CC6C04"/>
    <w:pPr>
      <w:spacing w:line="191" w:lineRule="atLeast"/>
    </w:pPr>
    <w:rPr>
      <w:rFonts w:cs="Times New Roman"/>
      <w:color w:val="auto"/>
    </w:rPr>
  </w:style>
  <w:style w:type="character" w:customStyle="1" w:styleId="A3">
    <w:name w:val="A3"/>
    <w:uiPriority w:val="99"/>
    <w:rsid w:val="00CC6C04"/>
    <w:rPr>
      <w:rFonts w:cs="HelveticaNeueLT Std Lt"/>
      <w:color w:val="000000"/>
      <w:sz w:val="16"/>
      <w:szCs w:val="16"/>
    </w:rPr>
  </w:style>
  <w:style w:type="character" w:customStyle="1" w:styleId="A8">
    <w:name w:val="A8"/>
    <w:uiPriority w:val="99"/>
    <w:rsid w:val="00AD6EA5"/>
    <w:rPr>
      <w:rFonts w:cs="HelveticaNeueLT Std Lt"/>
      <w:color w:val="000000"/>
    </w:rPr>
  </w:style>
  <w:style w:type="character" w:customStyle="1" w:styleId="A10">
    <w:name w:val="A10"/>
    <w:uiPriority w:val="99"/>
    <w:rsid w:val="00AD6EA5"/>
    <w:rPr>
      <w:rFonts w:cs="HelveticaNeueLT Std Lt"/>
      <w:color w:val="000000"/>
      <w:sz w:val="9"/>
      <w:szCs w:val="9"/>
    </w:rPr>
  </w:style>
  <w:style w:type="paragraph" w:styleId="NormalWeb">
    <w:name w:val="Normal (Web)"/>
    <w:basedOn w:val="Normal"/>
    <w:uiPriority w:val="99"/>
    <w:unhideWhenUsed/>
    <w:rsid w:val="008B5802"/>
    <w:pPr>
      <w:spacing w:before="100" w:beforeAutospacing="1" w:after="100" w:afterAutospacing="1"/>
    </w:pPr>
    <w:rPr>
      <w:rFonts w:ascii="Times New Roman" w:eastAsia="Times New Roman" w:hAnsi="Times New Roman"/>
      <w:sz w:val="24"/>
      <w:szCs w:val="24"/>
      <w:lang w:eastAsia="en-AU"/>
    </w:rPr>
  </w:style>
  <w:style w:type="character" w:styleId="FollowedHyperlink">
    <w:name w:val="FollowedHyperlink"/>
    <w:uiPriority w:val="99"/>
    <w:semiHidden/>
    <w:unhideWhenUsed/>
    <w:rsid w:val="006C1CCB"/>
    <w:rPr>
      <w:color w:val="0048C7"/>
      <w:u w:val="single"/>
    </w:rPr>
  </w:style>
  <w:style w:type="table" w:customStyle="1" w:styleId="NOUS1">
    <w:name w:val="NOUS1"/>
    <w:basedOn w:val="TableNormal"/>
    <w:uiPriority w:val="99"/>
    <w:rsid w:val="003A3754"/>
    <w:rPr>
      <w:rFonts w:ascii="Segoe UI" w:hAnsi="Segoe UI"/>
      <w:sz w:val="17"/>
    </w:rPr>
    <w:tblPr>
      <w:tblBorders>
        <w:bottom w:val="single" w:sz="8" w:space="0" w:color="EDEDE8"/>
        <w:insideH w:val="single" w:sz="8" w:space="0" w:color="EDEDE8"/>
      </w:tblBorders>
      <w:tblCellMar>
        <w:top w:w="57" w:type="dxa"/>
        <w:left w:w="85" w:type="dxa"/>
        <w:bottom w:w="57" w:type="dxa"/>
        <w:right w:w="85" w:type="dxa"/>
      </w:tblCellMar>
    </w:tblPr>
    <w:tblStylePr w:type="firstRow">
      <w:rPr>
        <w:rFonts w:ascii="Wingdings" w:hAnsi="Wingdings"/>
        <w:b/>
        <w:color w:val="00264D"/>
        <w:sz w:val="18"/>
      </w:rPr>
      <w:tblPr/>
      <w:tcPr>
        <w:tcBorders>
          <w:top w:val="single" w:sz="24" w:space="0" w:color="F8981D"/>
          <w:left w:val="nil"/>
          <w:bottom w:val="nil"/>
          <w:right w:val="nil"/>
          <w:insideH w:val="nil"/>
          <w:insideV w:val="single" w:sz="8" w:space="0" w:color="FFFFFF"/>
          <w:tl2br w:val="nil"/>
          <w:tr2bl w:val="nil"/>
        </w:tcBorders>
        <w:shd w:val="clear" w:color="auto" w:fill="EDEDE8"/>
      </w:tcPr>
    </w:tblStylePr>
  </w:style>
  <w:style w:type="table" w:customStyle="1" w:styleId="Table1">
    <w:name w:val="Table1"/>
    <w:basedOn w:val="TableNormal"/>
    <w:next w:val="TableGrid"/>
    <w:uiPriority w:val="39"/>
    <w:rsid w:val="00A35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aliases w:val="Bullet point Char,Bullet text Char,Bulleted Para Char,Bullets Char,CV text Char,Dot pt Char,F5 List Paragraph Char,FooterText Char,L Char,List Paragraph1 Char,List Paragraph11 Char,List Paragraph111 Char,Recommendation Char"/>
    <w:link w:val="ColorfulList-Accent11"/>
    <w:uiPriority w:val="34"/>
    <w:qFormat/>
    <w:locked/>
    <w:rsid w:val="008B0483"/>
    <w:rPr>
      <w:rFonts w:ascii="Segoe UI" w:hAnsi="Segoe UI"/>
      <w:sz w:val="19"/>
      <w:lang w:val="en-AU"/>
    </w:rPr>
  </w:style>
  <w:style w:type="paragraph" w:customStyle="1" w:styleId="Pa8">
    <w:name w:val="Pa8"/>
    <w:basedOn w:val="Default"/>
    <w:next w:val="Default"/>
    <w:uiPriority w:val="99"/>
    <w:rsid w:val="0092318C"/>
    <w:pPr>
      <w:spacing w:line="201" w:lineRule="atLeast"/>
    </w:pPr>
    <w:rPr>
      <w:rFonts w:ascii="Gotham Book" w:hAnsi="Gotham Book" w:cs="Times New Roman"/>
      <w:color w:val="auto"/>
    </w:rPr>
  </w:style>
  <w:style w:type="paragraph" w:customStyle="1" w:styleId="Pa2">
    <w:name w:val="Pa2"/>
    <w:basedOn w:val="Default"/>
    <w:next w:val="Default"/>
    <w:uiPriority w:val="99"/>
    <w:rsid w:val="00431275"/>
    <w:pPr>
      <w:spacing w:line="181" w:lineRule="atLeast"/>
    </w:pPr>
    <w:rPr>
      <w:rFonts w:ascii="Gotham Book" w:hAnsi="Gotham Book" w:cs="Times New Roman"/>
      <w:color w:val="auto"/>
    </w:rPr>
  </w:style>
  <w:style w:type="character" w:styleId="Emphasis">
    <w:name w:val="Emphasis"/>
    <w:uiPriority w:val="20"/>
    <w:qFormat/>
    <w:rsid w:val="00387A49"/>
    <w:rPr>
      <w:b/>
      <w:bCs/>
      <w:i w:val="0"/>
      <w:iCs w:val="0"/>
    </w:rPr>
  </w:style>
  <w:style w:type="character" w:customStyle="1" w:styleId="st1">
    <w:name w:val="st1"/>
    <w:basedOn w:val="DefaultParagraphFont"/>
    <w:rsid w:val="00387A49"/>
  </w:style>
  <w:style w:type="character" w:styleId="Strong">
    <w:name w:val="Strong"/>
    <w:uiPriority w:val="22"/>
    <w:qFormat/>
    <w:rsid w:val="002275C1"/>
    <w:rPr>
      <w:b/>
      <w:bCs/>
    </w:rPr>
  </w:style>
  <w:style w:type="character" w:customStyle="1" w:styleId="m-991079458059465889gmail-msoendnotereference">
    <w:name w:val="m_-991079458059465889gmail-msoendnotereference"/>
    <w:rsid w:val="00D13526"/>
  </w:style>
  <w:style w:type="character" w:customStyle="1" w:styleId="articletitle">
    <w:name w:val="articletitle"/>
    <w:rsid w:val="00D640F5"/>
  </w:style>
  <w:style w:type="character" w:customStyle="1" w:styleId="pubyear">
    <w:name w:val="pubyear"/>
    <w:rsid w:val="00D640F5"/>
  </w:style>
  <w:style w:type="character" w:customStyle="1" w:styleId="vol3">
    <w:name w:val="vol3"/>
    <w:rsid w:val="00D640F5"/>
  </w:style>
  <w:style w:type="paragraph" w:styleId="Revision">
    <w:name w:val="Revision"/>
    <w:hidden/>
    <w:uiPriority w:val="71"/>
    <w:rsid w:val="00A12566"/>
    <w:rPr>
      <w:rFonts w:ascii="Segoe UI" w:hAnsi="Segoe UI"/>
      <w:sz w:val="19"/>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uiPriority="1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9" w:unhideWhenUsed="0"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C19F4"/>
    <w:pPr>
      <w:spacing w:after="120"/>
    </w:pPr>
    <w:rPr>
      <w:rFonts w:ascii="Segoe UI" w:hAnsi="Segoe UI"/>
      <w:sz w:val="19"/>
      <w:szCs w:val="22"/>
      <w:lang w:eastAsia="en-US"/>
    </w:rPr>
  </w:style>
  <w:style w:type="paragraph" w:styleId="Heading1">
    <w:name w:val="heading 1"/>
    <w:basedOn w:val="Normal"/>
    <w:next w:val="Normal"/>
    <w:link w:val="Heading1Char"/>
    <w:uiPriority w:val="1"/>
    <w:qFormat/>
    <w:rsid w:val="00297811"/>
    <w:pPr>
      <w:keepNext/>
      <w:spacing w:after="240" w:line="440" w:lineRule="exact"/>
      <w:outlineLvl w:val="0"/>
    </w:pPr>
    <w:rPr>
      <w:rFonts w:eastAsia="Times New Roman"/>
      <w:b/>
      <w:color w:val="00264D"/>
      <w:sz w:val="36"/>
      <w:szCs w:val="19"/>
      <w:lang w:eastAsia="en-AU"/>
    </w:rPr>
  </w:style>
  <w:style w:type="paragraph" w:styleId="Heading2">
    <w:name w:val="heading 2"/>
    <w:basedOn w:val="Normal"/>
    <w:next w:val="Normal"/>
    <w:link w:val="Heading2Char"/>
    <w:uiPriority w:val="1"/>
    <w:qFormat/>
    <w:rsid w:val="00A73A2D"/>
    <w:pPr>
      <w:keepNext/>
      <w:spacing w:before="480" w:after="180"/>
      <w:outlineLvl w:val="1"/>
    </w:pPr>
    <w:rPr>
      <w:rFonts w:ascii="Segoe UI Semibold" w:eastAsia="Times New Roman" w:hAnsi="Segoe UI Semibold"/>
      <w:color w:val="00264D"/>
      <w:sz w:val="30"/>
      <w:szCs w:val="19"/>
      <w:lang w:eastAsia="en-AU"/>
    </w:rPr>
  </w:style>
  <w:style w:type="paragraph" w:styleId="Heading3">
    <w:name w:val="heading 3"/>
    <w:basedOn w:val="Normal"/>
    <w:next w:val="Normal"/>
    <w:link w:val="Heading3Char"/>
    <w:uiPriority w:val="1"/>
    <w:qFormat/>
    <w:rsid w:val="00BA3DB6"/>
    <w:pPr>
      <w:keepNext/>
      <w:spacing w:before="480" w:after="60"/>
      <w:outlineLvl w:val="2"/>
    </w:pPr>
    <w:rPr>
      <w:rFonts w:ascii="Segoe UI Semibold" w:eastAsia="Times New Roman" w:hAnsi="Segoe UI Semibold"/>
      <w:color w:val="00264D"/>
      <w:sz w:val="26"/>
      <w:szCs w:val="19"/>
      <w:lang w:eastAsia="en-AU"/>
    </w:rPr>
  </w:style>
  <w:style w:type="paragraph" w:styleId="Heading4">
    <w:name w:val="heading 4"/>
    <w:basedOn w:val="Normal"/>
    <w:next w:val="Normal"/>
    <w:link w:val="Heading4Char"/>
    <w:uiPriority w:val="1"/>
    <w:qFormat/>
    <w:rsid w:val="00857803"/>
    <w:pPr>
      <w:keepNext/>
      <w:spacing w:before="240" w:after="60"/>
      <w:outlineLvl w:val="3"/>
    </w:pPr>
    <w:rPr>
      <w:rFonts w:ascii="Segoe UI Semibold" w:eastAsia="Times New Roman" w:hAnsi="Segoe UI Semibold"/>
      <w:color w:val="00264D"/>
      <w:sz w:val="20"/>
      <w:szCs w:val="19"/>
      <w:lang w:eastAsia="en-AU"/>
    </w:rPr>
  </w:style>
  <w:style w:type="paragraph" w:styleId="Heading5">
    <w:name w:val="heading 5"/>
    <w:basedOn w:val="Normal"/>
    <w:next w:val="Normal"/>
    <w:link w:val="Heading5Char"/>
    <w:uiPriority w:val="1"/>
    <w:qFormat/>
    <w:rsid w:val="00857803"/>
    <w:pPr>
      <w:keepNext/>
      <w:spacing w:before="240" w:after="60"/>
      <w:outlineLvl w:val="4"/>
    </w:pPr>
    <w:rPr>
      <w:rFonts w:eastAsia="Times New Roman"/>
      <w:b/>
      <w:color w:val="808080"/>
      <w:sz w:val="20"/>
      <w:szCs w:val="24"/>
      <w:lang w:eastAsia="en-AU"/>
    </w:rPr>
  </w:style>
  <w:style w:type="paragraph" w:styleId="Heading6">
    <w:name w:val="heading 6"/>
    <w:basedOn w:val="Normal"/>
    <w:next w:val="Normal"/>
    <w:link w:val="Heading6Char"/>
    <w:uiPriority w:val="19"/>
    <w:qFormat/>
    <w:rsid w:val="00BA3DB6"/>
    <w:pPr>
      <w:keepNext/>
      <w:keepLines/>
      <w:spacing w:before="200" w:after="60"/>
      <w:outlineLvl w:val="5"/>
    </w:pPr>
    <w:rPr>
      <w:rFonts w:eastAsia="Times New Roman"/>
      <w:b/>
      <w:i/>
      <w:iCs/>
      <w:color w:val="00264D"/>
      <w:szCs w:val="19"/>
      <w:lang w:eastAsia="en-AU"/>
    </w:rPr>
  </w:style>
  <w:style w:type="paragraph" w:styleId="Heading7">
    <w:name w:val="heading 7"/>
    <w:basedOn w:val="Normal"/>
    <w:next w:val="Normal"/>
    <w:link w:val="Heading7Char"/>
    <w:uiPriority w:val="19"/>
    <w:qFormat/>
    <w:rsid w:val="000137FA"/>
    <w:pPr>
      <w:keepNext/>
      <w:keepLines/>
      <w:spacing w:before="200" w:after="0"/>
      <w:outlineLvl w:val="6"/>
    </w:pPr>
    <w:rPr>
      <w:rFonts w:eastAsia="Times New Roman"/>
      <w:i/>
      <w:iCs/>
      <w:color w:val="404040"/>
      <w:szCs w:val="20"/>
      <w:lang w:val="x-none" w:eastAsia="x-none"/>
    </w:rPr>
  </w:style>
  <w:style w:type="paragraph" w:styleId="Heading8">
    <w:name w:val="heading 8"/>
    <w:basedOn w:val="Normal"/>
    <w:next w:val="Normal"/>
    <w:link w:val="Heading8Char"/>
    <w:uiPriority w:val="19"/>
    <w:qFormat/>
    <w:rsid w:val="000137FA"/>
    <w:pPr>
      <w:keepNext/>
      <w:keepLines/>
      <w:spacing w:before="200" w:after="0"/>
      <w:outlineLvl w:val="7"/>
    </w:pPr>
    <w:rPr>
      <w:rFonts w:eastAsia="Times New Roman"/>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usTable">
    <w:name w:val="Nous Table"/>
    <w:basedOn w:val="TableNormal"/>
    <w:uiPriority w:val="99"/>
    <w:rsid w:val="00653916"/>
    <w:rPr>
      <w:rFonts w:eastAsia="Times New Roman"/>
    </w:rPr>
    <w:tblPr>
      <w:tblStyleRowBandSize w:val="1"/>
      <w:jc w:val="center"/>
      <w:tblBorders>
        <w:insideH w:val="single" w:sz="4" w:space="0" w:color="FF888B"/>
        <w:insideV w:val="single" w:sz="4" w:space="0" w:color="FF888B"/>
      </w:tblBorders>
    </w:tblPr>
    <w:trPr>
      <w:cantSplit/>
      <w:jc w:val="center"/>
    </w:trPr>
    <w:tcPr>
      <w:tcMar>
        <w:top w:w="57" w:type="dxa"/>
        <w:left w:w="57" w:type="dxa"/>
        <w:bottom w:w="57" w:type="dxa"/>
        <w:right w:w="57" w:type="dxa"/>
      </w:tcMar>
      <w:vAlign w:val="center"/>
    </w:tcPr>
    <w:tblStylePr w:type="firstRow">
      <w:pPr>
        <w:keepNext/>
        <w:wordWrap/>
      </w:pPr>
      <w:rPr>
        <w:b w:val="0"/>
        <w:color w:val="FFFFFF"/>
      </w:rPr>
      <w:tblPr/>
      <w:trPr>
        <w:tblHeader/>
      </w:trPr>
      <w:tcPr>
        <w:shd w:val="clear" w:color="auto" w:fill="FF3A40"/>
      </w:tcPr>
    </w:tblStylePr>
    <w:tblStylePr w:type="lastRow">
      <w:tblPr/>
      <w:tcPr>
        <w:tcBorders>
          <w:top w:val="double" w:sz="4" w:space="0" w:color="FF3A40"/>
        </w:tcBorders>
      </w:tcPr>
    </w:tblStylePr>
    <w:tblStylePr w:type="firstCol">
      <w:rPr>
        <w:b w:val="0"/>
        <w:color w:val="FFFFFF"/>
      </w:rPr>
      <w:tblPr/>
      <w:tcPr>
        <w:shd w:val="clear" w:color="auto" w:fill="FF3A40"/>
      </w:tcPr>
    </w:tblStylePr>
    <w:tblStylePr w:type="lastCol">
      <w:tblPr/>
      <w:tcPr>
        <w:tcBorders>
          <w:left w:val="double" w:sz="4" w:space="0" w:color="FF3A40"/>
        </w:tcBorders>
      </w:tcPr>
    </w:tblStylePr>
  </w:style>
  <w:style w:type="character" w:customStyle="1" w:styleId="Heading1Char">
    <w:name w:val="Heading 1 Char"/>
    <w:link w:val="Heading1"/>
    <w:uiPriority w:val="1"/>
    <w:rsid w:val="008C19F4"/>
    <w:rPr>
      <w:rFonts w:ascii="Segoe UI" w:eastAsia="Times New Roman" w:hAnsi="Segoe UI" w:cs="Times New Roman"/>
      <w:b/>
      <w:color w:val="00264D"/>
      <w:sz w:val="36"/>
      <w:szCs w:val="19"/>
      <w:lang w:val="en-AU" w:eastAsia="en-AU"/>
    </w:rPr>
  </w:style>
  <w:style w:type="character" w:customStyle="1" w:styleId="Heading2Char">
    <w:name w:val="Heading 2 Char"/>
    <w:link w:val="Heading2"/>
    <w:uiPriority w:val="1"/>
    <w:rsid w:val="008C19F4"/>
    <w:rPr>
      <w:rFonts w:ascii="Segoe UI Semibold" w:eastAsia="Times New Roman" w:hAnsi="Segoe UI Semibold" w:cs="Times New Roman"/>
      <w:color w:val="00264D"/>
      <w:sz w:val="30"/>
      <w:szCs w:val="19"/>
      <w:lang w:val="en-AU" w:eastAsia="en-AU"/>
    </w:rPr>
  </w:style>
  <w:style w:type="character" w:customStyle="1" w:styleId="Heading3Char">
    <w:name w:val="Heading 3 Char"/>
    <w:link w:val="Heading3"/>
    <w:uiPriority w:val="1"/>
    <w:rsid w:val="008C19F4"/>
    <w:rPr>
      <w:rFonts w:ascii="Segoe UI Semibold" w:eastAsia="Times New Roman" w:hAnsi="Segoe UI Semibold" w:cs="Times New Roman"/>
      <w:color w:val="00264D"/>
      <w:sz w:val="26"/>
      <w:szCs w:val="19"/>
      <w:lang w:val="en-AU" w:eastAsia="en-AU"/>
    </w:rPr>
  </w:style>
  <w:style w:type="character" w:customStyle="1" w:styleId="Heading4Char">
    <w:name w:val="Heading 4 Char"/>
    <w:link w:val="Heading4"/>
    <w:uiPriority w:val="1"/>
    <w:rsid w:val="008C19F4"/>
    <w:rPr>
      <w:rFonts w:ascii="Segoe UI Semibold" w:eastAsia="Times New Roman" w:hAnsi="Segoe UI Semibold" w:cs="Times New Roman"/>
      <w:color w:val="00264D"/>
      <w:szCs w:val="19"/>
      <w:lang w:val="en-AU" w:eastAsia="en-AU"/>
    </w:rPr>
  </w:style>
  <w:style w:type="character" w:customStyle="1" w:styleId="Heading5Char">
    <w:name w:val="Heading 5 Char"/>
    <w:link w:val="Heading5"/>
    <w:uiPriority w:val="1"/>
    <w:rsid w:val="008C19F4"/>
    <w:rPr>
      <w:rFonts w:ascii="Segoe UI" w:eastAsia="Times New Roman" w:hAnsi="Segoe UI" w:cs="Times New Roman"/>
      <w:b/>
      <w:color w:val="808080"/>
      <w:sz w:val="20"/>
      <w:szCs w:val="24"/>
      <w:lang w:val="en-AU" w:eastAsia="en-AU"/>
    </w:rPr>
  </w:style>
  <w:style w:type="character" w:customStyle="1" w:styleId="Heading6Char">
    <w:name w:val="Heading 6 Char"/>
    <w:link w:val="Heading6"/>
    <w:uiPriority w:val="19"/>
    <w:semiHidden/>
    <w:rsid w:val="008C19F4"/>
    <w:rPr>
      <w:rFonts w:ascii="Segoe UI" w:eastAsia="Times New Roman" w:hAnsi="Segoe UI" w:cs="Times New Roman"/>
      <w:b/>
      <w:i/>
      <w:iCs/>
      <w:color w:val="00264D"/>
      <w:sz w:val="19"/>
      <w:szCs w:val="19"/>
      <w:lang w:val="en-AU" w:eastAsia="en-AU"/>
    </w:rPr>
  </w:style>
  <w:style w:type="paragraph" w:customStyle="1" w:styleId="Bullet">
    <w:name w:val="Bullet"/>
    <w:basedOn w:val="Normal"/>
    <w:link w:val="BulletChar"/>
    <w:uiPriority w:val="2"/>
    <w:qFormat/>
    <w:rsid w:val="00E20B2B"/>
    <w:pPr>
      <w:suppressAutoHyphens/>
    </w:pPr>
    <w:rPr>
      <w:rFonts w:eastAsia="Times New Roman"/>
      <w:szCs w:val="19"/>
      <w:lang w:eastAsia="en-AU"/>
    </w:rPr>
  </w:style>
  <w:style w:type="paragraph" w:customStyle="1" w:styleId="TableNheader">
    <w:name w:val="Table N header"/>
    <w:basedOn w:val="Heading5"/>
    <w:uiPriority w:val="1"/>
    <w:qFormat/>
    <w:rsid w:val="00294C7F"/>
    <w:pPr>
      <w:spacing w:before="40" w:after="40"/>
    </w:pPr>
    <w:rPr>
      <w:rFonts w:ascii="Segoe UI Semibold" w:hAnsi="Segoe UI Semibold"/>
      <w:b w:val="0"/>
      <w:color w:val="00264D"/>
      <w:sz w:val="18"/>
    </w:rPr>
  </w:style>
  <w:style w:type="paragraph" w:customStyle="1" w:styleId="TableNText">
    <w:name w:val="Table N Text"/>
    <w:basedOn w:val="TableNheader"/>
    <w:link w:val="TableNTextChar"/>
    <w:uiPriority w:val="9"/>
    <w:qFormat/>
    <w:rsid w:val="00294C7F"/>
    <w:rPr>
      <w:rFonts w:ascii="Segoe UI" w:hAnsi="Segoe UI"/>
      <w:color w:val="auto"/>
      <w:sz w:val="17"/>
    </w:rPr>
  </w:style>
  <w:style w:type="paragraph" w:styleId="Header">
    <w:name w:val="header"/>
    <w:basedOn w:val="Normal"/>
    <w:link w:val="HeaderChar"/>
    <w:uiPriority w:val="99"/>
    <w:unhideWhenUsed/>
    <w:rsid w:val="00302076"/>
    <w:pPr>
      <w:tabs>
        <w:tab w:val="center" w:pos="4513"/>
        <w:tab w:val="right" w:pos="9026"/>
      </w:tabs>
      <w:spacing w:after="0"/>
    </w:pPr>
    <w:rPr>
      <w:szCs w:val="20"/>
      <w:lang w:val="x-none" w:eastAsia="x-none"/>
    </w:rPr>
  </w:style>
  <w:style w:type="character" w:customStyle="1" w:styleId="HeaderChar">
    <w:name w:val="Header Char"/>
    <w:link w:val="Header"/>
    <w:uiPriority w:val="99"/>
    <w:rsid w:val="00302076"/>
    <w:rPr>
      <w:rFonts w:ascii="Segoe UI" w:hAnsi="Segoe UI"/>
      <w:sz w:val="19"/>
    </w:rPr>
  </w:style>
  <w:style w:type="paragraph" w:styleId="Footer">
    <w:name w:val="footer"/>
    <w:basedOn w:val="Normal"/>
    <w:link w:val="FooterChar"/>
    <w:uiPriority w:val="99"/>
    <w:unhideWhenUsed/>
    <w:rsid w:val="00302076"/>
    <w:pPr>
      <w:tabs>
        <w:tab w:val="center" w:pos="4513"/>
        <w:tab w:val="right" w:pos="9026"/>
      </w:tabs>
      <w:spacing w:after="0"/>
    </w:pPr>
    <w:rPr>
      <w:szCs w:val="20"/>
      <w:lang w:val="x-none" w:eastAsia="x-none"/>
    </w:rPr>
  </w:style>
  <w:style w:type="character" w:customStyle="1" w:styleId="FooterChar">
    <w:name w:val="Footer Char"/>
    <w:link w:val="Footer"/>
    <w:uiPriority w:val="99"/>
    <w:rsid w:val="00302076"/>
    <w:rPr>
      <w:rFonts w:ascii="Segoe UI" w:hAnsi="Segoe UI"/>
      <w:sz w:val="19"/>
    </w:rPr>
  </w:style>
  <w:style w:type="paragraph" w:styleId="Caption">
    <w:name w:val="caption"/>
    <w:basedOn w:val="Normal"/>
    <w:next w:val="Normal"/>
    <w:uiPriority w:val="39"/>
    <w:qFormat/>
    <w:rsid w:val="00294C7F"/>
    <w:pPr>
      <w:spacing w:before="360"/>
    </w:pPr>
    <w:rPr>
      <w:rFonts w:ascii="Segoe UI Semibold" w:hAnsi="Segoe UI Semibold"/>
      <w:bCs/>
      <w:color w:val="00264D"/>
      <w:sz w:val="20"/>
      <w:szCs w:val="18"/>
    </w:rPr>
  </w:style>
  <w:style w:type="paragraph" w:customStyle="1" w:styleId="TableNBullet">
    <w:name w:val="Table N Bullet"/>
    <w:basedOn w:val="Bullet"/>
    <w:link w:val="TableNBulletChar"/>
    <w:uiPriority w:val="3"/>
    <w:qFormat/>
    <w:rsid w:val="0073030E"/>
    <w:pPr>
      <w:numPr>
        <w:numId w:val="5"/>
      </w:numPr>
      <w:spacing w:before="40" w:after="40"/>
    </w:pPr>
    <w:rPr>
      <w:sz w:val="17"/>
    </w:rPr>
  </w:style>
  <w:style w:type="paragraph" w:customStyle="1" w:styleId="TableNListnumbered">
    <w:name w:val="Table N List (numbered)"/>
    <w:basedOn w:val="TableNBullet"/>
    <w:uiPriority w:val="2"/>
    <w:qFormat/>
    <w:rsid w:val="0029320C"/>
    <w:pPr>
      <w:numPr>
        <w:numId w:val="1"/>
      </w:numPr>
      <w:ind w:left="170" w:hanging="170"/>
    </w:pPr>
  </w:style>
  <w:style w:type="paragraph" w:customStyle="1" w:styleId="xAppendixLevel1">
    <w:name w:val="xAppendix Level 1"/>
    <w:basedOn w:val="Heading1"/>
    <w:next w:val="Normal"/>
    <w:uiPriority w:val="98"/>
    <w:qFormat/>
    <w:rsid w:val="0004033A"/>
    <w:pPr>
      <w:pageBreakBefore/>
      <w:numPr>
        <w:numId w:val="2"/>
      </w:numPr>
      <w:ind w:hanging="2410"/>
      <w:jc w:val="both"/>
    </w:pPr>
    <w:rPr>
      <w:rFonts w:cs="Segoe UI"/>
      <w:bCs/>
      <w:szCs w:val="36"/>
    </w:rPr>
  </w:style>
  <w:style w:type="paragraph" w:customStyle="1" w:styleId="xAppendixLevel2">
    <w:name w:val="xAppendix Level 2"/>
    <w:basedOn w:val="Heading2"/>
    <w:next w:val="Normal"/>
    <w:uiPriority w:val="98"/>
    <w:qFormat/>
    <w:rsid w:val="002B5822"/>
    <w:pPr>
      <w:ind w:left="2410" w:hanging="2268"/>
    </w:pPr>
    <w:rPr>
      <w:bCs/>
      <w:sz w:val="34"/>
    </w:rPr>
  </w:style>
  <w:style w:type="paragraph" w:customStyle="1" w:styleId="xAppendixLevel3">
    <w:name w:val="xAppendix Level 3"/>
    <w:basedOn w:val="Heading3"/>
    <w:next w:val="Normal"/>
    <w:uiPriority w:val="98"/>
    <w:qFormat/>
    <w:rsid w:val="002B5822"/>
    <w:pPr>
      <w:ind w:left="2410" w:hanging="2268"/>
    </w:pPr>
    <w:rPr>
      <w:bCs/>
    </w:rPr>
  </w:style>
  <w:style w:type="paragraph" w:customStyle="1" w:styleId="Listnumbered">
    <w:name w:val="List (numbered)"/>
    <w:basedOn w:val="Normal"/>
    <w:uiPriority w:val="1"/>
    <w:qFormat/>
    <w:rsid w:val="00294C7F"/>
    <w:pPr>
      <w:numPr>
        <w:numId w:val="4"/>
      </w:numPr>
    </w:pPr>
  </w:style>
  <w:style w:type="paragraph" w:customStyle="1" w:styleId="Figure">
    <w:name w:val="Figure"/>
    <w:basedOn w:val="Normal"/>
    <w:next w:val="Normal"/>
    <w:uiPriority w:val="40"/>
    <w:unhideWhenUsed/>
    <w:rsid w:val="0020000D"/>
    <w:pPr>
      <w:jc w:val="center"/>
    </w:pPr>
    <w:rPr>
      <w:rFonts w:eastAsia="Times New Roman"/>
      <w:szCs w:val="19"/>
      <w:lang w:eastAsia="en-AU"/>
    </w:rPr>
  </w:style>
  <w:style w:type="paragraph" w:customStyle="1" w:styleId="Source">
    <w:name w:val="Source"/>
    <w:basedOn w:val="Normal"/>
    <w:next w:val="Normal"/>
    <w:link w:val="SourceChar"/>
    <w:uiPriority w:val="39"/>
    <w:rsid w:val="0020000D"/>
    <w:pPr>
      <w:spacing w:before="120" w:after="240"/>
      <w:jc w:val="center"/>
    </w:pPr>
    <w:rPr>
      <w:rFonts w:eastAsia="Times New Roman"/>
      <w:i/>
      <w:sz w:val="17"/>
      <w:szCs w:val="19"/>
      <w:lang w:eastAsia="en-AU"/>
    </w:rPr>
  </w:style>
  <w:style w:type="character" w:customStyle="1" w:styleId="SourceChar">
    <w:name w:val="Source Char"/>
    <w:link w:val="Source"/>
    <w:uiPriority w:val="39"/>
    <w:rsid w:val="0020000D"/>
    <w:rPr>
      <w:rFonts w:ascii="Segoe UI" w:eastAsia="Times New Roman" w:hAnsi="Segoe UI" w:cs="Times New Roman"/>
      <w:i/>
      <w:sz w:val="17"/>
      <w:szCs w:val="19"/>
      <w:lang w:val="en-AU" w:eastAsia="en-AU"/>
    </w:rPr>
  </w:style>
  <w:style w:type="paragraph" w:customStyle="1" w:styleId="TableExpbullet">
    <w:name w:val="Table Exp bullet"/>
    <w:basedOn w:val="TableNBullet"/>
    <w:uiPriority w:val="3"/>
    <w:qFormat/>
    <w:rsid w:val="00A10340"/>
    <w:pPr>
      <w:numPr>
        <w:numId w:val="3"/>
      </w:numPr>
    </w:pPr>
    <w:rPr>
      <w:sz w:val="16"/>
    </w:rPr>
  </w:style>
  <w:style w:type="paragraph" w:customStyle="1" w:styleId="Tableexpheader">
    <w:name w:val="Table exp header"/>
    <w:basedOn w:val="TableNheader"/>
    <w:uiPriority w:val="2"/>
    <w:qFormat/>
    <w:rsid w:val="0029320C"/>
    <w:rPr>
      <w:sz w:val="17"/>
    </w:rPr>
  </w:style>
  <w:style w:type="paragraph" w:customStyle="1" w:styleId="TableexpListnumbered">
    <w:name w:val="Table exp List (numbered)"/>
    <w:basedOn w:val="TableNListnumbered"/>
    <w:uiPriority w:val="3"/>
    <w:qFormat/>
    <w:rsid w:val="0029320C"/>
    <w:rPr>
      <w:sz w:val="16"/>
    </w:rPr>
  </w:style>
  <w:style w:type="paragraph" w:customStyle="1" w:styleId="TableExpText">
    <w:name w:val="Table Exp Text"/>
    <w:basedOn w:val="TableNText"/>
    <w:uiPriority w:val="2"/>
    <w:qFormat/>
    <w:rsid w:val="0029320C"/>
    <w:rPr>
      <w:sz w:val="16"/>
    </w:rPr>
  </w:style>
  <w:style w:type="character" w:customStyle="1" w:styleId="Heading7Char">
    <w:name w:val="Heading 7 Char"/>
    <w:link w:val="Heading7"/>
    <w:uiPriority w:val="19"/>
    <w:semiHidden/>
    <w:rsid w:val="000137FA"/>
    <w:rPr>
      <w:rFonts w:ascii="Segoe UI" w:eastAsia="Times New Roman" w:hAnsi="Segoe UI" w:cs="Times New Roman"/>
      <w:i/>
      <w:iCs/>
      <w:color w:val="404040"/>
      <w:sz w:val="19"/>
    </w:rPr>
  </w:style>
  <w:style w:type="paragraph" w:customStyle="1" w:styleId="TableText">
    <w:name w:val="Table Text"/>
    <w:link w:val="TableTextChar"/>
    <w:uiPriority w:val="1"/>
    <w:rsid w:val="00653916"/>
    <w:pPr>
      <w:spacing w:before="40" w:after="40"/>
    </w:pPr>
    <w:rPr>
      <w:rFonts w:ascii="Segoe UI" w:eastAsia="Times New Roman" w:hAnsi="Segoe UI"/>
      <w:sz w:val="17"/>
      <w:szCs w:val="19"/>
    </w:rPr>
  </w:style>
  <w:style w:type="paragraph" w:customStyle="1" w:styleId="Tablecolumnheading">
    <w:name w:val="Table column heading"/>
    <w:basedOn w:val="Normal"/>
    <w:link w:val="TablecolumnheadingChar"/>
    <w:uiPriority w:val="1"/>
    <w:rsid w:val="00653916"/>
    <w:pPr>
      <w:keepNext/>
      <w:spacing w:before="40" w:after="40"/>
    </w:pPr>
    <w:rPr>
      <w:rFonts w:ascii="Segoe UI Semibold" w:eastAsia="Times New Roman" w:hAnsi="Segoe UI Semibold"/>
      <w:color w:val="00264D"/>
      <w:sz w:val="18"/>
      <w:szCs w:val="17"/>
      <w:lang w:eastAsia="en-AU"/>
    </w:rPr>
  </w:style>
  <w:style w:type="character" w:customStyle="1" w:styleId="TableTextChar">
    <w:name w:val="Table Text Char"/>
    <w:link w:val="TableText"/>
    <w:uiPriority w:val="1"/>
    <w:rsid w:val="00653916"/>
    <w:rPr>
      <w:rFonts w:ascii="Segoe UI" w:eastAsia="Times New Roman" w:hAnsi="Segoe UI"/>
      <w:sz w:val="17"/>
      <w:szCs w:val="19"/>
      <w:lang w:val="en-AU" w:eastAsia="en-AU" w:bidi="ar-SA"/>
    </w:rPr>
  </w:style>
  <w:style w:type="character" w:customStyle="1" w:styleId="TablecolumnheadingChar">
    <w:name w:val="Table column heading Char"/>
    <w:link w:val="Tablecolumnheading"/>
    <w:uiPriority w:val="1"/>
    <w:rsid w:val="00653916"/>
    <w:rPr>
      <w:rFonts w:ascii="Segoe UI Semibold" w:eastAsia="Times New Roman" w:hAnsi="Segoe UI Semibold" w:cs="Times New Roman"/>
      <w:color w:val="00264D"/>
      <w:sz w:val="18"/>
      <w:szCs w:val="17"/>
      <w:lang w:val="en-AU" w:eastAsia="en-AU"/>
    </w:rPr>
  </w:style>
  <w:style w:type="table" w:customStyle="1" w:styleId="Style1">
    <w:name w:val="Style1"/>
    <w:basedOn w:val="TableNormal"/>
    <w:uiPriority w:val="99"/>
    <w:rsid w:val="00653916"/>
    <w:tblPr/>
    <w:tcPr>
      <w:shd w:val="clear" w:color="auto" w:fill="EDEDE8"/>
    </w:tcPr>
  </w:style>
  <w:style w:type="paragraph" w:styleId="BalloonText">
    <w:name w:val="Balloon Text"/>
    <w:basedOn w:val="Normal"/>
    <w:link w:val="BalloonTextChar"/>
    <w:uiPriority w:val="99"/>
    <w:semiHidden/>
    <w:unhideWhenUsed/>
    <w:rsid w:val="00037C03"/>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037C03"/>
    <w:rPr>
      <w:rFonts w:ascii="Tahoma" w:hAnsi="Tahoma" w:cs="Tahoma"/>
      <w:sz w:val="16"/>
      <w:szCs w:val="16"/>
    </w:rPr>
  </w:style>
  <w:style w:type="paragraph" w:customStyle="1" w:styleId="URL-groupcomau">
    <w:name w:val="URL - group.com.au"/>
    <w:basedOn w:val="Normal"/>
    <w:link w:val="URL-groupcomauChar"/>
    <w:uiPriority w:val="89"/>
    <w:semiHidden/>
    <w:qFormat/>
    <w:rsid w:val="00FD4AB1"/>
    <w:pPr>
      <w:spacing w:after="0"/>
    </w:pPr>
    <w:rPr>
      <w:rFonts w:eastAsia="Times New Roman"/>
      <w:color w:val="2E368F"/>
      <w:spacing w:val="20"/>
      <w:sz w:val="14"/>
      <w:szCs w:val="19"/>
      <w:lang w:eastAsia="en-AU"/>
    </w:rPr>
  </w:style>
  <w:style w:type="character" w:customStyle="1" w:styleId="URL-groupcomauChar">
    <w:name w:val="URL - group.com.au Char"/>
    <w:link w:val="URL-groupcomau"/>
    <w:uiPriority w:val="89"/>
    <w:semiHidden/>
    <w:rsid w:val="00FD4AB1"/>
    <w:rPr>
      <w:rFonts w:ascii="Segoe UI" w:eastAsia="Times New Roman" w:hAnsi="Segoe UI" w:cs="Times New Roman"/>
      <w:color w:val="2E368F"/>
      <w:spacing w:val="20"/>
      <w:sz w:val="14"/>
      <w:szCs w:val="19"/>
      <w:lang w:val="en-AU" w:eastAsia="en-AU"/>
    </w:rPr>
  </w:style>
  <w:style w:type="paragraph" w:customStyle="1" w:styleId="URL-nous">
    <w:name w:val="URL - nous"/>
    <w:basedOn w:val="Normal"/>
    <w:link w:val="URL-nousChar"/>
    <w:uiPriority w:val="89"/>
    <w:semiHidden/>
    <w:qFormat/>
    <w:rsid w:val="00FD4AB1"/>
    <w:pPr>
      <w:spacing w:after="0"/>
    </w:pPr>
    <w:rPr>
      <w:rFonts w:eastAsia="Times New Roman"/>
      <w:color w:val="FF3A40"/>
      <w:spacing w:val="20"/>
      <w:sz w:val="14"/>
      <w:szCs w:val="19"/>
      <w:lang w:eastAsia="en-AU"/>
    </w:rPr>
  </w:style>
  <w:style w:type="character" w:customStyle="1" w:styleId="URL-nousChar">
    <w:name w:val="URL - nous Char"/>
    <w:link w:val="URL-nous"/>
    <w:uiPriority w:val="89"/>
    <w:semiHidden/>
    <w:rsid w:val="00FD4AB1"/>
    <w:rPr>
      <w:rFonts w:ascii="Segoe UI" w:eastAsia="Times New Roman" w:hAnsi="Segoe UI" w:cs="Times New Roman"/>
      <w:color w:val="FF3A40"/>
      <w:spacing w:val="20"/>
      <w:sz w:val="14"/>
      <w:szCs w:val="19"/>
      <w:lang w:val="en-AU" w:eastAsia="en-AU"/>
    </w:rPr>
  </w:style>
  <w:style w:type="paragraph" w:customStyle="1" w:styleId="ContentsHeading">
    <w:name w:val="Contents Heading"/>
    <w:basedOn w:val="Normal"/>
    <w:rsid w:val="00CF7BA0"/>
    <w:pPr>
      <w:spacing w:before="360" w:after="600"/>
    </w:pPr>
    <w:rPr>
      <w:rFonts w:eastAsia="Times New Roman" w:cs="Segoe UI"/>
      <w:b/>
      <w:color w:val="00264D"/>
      <w:sz w:val="36"/>
      <w:szCs w:val="36"/>
      <w:lang w:eastAsia="en-AU"/>
    </w:rPr>
  </w:style>
  <w:style w:type="paragraph" w:styleId="BodyText">
    <w:name w:val="Body Text"/>
    <w:basedOn w:val="Normal"/>
    <w:link w:val="BodyTextChar"/>
    <w:uiPriority w:val="1"/>
    <w:rsid w:val="00621CEB"/>
    <w:pPr>
      <w:widowControl w:val="0"/>
    </w:pPr>
    <w:rPr>
      <w:rFonts w:eastAsia="Source Sans Pro Light"/>
      <w:szCs w:val="17"/>
      <w:lang w:val="x-none" w:eastAsia="x-none"/>
    </w:rPr>
  </w:style>
  <w:style w:type="character" w:customStyle="1" w:styleId="BodyTextChar">
    <w:name w:val="Body Text Char"/>
    <w:link w:val="BodyText"/>
    <w:uiPriority w:val="1"/>
    <w:rsid w:val="00621CEB"/>
    <w:rPr>
      <w:rFonts w:ascii="Segoe UI" w:eastAsia="Source Sans Pro Light" w:hAnsi="Segoe UI"/>
      <w:sz w:val="19"/>
      <w:szCs w:val="17"/>
    </w:rPr>
  </w:style>
  <w:style w:type="character" w:customStyle="1" w:styleId="BulletChar">
    <w:name w:val="Bullet Char"/>
    <w:link w:val="Bullet"/>
    <w:uiPriority w:val="2"/>
    <w:rsid w:val="00E20B2B"/>
    <w:rPr>
      <w:rFonts w:ascii="Segoe UI" w:eastAsia="Times New Roman" w:hAnsi="Segoe UI" w:cs="Times New Roman"/>
      <w:sz w:val="19"/>
      <w:szCs w:val="19"/>
      <w:lang w:val="en-AU" w:eastAsia="en-AU"/>
    </w:rPr>
  </w:style>
  <w:style w:type="paragraph" w:customStyle="1" w:styleId="Sectiondividerheading">
    <w:name w:val="Section divider heading"/>
    <w:basedOn w:val="Normal"/>
    <w:link w:val="SectiondividerheadingChar"/>
    <w:uiPriority w:val="1"/>
    <w:qFormat/>
    <w:rsid w:val="00A10340"/>
    <w:pPr>
      <w:spacing w:after="0"/>
    </w:pPr>
    <w:rPr>
      <w:rFonts w:eastAsia="Source Sans Pro"/>
      <w:b/>
      <w:bCs/>
      <w:color w:val="F8981D"/>
      <w:sz w:val="56"/>
      <w:szCs w:val="56"/>
      <w:lang w:eastAsia="en-AU"/>
    </w:rPr>
  </w:style>
  <w:style w:type="character" w:customStyle="1" w:styleId="SectiondividerheadingChar">
    <w:name w:val="Section divider heading Char"/>
    <w:link w:val="Sectiondividerheading"/>
    <w:uiPriority w:val="1"/>
    <w:rsid w:val="00A10340"/>
    <w:rPr>
      <w:rFonts w:ascii="Segoe UI" w:eastAsia="Source Sans Pro" w:hAnsi="Segoe UI" w:cs="Segoe UI"/>
      <w:b/>
      <w:bCs/>
      <w:color w:val="F8981D"/>
      <w:sz w:val="56"/>
      <w:szCs w:val="56"/>
      <w:lang w:val="en-AU" w:eastAsia="en-AU"/>
    </w:rPr>
  </w:style>
  <w:style w:type="paragraph" w:styleId="TOC2">
    <w:name w:val="toc 2"/>
    <w:basedOn w:val="Normal"/>
    <w:next w:val="Normal"/>
    <w:autoRedefine/>
    <w:uiPriority w:val="39"/>
    <w:unhideWhenUsed/>
    <w:rsid w:val="008A4363"/>
    <w:pPr>
      <w:spacing w:after="100"/>
      <w:ind w:left="190"/>
    </w:pPr>
  </w:style>
  <w:style w:type="paragraph" w:styleId="TOC1">
    <w:name w:val="toc 1"/>
    <w:basedOn w:val="Normal"/>
    <w:next w:val="Normal"/>
    <w:autoRedefine/>
    <w:uiPriority w:val="39"/>
    <w:unhideWhenUsed/>
    <w:rsid w:val="00A42CAD"/>
    <w:pPr>
      <w:tabs>
        <w:tab w:val="left" w:pos="380"/>
        <w:tab w:val="right" w:leader="dot" w:pos="8920"/>
      </w:tabs>
      <w:spacing w:after="100"/>
    </w:pPr>
    <w:rPr>
      <w:rFonts w:eastAsia="Times New Roman"/>
      <w:noProof/>
      <w:lang w:eastAsia="en-AU"/>
    </w:rPr>
  </w:style>
  <w:style w:type="character" w:styleId="Hyperlink">
    <w:name w:val="Hyperlink"/>
    <w:uiPriority w:val="99"/>
    <w:unhideWhenUsed/>
    <w:rsid w:val="008A4363"/>
    <w:rPr>
      <w:color w:val="0048C7"/>
      <w:u w:val="single"/>
    </w:rPr>
  </w:style>
  <w:style w:type="table" w:styleId="TableGrid">
    <w:name w:val="Table Grid"/>
    <w:aliases w:val="Table"/>
    <w:basedOn w:val="TableNormal"/>
    <w:uiPriority w:val="39"/>
    <w:rsid w:val="00547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5">
    <w:name w:val="Colorful Shading Accent 5"/>
    <w:basedOn w:val="TableNormal"/>
    <w:uiPriority w:val="62"/>
    <w:rsid w:val="00071DFF"/>
    <w:tblPr>
      <w:tblStyleRowBandSize w:val="1"/>
      <w:tblStyleColBandSize w:val="1"/>
      <w:tblBorders>
        <w:top w:val="single" w:sz="8" w:space="0" w:color="EDEDE8"/>
        <w:left w:val="single" w:sz="8" w:space="0" w:color="EDEDE8"/>
        <w:bottom w:val="single" w:sz="8" w:space="0" w:color="EDEDE8"/>
        <w:right w:val="single" w:sz="8" w:space="0" w:color="EDEDE8"/>
        <w:insideH w:val="single" w:sz="8" w:space="0" w:color="EDEDE8"/>
        <w:insideV w:val="single" w:sz="8" w:space="0" w:color="EDEDE8"/>
      </w:tblBorders>
    </w:tblPr>
    <w:tblStylePr w:type="firstRow">
      <w:pPr>
        <w:spacing w:before="0" w:after="0" w:line="240" w:lineRule="auto"/>
      </w:pPr>
      <w:rPr>
        <w:rFonts w:ascii="Wingdings" w:eastAsia="Times New Roman" w:hAnsi="Wingdings" w:cs="Times New Roman"/>
        <w:b/>
        <w:bCs/>
      </w:rPr>
      <w:tblPr/>
      <w:tcPr>
        <w:tcBorders>
          <w:top w:val="single" w:sz="8" w:space="0" w:color="EDEDE8"/>
          <w:left w:val="single" w:sz="8" w:space="0" w:color="EDEDE8"/>
          <w:bottom w:val="single" w:sz="18" w:space="0" w:color="EDEDE8"/>
          <w:right w:val="single" w:sz="8" w:space="0" w:color="EDEDE8"/>
          <w:insideH w:val="nil"/>
          <w:insideV w:val="single" w:sz="8" w:space="0" w:color="EDEDE8"/>
        </w:tcBorders>
      </w:tcPr>
    </w:tblStylePr>
    <w:tblStylePr w:type="lastRow">
      <w:pPr>
        <w:spacing w:before="0" w:after="0" w:line="240" w:lineRule="auto"/>
      </w:pPr>
      <w:rPr>
        <w:rFonts w:ascii="Wingdings" w:eastAsia="Times New Roman" w:hAnsi="Wingdings" w:cs="Times New Roman"/>
        <w:b/>
        <w:bCs/>
      </w:rPr>
      <w:tblPr/>
      <w:tcPr>
        <w:tcBorders>
          <w:top w:val="double" w:sz="6" w:space="0" w:color="EDEDE8"/>
          <w:left w:val="single" w:sz="8" w:space="0" w:color="EDEDE8"/>
          <w:bottom w:val="single" w:sz="8" w:space="0" w:color="EDEDE8"/>
          <w:right w:val="single" w:sz="8" w:space="0" w:color="EDEDE8"/>
          <w:insideH w:val="nil"/>
          <w:insideV w:val="single" w:sz="8" w:space="0" w:color="EDEDE8"/>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EDEDE8"/>
          <w:left w:val="single" w:sz="8" w:space="0" w:color="EDEDE8"/>
          <w:bottom w:val="single" w:sz="8" w:space="0" w:color="EDEDE8"/>
          <w:right w:val="single" w:sz="8" w:space="0" w:color="EDEDE8"/>
        </w:tcBorders>
      </w:tcPr>
    </w:tblStylePr>
    <w:tblStylePr w:type="band1Vert">
      <w:tblPr/>
      <w:tcPr>
        <w:tcBorders>
          <w:top w:val="single" w:sz="8" w:space="0" w:color="EDEDE8"/>
          <w:left w:val="single" w:sz="8" w:space="0" w:color="EDEDE8"/>
          <w:bottom w:val="single" w:sz="8" w:space="0" w:color="EDEDE8"/>
          <w:right w:val="single" w:sz="8" w:space="0" w:color="EDEDE8"/>
        </w:tcBorders>
        <w:shd w:val="clear" w:color="auto" w:fill="FAFAF9"/>
      </w:tcPr>
    </w:tblStylePr>
    <w:tblStylePr w:type="band1Horz">
      <w:tblPr/>
      <w:tcPr>
        <w:tcBorders>
          <w:top w:val="single" w:sz="8" w:space="0" w:color="EDEDE8"/>
          <w:left w:val="single" w:sz="8" w:space="0" w:color="EDEDE8"/>
          <w:bottom w:val="single" w:sz="8" w:space="0" w:color="EDEDE8"/>
          <w:right w:val="single" w:sz="8" w:space="0" w:color="EDEDE8"/>
          <w:insideV w:val="single" w:sz="8" w:space="0" w:color="EDEDE8"/>
        </w:tcBorders>
        <w:shd w:val="clear" w:color="auto" w:fill="FAFAF9"/>
      </w:tcPr>
    </w:tblStylePr>
    <w:tblStylePr w:type="band2Horz">
      <w:tblPr/>
      <w:tcPr>
        <w:tcBorders>
          <w:top w:val="single" w:sz="8" w:space="0" w:color="EDEDE8"/>
          <w:left w:val="single" w:sz="8" w:space="0" w:color="EDEDE8"/>
          <w:bottom w:val="single" w:sz="8" w:space="0" w:color="EDEDE8"/>
          <w:right w:val="single" w:sz="8" w:space="0" w:color="EDEDE8"/>
          <w:insideV w:val="single" w:sz="8" w:space="0" w:color="EDEDE8"/>
        </w:tcBorders>
      </w:tcPr>
    </w:tblStylePr>
  </w:style>
  <w:style w:type="table" w:styleId="DarkList-Accent5">
    <w:name w:val="Dark List Accent 5"/>
    <w:basedOn w:val="TableNormal"/>
    <w:uiPriority w:val="61"/>
    <w:rsid w:val="00071DFF"/>
    <w:tblPr>
      <w:tblStyleRowBandSize w:val="1"/>
      <w:tblStyleColBandSize w:val="1"/>
      <w:tblBorders>
        <w:top w:val="single" w:sz="8" w:space="0" w:color="EDEDE8"/>
        <w:left w:val="single" w:sz="8" w:space="0" w:color="EDEDE8"/>
        <w:bottom w:val="single" w:sz="8" w:space="0" w:color="EDEDE8"/>
        <w:right w:val="single" w:sz="8" w:space="0" w:color="EDEDE8"/>
      </w:tblBorders>
    </w:tblPr>
    <w:tblStylePr w:type="firstRow">
      <w:pPr>
        <w:spacing w:before="0" w:after="0" w:line="240" w:lineRule="auto"/>
      </w:pPr>
      <w:rPr>
        <w:b/>
        <w:bCs/>
        <w:color w:val="FFFFFF"/>
      </w:rPr>
      <w:tblPr/>
      <w:tcPr>
        <w:shd w:val="clear" w:color="auto" w:fill="EDEDE8"/>
      </w:tcPr>
    </w:tblStylePr>
    <w:tblStylePr w:type="lastRow">
      <w:pPr>
        <w:spacing w:before="0" w:after="0" w:line="240" w:lineRule="auto"/>
      </w:pPr>
      <w:rPr>
        <w:b/>
        <w:bCs/>
      </w:rPr>
      <w:tblPr/>
      <w:tcPr>
        <w:tcBorders>
          <w:top w:val="double" w:sz="6" w:space="0" w:color="EDEDE8"/>
          <w:left w:val="single" w:sz="8" w:space="0" w:color="EDEDE8"/>
          <w:bottom w:val="single" w:sz="8" w:space="0" w:color="EDEDE8"/>
          <w:right w:val="single" w:sz="8" w:space="0" w:color="EDEDE8"/>
        </w:tcBorders>
      </w:tcPr>
    </w:tblStylePr>
    <w:tblStylePr w:type="firstCol">
      <w:rPr>
        <w:b/>
        <w:bCs/>
      </w:rPr>
    </w:tblStylePr>
    <w:tblStylePr w:type="lastCol">
      <w:rPr>
        <w:b/>
        <w:bCs/>
      </w:rPr>
    </w:tblStylePr>
    <w:tblStylePr w:type="band1Vert">
      <w:tblPr/>
      <w:tcPr>
        <w:tcBorders>
          <w:top w:val="single" w:sz="8" w:space="0" w:color="EDEDE8"/>
          <w:left w:val="single" w:sz="8" w:space="0" w:color="EDEDE8"/>
          <w:bottom w:val="single" w:sz="8" w:space="0" w:color="EDEDE8"/>
          <w:right w:val="single" w:sz="8" w:space="0" w:color="EDEDE8"/>
        </w:tcBorders>
      </w:tcPr>
    </w:tblStylePr>
    <w:tblStylePr w:type="band1Horz">
      <w:tblPr/>
      <w:tcPr>
        <w:tcBorders>
          <w:top w:val="single" w:sz="8" w:space="0" w:color="EDEDE8"/>
          <w:left w:val="single" w:sz="8" w:space="0" w:color="EDEDE8"/>
          <w:bottom w:val="single" w:sz="8" w:space="0" w:color="EDEDE8"/>
          <w:right w:val="single" w:sz="8" w:space="0" w:color="EDEDE8"/>
        </w:tcBorders>
      </w:tcPr>
    </w:tblStylePr>
  </w:style>
  <w:style w:type="table" w:styleId="ColorfulList-Accent5">
    <w:name w:val="Colorful List Accent 5"/>
    <w:basedOn w:val="TableNormal"/>
    <w:uiPriority w:val="63"/>
    <w:rsid w:val="00071DFF"/>
    <w:tblPr>
      <w:tblStyleRowBandSize w:val="1"/>
      <w:tblStyleColBandSize w:val="1"/>
      <w:tblBorders>
        <w:top w:val="single" w:sz="8" w:space="0" w:color="F1F1ED"/>
        <w:left w:val="single" w:sz="8" w:space="0" w:color="F1F1ED"/>
        <w:bottom w:val="single" w:sz="8" w:space="0" w:color="F1F1ED"/>
        <w:right w:val="single" w:sz="8" w:space="0" w:color="F1F1ED"/>
        <w:insideH w:val="single" w:sz="8" w:space="0" w:color="F1F1ED"/>
      </w:tblBorders>
    </w:tblPr>
    <w:tblStylePr w:type="firstRow">
      <w:pPr>
        <w:spacing w:before="0" w:after="0" w:line="240" w:lineRule="auto"/>
      </w:pPr>
      <w:rPr>
        <w:b/>
        <w:bCs/>
        <w:color w:val="FFFFFF"/>
      </w:rPr>
      <w:tblPr/>
      <w:tcPr>
        <w:tcBorders>
          <w:top w:val="single" w:sz="8" w:space="0" w:color="F1F1ED"/>
          <w:left w:val="single" w:sz="8" w:space="0" w:color="F1F1ED"/>
          <w:bottom w:val="single" w:sz="8" w:space="0" w:color="F1F1ED"/>
          <w:right w:val="single" w:sz="8" w:space="0" w:color="F1F1ED"/>
          <w:insideH w:val="nil"/>
          <w:insideV w:val="nil"/>
        </w:tcBorders>
        <w:shd w:val="clear" w:color="auto" w:fill="EDEDE8"/>
      </w:tcPr>
    </w:tblStylePr>
    <w:tblStylePr w:type="lastRow">
      <w:pPr>
        <w:spacing w:before="0" w:after="0" w:line="240" w:lineRule="auto"/>
      </w:pPr>
      <w:rPr>
        <w:b/>
        <w:bCs/>
      </w:rPr>
      <w:tblPr/>
      <w:tcPr>
        <w:tcBorders>
          <w:top w:val="double" w:sz="6" w:space="0" w:color="F1F1ED"/>
          <w:left w:val="single" w:sz="8" w:space="0" w:color="F1F1ED"/>
          <w:bottom w:val="single" w:sz="8" w:space="0" w:color="F1F1ED"/>
          <w:right w:val="single" w:sz="8" w:space="0" w:color="F1F1ED"/>
          <w:insideH w:val="nil"/>
          <w:insideV w:val="nil"/>
        </w:tcBorders>
      </w:tcPr>
    </w:tblStylePr>
    <w:tblStylePr w:type="firstCol">
      <w:rPr>
        <w:b/>
        <w:bCs/>
      </w:rPr>
    </w:tblStylePr>
    <w:tblStylePr w:type="lastCol">
      <w:rPr>
        <w:b/>
        <w:bCs/>
      </w:rPr>
    </w:tblStylePr>
    <w:tblStylePr w:type="band1Vert">
      <w:tblPr/>
      <w:tcPr>
        <w:shd w:val="clear" w:color="auto" w:fill="FAFAF9"/>
      </w:tcPr>
    </w:tblStylePr>
    <w:tblStylePr w:type="band1Horz">
      <w:tblPr/>
      <w:tcPr>
        <w:tcBorders>
          <w:insideH w:val="nil"/>
          <w:insideV w:val="nil"/>
        </w:tcBorders>
        <w:shd w:val="clear" w:color="auto" w:fill="FAFAF9"/>
      </w:tcPr>
    </w:tblStylePr>
    <w:tblStylePr w:type="band2Horz">
      <w:tblPr/>
      <w:tcPr>
        <w:tcBorders>
          <w:insideH w:val="nil"/>
          <w:insideV w:val="nil"/>
        </w:tcBorders>
      </w:tcPr>
    </w:tblStylePr>
  </w:style>
  <w:style w:type="character" w:customStyle="1" w:styleId="TableNBulletChar">
    <w:name w:val="Table N Bullet Char"/>
    <w:link w:val="TableNBullet"/>
    <w:uiPriority w:val="3"/>
    <w:rsid w:val="0073030E"/>
    <w:rPr>
      <w:rFonts w:ascii="Segoe UI" w:eastAsia="Times New Roman" w:hAnsi="Segoe UI"/>
      <w:sz w:val="17"/>
      <w:szCs w:val="19"/>
    </w:rPr>
  </w:style>
  <w:style w:type="table" w:customStyle="1" w:styleId="NOUSSideHeader">
    <w:name w:val="NOUS Side Header"/>
    <w:basedOn w:val="TableNormal"/>
    <w:uiPriority w:val="99"/>
    <w:rsid w:val="006937F2"/>
    <w:pPr>
      <w:ind w:left="57"/>
    </w:pPr>
    <w:rPr>
      <w:rFonts w:ascii="Segoe UI" w:hAnsi="Segoe UI"/>
      <w:sz w:val="17"/>
    </w:rPr>
    <w:tblPr>
      <w:tblBorders>
        <w:top w:val="single" w:sz="8" w:space="0" w:color="EDEDE8"/>
        <w:bottom w:val="single" w:sz="8" w:space="0" w:color="EDEDE8"/>
        <w:insideH w:val="single" w:sz="8" w:space="0" w:color="EDEDE8"/>
      </w:tblBorders>
    </w:tblPr>
    <w:tblStylePr w:type="firstCol">
      <w:pPr>
        <w:wordWrap/>
        <w:jc w:val="center"/>
      </w:pPr>
      <w:rPr>
        <w:rFonts w:ascii="Wingdings" w:hAnsi="Wingdings"/>
        <w:b/>
        <w:color w:val="00264D"/>
        <w:sz w:val="18"/>
      </w:rPr>
      <w:tblPr/>
      <w:tcPr>
        <w:tcBorders>
          <w:top w:val="nil"/>
          <w:left w:val="single" w:sz="24" w:space="0" w:color="F8981D"/>
          <w:bottom w:val="nil"/>
          <w:right w:val="nil"/>
          <w:insideH w:val="nil"/>
          <w:insideV w:val="nil"/>
          <w:tl2br w:val="nil"/>
          <w:tr2bl w:val="nil"/>
        </w:tcBorders>
        <w:shd w:val="clear" w:color="auto" w:fill="EDEDE8"/>
      </w:tcPr>
    </w:tblStylePr>
  </w:style>
  <w:style w:type="table" w:customStyle="1" w:styleId="NOUS">
    <w:name w:val="NOUS"/>
    <w:basedOn w:val="TableNormal"/>
    <w:uiPriority w:val="99"/>
    <w:rsid w:val="0017660C"/>
    <w:rPr>
      <w:rFonts w:ascii="Segoe UI" w:hAnsi="Segoe UI"/>
      <w:sz w:val="17"/>
    </w:rPr>
    <w:tblPr>
      <w:tblBorders>
        <w:bottom w:val="single" w:sz="8" w:space="0" w:color="EDEDE8"/>
        <w:insideH w:val="single" w:sz="8" w:space="0" w:color="EDEDE8"/>
      </w:tblBorders>
      <w:tblCellMar>
        <w:top w:w="57" w:type="dxa"/>
        <w:left w:w="85" w:type="dxa"/>
        <w:bottom w:w="57" w:type="dxa"/>
        <w:right w:w="85" w:type="dxa"/>
      </w:tblCellMar>
    </w:tblPr>
    <w:tblStylePr w:type="firstRow">
      <w:rPr>
        <w:rFonts w:ascii="Wingdings" w:hAnsi="Wingdings"/>
        <w:b/>
        <w:color w:val="00264D"/>
        <w:sz w:val="18"/>
      </w:rPr>
      <w:tblPr/>
      <w:tcPr>
        <w:tcBorders>
          <w:top w:val="single" w:sz="24" w:space="0" w:color="F8981D"/>
          <w:left w:val="nil"/>
          <w:bottom w:val="nil"/>
          <w:right w:val="nil"/>
          <w:insideH w:val="nil"/>
          <w:insideV w:val="single" w:sz="8" w:space="0" w:color="FFFFFF"/>
          <w:tl2br w:val="nil"/>
          <w:tr2bl w:val="nil"/>
        </w:tcBorders>
        <w:shd w:val="clear" w:color="auto" w:fill="EDEDE8"/>
      </w:tcPr>
    </w:tblStylePr>
  </w:style>
  <w:style w:type="character" w:customStyle="1" w:styleId="Heading8Char">
    <w:name w:val="Heading 8 Char"/>
    <w:link w:val="Heading8"/>
    <w:uiPriority w:val="19"/>
    <w:semiHidden/>
    <w:rsid w:val="000137FA"/>
    <w:rPr>
      <w:rFonts w:ascii="Segoe UI" w:eastAsia="Times New Roman" w:hAnsi="Segoe UI" w:cs="Times New Roman"/>
      <w:color w:val="404040"/>
      <w:sz w:val="20"/>
      <w:szCs w:val="20"/>
    </w:rPr>
  </w:style>
  <w:style w:type="paragraph" w:customStyle="1" w:styleId="Covertitle">
    <w:name w:val="Cover title"/>
    <w:basedOn w:val="Normal"/>
    <w:link w:val="CovertitleChar"/>
    <w:uiPriority w:val="99"/>
    <w:semiHidden/>
    <w:rsid w:val="00F41E7F"/>
    <w:pPr>
      <w:suppressAutoHyphens/>
      <w:spacing w:after="0" w:line="720" w:lineRule="exact"/>
    </w:pPr>
    <w:rPr>
      <w:rFonts w:eastAsia="Times New Roman"/>
      <w:color w:val="2E368F"/>
      <w:sz w:val="84"/>
      <w:szCs w:val="19"/>
      <w:lang w:eastAsia="en-AU"/>
    </w:rPr>
  </w:style>
  <w:style w:type="character" w:customStyle="1" w:styleId="CovertitleChar">
    <w:name w:val="Cover title Char"/>
    <w:link w:val="Covertitle"/>
    <w:uiPriority w:val="99"/>
    <w:semiHidden/>
    <w:rsid w:val="00F41E7F"/>
    <w:rPr>
      <w:rFonts w:ascii="Segoe UI" w:eastAsia="Times New Roman" w:hAnsi="Segoe UI" w:cs="Times New Roman"/>
      <w:color w:val="2E368F"/>
      <w:sz w:val="84"/>
      <w:szCs w:val="19"/>
      <w:lang w:val="en-AU" w:eastAsia="en-AU"/>
    </w:rPr>
  </w:style>
  <w:style w:type="paragraph" w:customStyle="1" w:styleId="CoverPage-Client">
    <w:name w:val="Cover Page - Client"/>
    <w:basedOn w:val="Normal"/>
    <w:link w:val="CoverPage-ClientChar"/>
    <w:uiPriority w:val="99"/>
    <w:semiHidden/>
    <w:rsid w:val="00F41E7F"/>
    <w:pPr>
      <w:suppressAutoHyphens/>
      <w:spacing w:before="480" w:after="0" w:line="380" w:lineRule="exact"/>
    </w:pPr>
    <w:rPr>
      <w:rFonts w:eastAsia="Times New Roman"/>
      <w:color w:val="2E368F"/>
      <w:sz w:val="36"/>
      <w:szCs w:val="19"/>
      <w:lang w:eastAsia="en-AU"/>
    </w:rPr>
  </w:style>
  <w:style w:type="character" w:customStyle="1" w:styleId="CoverPage-ClientChar">
    <w:name w:val="Cover Page - Client Char"/>
    <w:link w:val="CoverPage-Client"/>
    <w:uiPriority w:val="99"/>
    <w:semiHidden/>
    <w:rsid w:val="00F41E7F"/>
    <w:rPr>
      <w:rFonts w:ascii="Segoe UI" w:eastAsia="Times New Roman" w:hAnsi="Segoe UI" w:cs="Times New Roman"/>
      <w:color w:val="2E368F"/>
      <w:sz w:val="36"/>
      <w:szCs w:val="19"/>
      <w:lang w:val="en-AU" w:eastAsia="en-AU"/>
    </w:rPr>
  </w:style>
  <w:style w:type="paragraph" w:customStyle="1" w:styleId="CoverPage-Date">
    <w:name w:val="Cover Page - Date"/>
    <w:basedOn w:val="Normal"/>
    <w:link w:val="CoverPage-DateChar"/>
    <w:uiPriority w:val="99"/>
    <w:semiHidden/>
    <w:rsid w:val="00F41E7F"/>
    <w:pPr>
      <w:suppressAutoHyphens/>
      <w:spacing w:before="320" w:after="0" w:line="280" w:lineRule="exact"/>
    </w:pPr>
    <w:rPr>
      <w:rFonts w:eastAsia="Times New Roman"/>
      <w:color w:val="00264D"/>
      <w:sz w:val="24"/>
      <w:szCs w:val="19"/>
      <w:lang w:eastAsia="en-AU"/>
    </w:rPr>
  </w:style>
  <w:style w:type="character" w:customStyle="1" w:styleId="CoverPage-DateChar">
    <w:name w:val="Cover Page - Date Char"/>
    <w:link w:val="CoverPage-Date"/>
    <w:uiPriority w:val="99"/>
    <w:semiHidden/>
    <w:rsid w:val="00F41E7F"/>
    <w:rPr>
      <w:rFonts w:ascii="Segoe UI" w:eastAsia="Times New Roman" w:hAnsi="Segoe UI" w:cs="Times New Roman"/>
      <w:color w:val="00264D"/>
      <w:sz w:val="24"/>
      <w:szCs w:val="19"/>
      <w:lang w:val="en-AU" w:eastAsia="en-AU"/>
    </w:rPr>
  </w:style>
  <w:style w:type="character" w:customStyle="1" w:styleId="MediumGrid11">
    <w:name w:val="Medium Grid 11"/>
    <w:uiPriority w:val="99"/>
    <w:semiHidden/>
    <w:rsid w:val="00F41E7F"/>
    <w:rPr>
      <w:color w:val="808080"/>
    </w:rPr>
  </w:style>
  <w:style w:type="paragraph" w:customStyle="1" w:styleId="ColorfulList-Accent11">
    <w:name w:val="Colorful List - Accent 11"/>
    <w:aliases w:val="Bullet point,Bullet text,Bulleted Para,Bullets,CV text,Dot pt,F5 List Paragraph,FooterText,L,List Paragraph1,List Paragraph11,List Paragraph111,List Paragraph2,Medium Grid 1 - Accent 21,NFP GP Bulleted List,Recommendation,列"/>
    <w:basedOn w:val="Normal"/>
    <w:link w:val="ColorfulList-Accent1Char"/>
    <w:uiPriority w:val="34"/>
    <w:qFormat/>
    <w:rsid w:val="003E5907"/>
    <w:pPr>
      <w:ind w:left="720"/>
      <w:contextualSpacing/>
    </w:pPr>
    <w:rPr>
      <w:szCs w:val="20"/>
      <w:lang w:eastAsia="x-none"/>
    </w:rPr>
  </w:style>
  <w:style w:type="character" w:styleId="CommentReference">
    <w:name w:val="annotation reference"/>
    <w:uiPriority w:val="99"/>
    <w:unhideWhenUsed/>
    <w:rsid w:val="003E5907"/>
    <w:rPr>
      <w:sz w:val="16"/>
      <w:szCs w:val="16"/>
    </w:rPr>
  </w:style>
  <w:style w:type="paragraph" w:styleId="CommentText">
    <w:name w:val="annotation text"/>
    <w:basedOn w:val="Normal"/>
    <w:link w:val="CommentTextChar"/>
    <w:uiPriority w:val="99"/>
    <w:unhideWhenUsed/>
    <w:rsid w:val="003E5907"/>
    <w:rPr>
      <w:sz w:val="20"/>
      <w:szCs w:val="20"/>
      <w:lang w:val="x-none" w:eastAsia="x-none"/>
    </w:rPr>
  </w:style>
  <w:style w:type="character" w:customStyle="1" w:styleId="CommentTextChar">
    <w:name w:val="Comment Text Char"/>
    <w:link w:val="CommentText"/>
    <w:uiPriority w:val="99"/>
    <w:rsid w:val="003E5907"/>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3E5907"/>
    <w:rPr>
      <w:b/>
      <w:bCs/>
    </w:rPr>
  </w:style>
  <w:style w:type="character" w:customStyle="1" w:styleId="CommentSubjectChar">
    <w:name w:val="Comment Subject Char"/>
    <w:link w:val="CommentSubject"/>
    <w:uiPriority w:val="99"/>
    <w:semiHidden/>
    <w:rsid w:val="003E5907"/>
    <w:rPr>
      <w:rFonts w:ascii="Segoe UI" w:hAnsi="Segoe UI"/>
      <w:b/>
      <w:bCs/>
      <w:sz w:val="20"/>
      <w:szCs w:val="20"/>
    </w:rPr>
  </w:style>
  <w:style w:type="paragraph" w:styleId="TOC3">
    <w:name w:val="toc 3"/>
    <w:basedOn w:val="Normal"/>
    <w:next w:val="Normal"/>
    <w:autoRedefine/>
    <w:uiPriority w:val="39"/>
    <w:unhideWhenUsed/>
    <w:rsid w:val="00025E0B"/>
    <w:pPr>
      <w:spacing w:after="100"/>
      <w:ind w:left="380"/>
    </w:pPr>
  </w:style>
  <w:style w:type="paragraph" w:customStyle="1" w:styleId="ColorfulShading-Accent11">
    <w:name w:val="Colorful Shading - Accent 11"/>
    <w:hidden/>
    <w:uiPriority w:val="99"/>
    <w:semiHidden/>
    <w:rsid w:val="00D34F1E"/>
    <w:rPr>
      <w:rFonts w:ascii="Segoe UI" w:hAnsi="Segoe UI"/>
      <w:sz w:val="19"/>
      <w:szCs w:val="22"/>
      <w:lang w:val="en-US" w:eastAsia="en-US"/>
    </w:rPr>
  </w:style>
  <w:style w:type="paragraph" w:styleId="EndnoteText">
    <w:name w:val="endnote text"/>
    <w:basedOn w:val="Normal"/>
    <w:link w:val="EndnoteTextChar"/>
    <w:uiPriority w:val="99"/>
    <w:unhideWhenUsed/>
    <w:rsid w:val="003011FA"/>
    <w:pPr>
      <w:spacing w:after="0"/>
    </w:pPr>
    <w:rPr>
      <w:sz w:val="20"/>
      <w:szCs w:val="20"/>
      <w:lang w:val="x-none" w:eastAsia="x-none"/>
    </w:rPr>
  </w:style>
  <w:style w:type="character" w:customStyle="1" w:styleId="EndnoteTextChar">
    <w:name w:val="Endnote Text Char"/>
    <w:link w:val="EndnoteText"/>
    <w:uiPriority w:val="99"/>
    <w:rsid w:val="003011FA"/>
    <w:rPr>
      <w:rFonts w:ascii="Segoe UI" w:hAnsi="Segoe UI"/>
      <w:sz w:val="20"/>
      <w:szCs w:val="20"/>
    </w:rPr>
  </w:style>
  <w:style w:type="character" w:styleId="EndnoteReference">
    <w:name w:val="endnote reference"/>
    <w:uiPriority w:val="99"/>
    <w:semiHidden/>
    <w:unhideWhenUsed/>
    <w:rsid w:val="003011FA"/>
    <w:rPr>
      <w:vertAlign w:val="superscript"/>
    </w:rPr>
  </w:style>
  <w:style w:type="paragraph" w:styleId="FootnoteText">
    <w:name w:val="footnote text"/>
    <w:basedOn w:val="Normal"/>
    <w:link w:val="FootnoteTextChar"/>
    <w:uiPriority w:val="99"/>
    <w:semiHidden/>
    <w:unhideWhenUsed/>
    <w:rsid w:val="00751AD9"/>
    <w:pPr>
      <w:spacing w:after="0"/>
    </w:pPr>
    <w:rPr>
      <w:sz w:val="20"/>
      <w:szCs w:val="20"/>
      <w:lang w:val="x-none" w:eastAsia="x-none"/>
    </w:rPr>
  </w:style>
  <w:style w:type="character" w:customStyle="1" w:styleId="FootnoteTextChar">
    <w:name w:val="Footnote Text Char"/>
    <w:link w:val="FootnoteText"/>
    <w:uiPriority w:val="99"/>
    <w:semiHidden/>
    <w:rsid w:val="00751AD9"/>
    <w:rPr>
      <w:rFonts w:ascii="Segoe UI" w:hAnsi="Segoe UI"/>
      <w:sz w:val="20"/>
      <w:szCs w:val="20"/>
    </w:rPr>
  </w:style>
  <w:style w:type="character" w:styleId="FootnoteReference">
    <w:name w:val="footnote reference"/>
    <w:uiPriority w:val="99"/>
    <w:semiHidden/>
    <w:unhideWhenUsed/>
    <w:rsid w:val="00751AD9"/>
    <w:rPr>
      <w:vertAlign w:val="superscript"/>
    </w:rPr>
  </w:style>
  <w:style w:type="character" w:customStyle="1" w:styleId="TableNTextChar">
    <w:name w:val="Table N Text Char"/>
    <w:link w:val="TableNText"/>
    <w:uiPriority w:val="9"/>
    <w:rsid w:val="00F40060"/>
    <w:rPr>
      <w:rFonts w:ascii="Segoe UI" w:eastAsia="Times New Roman" w:hAnsi="Segoe UI" w:cs="Times New Roman"/>
      <w:sz w:val="17"/>
      <w:szCs w:val="24"/>
      <w:lang w:val="en-AU" w:eastAsia="en-AU"/>
    </w:rPr>
  </w:style>
  <w:style w:type="paragraph" w:customStyle="1" w:styleId="Default">
    <w:name w:val="Default"/>
    <w:rsid w:val="00CC6C04"/>
    <w:pPr>
      <w:autoSpaceDE w:val="0"/>
      <w:autoSpaceDN w:val="0"/>
      <w:adjustRightInd w:val="0"/>
    </w:pPr>
    <w:rPr>
      <w:rFonts w:ascii="HelveticaNeueLT Std Lt" w:hAnsi="HelveticaNeueLT Std Lt" w:cs="HelveticaNeueLT Std Lt"/>
      <w:color w:val="000000"/>
      <w:sz w:val="24"/>
      <w:szCs w:val="24"/>
      <w:lang w:eastAsia="en-US"/>
    </w:rPr>
  </w:style>
  <w:style w:type="character" w:customStyle="1" w:styleId="A11">
    <w:name w:val="A11"/>
    <w:uiPriority w:val="99"/>
    <w:rsid w:val="00CC6C04"/>
    <w:rPr>
      <w:rFonts w:cs="HelveticaNeueLT Std Lt"/>
      <w:color w:val="000000"/>
      <w:sz w:val="9"/>
      <w:szCs w:val="9"/>
    </w:rPr>
  </w:style>
  <w:style w:type="character" w:customStyle="1" w:styleId="A9">
    <w:name w:val="A9"/>
    <w:uiPriority w:val="99"/>
    <w:rsid w:val="00CC6C04"/>
    <w:rPr>
      <w:rFonts w:cs="HelveticaNeueLT Std Lt"/>
      <w:color w:val="000000"/>
    </w:rPr>
  </w:style>
  <w:style w:type="paragraph" w:customStyle="1" w:styleId="Pa15">
    <w:name w:val="Pa15"/>
    <w:basedOn w:val="Default"/>
    <w:next w:val="Default"/>
    <w:uiPriority w:val="99"/>
    <w:rsid w:val="00CC6C04"/>
    <w:pPr>
      <w:spacing w:line="191" w:lineRule="atLeast"/>
    </w:pPr>
    <w:rPr>
      <w:rFonts w:cs="Times New Roman"/>
      <w:color w:val="auto"/>
    </w:rPr>
  </w:style>
  <w:style w:type="character" w:customStyle="1" w:styleId="A3">
    <w:name w:val="A3"/>
    <w:uiPriority w:val="99"/>
    <w:rsid w:val="00CC6C04"/>
    <w:rPr>
      <w:rFonts w:cs="HelveticaNeueLT Std Lt"/>
      <w:color w:val="000000"/>
      <w:sz w:val="16"/>
      <w:szCs w:val="16"/>
    </w:rPr>
  </w:style>
  <w:style w:type="character" w:customStyle="1" w:styleId="A8">
    <w:name w:val="A8"/>
    <w:uiPriority w:val="99"/>
    <w:rsid w:val="00AD6EA5"/>
    <w:rPr>
      <w:rFonts w:cs="HelveticaNeueLT Std Lt"/>
      <w:color w:val="000000"/>
    </w:rPr>
  </w:style>
  <w:style w:type="character" w:customStyle="1" w:styleId="A10">
    <w:name w:val="A10"/>
    <w:uiPriority w:val="99"/>
    <w:rsid w:val="00AD6EA5"/>
    <w:rPr>
      <w:rFonts w:cs="HelveticaNeueLT Std Lt"/>
      <w:color w:val="000000"/>
      <w:sz w:val="9"/>
      <w:szCs w:val="9"/>
    </w:rPr>
  </w:style>
  <w:style w:type="paragraph" w:styleId="NormalWeb">
    <w:name w:val="Normal (Web)"/>
    <w:basedOn w:val="Normal"/>
    <w:uiPriority w:val="99"/>
    <w:unhideWhenUsed/>
    <w:rsid w:val="008B5802"/>
    <w:pPr>
      <w:spacing w:before="100" w:beforeAutospacing="1" w:after="100" w:afterAutospacing="1"/>
    </w:pPr>
    <w:rPr>
      <w:rFonts w:ascii="Times New Roman" w:eastAsia="Times New Roman" w:hAnsi="Times New Roman"/>
      <w:sz w:val="24"/>
      <w:szCs w:val="24"/>
      <w:lang w:eastAsia="en-AU"/>
    </w:rPr>
  </w:style>
  <w:style w:type="character" w:styleId="FollowedHyperlink">
    <w:name w:val="FollowedHyperlink"/>
    <w:uiPriority w:val="99"/>
    <w:semiHidden/>
    <w:unhideWhenUsed/>
    <w:rsid w:val="006C1CCB"/>
    <w:rPr>
      <w:color w:val="0048C7"/>
      <w:u w:val="single"/>
    </w:rPr>
  </w:style>
  <w:style w:type="table" w:customStyle="1" w:styleId="NOUS1">
    <w:name w:val="NOUS1"/>
    <w:basedOn w:val="TableNormal"/>
    <w:uiPriority w:val="99"/>
    <w:rsid w:val="003A3754"/>
    <w:rPr>
      <w:rFonts w:ascii="Segoe UI" w:hAnsi="Segoe UI"/>
      <w:sz w:val="17"/>
    </w:rPr>
    <w:tblPr>
      <w:tblBorders>
        <w:bottom w:val="single" w:sz="8" w:space="0" w:color="EDEDE8"/>
        <w:insideH w:val="single" w:sz="8" w:space="0" w:color="EDEDE8"/>
      </w:tblBorders>
      <w:tblCellMar>
        <w:top w:w="57" w:type="dxa"/>
        <w:left w:w="85" w:type="dxa"/>
        <w:bottom w:w="57" w:type="dxa"/>
        <w:right w:w="85" w:type="dxa"/>
      </w:tblCellMar>
    </w:tblPr>
    <w:tblStylePr w:type="firstRow">
      <w:rPr>
        <w:rFonts w:ascii="Wingdings" w:hAnsi="Wingdings"/>
        <w:b/>
        <w:color w:val="00264D"/>
        <w:sz w:val="18"/>
      </w:rPr>
      <w:tblPr/>
      <w:tcPr>
        <w:tcBorders>
          <w:top w:val="single" w:sz="24" w:space="0" w:color="F8981D"/>
          <w:left w:val="nil"/>
          <w:bottom w:val="nil"/>
          <w:right w:val="nil"/>
          <w:insideH w:val="nil"/>
          <w:insideV w:val="single" w:sz="8" w:space="0" w:color="FFFFFF"/>
          <w:tl2br w:val="nil"/>
          <w:tr2bl w:val="nil"/>
        </w:tcBorders>
        <w:shd w:val="clear" w:color="auto" w:fill="EDEDE8"/>
      </w:tcPr>
    </w:tblStylePr>
  </w:style>
  <w:style w:type="table" w:customStyle="1" w:styleId="Table1">
    <w:name w:val="Table1"/>
    <w:basedOn w:val="TableNormal"/>
    <w:next w:val="TableGrid"/>
    <w:uiPriority w:val="39"/>
    <w:rsid w:val="00A35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aliases w:val="Bullet point Char,Bullet text Char,Bulleted Para Char,Bullets Char,CV text Char,Dot pt Char,F5 List Paragraph Char,FooterText Char,L Char,List Paragraph1 Char,List Paragraph11 Char,List Paragraph111 Char,Recommendation Char"/>
    <w:link w:val="ColorfulList-Accent11"/>
    <w:uiPriority w:val="34"/>
    <w:qFormat/>
    <w:locked/>
    <w:rsid w:val="008B0483"/>
    <w:rPr>
      <w:rFonts w:ascii="Segoe UI" w:hAnsi="Segoe UI"/>
      <w:sz w:val="19"/>
      <w:lang w:val="en-AU"/>
    </w:rPr>
  </w:style>
  <w:style w:type="paragraph" w:customStyle="1" w:styleId="Pa8">
    <w:name w:val="Pa8"/>
    <w:basedOn w:val="Default"/>
    <w:next w:val="Default"/>
    <w:uiPriority w:val="99"/>
    <w:rsid w:val="0092318C"/>
    <w:pPr>
      <w:spacing w:line="201" w:lineRule="atLeast"/>
    </w:pPr>
    <w:rPr>
      <w:rFonts w:ascii="Gotham Book" w:hAnsi="Gotham Book" w:cs="Times New Roman"/>
      <w:color w:val="auto"/>
    </w:rPr>
  </w:style>
  <w:style w:type="paragraph" w:customStyle="1" w:styleId="Pa2">
    <w:name w:val="Pa2"/>
    <w:basedOn w:val="Default"/>
    <w:next w:val="Default"/>
    <w:uiPriority w:val="99"/>
    <w:rsid w:val="00431275"/>
    <w:pPr>
      <w:spacing w:line="181" w:lineRule="atLeast"/>
    </w:pPr>
    <w:rPr>
      <w:rFonts w:ascii="Gotham Book" w:hAnsi="Gotham Book" w:cs="Times New Roman"/>
      <w:color w:val="auto"/>
    </w:rPr>
  </w:style>
  <w:style w:type="character" w:styleId="Emphasis">
    <w:name w:val="Emphasis"/>
    <w:uiPriority w:val="20"/>
    <w:qFormat/>
    <w:rsid w:val="00387A49"/>
    <w:rPr>
      <w:b/>
      <w:bCs/>
      <w:i w:val="0"/>
      <w:iCs w:val="0"/>
    </w:rPr>
  </w:style>
  <w:style w:type="character" w:customStyle="1" w:styleId="st1">
    <w:name w:val="st1"/>
    <w:basedOn w:val="DefaultParagraphFont"/>
    <w:rsid w:val="00387A49"/>
  </w:style>
  <w:style w:type="character" w:styleId="Strong">
    <w:name w:val="Strong"/>
    <w:uiPriority w:val="22"/>
    <w:qFormat/>
    <w:rsid w:val="002275C1"/>
    <w:rPr>
      <w:b/>
      <w:bCs/>
    </w:rPr>
  </w:style>
  <w:style w:type="character" w:customStyle="1" w:styleId="m-991079458059465889gmail-msoendnotereference">
    <w:name w:val="m_-991079458059465889gmail-msoendnotereference"/>
    <w:rsid w:val="00D13526"/>
  </w:style>
  <w:style w:type="character" w:customStyle="1" w:styleId="articletitle">
    <w:name w:val="articletitle"/>
    <w:rsid w:val="00D640F5"/>
  </w:style>
  <w:style w:type="character" w:customStyle="1" w:styleId="pubyear">
    <w:name w:val="pubyear"/>
    <w:rsid w:val="00D640F5"/>
  </w:style>
  <w:style w:type="character" w:customStyle="1" w:styleId="vol3">
    <w:name w:val="vol3"/>
    <w:rsid w:val="00D640F5"/>
  </w:style>
  <w:style w:type="paragraph" w:styleId="Revision">
    <w:name w:val="Revision"/>
    <w:hidden/>
    <w:uiPriority w:val="71"/>
    <w:rsid w:val="00A12566"/>
    <w:rPr>
      <w:rFonts w:ascii="Segoe UI" w:hAnsi="Segoe UI"/>
      <w:sz w:val="19"/>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0228">
      <w:bodyDiv w:val="1"/>
      <w:marLeft w:val="0"/>
      <w:marRight w:val="0"/>
      <w:marTop w:val="0"/>
      <w:marBottom w:val="0"/>
      <w:divBdr>
        <w:top w:val="none" w:sz="0" w:space="0" w:color="auto"/>
        <w:left w:val="none" w:sz="0" w:space="0" w:color="auto"/>
        <w:bottom w:val="none" w:sz="0" w:space="0" w:color="auto"/>
        <w:right w:val="none" w:sz="0" w:space="0" w:color="auto"/>
      </w:divBdr>
    </w:div>
    <w:div w:id="32777683">
      <w:bodyDiv w:val="1"/>
      <w:marLeft w:val="0"/>
      <w:marRight w:val="0"/>
      <w:marTop w:val="0"/>
      <w:marBottom w:val="0"/>
      <w:divBdr>
        <w:top w:val="none" w:sz="0" w:space="0" w:color="auto"/>
        <w:left w:val="none" w:sz="0" w:space="0" w:color="auto"/>
        <w:bottom w:val="none" w:sz="0" w:space="0" w:color="auto"/>
        <w:right w:val="none" w:sz="0" w:space="0" w:color="auto"/>
      </w:divBdr>
    </w:div>
    <w:div w:id="111556403">
      <w:bodyDiv w:val="1"/>
      <w:marLeft w:val="0"/>
      <w:marRight w:val="0"/>
      <w:marTop w:val="0"/>
      <w:marBottom w:val="0"/>
      <w:divBdr>
        <w:top w:val="none" w:sz="0" w:space="0" w:color="auto"/>
        <w:left w:val="none" w:sz="0" w:space="0" w:color="auto"/>
        <w:bottom w:val="none" w:sz="0" w:space="0" w:color="auto"/>
        <w:right w:val="none" w:sz="0" w:space="0" w:color="auto"/>
      </w:divBdr>
    </w:div>
    <w:div w:id="157691792">
      <w:bodyDiv w:val="1"/>
      <w:marLeft w:val="0"/>
      <w:marRight w:val="0"/>
      <w:marTop w:val="0"/>
      <w:marBottom w:val="0"/>
      <w:divBdr>
        <w:top w:val="none" w:sz="0" w:space="0" w:color="auto"/>
        <w:left w:val="none" w:sz="0" w:space="0" w:color="auto"/>
        <w:bottom w:val="none" w:sz="0" w:space="0" w:color="auto"/>
        <w:right w:val="none" w:sz="0" w:space="0" w:color="auto"/>
      </w:divBdr>
    </w:div>
    <w:div w:id="164714127">
      <w:bodyDiv w:val="1"/>
      <w:marLeft w:val="0"/>
      <w:marRight w:val="0"/>
      <w:marTop w:val="0"/>
      <w:marBottom w:val="0"/>
      <w:divBdr>
        <w:top w:val="none" w:sz="0" w:space="0" w:color="auto"/>
        <w:left w:val="none" w:sz="0" w:space="0" w:color="auto"/>
        <w:bottom w:val="none" w:sz="0" w:space="0" w:color="auto"/>
        <w:right w:val="none" w:sz="0" w:space="0" w:color="auto"/>
      </w:divBdr>
    </w:div>
    <w:div w:id="177307334">
      <w:bodyDiv w:val="1"/>
      <w:marLeft w:val="0"/>
      <w:marRight w:val="0"/>
      <w:marTop w:val="0"/>
      <w:marBottom w:val="0"/>
      <w:divBdr>
        <w:top w:val="none" w:sz="0" w:space="0" w:color="auto"/>
        <w:left w:val="none" w:sz="0" w:space="0" w:color="auto"/>
        <w:bottom w:val="none" w:sz="0" w:space="0" w:color="auto"/>
        <w:right w:val="none" w:sz="0" w:space="0" w:color="auto"/>
      </w:divBdr>
    </w:div>
    <w:div w:id="306593376">
      <w:bodyDiv w:val="1"/>
      <w:marLeft w:val="0"/>
      <w:marRight w:val="0"/>
      <w:marTop w:val="0"/>
      <w:marBottom w:val="0"/>
      <w:divBdr>
        <w:top w:val="none" w:sz="0" w:space="0" w:color="auto"/>
        <w:left w:val="none" w:sz="0" w:space="0" w:color="auto"/>
        <w:bottom w:val="none" w:sz="0" w:space="0" w:color="auto"/>
        <w:right w:val="none" w:sz="0" w:space="0" w:color="auto"/>
      </w:divBdr>
    </w:div>
    <w:div w:id="358165005">
      <w:bodyDiv w:val="1"/>
      <w:marLeft w:val="0"/>
      <w:marRight w:val="0"/>
      <w:marTop w:val="0"/>
      <w:marBottom w:val="0"/>
      <w:divBdr>
        <w:top w:val="none" w:sz="0" w:space="0" w:color="auto"/>
        <w:left w:val="none" w:sz="0" w:space="0" w:color="auto"/>
        <w:bottom w:val="none" w:sz="0" w:space="0" w:color="auto"/>
        <w:right w:val="none" w:sz="0" w:space="0" w:color="auto"/>
      </w:divBdr>
    </w:div>
    <w:div w:id="435173148">
      <w:bodyDiv w:val="1"/>
      <w:marLeft w:val="0"/>
      <w:marRight w:val="0"/>
      <w:marTop w:val="0"/>
      <w:marBottom w:val="0"/>
      <w:divBdr>
        <w:top w:val="none" w:sz="0" w:space="0" w:color="auto"/>
        <w:left w:val="none" w:sz="0" w:space="0" w:color="auto"/>
        <w:bottom w:val="none" w:sz="0" w:space="0" w:color="auto"/>
        <w:right w:val="none" w:sz="0" w:space="0" w:color="auto"/>
      </w:divBdr>
    </w:div>
    <w:div w:id="447624934">
      <w:bodyDiv w:val="1"/>
      <w:marLeft w:val="0"/>
      <w:marRight w:val="0"/>
      <w:marTop w:val="0"/>
      <w:marBottom w:val="0"/>
      <w:divBdr>
        <w:top w:val="none" w:sz="0" w:space="0" w:color="auto"/>
        <w:left w:val="none" w:sz="0" w:space="0" w:color="auto"/>
        <w:bottom w:val="none" w:sz="0" w:space="0" w:color="auto"/>
        <w:right w:val="none" w:sz="0" w:space="0" w:color="auto"/>
      </w:divBdr>
    </w:div>
    <w:div w:id="460609383">
      <w:bodyDiv w:val="1"/>
      <w:marLeft w:val="0"/>
      <w:marRight w:val="0"/>
      <w:marTop w:val="0"/>
      <w:marBottom w:val="0"/>
      <w:divBdr>
        <w:top w:val="none" w:sz="0" w:space="0" w:color="auto"/>
        <w:left w:val="none" w:sz="0" w:space="0" w:color="auto"/>
        <w:bottom w:val="none" w:sz="0" w:space="0" w:color="auto"/>
        <w:right w:val="none" w:sz="0" w:space="0" w:color="auto"/>
      </w:divBdr>
    </w:div>
    <w:div w:id="463739417">
      <w:bodyDiv w:val="1"/>
      <w:marLeft w:val="0"/>
      <w:marRight w:val="0"/>
      <w:marTop w:val="0"/>
      <w:marBottom w:val="0"/>
      <w:divBdr>
        <w:top w:val="none" w:sz="0" w:space="0" w:color="auto"/>
        <w:left w:val="none" w:sz="0" w:space="0" w:color="auto"/>
        <w:bottom w:val="none" w:sz="0" w:space="0" w:color="auto"/>
        <w:right w:val="none" w:sz="0" w:space="0" w:color="auto"/>
      </w:divBdr>
    </w:div>
    <w:div w:id="487938067">
      <w:bodyDiv w:val="1"/>
      <w:marLeft w:val="0"/>
      <w:marRight w:val="0"/>
      <w:marTop w:val="0"/>
      <w:marBottom w:val="0"/>
      <w:divBdr>
        <w:top w:val="none" w:sz="0" w:space="0" w:color="auto"/>
        <w:left w:val="none" w:sz="0" w:space="0" w:color="auto"/>
        <w:bottom w:val="none" w:sz="0" w:space="0" w:color="auto"/>
        <w:right w:val="none" w:sz="0" w:space="0" w:color="auto"/>
      </w:divBdr>
    </w:div>
    <w:div w:id="489254919">
      <w:bodyDiv w:val="1"/>
      <w:marLeft w:val="0"/>
      <w:marRight w:val="0"/>
      <w:marTop w:val="0"/>
      <w:marBottom w:val="0"/>
      <w:divBdr>
        <w:top w:val="none" w:sz="0" w:space="0" w:color="auto"/>
        <w:left w:val="none" w:sz="0" w:space="0" w:color="auto"/>
        <w:bottom w:val="none" w:sz="0" w:space="0" w:color="auto"/>
        <w:right w:val="none" w:sz="0" w:space="0" w:color="auto"/>
      </w:divBdr>
    </w:div>
    <w:div w:id="510878831">
      <w:bodyDiv w:val="1"/>
      <w:marLeft w:val="0"/>
      <w:marRight w:val="0"/>
      <w:marTop w:val="0"/>
      <w:marBottom w:val="0"/>
      <w:divBdr>
        <w:top w:val="none" w:sz="0" w:space="0" w:color="auto"/>
        <w:left w:val="none" w:sz="0" w:space="0" w:color="auto"/>
        <w:bottom w:val="none" w:sz="0" w:space="0" w:color="auto"/>
        <w:right w:val="none" w:sz="0" w:space="0" w:color="auto"/>
      </w:divBdr>
    </w:div>
    <w:div w:id="519859566">
      <w:bodyDiv w:val="1"/>
      <w:marLeft w:val="0"/>
      <w:marRight w:val="0"/>
      <w:marTop w:val="0"/>
      <w:marBottom w:val="0"/>
      <w:divBdr>
        <w:top w:val="none" w:sz="0" w:space="0" w:color="auto"/>
        <w:left w:val="none" w:sz="0" w:space="0" w:color="auto"/>
        <w:bottom w:val="none" w:sz="0" w:space="0" w:color="auto"/>
        <w:right w:val="none" w:sz="0" w:space="0" w:color="auto"/>
      </w:divBdr>
    </w:div>
    <w:div w:id="581916253">
      <w:bodyDiv w:val="1"/>
      <w:marLeft w:val="0"/>
      <w:marRight w:val="0"/>
      <w:marTop w:val="0"/>
      <w:marBottom w:val="0"/>
      <w:divBdr>
        <w:top w:val="none" w:sz="0" w:space="0" w:color="auto"/>
        <w:left w:val="none" w:sz="0" w:space="0" w:color="auto"/>
        <w:bottom w:val="none" w:sz="0" w:space="0" w:color="auto"/>
        <w:right w:val="none" w:sz="0" w:space="0" w:color="auto"/>
      </w:divBdr>
    </w:div>
    <w:div w:id="605381117">
      <w:bodyDiv w:val="1"/>
      <w:marLeft w:val="0"/>
      <w:marRight w:val="0"/>
      <w:marTop w:val="0"/>
      <w:marBottom w:val="0"/>
      <w:divBdr>
        <w:top w:val="none" w:sz="0" w:space="0" w:color="auto"/>
        <w:left w:val="none" w:sz="0" w:space="0" w:color="auto"/>
        <w:bottom w:val="none" w:sz="0" w:space="0" w:color="auto"/>
        <w:right w:val="none" w:sz="0" w:space="0" w:color="auto"/>
      </w:divBdr>
      <w:divsChild>
        <w:div w:id="878710629">
          <w:marLeft w:val="0"/>
          <w:marRight w:val="0"/>
          <w:marTop w:val="100"/>
          <w:marBottom w:val="100"/>
          <w:divBdr>
            <w:top w:val="none" w:sz="0" w:space="0" w:color="auto"/>
            <w:left w:val="none" w:sz="0" w:space="0" w:color="auto"/>
            <w:bottom w:val="none" w:sz="0" w:space="0" w:color="auto"/>
            <w:right w:val="none" w:sz="0" w:space="0" w:color="auto"/>
          </w:divBdr>
          <w:divsChild>
            <w:div w:id="1488403285">
              <w:marLeft w:val="0"/>
              <w:marRight w:val="0"/>
              <w:marTop w:val="0"/>
              <w:marBottom w:val="0"/>
              <w:divBdr>
                <w:top w:val="none" w:sz="0" w:space="0" w:color="auto"/>
                <w:left w:val="none" w:sz="0" w:space="0" w:color="auto"/>
                <w:bottom w:val="none" w:sz="0" w:space="0" w:color="auto"/>
                <w:right w:val="none" w:sz="0" w:space="0" w:color="auto"/>
              </w:divBdr>
              <w:divsChild>
                <w:div w:id="329332308">
                  <w:marLeft w:val="0"/>
                  <w:marRight w:val="0"/>
                  <w:marTop w:val="0"/>
                  <w:marBottom w:val="0"/>
                  <w:divBdr>
                    <w:top w:val="none" w:sz="0" w:space="0" w:color="auto"/>
                    <w:left w:val="none" w:sz="0" w:space="0" w:color="auto"/>
                    <w:bottom w:val="none" w:sz="0" w:space="0" w:color="auto"/>
                    <w:right w:val="none" w:sz="0" w:space="0" w:color="auto"/>
                  </w:divBdr>
                  <w:divsChild>
                    <w:div w:id="1099135145">
                      <w:marLeft w:val="0"/>
                      <w:marRight w:val="0"/>
                      <w:marTop w:val="0"/>
                      <w:marBottom w:val="0"/>
                      <w:divBdr>
                        <w:top w:val="none" w:sz="0" w:space="0" w:color="auto"/>
                        <w:left w:val="none" w:sz="0" w:space="0" w:color="auto"/>
                        <w:bottom w:val="none" w:sz="0" w:space="0" w:color="auto"/>
                        <w:right w:val="none" w:sz="0" w:space="0" w:color="auto"/>
                      </w:divBdr>
                      <w:divsChild>
                        <w:div w:id="1616642997">
                          <w:marLeft w:val="0"/>
                          <w:marRight w:val="0"/>
                          <w:marTop w:val="0"/>
                          <w:marBottom w:val="0"/>
                          <w:divBdr>
                            <w:top w:val="none" w:sz="0" w:space="0" w:color="auto"/>
                            <w:left w:val="none" w:sz="0" w:space="0" w:color="auto"/>
                            <w:bottom w:val="none" w:sz="0" w:space="0" w:color="auto"/>
                            <w:right w:val="none" w:sz="0" w:space="0" w:color="auto"/>
                          </w:divBdr>
                          <w:divsChild>
                            <w:div w:id="871379183">
                              <w:marLeft w:val="0"/>
                              <w:marRight w:val="0"/>
                              <w:marTop w:val="0"/>
                              <w:marBottom w:val="0"/>
                              <w:divBdr>
                                <w:top w:val="none" w:sz="0" w:space="0" w:color="auto"/>
                                <w:left w:val="none" w:sz="0" w:space="0" w:color="auto"/>
                                <w:bottom w:val="none" w:sz="0" w:space="0" w:color="auto"/>
                                <w:right w:val="none" w:sz="0" w:space="0" w:color="auto"/>
                              </w:divBdr>
                              <w:divsChild>
                                <w:div w:id="670959594">
                                  <w:marLeft w:val="0"/>
                                  <w:marRight w:val="0"/>
                                  <w:marTop w:val="0"/>
                                  <w:marBottom w:val="150"/>
                                  <w:divBdr>
                                    <w:top w:val="none" w:sz="0" w:space="0" w:color="auto"/>
                                    <w:left w:val="none" w:sz="0" w:space="0" w:color="auto"/>
                                    <w:bottom w:val="none" w:sz="0" w:space="0" w:color="auto"/>
                                    <w:right w:val="none" w:sz="0" w:space="0" w:color="auto"/>
                                  </w:divBdr>
                                  <w:divsChild>
                                    <w:div w:id="707679372">
                                      <w:marLeft w:val="0"/>
                                      <w:marRight w:val="0"/>
                                      <w:marTop w:val="0"/>
                                      <w:marBottom w:val="100"/>
                                      <w:divBdr>
                                        <w:top w:val="none" w:sz="0" w:space="0" w:color="auto"/>
                                        <w:left w:val="none" w:sz="0" w:space="0" w:color="auto"/>
                                        <w:bottom w:val="none" w:sz="0" w:space="0" w:color="auto"/>
                                        <w:right w:val="none" w:sz="0" w:space="0" w:color="auto"/>
                                      </w:divBdr>
                                      <w:divsChild>
                                        <w:div w:id="1297494234">
                                          <w:marLeft w:val="0"/>
                                          <w:marRight w:val="0"/>
                                          <w:marTop w:val="0"/>
                                          <w:marBottom w:val="0"/>
                                          <w:divBdr>
                                            <w:top w:val="none" w:sz="0" w:space="0" w:color="auto"/>
                                            <w:left w:val="none" w:sz="0" w:space="0" w:color="auto"/>
                                            <w:bottom w:val="none" w:sz="0" w:space="0" w:color="auto"/>
                                            <w:right w:val="none" w:sz="0" w:space="0" w:color="auto"/>
                                          </w:divBdr>
                                          <w:divsChild>
                                            <w:div w:id="1896238674">
                                              <w:marLeft w:val="0"/>
                                              <w:marRight w:val="0"/>
                                              <w:marTop w:val="0"/>
                                              <w:marBottom w:val="0"/>
                                              <w:divBdr>
                                                <w:top w:val="none" w:sz="0" w:space="0" w:color="auto"/>
                                                <w:left w:val="none" w:sz="0" w:space="0" w:color="auto"/>
                                                <w:bottom w:val="none" w:sz="0" w:space="0" w:color="auto"/>
                                                <w:right w:val="none" w:sz="0" w:space="0" w:color="auto"/>
                                              </w:divBdr>
                                              <w:divsChild>
                                                <w:div w:id="755248291">
                                                  <w:marLeft w:val="0"/>
                                                  <w:marRight w:val="0"/>
                                                  <w:marTop w:val="100"/>
                                                  <w:marBottom w:val="100"/>
                                                  <w:divBdr>
                                                    <w:top w:val="none" w:sz="0" w:space="0" w:color="auto"/>
                                                    <w:left w:val="none" w:sz="0" w:space="0" w:color="auto"/>
                                                    <w:bottom w:val="none" w:sz="0" w:space="0" w:color="auto"/>
                                                    <w:right w:val="none" w:sz="0" w:space="0" w:color="auto"/>
                                                  </w:divBdr>
                                                  <w:divsChild>
                                                    <w:div w:id="1811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743692">
      <w:bodyDiv w:val="1"/>
      <w:marLeft w:val="0"/>
      <w:marRight w:val="0"/>
      <w:marTop w:val="0"/>
      <w:marBottom w:val="0"/>
      <w:divBdr>
        <w:top w:val="none" w:sz="0" w:space="0" w:color="auto"/>
        <w:left w:val="none" w:sz="0" w:space="0" w:color="auto"/>
        <w:bottom w:val="none" w:sz="0" w:space="0" w:color="auto"/>
        <w:right w:val="none" w:sz="0" w:space="0" w:color="auto"/>
      </w:divBdr>
    </w:div>
    <w:div w:id="721289598">
      <w:bodyDiv w:val="1"/>
      <w:marLeft w:val="0"/>
      <w:marRight w:val="0"/>
      <w:marTop w:val="0"/>
      <w:marBottom w:val="0"/>
      <w:divBdr>
        <w:top w:val="none" w:sz="0" w:space="0" w:color="auto"/>
        <w:left w:val="none" w:sz="0" w:space="0" w:color="auto"/>
        <w:bottom w:val="none" w:sz="0" w:space="0" w:color="auto"/>
        <w:right w:val="none" w:sz="0" w:space="0" w:color="auto"/>
      </w:divBdr>
    </w:div>
    <w:div w:id="792750174">
      <w:bodyDiv w:val="1"/>
      <w:marLeft w:val="0"/>
      <w:marRight w:val="0"/>
      <w:marTop w:val="0"/>
      <w:marBottom w:val="0"/>
      <w:divBdr>
        <w:top w:val="none" w:sz="0" w:space="0" w:color="auto"/>
        <w:left w:val="none" w:sz="0" w:space="0" w:color="auto"/>
        <w:bottom w:val="none" w:sz="0" w:space="0" w:color="auto"/>
        <w:right w:val="none" w:sz="0" w:space="0" w:color="auto"/>
      </w:divBdr>
    </w:div>
    <w:div w:id="795951689">
      <w:bodyDiv w:val="1"/>
      <w:marLeft w:val="0"/>
      <w:marRight w:val="0"/>
      <w:marTop w:val="0"/>
      <w:marBottom w:val="0"/>
      <w:divBdr>
        <w:top w:val="none" w:sz="0" w:space="0" w:color="auto"/>
        <w:left w:val="none" w:sz="0" w:space="0" w:color="auto"/>
        <w:bottom w:val="none" w:sz="0" w:space="0" w:color="auto"/>
        <w:right w:val="none" w:sz="0" w:space="0" w:color="auto"/>
      </w:divBdr>
    </w:div>
    <w:div w:id="886768638">
      <w:bodyDiv w:val="1"/>
      <w:marLeft w:val="0"/>
      <w:marRight w:val="0"/>
      <w:marTop w:val="0"/>
      <w:marBottom w:val="0"/>
      <w:divBdr>
        <w:top w:val="none" w:sz="0" w:space="0" w:color="auto"/>
        <w:left w:val="none" w:sz="0" w:space="0" w:color="auto"/>
        <w:bottom w:val="none" w:sz="0" w:space="0" w:color="auto"/>
        <w:right w:val="none" w:sz="0" w:space="0" w:color="auto"/>
      </w:divBdr>
    </w:div>
    <w:div w:id="905727115">
      <w:bodyDiv w:val="1"/>
      <w:marLeft w:val="0"/>
      <w:marRight w:val="0"/>
      <w:marTop w:val="0"/>
      <w:marBottom w:val="0"/>
      <w:divBdr>
        <w:top w:val="none" w:sz="0" w:space="0" w:color="auto"/>
        <w:left w:val="none" w:sz="0" w:space="0" w:color="auto"/>
        <w:bottom w:val="none" w:sz="0" w:space="0" w:color="auto"/>
        <w:right w:val="none" w:sz="0" w:space="0" w:color="auto"/>
      </w:divBdr>
    </w:div>
    <w:div w:id="996492207">
      <w:bodyDiv w:val="1"/>
      <w:marLeft w:val="0"/>
      <w:marRight w:val="0"/>
      <w:marTop w:val="0"/>
      <w:marBottom w:val="0"/>
      <w:divBdr>
        <w:top w:val="none" w:sz="0" w:space="0" w:color="auto"/>
        <w:left w:val="none" w:sz="0" w:space="0" w:color="auto"/>
        <w:bottom w:val="none" w:sz="0" w:space="0" w:color="auto"/>
        <w:right w:val="none" w:sz="0" w:space="0" w:color="auto"/>
      </w:divBdr>
    </w:div>
    <w:div w:id="1236664894">
      <w:bodyDiv w:val="1"/>
      <w:marLeft w:val="0"/>
      <w:marRight w:val="0"/>
      <w:marTop w:val="0"/>
      <w:marBottom w:val="0"/>
      <w:divBdr>
        <w:top w:val="none" w:sz="0" w:space="0" w:color="auto"/>
        <w:left w:val="none" w:sz="0" w:space="0" w:color="auto"/>
        <w:bottom w:val="none" w:sz="0" w:space="0" w:color="auto"/>
        <w:right w:val="none" w:sz="0" w:space="0" w:color="auto"/>
      </w:divBdr>
    </w:div>
    <w:div w:id="1350329484">
      <w:bodyDiv w:val="1"/>
      <w:marLeft w:val="0"/>
      <w:marRight w:val="0"/>
      <w:marTop w:val="0"/>
      <w:marBottom w:val="0"/>
      <w:divBdr>
        <w:top w:val="none" w:sz="0" w:space="0" w:color="auto"/>
        <w:left w:val="none" w:sz="0" w:space="0" w:color="auto"/>
        <w:bottom w:val="none" w:sz="0" w:space="0" w:color="auto"/>
        <w:right w:val="none" w:sz="0" w:space="0" w:color="auto"/>
      </w:divBdr>
    </w:div>
    <w:div w:id="1501194149">
      <w:bodyDiv w:val="1"/>
      <w:marLeft w:val="0"/>
      <w:marRight w:val="0"/>
      <w:marTop w:val="0"/>
      <w:marBottom w:val="0"/>
      <w:divBdr>
        <w:top w:val="none" w:sz="0" w:space="0" w:color="auto"/>
        <w:left w:val="none" w:sz="0" w:space="0" w:color="auto"/>
        <w:bottom w:val="none" w:sz="0" w:space="0" w:color="auto"/>
        <w:right w:val="none" w:sz="0" w:space="0" w:color="auto"/>
      </w:divBdr>
    </w:div>
    <w:div w:id="1524057700">
      <w:bodyDiv w:val="1"/>
      <w:marLeft w:val="0"/>
      <w:marRight w:val="0"/>
      <w:marTop w:val="0"/>
      <w:marBottom w:val="0"/>
      <w:divBdr>
        <w:top w:val="none" w:sz="0" w:space="0" w:color="auto"/>
        <w:left w:val="none" w:sz="0" w:space="0" w:color="auto"/>
        <w:bottom w:val="none" w:sz="0" w:space="0" w:color="auto"/>
        <w:right w:val="none" w:sz="0" w:space="0" w:color="auto"/>
      </w:divBdr>
    </w:div>
    <w:div w:id="1544368742">
      <w:bodyDiv w:val="1"/>
      <w:marLeft w:val="0"/>
      <w:marRight w:val="0"/>
      <w:marTop w:val="0"/>
      <w:marBottom w:val="0"/>
      <w:divBdr>
        <w:top w:val="none" w:sz="0" w:space="0" w:color="auto"/>
        <w:left w:val="none" w:sz="0" w:space="0" w:color="auto"/>
        <w:bottom w:val="none" w:sz="0" w:space="0" w:color="auto"/>
        <w:right w:val="none" w:sz="0" w:space="0" w:color="auto"/>
      </w:divBdr>
    </w:div>
    <w:div w:id="1550148757">
      <w:bodyDiv w:val="1"/>
      <w:marLeft w:val="0"/>
      <w:marRight w:val="0"/>
      <w:marTop w:val="0"/>
      <w:marBottom w:val="0"/>
      <w:divBdr>
        <w:top w:val="none" w:sz="0" w:space="0" w:color="auto"/>
        <w:left w:val="none" w:sz="0" w:space="0" w:color="auto"/>
        <w:bottom w:val="none" w:sz="0" w:space="0" w:color="auto"/>
        <w:right w:val="none" w:sz="0" w:space="0" w:color="auto"/>
      </w:divBdr>
      <w:divsChild>
        <w:div w:id="2030715894">
          <w:marLeft w:val="0"/>
          <w:marRight w:val="0"/>
          <w:marTop w:val="0"/>
          <w:marBottom w:val="0"/>
          <w:divBdr>
            <w:top w:val="none" w:sz="0" w:space="0" w:color="auto"/>
            <w:left w:val="none" w:sz="0" w:space="0" w:color="auto"/>
            <w:bottom w:val="none" w:sz="0" w:space="0" w:color="auto"/>
            <w:right w:val="none" w:sz="0" w:space="0" w:color="auto"/>
          </w:divBdr>
          <w:divsChild>
            <w:div w:id="362677588">
              <w:marLeft w:val="0"/>
              <w:marRight w:val="0"/>
              <w:marTop w:val="0"/>
              <w:marBottom w:val="0"/>
              <w:divBdr>
                <w:top w:val="none" w:sz="0" w:space="0" w:color="auto"/>
                <w:left w:val="none" w:sz="0" w:space="0" w:color="auto"/>
                <w:bottom w:val="none" w:sz="0" w:space="0" w:color="auto"/>
                <w:right w:val="none" w:sz="0" w:space="0" w:color="auto"/>
              </w:divBdr>
              <w:divsChild>
                <w:div w:id="1501852364">
                  <w:marLeft w:val="0"/>
                  <w:marRight w:val="0"/>
                  <w:marTop w:val="0"/>
                  <w:marBottom w:val="0"/>
                  <w:divBdr>
                    <w:top w:val="none" w:sz="0" w:space="0" w:color="auto"/>
                    <w:left w:val="none" w:sz="0" w:space="0" w:color="auto"/>
                    <w:bottom w:val="none" w:sz="0" w:space="0" w:color="auto"/>
                    <w:right w:val="none" w:sz="0" w:space="0" w:color="auto"/>
                  </w:divBdr>
                  <w:divsChild>
                    <w:div w:id="955526163">
                      <w:marLeft w:val="0"/>
                      <w:marRight w:val="0"/>
                      <w:marTop w:val="0"/>
                      <w:marBottom w:val="0"/>
                      <w:divBdr>
                        <w:top w:val="none" w:sz="0" w:space="0" w:color="auto"/>
                        <w:left w:val="none" w:sz="0" w:space="0" w:color="auto"/>
                        <w:bottom w:val="none" w:sz="0" w:space="0" w:color="auto"/>
                        <w:right w:val="none" w:sz="0" w:space="0" w:color="auto"/>
                      </w:divBdr>
                      <w:divsChild>
                        <w:div w:id="1335454512">
                          <w:marLeft w:val="0"/>
                          <w:marRight w:val="0"/>
                          <w:marTop w:val="0"/>
                          <w:marBottom w:val="0"/>
                          <w:divBdr>
                            <w:top w:val="none" w:sz="0" w:space="0" w:color="auto"/>
                            <w:left w:val="none" w:sz="0" w:space="0" w:color="auto"/>
                            <w:bottom w:val="none" w:sz="0" w:space="0" w:color="auto"/>
                            <w:right w:val="none" w:sz="0" w:space="0" w:color="auto"/>
                          </w:divBdr>
                          <w:divsChild>
                            <w:div w:id="84618902">
                              <w:marLeft w:val="0"/>
                              <w:marRight w:val="0"/>
                              <w:marTop w:val="0"/>
                              <w:marBottom w:val="0"/>
                              <w:divBdr>
                                <w:top w:val="none" w:sz="0" w:space="0" w:color="auto"/>
                                <w:left w:val="none" w:sz="0" w:space="0" w:color="auto"/>
                                <w:bottom w:val="none" w:sz="0" w:space="0" w:color="auto"/>
                                <w:right w:val="none" w:sz="0" w:space="0" w:color="auto"/>
                              </w:divBdr>
                              <w:divsChild>
                                <w:div w:id="440729630">
                                  <w:marLeft w:val="0"/>
                                  <w:marRight w:val="0"/>
                                  <w:marTop w:val="0"/>
                                  <w:marBottom w:val="0"/>
                                  <w:divBdr>
                                    <w:top w:val="none" w:sz="0" w:space="0" w:color="auto"/>
                                    <w:left w:val="none" w:sz="0" w:space="0" w:color="auto"/>
                                    <w:bottom w:val="none" w:sz="0" w:space="0" w:color="auto"/>
                                    <w:right w:val="none" w:sz="0" w:space="0" w:color="auto"/>
                                  </w:divBdr>
                                  <w:divsChild>
                                    <w:div w:id="1376854739">
                                      <w:marLeft w:val="0"/>
                                      <w:marRight w:val="0"/>
                                      <w:marTop w:val="0"/>
                                      <w:marBottom w:val="0"/>
                                      <w:divBdr>
                                        <w:top w:val="none" w:sz="0" w:space="0" w:color="auto"/>
                                        <w:left w:val="none" w:sz="0" w:space="0" w:color="auto"/>
                                        <w:bottom w:val="none" w:sz="0" w:space="0" w:color="auto"/>
                                        <w:right w:val="none" w:sz="0" w:space="0" w:color="auto"/>
                                      </w:divBdr>
                                      <w:divsChild>
                                        <w:div w:id="372581063">
                                          <w:marLeft w:val="0"/>
                                          <w:marRight w:val="0"/>
                                          <w:marTop w:val="0"/>
                                          <w:marBottom w:val="0"/>
                                          <w:divBdr>
                                            <w:top w:val="none" w:sz="0" w:space="0" w:color="auto"/>
                                            <w:left w:val="none" w:sz="0" w:space="0" w:color="auto"/>
                                            <w:bottom w:val="none" w:sz="0" w:space="0" w:color="auto"/>
                                            <w:right w:val="none" w:sz="0" w:space="0" w:color="auto"/>
                                          </w:divBdr>
                                          <w:divsChild>
                                            <w:div w:id="226187159">
                                              <w:marLeft w:val="-15"/>
                                              <w:marRight w:val="-15"/>
                                              <w:marTop w:val="0"/>
                                              <w:marBottom w:val="0"/>
                                              <w:divBdr>
                                                <w:top w:val="none" w:sz="0" w:space="0" w:color="auto"/>
                                                <w:left w:val="none" w:sz="0" w:space="0" w:color="auto"/>
                                                <w:bottom w:val="none" w:sz="0" w:space="0" w:color="auto"/>
                                                <w:right w:val="none" w:sz="0" w:space="0" w:color="auto"/>
                                              </w:divBdr>
                                            </w:div>
                                            <w:div w:id="1525247794">
                                              <w:marLeft w:val="-225"/>
                                              <w:marRight w:val="-225"/>
                                              <w:marTop w:val="0"/>
                                              <w:marBottom w:val="0"/>
                                              <w:divBdr>
                                                <w:top w:val="none" w:sz="0" w:space="0" w:color="auto"/>
                                                <w:left w:val="none" w:sz="0" w:space="0" w:color="auto"/>
                                                <w:bottom w:val="none" w:sz="0" w:space="0" w:color="auto"/>
                                                <w:right w:val="none" w:sz="0" w:space="0" w:color="auto"/>
                                              </w:divBdr>
                                              <w:divsChild>
                                                <w:div w:id="394090077">
                                                  <w:marLeft w:val="0"/>
                                                  <w:marRight w:val="0"/>
                                                  <w:marTop w:val="0"/>
                                                  <w:marBottom w:val="0"/>
                                                  <w:divBdr>
                                                    <w:top w:val="none" w:sz="0" w:space="0" w:color="auto"/>
                                                    <w:left w:val="none" w:sz="0" w:space="0" w:color="auto"/>
                                                    <w:bottom w:val="none" w:sz="0" w:space="0" w:color="auto"/>
                                                    <w:right w:val="none" w:sz="0" w:space="0" w:color="auto"/>
                                                  </w:divBdr>
                                                </w:div>
                                              </w:divsChild>
                                            </w:div>
                                            <w:div w:id="1715737005">
                                              <w:marLeft w:val="0"/>
                                              <w:marRight w:val="0"/>
                                              <w:marTop w:val="0"/>
                                              <w:marBottom w:val="0"/>
                                              <w:divBdr>
                                                <w:top w:val="none" w:sz="0" w:space="0" w:color="auto"/>
                                                <w:left w:val="none" w:sz="0" w:space="0" w:color="auto"/>
                                                <w:bottom w:val="none" w:sz="0" w:space="0" w:color="auto"/>
                                                <w:right w:val="none" w:sz="0" w:space="0" w:color="auto"/>
                                              </w:divBdr>
                                            </w:div>
                                            <w:div w:id="1779637664">
                                              <w:marLeft w:val="-225"/>
                                              <w:marRight w:val="-225"/>
                                              <w:marTop w:val="0"/>
                                              <w:marBottom w:val="0"/>
                                              <w:divBdr>
                                                <w:top w:val="none" w:sz="0" w:space="0" w:color="auto"/>
                                                <w:left w:val="none" w:sz="0" w:space="0" w:color="auto"/>
                                                <w:bottom w:val="none" w:sz="0" w:space="0" w:color="auto"/>
                                                <w:right w:val="none" w:sz="0" w:space="0" w:color="auto"/>
                                              </w:divBdr>
                                              <w:divsChild>
                                                <w:div w:id="363139666">
                                                  <w:marLeft w:val="0"/>
                                                  <w:marRight w:val="0"/>
                                                  <w:marTop w:val="0"/>
                                                  <w:marBottom w:val="0"/>
                                                  <w:divBdr>
                                                    <w:top w:val="none" w:sz="0" w:space="0" w:color="auto"/>
                                                    <w:left w:val="none" w:sz="0" w:space="0" w:color="auto"/>
                                                    <w:bottom w:val="none" w:sz="0" w:space="0" w:color="auto"/>
                                                    <w:right w:val="none" w:sz="0" w:space="0" w:color="auto"/>
                                                  </w:divBdr>
                                                </w:div>
                                                <w:div w:id="11928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8301">
                                          <w:marLeft w:val="0"/>
                                          <w:marRight w:val="0"/>
                                          <w:marTop w:val="0"/>
                                          <w:marBottom w:val="0"/>
                                          <w:divBdr>
                                            <w:top w:val="none" w:sz="0" w:space="0" w:color="auto"/>
                                            <w:left w:val="none" w:sz="0" w:space="0" w:color="auto"/>
                                            <w:bottom w:val="none" w:sz="0" w:space="0" w:color="auto"/>
                                            <w:right w:val="none" w:sz="0" w:space="0" w:color="auto"/>
                                          </w:divBdr>
                                        </w:div>
                                        <w:div w:id="11065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7667742">
      <w:bodyDiv w:val="1"/>
      <w:marLeft w:val="0"/>
      <w:marRight w:val="0"/>
      <w:marTop w:val="0"/>
      <w:marBottom w:val="0"/>
      <w:divBdr>
        <w:top w:val="none" w:sz="0" w:space="0" w:color="auto"/>
        <w:left w:val="none" w:sz="0" w:space="0" w:color="auto"/>
        <w:bottom w:val="none" w:sz="0" w:space="0" w:color="auto"/>
        <w:right w:val="none" w:sz="0" w:space="0" w:color="auto"/>
      </w:divBdr>
    </w:div>
    <w:div w:id="1611089993">
      <w:bodyDiv w:val="1"/>
      <w:marLeft w:val="0"/>
      <w:marRight w:val="0"/>
      <w:marTop w:val="0"/>
      <w:marBottom w:val="0"/>
      <w:divBdr>
        <w:top w:val="none" w:sz="0" w:space="0" w:color="auto"/>
        <w:left w:val="none" w:sz="0" w:space="0" w:color="auto"/>
        <w:bottom w:val="none" w:sz="0" w:space="0" w:color="auto"/>
        <w:right w:val="none" w:sz="0" w:space="0" w:color="auto"/>
      </w:divBdr>
    </w:div>
    <w:div w:id="1640770408">
      <w:bodyDiv w:val="1"/>
      <w:marLeft w:val="0"/>
      <w:marRight w:val="0"/>
      <w:marTop w:val="0"/>
      <w:marBottom w:val="0"/>
      <w:divBdr>
        <w:top w:val="none" w:sz="0" w:space="0" w:color="auto"/>
        <w:left w:val="none" w:sz="0" w:space="0" w:color="auto"/>
        <w:bottom w:val="none" w:sz="0" w:space="0" w:color="auto"/>
        <w:right w:val="none" w:sz="0" w:space="0" w:color="auto"/>
      </w:divBdr>
    </w:div>
    <w:div w:id="1710031088">
      <w:bodyDiv w:val="1"/>
      <w:marLeft w:val="0"/>
      <w:marRight w:val="0"/>
      <w:marTop w:val="0"/>
      <w:marBottom w:val="0"/>
      <w:divBdr>
        <w:top w:val="none" w:sz="0" w:space="0" w:color="auto"/>
        <w:left w:val="none" w:sz="0" w:space="0" w:color="auto"/>
        <w:bottom w:val="none" w:sz="0" w:space="0" w:color="auto"/>
        <w:right w:val="none" w:sz="0" w:space="0" w:color="auto"/>
      </w:divBdr>
      <w:divsChild>
        <w:div w:id="1997413574">
          <w:marLeft w:val="0"/>
          <w:marRight w:val="0"/>
          <w:marTop w:val="100"/>
          <w:marBottom w:val="100"/>
          <w:divBdr>
            <w:top w:val="none" w:sz="0" w:space="0" w:color="auto"/>
            <w:left w:val="none" w:sz="0" w:space="0" w:color="auto"/>
            <w:bottom w:val="none" w:sz="0" w:space="0" w:color="auto"/>
            <w:right w:val="none" w:sz="0" w:space="0" w:color="auto"/>
          </w:divBdr>
          <w:divsChild>
            <w:div w:id="1256087148">
              <w:marLeft w:val="0"/>
              <w:marRight w:val="0"/>
              <w:marTop w:val="0"/>
              <w:marBottom w:val="0"/>
              <w:divBdr>
                <w:top w:val="none" w:sz="0" w:space="0" w:color="auto"/>
                <w:left w:val="none" w:sz="0" w:space="0" w:color="auto"/>
                <w:bottom w:val="none" w:sz="0" w:space="0" w:color="auto"/>
                <w:right w:val="none" w:sz="0" w:space="0" w:color="auto"/>
              </w:divBdr>
              <w:divsChild>
                <w:div w:id="2063943663">
                  <w:marLeft w:val="0"/>
                  <w:marRight w:val="0"/>
                  <w:marTop w:val="0"/>
                  <w:marBottom w:val="0"/>
                  <w:divBdr>
                    <w:top w:val="none" w:sz="0" w:space="0" w:color="auto"/>
                    <w:left w:val="none" w:sz="0" w:space="0" w:color="auto"/>
                    <w:bottom w:val="none" w:sz="0" w:space="0" w:color="auto"/>
                    <w:right w:val="none" w:sz="0" w:space="0" w:color="auto"/>
                  </w:divBdr>
                  <w:divsChild>
                    <w:div w:id="1886867888">
                      <w:marLeft w:val="0"/>
                      <w:marRight w:val="0"/>
                      <w:marTop w:val="0"/>
                      <w:marBottom w:val="0"/>
                      <w:divBdr>
                        <w:top w:val="none" w:sz="0" w:space="0" w:color="auto"/>
                        <w:left w:val="none" w:sz="0" w:space="0" w:color="auto"/>
                        <w:bottom w:val="none" w:sz="0" w:space="0" w:color="auto"/>
                        <w:right w:val="none" w:sz="0" w:space="0" w:color="auto"/>
                      </w:divBdr>
                      <w:divsChild>
                        <w:div w:id="548804442">
                          <w:marLeft w:val="0"/>
                          <w:marRight w:val="0"/>
                          <w:marTop w:val="0"/>
                          <w:marBottom w:val="0"/>
                          <w:divBdr>
                            <w:top w:val="none" w:sz="0" w:space="0" w:color="auto"/>
                            <w:left w:val="none" w:sz="0" w:space="0" w:color="auto"/>
                            <w:bottom w:val="none" w:sz="0" w:space="0" w:color="auto"/>
                            <w:right w:val="none" w:sz="0" w:space="0" w:color="auto"/>
                          </w:divBdr>
                          <w:divsChild>
                            <w:div w:id="540359735">
                              <w:marLeft w:val="0"/>
                              <w:marRight w:val="0"/>
                              <w:marTop w:val="0"/>
                              <w:marBottom w:val="0"/>
                              <w:divBdr>
                                <w:top w:val="none" w:sz="0" w:space="0" w:color="auto"/>
                                <w:left w:val="none" w:sz="0" w:space="0" w:color="auto"/>
                                <w:bottom w:val="none" w:sz="0" w:space="0" w:color="auto"/>
                                <w:right w:val="none" w:sz="0" w:space="0" w:color="auto"/>
                              </w:divBdr>
                              <w:divsChild>
                                <w:div w:id="527718557">
                                  <w:marLeft w:val="0"/>
                                  <w:marRight w:val="0"/>
                                  <w:marTop w:val="0"/>
                                  <w:marBottom w:val="150"/>
                                  <w:divBdr>
                                    <w:top w:val="none" w:sz="0" w:space="0" w:color="auto"/>
                                    <w:left w:val="none" w:sz="0" w:space="0" w:color="auto"/>
                                    <w:bottom w:val="none" w:sz="0" w:space="0" w:color="auto"/>
                                    <w:right w:val="none" w:sz="0" w:space="0" w:color="auto"/>
                                  </w:divBdr>
                                  <w:divsChild>
                                    <w:div w:id="13526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205483">
      <w:bodyDiv w:val="1"/>
      <w:marLeft w:val="0"/>
      <w:marRight w:val="0"/>
      <w:marTop w:val="0"/>
      <w:marBottom w:val="0"/>
      <w:divBdr>
        <w:top w:val="none" w:sz="0" w:space="0" w:color="auto"/>
        <w:left w:val="none" w:sz="0" w:space="0" w:color="auto"/>
        <w:bottom w:val="none" w:sz="0" w:space="0" w:color="auto"/>
        <w:right w:val="none" w:sz="0" w:space="0" w:color="auto"/>
      </w:divBdr>
    </w:div>
    <w:div w:id="1740517466">
      <w:bodyDiv w:val="1"/>
      <w:marLeft w:val="0"/>
      <w:marRight w:val="0"/>
      <w:marTop w:val="0"/>
      <w:marBottom w:val="0"/>
      <w:divBdr>
        <w:top w:val="none" w:sz="0" w:space="0" w:color="auto"/>
        <w:left w:val="none" w:sz="0" w:space="0" w:color="auto"/>
        <w:bottom w:val="none" w:sz="0" w:space="0" w:color="auto"/>
        <w:right w:val="none" w:sz="0" w:space="0" w:color="auto"/>
      </w:divBdr>
    </w:div>
    <w:div w:id="1831828416">
      <w:bodyDiv w:val="1"/>
      <w:marLeft w:val="0"/>
      <w:marRight w:val="0"/>
      <w:marTop w:val="0"/>
      <w:marBottom w:val="0"/>
      <w:divBdr>
        <w:top w:val="none" w:sz="0" w:space="0" w:color="auto"/>
        <w:left w:val="none" w:sz="0" w:space="0" w:color="auto"/>
        <w:bottom w:val="none" w:sz="0" w:space="0" w:color="auto"/>
        <w:right w:val="none" w:sz="0" w:space="0" w:color="auto"/>
      </w:divBdr>
    </w:div>
    <w:div w:id="1988044054">
      <w:bodyDiv w:val="1"/>
      <w:marLeft w:val="0"/>
      <w:marRight w:val="0"/>
      <w:marTop w:val="0"/>
      <w:marBottom w:val="0"/>
      <w:divBdr>
        <w:top w:val="none" w:sz="0" w:space="0" w:color="auto"/>
        <w:left w:val="none" w:sz="0" w:space="0" w:color="auto"/>
        <w:bottom w:val="none" w:sz="0" w:space="0" w:color="auto"/>
        <w:right w:val="none" w:sz="0" w:space="0" w:color="auto"/>
      </w:divBdr>
    </w:div>
    <w:div w:id="1998417384">
      <w:bodyDiv w:val="1"/>
      <w:marLeft w:val="0"/>
      <w:marRight w:val="0"/>
      <w:marTop w:val="0"/>
      <w:marBottom w:val="0"/>
      <w:divBdr>
        <w:top w:val="none" w:sz="0" w:space="0" w:color="auto"/>
        <w:left w:val="none" w:sz="0" w:space="0" w:color="auto"/>
        <w:bottom w:val="none" w:sz="0" w:space="0" w:color="auto"/>
        <w:right w:val="none" w:sz="0" w:space="0" w:color="auto"/>
      </w:divBdr>
    </w:div>
    <w:div w:id="2066442824">
      <w:bodyDiv w:val="1"/>
      <w:marLeft w:val="0"/>
      <w:marRight w:val="0"/>
      <w:marTop w:val="0"/>
      <w:marBottom w:val="0"/>
      <w:divBdr>
        <w:top w:val="none" w:sz="0" w:space="0" w:color="auto"/>
        <w:left w:val="none" w:sz="0" w:space="0" w:color="auto"/>
        <w:bottom w:val="none" w:sz="0" w:space="0" w:color="auto"/>
        <w:right w:val="none" w:sz="0" w:space="0" w:color="auto"/>
      </w:divBdr>
    </w:div>
    <w:div w:id="2068525899">
      <w:bodyDiv w:val="1"/>
      <w:marLeft w:val="0"/>
      <w:marRight w:val="0"/>
      <w:marTop w:val="0"/>
      <w:marBottom w:val="0"/>
      <w:divBdr>
        <w:top w:val="none" w:sz="0" w:space="0" w:color="auto"/>
        <w:left w:val="none" w:sz="0" w:space="0" w:color="auto"/>
        <w:bottom w:val="none" w:sz="0" w:space="0" w:color="auto"/>
        <w:right w:val="none" w:sz="0" w:space="0" w:color="auto"/>
      </w:divBdr>
    </w:div>
    <w:div w:id="2089033859">
      <w:bodyDiv w:val="1"/>
      <w:marLeft w:val="0"/>
      <w:marRight w:val="0"/>
      <w:marTop w:val="0"/>
      <w:marBottom w:val="0"/>
      <w:divBdr>
        <w:top w:val="none" w:sz="0" w:space="0" w:color="auto"/>
        <w:left w:val="none" w:sz="0" w:space="0" w:color="auto"/>
        <w:bottom w:val="none" w:sz="0" w:space="0" w:color="auto"/>
        <w:right w:val="none" w:sz="0" w:space="0" w:color="auto"/>
      </w:divBdr>
    </w:div>
    <w:div w:id="212947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2.png"/><Relationship Id="rId28"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1.png"/><Relationship Id="rId27" Type="http://schemas.openxmlformats.org/officeDocument/2006/relationships/header" Target="header9.xml"/><Relationship Id="rId30" Type="http://schemas.openxmlformats.org/officeDocument/2006/relationships/image" Target="media/image5.png"/></Relationships>
</file>

<file path=word/_rels/endnotes.xml.rels><?xml version="1.0" encoding="UTF-8" standalone="yes"?>
<Relationships xmlns="http://schemas.openxmlformats.org/package/2006/relationships"><Relationship Id="rId8" Type="http://schemas.openxmlformats.org/officeDocument/2006/relationships/hyperlink" Target="https://www.cdc.gov/std/health-disparities/stds-women-042011.pdf" TargetMode="External"/><Relationship Id="rId13" Type="http://schemas.openxmlformats.org/officeDocument/2006/relationships/hyperlink" Target="http://hivlegal.ashm.org.au/index.php/guide-to-australian-hiv-laws-and-policies-for-healthcare-professionals/antenatal-testing" TargetMode="External"/><Relationship Id="rId18" Type="http://schemas.openxmlformats.org/officeDocument/2006/relationships/hyperlink" Target="http://journals.plos.org/plosone/article?id=10.1371/journal.pone.0144869" TargetMode="External"/><Relationship Id="rId3" Type="http://schemas.openxmlformats.org/officeDocument/2006/relationships/hyperlink" Target="https://www2.health.vic.gov.au/about/news-and-events/healthalerts/alert-hepatitis-a-november-2017" TargetMode="External"/><Relationship Id="rId21" Type="http://schemas.openxmlformats.org/officeDocument/2006/relationships/hyperlink" Target="https://kirby.unsw.edu.au/sites/default/files/kirby/report/Sex%20Worker%20Health%20Surveillance%202016.pdf" TargetMode="External"/><Relationship Id="rId7" Type="http://schemas.openxmlformats.org/officeDocument/2006/relationships/hyperlink" Target="http://www.sti.guidelines.org.au/" TargetMode="External"/><Relationship Id="rId12" Type="http://schemas.openxmlformats.org/officeDocument/2006/relationships/hyperlink" Target="https://www2.health.vic.gov.au/about/news-and-events/healthalerts/advisory-2017-06-syphilis-gonorrhoea-increase-men-16-june-17" TargetMode="External"/><Relationship Id="rId17" Type="http://schemas.openxmlformats.org/officeDocument/2006/relationships/hyperlink" Target="http://www.isana-anzssa.com/1733" TargetMode="External"/><Relationship Id="rId2" Type="http://schemas.openxmlformats.org/officeDocument/2006/relationships/hyperlink" Target="http://www.health.gov.au/internet/main/publishing.nsf/Content/mr-yr18-dept-dept004.htm" TargetMode="External"/><Relationship Id="rId16" Type="http://schemas.openxmlformats.org/officeDocument/2006/relationships/hyperlink" Target="https://www.seslhd.health.nsw.gov.au/HARP/Documents/CALDGapAnalysisReport.pdf" TargetMode="External"/><Relationship Id="rId20" Type="http://schemas.openxmlformats.org/officeDocument/2006/relationships/hyperlink" Target="http://www.who.int/mediacentre/factsheets/fs110/en/" TargetMode="External"/><Relationship Id="rId1" Type="http://schemas.openxmlformats.org/officeDocument/2006/relationships/hyperlink" Target="https://www.malcolmturnbull.com.au/media/announcement-of-the-addition-of-gardasil-9-to-the-national-immunisation-pro" TargetMode="External"/><Relationship Id="rId6" Type="http://schemas.openxmlformats.org/officeDocument/2006/relationships/hyperlink" Target="http://www.health.nsw.gov.au/Infectious/alerts/Documents/2016/Shigellosis-Clinician-alert-15July2016.pdf" TargetMode="External"/><Relationship Id="rId11" Type="http://schemas.openxmlformats.org/officeDocument/2006/relationships/hyperlink" Target="http://www.sti.guidelines.org.au/populations-and-situations/msm" TargetMode="External"/><Relationship Id="rId5" Type="http://schemas.openxmlformats.org/officeDocument/2006/relationships/hyperlink" Target="http://www.health.nsw.gov.au/Infectious/hepatitisA/Documents/hepa-syd-shc-update-15sept2017.pdf" TargetMode="External"/><Relationship Id="rId15" Type="http://schemas.openxmlformats.org/officeDocument/2006/relationships/hyperlink" Target="http://www.censusdata.abs.gov.au/census_services/getproduct/census/2016/quickstat/036" TargetMode="External"/><Relationship Id="rId10" Type="http://schemas.openxmlformats.org/officeDocument/2006/relationships/hyperlink" Target="https://www.cdc.gov/std/hiv/stdfact-std-hiv-detailed.htm" TargetMode="External"/><Relationship Id="rId19" Type="http://schemas.openxmlformats.org/officeDocument/2006/relationships/hyperlink" Target="https://kirby.unsw.edu.au/sites/default/files/kirby/report/JHP_National-Prison-Entrants-Report-2004-2007-2010-2013-2016.pdf" TargetMode="External"/><Relationship Id="rId4" Type="http://schemas.openxmlformats.org/officeDocument/2006/relationships/hyperlink" Target="http://www.who.int/csr/don/07-june-2017-hepatitis-a/en/" TargetMode="External"/><Relationship Id="rId9" Type="http://schemas.openxmlformats.org/officeDocument/2006/relationships/hyperlink" Target="https://americanaddictioncenters.org/substance-abuse-hiv/" TargetMode="External"/><Relationship Id="rId14" Type="http://schemas.openxmlformats.org/officeDocument/2006/relationships/hyperlink" Target="https://internationaleducation.gov.au/research/International-Student-Data/Documents/MONTHLY%20SUMMARIES/2018/Feb%202018%20MonthlyInfographi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ly.norrie\AppData\Roaming\Microsoft\Templates\2%20Report\Report%20template%20-%20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2017-12-22T00:00:00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AAA90A6044A946998B6A8D480D9E4B" ma:contentTypeVersion="" ma:contentTypeDescription="Create a new document." ma:contentTypeScope="" ma:versionID="dfe6c0f2c02e2b732aee51d581c06d44">
  <xsd:schema xmlns:xsd="http://www.w3.org/2001/XMLSchema" xmlns:xs="http://www.w3.org/2001/XMLSchema" xmlns:p="http://schemas.microsoft.com/office/2006/metadata/properties" xmlns:ns2="5C676FE6-B487-45BE-9847-DC022B6FE6F3" xmlns:ns3="176e9d42-f00c-4951-a3f2-ca011614ad33" targetNamespace="http://schemas.microsoft.com/office/2006/metadata/properties" ma:root="true" ma:fieldsID="551ddef6a34f7a8eab74ba7ce87d8601" ns2:_="" ns3:_="">
    <xsd:import namespace="5C676FE6-B487-45BE-9847-DC022B6FE6F3"/>
    <xsd:import namespace="176e9d42-f00c-4951-a3f2-ca011614ad33"/>
    <xsd:element name="properties">
      <xsd:complexType>
        <xsd:sequence>
          <xsd:element name="documentManagement">
            <xsd:complexType>
              <xsd:all>
                <xsd:element ref="ns2:pc8457cba08d42be841822dbe092508a" minOccurs="0"/>
                <xsd:element ref="ns3:TaxCatchAll" minOccurs="0"/>
                <xsd:element ref="ns2:n881213a598c43e19c46d2040c5fc651" minOccurs="0"/>
                <xsd:element ref="ns2:Archive_x003f_" minOccurs="0"/>
                <xsd:element ref="ns2:Key_x0020_do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76FE6-B487-45BE-9847-DC022B6FE6F3" elementFormDefault="qualified">
    <xsd:import namespace="http://schemas.microsoft.com/office/2006/documentManagement/types"/>
    <xsd:import namespace="http://schemas.microsoft.com/office/infopath/2007/PartnerControls"/>
    <xsd:element name="pc8457cba08d42be841822dbe092508a" ma:index="9" nillable="true" ma:taxonomy="true" ma:internalName="pc8457cba08d42be841822dbe092508a" ma:taxonomyFieldName="Project_x0020_doc_x0020_type" ma:displayName="Doc type - level 1" ma:indexed="true" ma:default="54;#A. Admin ＆ Planning|b1f780b9-1325-41ee-b0f8-f9c50aa7f53e" ma:fieldId="{9c8457cb-a08d-42be-8418-22dbe092508a}" ma:sspId="fedc91e1-0723-4b19-918f-d2290fbc9877" ma:termSetId="3bda15ed-e623-4b4d-b65f-38bb1b335511" ma:anchorId="cc91d83d-1e1c-4c13-b867-348b43ba510f" ma:open="true" ma:isKeyword="false">
      <xsd:complexType>
        <xsd:sequence>
          <xsd:element ref="pc:Terms" minOccurs="0" maxOccurs="1"/>
        </xsd:sequence>
      </xsd:complexType>
    </xsd:element>
    <xsd:element name="n881213a598c43e19c46d2040c5fc651" ma:index="12" nillable="true" ma:taxonomy="true" ma:internalName="n881213a598c43e19c46d2040c5fc651" ma:taxonomyFieldName="Doc_x0020_type_x0020__x002d__x0020_level_x0020_2" ma:displayName="Doc type - level 2" ma:indexed="true" ma:default="" ma:fieldId="{7881213a-598c-43e1-9c46-d2040c5fc651}" ma:sspId="fedc91e1-0723-4b19-918f-d2290fbc9877" ma:termSetId="3bda15ed-e623-4b4d-b65f-38bb1b335511" ma:anchorId="cc91d83d-1e1c-4c13-b867-348b43ba510f" ma:open="true" ma:isKeyword="false">
      <xsd:complexType>
        <xsd:sequence>
          <xsd:element ref="pc:Terms" minOccurs="0" maxOccurs="1"/>
        </xsd:sequence>
      </xsd:complexType>
    </xsd:element>
    <xsd:element name="Archive_x003f_" ma:index="13" nillable="true" ma:displayName="Archive?" ma:default="0" ma:internalName="Archive_x003f_">
      <xsd:simpleType>
        <xsd:restriction base="dms:Boolean"/>
      </xsd:simpleType>
    </xsd:element>
    <xsd:element name="Key_x0020_doc_x003f_" ma:index="14" nillable="true" ma:displayName="Key doc?" ma:default="0" ma:internalName="Key_x0020_doc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6e9d42-f00c-4951-a3f2-ca011614ad3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E55A9F2-6D63-4D76-8C95-B270ACB04950}" ma:internalName="TaxCatchAll" ma:showField="CatchAllData" ma:web="{1e38e079-2029-4933-8525-a41bc320e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c8457cba08d42be841822dbe092508a xmlns="5C676FE6-B487-45BE-9847-DC022B6FE6F3">
      <Terms xmlns="http://schemas.microsoft.com/office/infopath/2007/PartnerControls">
        <TermInfo xmlns="http://schemas.microsoft.com/office/infopath/2007/PartnerControls">
          <TermName xmlns="http://schemas.microsoft.com/office/infopath/2007/PartnerControls">A. Admin ＆ Planning</TermName>
          <TermId xmlns="http://schemas.microsoft.com/office/infopath/2007/PartnerControls">b1f780b9-1325-41ee-b0f8-f9c50aa7f53e</TermId>
        </TermInfo>
      </Terms>
    </pc8457cba08d42be841822dbe092508a>
    <Key_x0020_doc_x003f_ xmlns="5C676FE6-B487-45BE-9847-DC022B6FE6F3">false</Key_x0020_doc_x003f_>
    <n881213a598c43e19c46d2040c5fc651 xmlns="5C676FE6-B487-45BE-9847-DC022B6FE6F3">
      <Terms xmlns="http://schemas.microsoft.com/office/infopath/2007/PartnerControls"/>
    </n881213a598c43e19c46d2040c5fc651>
    <TaxCatchAll xmlns="176e9d42-f00c-4951-a3f2-ca011614ad33">
      <Value>48</Value>
    </TaxCatchAll>
    <Archive_x003f_ xmlns="5C676FE6-B487-45BE-9847-DC022B6FE6F3">false</Archive_x003f_>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985294-C98F-4129-8911-9E5E15421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76FE6-B487-45BE-9847-DC022B6FE6F3"/>
    <ds:schemaRef ds:uri="176e9d42-f00c-4951-a3f2-ca011614a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1B4A30-4335-4615-B531-124E826026D8}">
  <ds:schemaRefs>
    <ds:schemaRef ds:uri="http://schemas.microsoft.com/sharepoint/v3/contenttype/forms"/>
  </ds:schemaRefs>
</ds:datastoreItem>
</file>

<file path=customXml/itemProps4.xml><?xml version="1.0" encoding="utf-8"?>
<ds:datastoreItem xmlns:ds="http://schemas.openxmlformats.org/officeDocument/2006/customXml" ds:itemID="{4DF56A45-AA83-4477-B08F-D9CB4899C3F3}">
  <ds:schemaRefs>
    <ds:schemaRef ds:uri="http://purl.org/dc/dcmitype/"/>
    <ds:schemaRef ds:uri="http://schemas.microsoft.com/office/2006/documentManagement/types"/>
    <ds:schemaRef ds:uri="http://purl.org/dc/elements/1.1/"/>
    <ds:schemaRef ds:uri="http://purl.org/dc/terms/"/>
    <ds:schemaRef ds:uri="http://www.w3.org/XML/1998/namespace"/>
    <ds:schemaRef ds:uri="176e9d42-f00c-4951-a3f2-ca011614ad33"/>
    <ds:schemaRef ds:uri="http://schemas.microsoft.com/office/2006/metadata/properties"/>
    <ds:schemaRef ds:uri="http://schemas.openxmlformats.org/package/2006/metadata/core-properties"/>
    <ds:schemaRef ds:uri="http://schemas.microsoft.com/office/infopath/2007/PartnerControls"/>
    <ds:schemaRef ds:uri="5C676FE6-B487-45BE-9847-DC022B6FE6F3"/>
  </ds:schemaRefs>
</ds:datastoreItem>
</file>

<file path=customXml/itemProps5.xml><?xml version="1.0" encoding="utf-8"?>
<ds:datastoreItem xmlns:ds="http://schemas.openxmlformats.org/officeDocument/2006/customXml" ds:itemID="{2ED731D6-BC57-4965-8670-9CA9916B8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 Portrait.dotm</Template>
  <TotalTime>0</TotalTime>
  <Pages>35</Pages>
  <Words>11668</Words>
  <Characters>66514</Characters>
  <Application>Microsoft Office Word</Application>
  <DocSecurity>4</DocSecurity>
  <Lines>554</Lines>
  <Paragraphs>156</Paragraphs>
  <ScaleCrop>false</ScaleCrop>
  <HeadingPairs>
    <vt:vector size="2" baseType="variant">
      <vt:variant>
        <vt:lpstr>Title</vt:lpstr>
      </vt:variant>
      <vt:variant>
        <vt:i4>1</vt:i4>
      </vt:variant>
    </vt:vector>
  </HeadingPairs>
  <TitlesOfParts>
    <vt:vector size="1" baseType="lpstr">
      <vt:lpstr>Fourth National STI Strategy 2018-2022 (Draft for BBVSS consultation)</vt:lpstr>
    </vt:vector>
  </TitlesOfParts>
  <Company>The Nous Group</Company>
  <LinksUpToDate>false</LinksUpToDate>
  <CharactersWithSpaces>78026</CharactersWithSpaces>
  <SharedDoc>false</SharedDoc>
  <HLinks>
    <vt:vector size="186" baseType="variant">
      <vt:variant>
        <vt:i4>1114171</vt:i4>
      </vt:variant>
      <vt:variant>
        <vt:i4>50</vt:i4>
      </vt:variant>
      <vt:variant>
        <vt:i4>0</vt:i4>
      </vt:variant>
      <vt:variant>
        <vt:i4>5</vt:i4>
      </vt:variant>
      <vt:variant>
        <vt:lpwstr/>
      </vt:variant>
      <vt:variant>
        <vt:lpwstr>_Toc529473037</vt:lpwstr>
      </vt:variant>
      <vt:variant>
        <vt:i4>1114171</vt:i4>
      </vt:variant>
      <vt:variant>
        <vt:i4>44</vt:i4>
      </vt:variant>
      <vt:variant>
        <vt:i4>0</vt:i4>
      </vt:variant>
      <vt:variant>
        <vt:i4>5</vt:i4>
      </vt:variant>
      <vt:variant>
        <vt:lpwstr/>
      </vt:variant>
      <vt:variant>
        <vt:lpwstr>_Toc529473036</vt:lpwstr>
      </vt:variant>
      <vt:variant>
        <vt:i4>1114171</vt:i4>
      </vt:variant>
      <vt:variant>
        <vt:i4>38</vt:i4>
      </vt:variant>
      <vt:variant>
        <vt:i4>0</vt:i4>
      </vt:variant>
      <vt:variant>
        <vt:i4>5</vt:i4>
      </vt:variant>
      <vt:variant>
        <vt:lpwstr/>
      </vt:variant>
      <vt:variant>
        <vt:lpwstr>_Toc529473035</vt:lpwstr>
      </vt:variant>
      <vt:variant>
        <vt:i4>1114171</vt:i4>
      </vt:variant>
      <vt:variant>
        <vt:i4>32</vt:i4>
      </vt:variant>
      <vt:variant>
        <vt:i4>0</vt:i4>
      </vt:variant>
      <vt:variant>
        <vt:i4>5</vt:i4>
      </vt:variant>
      <vt:variant>
        <vt:lpwstr/>
      </vt:variant>
      <vt:variant>
        <vt:lpwstr>_Toc529473034</vt:lpwstr>
      </vt:variant>
      <vt:variant>
        <vt:i4>1114171</vt:i4>
      </vt:variant>
      <vt:variant>
        <vt:i4>26</vt:i4>
      </vt:variant>
      <vt:variant>
        <vt:i4>0</vt:i4>
      </vt:variant>
      <vt:variant>
        <vt:i4>5</vt:i4>
      </vt:variant>
      <vt:variant>
        <vt:lpwstr/>
      </vt:variant>
      <vt:variant>
        <vt:lpwstr>_Toc529473033</vt:lpwstr>
      </vt:variant>
      <vt:variant>
        <vt:i4>1114171</vt:i4>
      </vt:variant>
      <vt:variant>
        <vt:i4>20</vt:i4>
      </vt:variant>
      <vt:variant>
        <vt:i4>0</vt:i4>
      </vt:variant>
      <vt:variant>
        <vt:i4>5</vt:i4>
      </vt:variant>
      <vt:variant>
        <vt:lpwstr/>
      </vt:variant>
      <vt:variant>
        <vt:lpwstr>_Toc529473032</vt:lpwstr>
      </vt:variant>
      <vt:variant>
        <vt:i4>1114171</vt:i4>
      </vt:variant>
      <vt:variant>
        <vt:i4>14</vt:i4>
      </vt:variant>
      <vt:variant>
        <vt:i4>0</vt:i4>
      </vt:variant>
      <vt:variant>
        <vt:i4>5</vt:i4>
      </vt:variant>
      <vt:variant>
        <vt:lpwstr/>
      </vt:variant>
      <vt:variant>
        <vt:lpwstr>_Toc529473031</vt:lpwstr>
      </vt:variant>
      <vt:variant>
        <vt:i4>1114171</vt:i4>
      </vt:variant>
      <vt:variant>
        <vt:i4>8</vt:i4>
      </vt:variant>
      <vt:variant>
        <vt:i4>0</vt:i4>
      </vt:variant>
      <vt:variant>
        <vt:i4>5</vt:i4>
      </vt:variant>
      <vt:variant>
        <vt:lpwstr/>
      </vt:variant>
      <vt:variant>
        <vt:lpwstr>_Toc529473030</vt:lpwstr>
      </vt:variant>
      <vt:variant>
        <vt:i4>1048635</vt:i4>
      </vt:variant>
      <vt:variant>
        <vt:i4>2</vt:i4>
      </vt:variant>
      <vt:variant>
        <vt:i4>0</vt:i4>
      </vt:variant>
      <vt:variant>
        <vt:i4>5</vt:i4>
      </vt:variant>
      <vt:variant>
        <vt:lpwstr/>
      </vt:variant>
      <vt:variant>
        <vt:lpwstr>_Toc529473029</vt:lpwstr>
      </vt:variant>
      <vt:variant>
        <vt:i4>8257580</vt:i4>
      </vt:variant>
      <vt:variant>
        <vt:i4>63</vt:i4>
      </vt:variant>
      <vt:variant>
        <vt:i4>0</vt:i4>
      </vt:variant>
      <vt:variant>
        <vt:i4>5</vt:i4>
      </vt:variant>
      <vt:variant>
        <vt:lpwstr>https://kirby.unsw.edu.au/sites/default/files/kirby/report/Sex Worker Health Surveillance 2016.pdf</vt:lpwstr>
      </vt:variant>
      <vt:variant>
        <vt:lpwstr/>
      </vt:variant>
      <vt:variant>
        <vt:i4>7929954</vt:i4>
      </vt:variant>
      <vt:variant>
        <vt:i4>60</vt:i4>
      </vt:variant>
      <vt:variant>
        <vt:i4>0</vt:i4>
      </vt:variant>
      <vt:variant>
        <vt:i4>5</vt:i4>
      </vt:variant>
      <vt:variant>
        <vt:lpwstr>http://www.who.int/mediacentre/factsheets/fs110/en/</vt:lpwstr>
      </vt:variant>
      <vt:variant>
        <vt:lpwstr/>
      </vt:variant>
      <vt:variant>
        <vt:i4>3735631</vt:i4>
      </vt:variant>
      <vt:variant>
        <vt:i4>57</vt:i4>
      </vt:variant>
      <vt:variant>
        <vt:i4>0</vt:i4>
      </vt:variant>
      <vt:variant>
        <vt:i4>5</vt:i4>
      </vt:variant>
      <vt:variant>
        <vt:lpwstr>https://kirby.unsw.edu.au/sites/default/files/kirby/report/JHP_National-Prison-Entrants-Report-2004-2007-2010-2013-2016.pdf</vt:lpwstr>
      </vt:variant>
      <vt:variant>
        <vt:lpwstr/>
      </vt:variant>
      <vt:variant>
        <vt:i4>1638427</vt:i4>
      </vt:variant>
      <vt:variant>
        <vt:i4>54</vt:i4>
      </vt:variant>
      <vt:variant>
        <vt:i4>0</vt:i4>
      </vt:variant>
      <vt:variant>
        <vt:i4>5</vt:i4>
      </vt:variant>
      <vt:variant>
        <vt:lpwstr>http://journals.plos.org/plosone/article?id=10.1371/journal.pone.0144869</vt:lpwstr>
      </vt:variant>
      <vt:variant>
        <vt:lpwstr/>
      </vt:variant>
      <vt:variant>
        <vt:i4>4194320</vt:i4>
      </vt:variant>
      <vt:variant>
        <vt:i4>51</vt:i4>
      </vt:variant>
      <vt:variant>
        <vt:i4>0</vt:i4>
      </vt:variant>
      <vt:variant>
        <vt:i4>5</vt:i4>
      </vt:variant>
      <vt:variant>
        <vt:lpwstr>http://www.isana-anzssa.com/1733</vt:lpwstr>
      </vt:variant>
      <vt:variant>
        <vt:lpwstr/>
      </vt:variant>
      <vt:variant>
        <vt:i4>4194387</vt:i4>
      </vt:variant>
      <vt:variant>
        <vt:i4>48</vt:i4>
      </vt:variant>
      <vt:variant>
        <vt:i4>0</vt:i4>
      </vt:variant>
      <vt:variant>
        <vt:i4>5</vt:i4>
      </vt:variant>
      <vt:variant>
        <vt:lpwstr>https://www.seslhd.health.nsw.gov.au/HARP/Documents/CALDGapAnalysisReport.pdf</vt:lpwstr>
      </vt:variant>
      <vt:variant>
        <vt:lpwstr/>
      </vt:variant>
      <vt:variant>
        <vt:i4>2687062</vt:i4>
      </vt:variant>
      <vt:variant>
        <vt:i4>45</vt:i4>
      </vt:variant>
      <vt:variant>
        <vt:i4>0</vt:i4>
      </vt:variant>
      <vt:variant>
        <vt:i4>5</vt:i4>
      </vt:variant>
      <vt:variant>
        <vt:lpwstr>http://www.censusdata.abs.gov.au/census_services/getproduct/census/2016/quickstat/036</vt:lpwstr>
      </vt:variant>
      <vt:variant>
        <vt:lpwstr/>
      </vt:variant>
      <vt:variant>
        <vt:i4>7274557</vt:i4>
      </vt:variant>
      <vt:variant>
        <vt:i4>42</vt:i4>
      </vt:variant>
      <vt:variant>
        <vt:i4>0</vt:i4>
      </vt:variant>
      <vt:variant>
        <vt:i4>5</vt:i4>
      </vt:variant>
      <vt:variant>
        <vt:lpwstr>https://internationaleducation.gov.au/research/International-Student-Data/Documents/MONTHLY SUMMARIES/2018/Feb 2018 MonthlyInfographic.pdf</vt:lpwstr>
      </vt:variant>
      <vt:variant>
        <vt:lpwstr/>
      </vt:variant>
      <vt:variant>
        <vt:i4>7012465</vt:i4>
      </vt:variant>
      <vt:variant>
        <vt:i4>39</vt:i4>
      </vt:variant>
      <vt:variant>
        <vt:i4>0</vt:i4>
      </vt:variant>
      <vt:variant>
        <vt:i4>5</vt:i4>
      </vt:variant>
      <vt:variant>
        <vt:lpwstr>http://hivlegal.ashm.org.au/index.php/guide-to-australian-hiv-laws-and-policies-for-healthcare-professionals/antenatal-testing</vt:lpwstr>
      </vt:variant>
      <vt:variant>
        <vt:lpwstr/>
      </vt:variant>
      <vt:variant>
        <vt:i4>8257597</vt:i4>
      </vt:variant>
      <vt:variant>
        <vt:i4>36</vt:i4>
      </vt:variant>
      <vt:variant>
        <vt:i4>0</vt:i4>
      </vt:variant>
      <vt:variant>
        <vt:i4>5</vt:i4>
      </vt:variant>
      <vt:variant>
        <vt:lpwstr>http://www.who.int/csr/don/07-june-2017-hepatitis-a/en/</vt:lpwstr>
      </vt:variant>
      <vt:variant>
        <vt:lpwstr/>
      </vt:variant>
      <vt:variant>
        <vt:i4>3145835</vt:i4>
      </vt:variant>
      <vt:variant>
        <vt:i4>33</vt:i4>
      </vt:variant>
      <vt:variant>
        <vt:i4>0</vt:i4>
      </vt:variant>
      <vt:variant>
        <vt:i4>5</vt:i4>
      </vt:variant>
      <vt:variant>
        <vt:lpwstr>https://www2.health.vic.gov.au/about/news-and-events/healthalerts/advisory-2017-06-syphilis-gonorrhoea-increase-men-16-june-17</vt:lpwstr>
      </vt:variant>
      <vt:variant>
        <vt:lpwstr/>
      </vt:variant>
      <vt:variant>
        <vt:i4>7143463</vt:i4>
      </vt:variant>
      <vt:variant>
        <vt:i4>30</vt:i4>
      </vt:variant>
      <vt:variant>
        <vt:i4>0</vt:i4>
      </vt:variant>
      <vt:variant>
        <vt:i4>5</vt:i4>
      </vt:variant>
      <vt:variant>
        <vt:lpwstr>http://www.sti.guidelines.org.au/populations-and-situations/msm</vt:lpwstr>
      </vt:variant>
      <vt:variant>
        <vt:lpwstr/>
      </vt:variant>
      <vt:variant>
        <vt:i4>1507349</vt:i4>
      </vt:variant>
      <vt:variant>
        <vt:i4>27</vt:i4>
      </vt:variant>
      <vt:variant>
        <vt:i4>0</vt:i4>
      </vt:variant>
      <vt:variant>
        <vt:i4>5</vt:i4>
      </vt:variant>
      <vt:variant>
        <vt:lpwstr>https://www.cdc.gov/std/hiv/stdfact-std-hiv-detailed.htm</vt:lpwstr>
      </vt:variant>
      <vt:variant>
        <vt:lpwstr/>
      </vt:variant>
      <vt:variant>
        <vt:i4>458817</vt:i4>
      </vt:variant>
      <vt:variant>
        <vt:i4>24</vt:i4>
      </vt:variant>
      <vt:variant>
        <vt:i4>0</vt:i4>
      </vt:variant>
      <vt:variant>
        <vt:i4>5</vt:i4>
      </vt:variant>
      <vt:variant>
        <vt:lpwstr>https://americanaddictioncenters.org/substance-abuse-hiv/</vt:lpwstr>
      </vt:variant>
      <vt:variant>
        <vt:lpwstr/>
      </vt:variant>
      <vt:variant>
        <vt:i4>4390985</vt:i4>
      </vt:variant>
      <vt:variant>
        <vt:i4>21</vt:i4>
      </vt:variant>
      <vt:variant>
        <vt:i4>0</vt:i4>
      </vt:variant>
      <vt:variant>
        <vt:i4>5</vt:i4>
      </vt:variant>
      <vt:variant>
        <vt:lpwstr>https://www.cdc.gov/std/health-disparities/stds-women-042011.pdf</vt:lpwstr>
      </vt:variant>
      <vt:variant>
        <vt:lpwstr/>
      </vt:variant>
      <vt:variant>
        <vt:i4>5308419</vt:i4>
      </vt:variant>
      <vt:variant>
        <vt:i4>18</vt:i4>
      </vt:variant>
      <vt:variant>
        <vt:i4>0</vt:i4>
      </vt:variant>
      <vt:variant>
        <vt:i4>5</vt:i4>
      </vt:variant>
      <vt:variant>
        <vt:lpwstr>http://www.sti.guidelines.org.au/</vt:lpwstr>
      </vt:variant>
      <vt:variant>
        <vt:lpwstr/>
      </vt:variant>
      <vt:variant>
        <vt:i4>458768</vt:i4>
      </vt:variant>
      <vt:variant>
        <vt:i4>15</vt:i4>
      </vt:variant>
      <vt:variant>
        <vt:i4>0</vt:i4>
      </vt:variant>
      <vt:variant>
        <vt:i4>5</vt:i4>
      </vt:variant>
      <vt:variant>
        <vt:lpwstr>http://www.health.nsw.gov.au/Infectious/alerts/Documents/2016/Shigellosis-Clinician-alert-15July2016.pdf</vt:lpwstr>
      </vt:variant>
      <vt:variant>
        <vt:lpwstr/>
      </vt:variant>
      <vt:variant>
        <vt:i4>7798892</vt:i4>
      </vt:variant>
      <vt:variant>
        <vt:i4>12</vt:i4>
      </vt:variant>
      <vt:variant>
        <vt:i4>0</vt:i4>
      </vt:variant>
      <vt:variant>
        <vt:i4>5</vt:i4>
      </vt:variant>
      <vt:variant>
        <vt:lpwstr>http://www.health.nsw.gov.au/Infectious/hepatitisA/Documents/hepa-syd-shc-update-15sept2017.pdf</vt:lpwstr>
      </vt:variant>
      <vt:variant>
        <vt:lpwstr/>
      </vt:variant>
      <vt:variant>
        <vt:i4>8257597</vt:i4>
      </vt:variant>
      <vt:variant>
        <vt:i4>9</vt:i4>
      </vt:variant>
      <vt:variant>
        <vt:i4>0</vt:i4>
      </vt:variant>
      <vt:variant>
        <vt:i4>5</vt:i4>
      </vt:variant>
      <vt:variant>
        <vt:lpwstr>http://www.who.int/csr/don/07-june-2017-hepatitis-a/en/</vt:lpwstr>
      </vt:variant>
      <vt:variant>
        <vt:lpwstr/>
      </vt:variant>
      <vt:variant>
        <vt:i4>1966158</vt:i4>
      </vt:variant>
      <vt:variant>
        <vt:i4>6</vt:i4>
      </vt:variant>
      <vt:variant>
        <vt:i4>0</vt:i4>
      </vt:variant>
      <vt:variant>
        <vt:i4>5</vt:i4>
      </vt:variant>
      <vt:variant>
        <vt:lpwstr>https://www2.health.vic.gov.au/about/news-and-events/healthalerts/alert-hepatitis-a-november-2017</vt:lpwstr>
      </vt:variant>
      <vt:variant>
        <vt:lpwstr/>
      </vt:variant>
      <vt:variant>
        <vt:i4>2097260</vt:i4>
      </vt:variant>
      <vt:variant>
        <vt:i4>3</vt:i4>
      </vt:variant>
      <vt:variant>
        <vt:i4>0</vt:i4>
      </vt:variant>
      <vt:variant>
        <vt:i4>5</vt:i4>
      </vt:variant>
      <vt:variant>
        <vt:lpwstr>http://www.health.gov.au/internet/main/publishing.nsf/Content/mr-yr18-dept-dept004.htm</vt:lpwstr>
      </vt:variant>
      <vt:variant>
        <vt:lpwstr/>
      </vt:variant>
      <vt:variant>
        <vt:i4>1769502</vt:i4>
      </vt:variant>
      <vt:variant>
        <vt:i4>0</vt:i4>
      </vt:variant>
      <vt:variant>
        <vt:i4>0</vt:i4>
      </vt:variant>
      <vt:variant>
        <vt:i4>5</vt:i4>
      </vt:variant>
      <vt:variant>
        <vt:lpwstr>https://www.malcolmturnbull.com.au/media/announcement-of-the-addition-of-gardasil-9-to-the-national-immunisation-pro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Fourth National STI Strategy 2018-2022 (Draft for BBVSS consultation)</dc:title>
  <dc:subject>Commonwealth Department of Health</dc:subject>
  <dc:creator>Holly Norrie</dc:creator>
  <cp:lastModifiedBy>Keane Laurie</cp:lastModifiedBy>
  <cp:revision>2</cp:revision>
  <cp:lastPrinted>2018-10-15T23:24:00Z</cp:lastPrinted>
  <dcterms:created xsi:type="dcterms:W3CDTF">2018-11-28T04:18:00Z</dcterms:created>
  <dcterms:modified xsi:type="dcterms:W3CDTF">2018-11-28T04:18:00Z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0x01010040AAA90A6044A946998B6A8D480D9E4B</vt:lpwstr>
  </property>
  <property fmtid="{D5CDD505-2E9C-101B-9397-08002B2CF9AE}" pid="3" name="Doc type - level 2">
    <vt:lpwstr/>
  </property>
  <property fmtid="{D5CDD505-2E9C-101B-9397-08002B2CF9AE}" pid="4" name="Project doc type">
    <vt:lpwstr>48;#E. Deliverables|0f05b71d-e5f3-4d2e-afe4-cc2f30331a3f</vt:lpwstr>
  </property>
</Properties>
</file>